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482021" w:rsidTr="0084008D">
        <w:trPr>
          <w:cantSplit/>
          <w:trHeight w:val="1080"/>
        </w:trPr>
        <w:tc>
          <w:tcPr>
            <w:tcW w:w="6588" w:type="dxa"/>
            <w:gridSpan w:val="2"/>
            <w:tcBorders>
              <w:top w:val="nil"/>
              <w:left w:val="nil"/>
              <w:bottom w:val="single" w:sz="12" w:space="0" w:color="auto"/>
              <w:right w:val="nil"/>
            </w:tcBorders>
          </w:tcPr>
          <w:p w:rsidR="0084008D" w:rsidRPr="00482021" w:rsidRDefault="0084008D" w:rsidP="00084BB4">
            <w:pPr>
              <w:pStyle w:val="Heading2"/>
              <w:tabs>
                <w:tab w:val="right" w:pos="6372"/>
              </w:tabs>
              <w:bidi w:val="0"/>
              <w:spacing w:before="12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008D" w:rsidRPr="00482021" w:rsidRDefault="00CC67D6" w:rsidP="0084008D">
            <w:pPr>
              <w:tabs>
                <w:tab w:val="left" w:pos="-720"/>
              </w:tabs>
              <w:suppressAutoHyphens/>
              <w:jc w:val="center"/>
              <w:rPr>
                <w:b/>
                <w:bCs/>
                <w:lang w:bidi="ar-EG"/>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54.4pt;height:44pt;visibility:visible">
                  <v:imagedata r:id="rId8" o:title="" cropleft="2880f" cropright="2880f"/>
                  <o:lock v:ext="edit" aspectratio="f"/>
                </v:shape>
              </w:pict>
            </w:r>
          </w:p>
        </w:tc>
        <w:tc>
          <w:tcPr>
            <w:tcW w:w="1620" w:type="dxa"/>
            <w:tcBorders>
              <w:top w:val="nil"/>
              <w:left w:val="nil"/>
              <w:bottom w:val="single" w:sz="12" w:space="0" w:color="auto"/>
              <w:right w:val="nil"/>
            </w:tcBorders>
          </w:tcPr>
          <w:p w:rsidR="0084008D" w:rsidRPr="00482021" w:rsidRDefault="00CC67D6" w:rsidP="0084008D">
            <w:pPr>
              <w:tabs>
                <w:tab w:val="left" w:pos="-720"/>
              </w:tabs>
              <w:suppressAutoHyphens/>
              <w:spacing w:before="120"/>
              <w:jc w:val="center"/>
            </w:pPr>
            <w:r>
              <w:rPr>
                <w:noProof/>
              </w:rPr>
              <w:pict>
                <v:shape id="Image 2" o:spid="_x0000_i1026" type="#_x0000_t75" style="width:40pt;height:45.6pt;visibility:visible">
                  <v:imagedata r:id="rId9" o:title=""/>
                </v:shape>
              </w:pict>
            </w:r>
          </w:p>
          <w:p w:rsidR="0084008D" w:rsidRPr="00482021" w:rsidRDefault="0084008D" w:rsidP="0084008D">
            <w:pPr>
              <w:tabs>
                <w:tab w:val="left" w:pos="-720"/>
              </w:tabs>
              <w:suppressAutoHyphens/>
              <w:spacing w:line="120" w:lineRule="auto"/>
            </w:pPr>
          </w:p>
        </w:tc>
      </w:tr>
      <w:tr w:rsidR="0084008D" w:rsidRPr="00482021" w:rsidTr="0084008D">
        <w:trPr>
          <w:cantSplit/>
          <w:trHeight w:val="1770"/>
        </w:trPr>
        <w:tc>
          <w:tcPr>
            <w:tcW w:w="4428" w:type="dxa"/>
            <w:tcBorders>
              <w:top w:val="nil"/>
              <w:left w:val="nil"/>
              <w:bottom w:val="single" w:sz="24" w:space="0" w:color="auto"/>
              <w:right w:val="nil"/>
            </w:tcBorders>
          </w:tcPr>
          <w:p w:rsidR="0084008D" w:rsidRPr="00FC32BA" w:rsidRDefault="0084008D" w:rsidP="0084008D">
            <w:pPr>
              <w:bidi w:val="0"/>
              <w:spacing w:before="60"/>
              <w:rPr>
                <w:sz w:val="22"/>
                <w:szCs w:val="22"/>
              </w:rPr>
            </w:pPr>
            <w:r w:rsidRPr="00FC32BA">
              <w:rPr>
                <w:sz w:val="22"/>
                <w:szCs w:val="22"/>
              </w:rPr>
              <w:t>Distr.</w:t>
            </w:r>
          </w:p>
          <w:p w:rsidR="0084008D" w:rsidRPr="00FC32BA" w:rsidRDefault="0084008D" w:rsidP="0084008D">
            <w:pPr>
              <w:bidi w:val="0"/>
              <w:rPr>
                <w:sz w:val="22"/>
                <w:szCs w:val="22"/>
              </w:rPr>
            </w:pPr>
            <w:r w:rsidRPr="00FC32BA">
              <w:rPr>
                <w:sz w:val="22"/>
                <w:szCs w:val="22"/>
              </w:rPr>
              <w:t>GENERAL</w:t>
            </w:r>
          </w:p>
          <w:p w:rsidR="0084008D" w:rsidRPr="00FC32BA" w:rsidRDefault="0084008D" w:rsidP="0084008D">
            <w:pPr>
              <w:pStyle w:val="Heading3"/>
              <w:bidi w:val="0"/>
              <w:spacing w:before="0" w:after="0" w:line="240" w:lineRule="auto"/>
              <w:jc w:val="left"/>
              <w:rPr>
                <w:sz w:val="22"/>
                <w:szCs w:val="22"/>
                <w:lang w:val="en-US"/>
              </w:rPr>
            </w:pPr>
          </w:p>
          <w:p w:rsidR="0084008D" w:rsidRPr="00FC32BA" w:rsidRDefault="0084008D" w:rsidP="007765CA">
            <w:pPr>
              <w:bidi w:val="0"/>
              <w:rPr>
                <w:sz w:val="22"/>
                <w:szCs w:val="22"/>
                <w:lang w:val="en-CA" w:bidi="ar-EG"/>
              </w:rPr>
            </w:pPr>
            <w:r w:rsidRPr="00FC32BA">
              <w:rPr>
                <w:sz w:val="22"/>
                <w:szCs w:val="22"/>
              </w:rPr>
              <w:t>CBD/SBSTTA/</w:t>
            </w:r>
            <w:r w:rsidR="00FC32BA" w:rsidRPr="00FC32BA">
              <w:rPr>
                <w:sz w:val="22"/>
                <w:szCs w:val="22"/>
                <w:lang w:bidi="ar-EG"/>
              </w:rPr>
              <w:t>2</w:t>
            </w:r>
            <w:r w:rsidR="00F6000A">
              <w:rPr>
                <w:sz w:val="22"/>
                <w:szCs w:val="22"/>
                <w:lang w:bidi="ar-EG"/>
              </w:rPr>
              <w:t>2</w:t>
            </w:r>
            <w:r w:rsidRPr="00FC32BA">
              <w:rPr>
                <w:rFonts w:cs="Times New Roman"/>
                <w:sz w:val="22"/>
                <w:szCs w:val="22"/>
                <w:lang w:bidi="ar-EG"/>
              </w:rPr>
              <w:t>/</w:t>
            </w:r>
            <w:r w:rsidR="007765CA">
              <w:rPr>
                <w:rFonts w:cs="Times New Roman"/>
                <w:sz w:val="22"/>
                <w:szCs w:val="22"/>
                <w:lang w:bidi="ar-EG"/>
              </w:rPr>
              <w:t>3</w:t>
            </w:r>
          </w:p>
          <w:p w:rsidR="00D67361" w:rsidRPr="00F6000A" w:rsidRDefault="00BC14C1" w:rsidP="007765CA">
            <w:pPr>
              <w:bidi w:val="0"/>
              <w:jc w:val="left"/>
              <w:rPr>
                <w:sz w:val="22"/>
                <w:szCs w:val="22"/>
                <w:lang w:val="en-GB"/>
              </w:rPr>
            </w:pPr>
            <w:r>
              <w:rPr>
                <w:rFonts w:hint="cs"/>
                <w:sz w:val="22"/>
                <w:szCs w:val="22"/>
                <w:rtl/>
                <w:lang w:val="en-GB"/>
              </w:rPr>
              <w:t>29</w:t>
            </w:r>
            <w:r w:rsidR="00F6000A" w:rsidRPr="00F6000A">
              <w:rPr>
                <w:sz w:val="22"/>
                <w:szCs w:val="22"/>
                <w:lang w:val="en-GB"/>
              </w:rPr>
              <w:t xml:space="preserve"> </w:t>
            </w:r>
            <w:r w:rsidR="007765CA">
              <w:rPr>
                <w:sz w:val="22"/>
                <w:szCs w:val="22"/>
                <w:lang w:val="en-GB"/>
              </w:rPr>
              <w:t>March</w:t>
            </w:r>
            <w:r w:rsidR="00F6000A" w:rsidRPr="00F6000A">
              <w:rPr>
                <w:sz w:val="22"/>
                <w:szCs w:val="22"/>
                <w:lang w:val="en-GB"/>
              </w:rPr>
              <w:t xml:space="preserve"> </w:t>
            </w:r>
            <w:r w:rsidR="007765CA">
              <w:rPr>
                <w:sz w:val="22"/>
                <w:szCs w:val="22"/>
                <w:lang w:val="en-GB"/>
              </w:rPr>
              <w:t>2018</w:t>
            </w:r>
            <w:r w:rsidR="00752DF2">
              <w:rPr>
                <w:rStyle w:val="FootnoteReference"/>
                <w:sz w:val="22"/>
                <w:rtl/>
                <w:lang w:val="en-GB"/>
              </w:rPr>
              <w:footnoteReference w:customMarkFollows="1" w:id="1"/>
              <w:t>*</w:t>
            </w:r>
          </w:p>
          <w:p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008D" w:rsidRPr="00FC32BA" w:rsidRDefault="0084008D" w:rsidP="0084008D">
            <w:pPr>
              <w:tabs>
                <w:tab w:val="left" w:pos="-720"/>
              </w:tabs>
              <w:suppressAutoHyphens/>
              <w:bidi w:val="0"/>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84008D" w:rsidRPr="00482021" w:rsidRDefault="00CC67D6" w:rsidP="0084008D">
            <w:pPr>
              <w:tabs>
                <w:tab w:val="left" w:pos="-720"/>
              </w:tabs>
              <w:suppressAutoHyphens/>
              <w:spacing w:before="120"/>
              <w:jc w:val="both"/>
              <w:rPr>
                <w:rtl/>
                <w:lang w:bidi="ar-EG"/>
              </w:rPr>
            </w:pPr>
            <w:r>
              <w:rPr>
                <w:b/>
                <w:noProof/>
                <w:sz w:val="36"/>
                <w:szCs w:val="36"/>
              </w:rPr>
              <w:pict>
                <v:shape id="Image 3" o:spid="_x0000_i1027" type="#_x0000_t75" alt="CBD_logo_ar-CMYK-black  Converted " style="width:201.6pt;height:80.8pt;visibility:visible">
                  <v:imagedata r:id="rId10" o:title="CBD_logo_ar-CMYK-black  Converted "/>
                </v:shape>
              </w:pict>
            </w:r>
          </w:p>
        </w:tc>
      </w:tr>
    </w:tbl>
    <w:p w:rsidR="0008758D" w:rsidRPr="00482021" w:rsidRDefault="0008758D" w:rsidP="0008758D">
      <w:pPr>
        <w:spacing w:before="60"/>
        <w:rPr>
          <w:b/>
          <w:bCs/>
          <w:sz w:val="26"/>
          <w:szCs w:val="26"/>
          <w:rtl/>
          <w:lang w:bidi="ar-EG"/>
        </w:rPr>
      </w:pPr>
      <w:r w:rsidRPr="00482021">
        <w:rPr>
          <w:rFonts w:hint="cs"/>
          <w:b/>
          <w:bCs/>
          <w:sz w:val="26"/>
          <w:szCs w:val="26"/>
          <w:rtl/>
        </w:rPr>
        <w:t>الهيئة الفرعية للمشورة العلمية والتقنية والتكنولوجية</w:t>
      </w:r>
    </w:p>
    <w:p w:rsidR="0008758D" w:rsidRPr="00482021" w:rsidRDefault="0008758D" w:rsidP="00CF1B2E">
      <w:pPr>
        <w:rPr>
          <w:sz w:val="26"/>
          <w:szCs w:val="26"/>
          <w:rtl/>
        </w:rPr>
      </w:pPr>
      <w:r w:rsidRPr="00482021">
        <w:rPr>
          <w:rFonts w:hint="cs"/>
          <w:sz w:val="26"/>
          <w:szCs w:val="26"/>
          <w:rtl/>
        </w:rPr>
        <w:t xml:space="preserve">الاجتماع </w:t>
      </w:r>
      <w:r w:rsidR="00FC32BA">
        <w:rPr>
          <w:rFonts w:hint="cs"/>
          <w:sz w:val="26"/>
          <w:szCs w:val="26"/>
          <w:rtl/>
          <w:lang w:bidi="ar-EG"/>
        </w:rPr>
        <w:t>ال</w:t>
      </w:r>
      <w:r w:rsidR="00CF1B2E">
        <w:rPr>
          <w:rFonts w:hint="cs"/>
          <w:sz w:val="26"/>
          <w:szCs w:val="26"/>
          <w:rtl/>
          <w:lang w:bidi="ar-EG"/>
        </w:rPr>
        <w:t>ثاني</w:t>
      </w:r>
      <w:r w:rsidR="00FC32BA">
        <w:rPr>
          <w:rFonts w:hint="cs"/>
          <w:sz w:val="26"/>
          <w:szCs w:val="26"/>
          <w:rtl/>
          <w:lang w:bidi="ar-EG"/>
        </w:rPr>
        <w:t xml:space="preserve"> و</w:t>
      </w:r>
      <w:r w:rsidR="00AA285E" w:rsidRPr="00482021">
        <w:rPr>
          <w:rFonts w:hint="cs"/>
          <w:sz w:val="26"/>
          <w:szCs w:val="26"/>
          <w:rtl/>
        </w:rPr>
        <w:t>العشرون</w:t>
      </w:r>
    </w:p>
    <w:p w:rsidR="0008758D" w:rsidRPr="00482021" w:rsidRDefault="000E409E" w:rsidP="007765CA">
      <w:pPr>
        <w:rPr>
          <w:sz w:val="26"/>
          <w:szCs w:val="26"/>
          <w:rtl/>
          <w:lang w:bidi="ar-EG"/>
        </w:rPr>
      </w:pPr>
      <w:r w:rsidRPr="00482021">
        <w:rPr>
          <w:rFonts w:ascii="Arial" w:hAnsi="Arial" w:cs="Arial"/>
          <w:sz w:val="26"/>
          <w:szCs w:val="26"/>
          <w:rtl/>
          <w:lang w:bidi="ar-EG"/>
        </w:rPr>
        <w:t>مونتريال</w:t>
      </w:r>
      <w:r w:rsidRPr="00482021">
        <w:rPr>
          <w:rFonts w:hint="cs"/>
          <w:sz w:val="26"/>
          <w:szCs w:val="26"/>
          <w:rtl/>
          <w:lang w:bidi="ar-EG"/>
        </w:rPr>
        <w:t>،</w:t>
      </w:r>
      <w:r w:rsidR="005A7089" w:rsidRPr="00482021">
        <w:rPr>
          <w:rFonts w:hint="cs"/>
          <w:sz w:val="26"/>
          <w:szCs w:val="26"/>
          <w:rtl/>
          <w:lang w:bidi="ar-EG"/>
        </w:rPr>
        <w:t xml:space="preserve"> كندا،</w:t>
      </w:r>
      <w:r w:rsidRPr="00482021">
        <w:rPr>
          <w:rFonts w:hint="cs"/>
          <w:sz w:val="26"/>
          <w:szCs w:val="26"/>
          <w:rtl/>
          <w:lang w:bidi="ar-EG"/>
        </w:rPr>
        <w:t xml:space="preserve"> </w:t>
      </w:r>
      <w:r w:rsidR="00F6000A">
        <w:rPr>
          <w:sz w:val="26"/>
          <w:szCs w:val="26"/>
          <w:lang w:bidi="ar-EG"/>
        </w:rPr>
        <w:t>2</w:t>
      </w:r>
      <w:r w:rsidR="00FC32BA">
        <w:rPr>
          <w:rFonts w:hint="cs"/>
          <w:sz w:val="26"/>
          <w:szCs w:val="26"/>
          <w:rtl/>
          <w:lang w:bidi="ar-EG"/>
        </w:rPr>
        <w:t>-</w:t>
      </w:r>
      <w:r w:rsidR="00F6000A">
        <w:rPr>
          <w:sz w:val="26"/>
          <w:szCs w:val="26"/>
          <w:lang w:bidi="ar-EG"/>
        </w:rPr>
        <w:t>7</w:t>
      </w:r>
      <w:r w:rsidR="00FC32BA">
        <w:rPr>
          <w:rFonts w:hint="cs"/>
          <w:sz w:val="26"/>
          <w:szCs w:val="26"/>
          <w:rtl/>
          <w:lang w:bidi="ar-EG"/>
        </w:rPr>
        <w:t xml:space="preserve"> </w:t>
      </w:r>
      <w:r w:rsidR="007765CA">
        <w:rPr>
          <w:rFonts w:hint="cs"/>
          <w:sz w:val="26"/>
          <w:szCs w:val="26"/>
          <w:rtl/>
          <w:lang w:bidi="ar-EG"/>
        </w:rPr>
        <w:t>يوليو</w:t>
      </w:r>
      <w:r w:rsidR="00B96CA4">
        <w:rPr>
          <w:rFonts w:hint="cs"/>
          <w:sz w:val="26"/>
          <w:szCs w:val="26"/>
          <w:rtl/>
          <w:lang w:bidi="ar-EG"/>
        </w:rPr>
        <w:t>/تموز</w:t>
      </w:r>
      <w:r w:rsidR="00FC32BA">
        <w:rPr>
          <w:rFonts w:hint="cs"/>
          <w:sz w:val="26"/>
          <w:szCs w:val="26"/>
          <w:rtl/>
          <w:lang w:bidi="ar-EG"/>
        </w:rPr>
        <w:t xml:space="preserve"> </w:t>
      </w:r>
      <w:r w:rsidR="007765CA">
        <w:rPr>
          <w:rFonts w:hint="cs"/>
          <w:sz w:val="26"/>
          <w:szCs w:val="26"/>
          <w:rtl/>
          <w:lang w:bidi="ar-EG"/>
        </w:rPr>
        <w:t>2018</w:t>
      </w:r>
    </w:p>
    <w:p w:rsidR="0097564A" w:rsidRPr="00482021" w:rsidRDefault="0097564A" w:rsidP="00752DF2">
      <w:pPr>
        <w:rPr>
          <w:sz w:val="26"/>
          <w:szCs w:val="26"/>
          <w:rtl/>
          <w:lang w:bidi="ar-EG"/>
        </w:rPr>
      </w:pPr>
      <w:r w:rsidRPr="00482021">
        <w:rPr>
          <w:rFonts w:hint="cs"/>
          <w:sz w:val="26"/>
          <w:szCs w:val="26"/>
          <w:rtl/>
          <w:lang w:bidi="ar-EG"/>
        </w:rPr>
        <w:t xml:space="preserve">البند </w:t>
      </w:r>
      <w:r w:rsidR="007765CA">
        <w:rPr>
          <w:rFonts w:hint="cs"/>
          <w:sz w:val="26"/>
          <w:szCs w:val="26"/>
          <w:rtl/>
          <w:lang w:bidi="ar-EG"/>
        </w:rPr>
        <w:t>4</w:t>
      </w:r>
      <w:r w:rsidRPr="00482021">
        <w:rPr>
          <w:rFonts w:hint="cs"/>
          <w:sz w:val="26"/>
          <w:szCs w:val="26"/>
          <w:rtl/>
          <w:lang w:bidi="ar-EG"/>
        </w:rPr>
        <w:t xml:space="preserve"> من جدول الأعمال المؤ</w:t>
      </w:r>
      <w:r w:rsidR="009F1C99" w:rsidRPr="00482021">
        <w:rPr>
          <w:rFonts w:hint="cs"/>
          <w:sz w:val="26"/>
          <w:szCs w:val="26"/>
          <w:rtl/>
          <w:lang w:bidi="ar-EG"/>
        </w:rPr>
        <w:t>ق</w:t>
      </w:r>
      <w:r w:rsidRPr="00482021">
        <w:rPr>
          <w:rFonts w:hint="cs"/>
          <w:sz w:val="26"/>
          <w:szCs w:val="26"/>
          <w:rtl/>
          <w:lang w:bidi="ar-EG"/>
        </w:rPr>
        <w:t>ت</w:t>
      </w:r>
      <w:r w:rsidR="00752DF2">
        <w:rPr>
          <w:rStyle w:val="FootnoteReference"/>
          <w:sz w:val="26"/>
          <w:rtl/>
        </w:rPr>
        <w:footnoteReference w:customMarkFollows="1" w:id="2"/>
        <w:t>**</w:t>
      </w:r>
    </w:p>
    <w:p w:rsidR="0008758D" w:rsidRDefault="0008758D" w:rsidP="000E409E">
      <w:pPr>
        <w:spacing w:line="120" w:lineRule="auto"/>
        <w:rPr>
          <w:rtl/>
          <w:lang w:bidi="ar-EG"/>
        </w:rPr>
      </w:pPr>
    </w:p>
    <w:p w:rsidR="00227066" w:rsidRDefault="00227066" w:rsidP="000E409E">
      <w:pPr>
        <w:spacing w:line="120" w:lineRule="auto"/>
        <w:rPr>
          <w:lang w:bidi="ar-EG"/>
        </w:rPr>
      </w:pPr>
    </w:p>
    <w:p w:rsidR="0000220F" w:rsidRPr="00482021" w:rsidRDefault="0000220F" w:rsidP="000E409E">
      <w:pPr>
        <w:spacing w:line="120" w:lineRule="auto"/>
        <w:rPr>
          <w:lang w:bidi="ar-EG"/>
        </w:rPr>
      </w:pPr>
    </w:p>
    <w:p w:rsidR="000D4B21" w:rsidRPr="00FC32BA" w:rsidRDefault="007765CA" w:rsidP="00BC14C1">
      <w:pPr>
        <w:keepNext/>
        <w:spacing w:after="120" w:line="192" w:lineRule="auto"/>
        <w:jc w:val="center"/>
        <w:outlineLvl w:val="0"/>
        <w:rPr>
          <w:b/>
          <w:bCs/>
          <w:sz w:val="28"/>
          <w:szCs w:val="28"/>
          <w:rtl/>
          <w:lang w:bidi="ar-EG"/>
        </w:rPr>
      </w:pPr>
      <w:r>
        <w:rPr>
          <w:rFonts w:hint="cs"/>
          <w:b/>
          <w:bCs/>
          <w:sz w:val="28"/>
          <w:szCs w:val="28"/>
          <w:rtl/>
          <w:lang w:bidi="ar-EG"/>
        </w:rPr>
        <w:t>تقييم مخاطر الكائنات الحية المحورة وإدارة هذه المخاطر</w:t>
      </w:r>
    </w:p>
    <w:p w:rsidR="0097564A" w:rsidRDefault="009F3117" w:rsidP="00BC14C1">
      <w:pPr>
        <w:keepNext/>
        <w:spacing w:after="120" w:line="192" w:lineRule="auto"/>
        <w:jc w:val="center"/>
        <w:outlineLvl w:val="1"/>
        <w:rPr>
          <w:i/>
          <w:iCs/>
          <w:sz w:val="24"/>
          <w:rtl/>
          <w:lang w:bidi="ar-EG"/>
        </w:rPr>
      </w:pPr>
      <w:r>
        <w:rPr>
          <w:rFonts w:hint="cs"/>
          <w:i/>
          <w:iCs/>
          <w:sz w:val="24"/>
          <w:rtl/>
          <w:lang w:bidi="ar-EG"/>
        </w:rPr>
        <w:t>مذكرة من الأمينة التنفيذية</w:t>
      </w:r>
    </w:p>
    <w:p w:rsidR="00EC7CB9" w:rsidRPr="00EC7CB9" w:rsidRDefault="00EC7CB9" w:rsidP="003E18B4">
      <w:pPr>
        <w:keepNext/>
        <w:spacing w:after="120" w:line="192" w:lineRule="auto"/>
        <w:jc w:val="center"/>
        <w:rPr>
          <w:b/>
          <w:bCs/>
          <w:sz w:val="28"/>
          <w:szCs w:val="28"/>
          <w:rtl/>
          <w:lang w:bidi="ar-EG"/>
        </w:rPr>
      </w:pPr>
      <w:r w:rsidRPr="00EC7CB9">
        <w:rPr>
          <w:rFonts w:hint="cs"/>
          <w:b/>
          <w:bCs/>
          <w:sz w:val="28"/>
          <w:szCs w:val="28"/>
          <w:rtl/>
          <w:lang w:bidi="ar-EG"/>
        </w:rPr>
        <w:t>مقدمة</w:t>
      </w:r>
    </w:p>
    <w:p w:rsidR="00FA5C19" w:rsidRDefault="00AE18EF" w:rsidP="00BC14C1">
      <w:pPr>
        <w:numPr>
          <w:ilvl w:val="0"/>
          <w:numId w:val="1"/>
        </w:numPr>
        <w:spacing w:after="120" w:line="192" w:lineRule="auto"/>
        <w:jc w:val="both"/>
        <w:rPr>
          <w:sz w:val="22"/>
          <w:lang w:bidi="ar-EG"/>
        </w:rPr>
      </w:pPr>
      <w:r>
        <w:rPr>
          <w:rFonts w:hint="cs"/>
          <w:sz w:val="22"/>
          <w:rtl/>
          <w:lang w:bidi="ar-EG"/>
        </w:rPr>
        <w:t>دعا مؤتمر الأطراف العامل كاجتماع للأطراف في برو</w:t>
      </w:r>
      <w:r w:rsidR="005820F8">
        <w:rPr>
          <w:rFonts w:hint="cs"/>
          <w:sz w:val="22"/>
          <w:rtl/>
          <w:lang w:bidi="ar-EG"/>
        </w:rPr>
        <w:t xml:space="preserve">توكول </w:t>
      </w:r>
      <w:proofErr w:type="spellStart"/>
      <w:r w:rsidR="005820F8">
        <w:rPr>
          <w:rFonts w:hint="cs"/>
          <w:sz w:val="22"/>
          <w:rtl/>
          <w:lang w:bidi="ar-EG"/>
        </w:rPr>
        <w:t>قرطاجنة</w:t>
      </w:r>
      <w:proofErr w:type="spellEnd"/>
      <w:r w:rsidR="005820F8">
        <w:rPr>
          <w:rFonts w:hint="cs"/>
          <w:sz w:val="22"/>
          <w:rtl/>
          <w:lang w:bidi="ar-EG"/>
        </w:rPr>
        <w:t xml:space="preserve"> للسلامة الأحيائية</w:t>
      </w:r>
      <w:r>
        <w:rPr>
          <w:rFonts w:hint="cs"/>
          <w:sz w:val="22"/>
          <w:rtl/>
          <w:lang w:bidi="ar-EG"/>
        </w:rPr>
        <w:t xml:space="preserve">، في الفقرة 6 من المقرر </w:t>
      </w:r>
      <w:hyperlink r:id="rId11" w:history="1">
        <w:r w:rsidRPr="00093DDC">
          <w:rPr>
            <w:rStyle w:val="Hyperlink"/>
            <w:kern w:val="22"/>
          </w:rPr>
          <w:t>CP-VIII/12</w:t>
        </w:r>
      </w:hyperlink>
      <w:r>
        <w:rPr>
          <w:rFonts w:hint="cs"/>
          <w:sz w:val="22"/>
          <w:rtl/>
          <w:lang w:bidi="ar-EG"/>
        </w:rPr>
        <w:t xml:space="preserve">، الأطراف إلى أن تقدم إلى الأمين التنفيذي (أ) معلومات عن احتياجاتها وأولوياتها </w:t>
      </w:r>
      <w:r w:rsidR="00BC14C1">
        <w:rPr>
          <w:rFonts w:hint="cs"/>
          <w:sz w:val="22"/>
          <w:rtl/>
          <w:lang w:bidi="ar-EG"/>
        </w:rPr>
        <w:t>ل</w:t>
      </w:r>
      <w:r>
        <w:rPr>
          <w:rFonts w:hint="cs"/>
          <w:sz w:val="22"/>
          <w:rtl/>
          <w:lang w:bidi="ar-EG"/>
        </w:rPr>
        <w:t>توفير مزيد من الإرشاد في المستقبل بشأن موضوعات محددة عن تقييم مخاطر الكائنات الحية المحورة، (ب) ومقترحات بشأن المعايير، بما في ذلك الأساس المنطقي التقني، التي قد تيسر اختيار الموضوعات لوضع مزيد من الإرشاد، (ج) وآراء بشأن الثغرات الملحوظة في المواد الإرشادية الحالية.</w:t>
      </w:r>
    </w:p>
    <w:p w:rsidR="007C2E8B" w:rsidRPr="00FC32BA" w:rsidRDefault="00AE18EF" w:rsidP="00BC14C1">
      <w:pPr>
        <w:numPr>
          <w:ilvl w:val="0"/>
          <w:numId w:val="1"/>
        </w:numPr>
        <w:spacing w:after="120" w:line="192" w:lineRule="auto"/>
        <w:jc w:val="both"/>
        <w:rPr>
          <w:sz w:val="22"/>
          <w:rtl/>
          <w:lang w:bidi="ar-EG"/>
        </w:rPr>
      </w:pPr>
      <w:r>
        <w:rPr>
          <w:rFonts w:hint="cs"/>
          <w:sz w:val="22"/>
          <w:rtl/>
          <w:lang w:bidi="ar"/>
        </w:rPr>
        <w:t xml:space="preserve">وفي الفقرة 7 من المقرر نفسه، مدد مؤتمر الأطراف المنتدى الإلكتروني بشأن تقييم المخاطر وإدارة المخاطر </w:t>
      </w:r>
      <w:r w:rsidR="00BC14C1">
        <w:rPr>
          <w:rFonts w:hint="cs"/>
          <w:sz w:val="22"/>
          <w:rtl/>
          <w:lang w:bidi="ar"/>
        </w:rPr>
        <w:t>بهدف</w:t>
      </w:r>
      <w:r>
        <w:rPr>
          <w:rFonts w:hint="cs"/>
          <w:sz w:val="22"/>
          <w:rtl/>
          <w:lang w:bidi="ar"/>
        </w:rPr>
        <w:t xml:space="preserve"> تبادل الخبرات بشأن تقييم المخاطر، وتقديم معلومات وآراء بشأن المواد الإرشادية الحالية والثغرات الملحوظة فيها، ومقترحات لسد أي ثغرات يتم تحديدها</w:t>
      </w:r>
      <w:r w:rsidR="007C2E8B" w:rsidRPr="007C2E8B">
        <w:rPr>
          <w:rFonts w:hint="cs"/>
          <w:sz w:val="22"/>
          <w:rtl/>
          <w:lang w:bidi="ar"/>
        </w:rPr>
        <w:t>.</w:t>
      </w:r>
      <w:r>
        <w:rPr>
          <w:rFonts w:hint="cs"/>
          <w:sz w:val="22"/>
          <w:rtl/>
          <w:lang w:bidi="ar"/>
        </w:rPr>
        <w:t xml:space="preserve"> وعلاوة على ذلك، دعا مؤتمر الأطراف مكتبه إلى تعيين </w:t>
      </w:r>
      <w:r w:rsidR="005835D1">
        <w:rPr>
          <w:rFonts w:hint="cs"/>
          <w:sz w:val="22"/>
          <w:rtl/>
          <w:lang w:bidi="ar"/>
        </w:rPr>
        <w:t>مدير</w:t>
      </w:r>
      <w:r>
        <w:rPr>
          <w:rFonts w:hint="cs"/>
          <w:sz w:val="22"/>
          <w:rtl/>
          <w:lang w:bidi="ar"/>
        </w:rPr>
        <w:t xml:space="preserve"> رئيسي </w:t>
      </w:r>
      <w:r w:rsidR="005835D1">
        <w:rPr>
          <w:rFonts w:hint="cs"/>
          <w:sz w:val="22"/>
          <w:rtl/>
          <w:lang w:bidi="ar"/>
        </w:rPr>
        <w:t>لإدارة</w:t>
      </w:r>
      <w:r w:rsidR="006C4ADE">
        <w:rPr>
          <w:rFonts w:hint="cs"/>
          <w:sz w:val="22"/>
          <w:rtl/>
          <w:lang w:bidi="ar"/>
        </w:rPr>
        <w:t xml:space="preserve"> </w:t>
      </w:r>
      <w:r w:rsidR="005835D1">
        <w:rPr>
          <w:rFonts w:hint="cs"/>
          <w:sz w:val="22"/>
          <w:rtl/>
          <w:lang w:bidi="ar"/>
        </w:rPr>
        <w:t>ا</w:t>
      </w:r>
      <w:r w:rsidR="006C4ADE">
        <w:rPr>
          <w:rFonts w:hint="cs"/>
          <w:sz w:val="22"/>
          <w:rtl/>
          <w:lang w:bidi="ar"/>
        </w:rPr>
        <w:t>لمناقشات</w:t>
      </w:r>
      <w:r>
        <w:rPr>
          <w:rFonts w:hint="cs"/>
          <w:sz w:val="22"/>
          <w:rtl/>
          <w:lang w:bidi="ar"/>
        </w:rPr>
        <w:t xml:space="preserve"> على الإنترنت </w:t>
      </w:r>
      <w:r w:rsidR="005835D1">
        <w:rPr>
          <w:rFonts w:hint="cs"/>
          <w:sz w:val="22"/>
          <w:rtl/>
          <w:lang w:bidi="ar"/>
        </w:rPr>
        <w:t>والإبلاغ</w:t>
      </w:r>
      <w:r>
        <w:rPr>
          <w:rFonts w:hint="cs"/>
          <w:sz w:val="22"/>
          <w:rtl/>
          <w:lang w:bidi="ar"/>
        </w:rPr>
        <w:t xml:space="preserve"> عنها.</w:t>
      </w:r>
    </w:p>
    <w:p w:rsidR="00FA5C19" w:rsidRDefault="00613C65" w:rsidP="00EC7CB9">
      <w:pPr>
        <w:numPr>
          <w:ilvl w:val="0"/>
          <w:numId w:val="1"/>
        </w:numPr>
        <w:spacing w:after="120" w:line="192" w:lineRule="auto"/>
        <w:jc w:val="both"/>
        <w:rPr>
          <w:sz w:val="22"/>
          <w:lang w:bidi="ar-EG"/>
        </w:rPr>
      </w:pPr>
      <w:r>
        <w:rPr>
          <w:rFonts w:hint="cs"/>
          <w:sz w:val="22"/>
          <w:rtl/>
          <w:lang w:bidi="ar-EG"/>
        </w:rPr>
        <w:t>وطُلب إلى الهيئة الفرعية للمشورة العلمية والتقنية والتكنولوجية أن تستعرض المعلومات المقدمة وأن تقدم توصية بشأن طريقة للمضي قدما لتلبية الاحتياجات والأولويات وسد الثغرات التي تحددها الأطراف ل</w:t>
      </w:r>
      <w:r w:rsidR="00EC7CB9">
        <w:rPr>
          <w:rFonts w:hint="cs"/>
          <w:sz w:val="22"/>
          <w:rtl/>
          <w:lang w:bidi="ar-EG"/>
        </w:rPr>
        <w:t xml:space="preserve">كي </w:t>
      </w:r>
      <w:r>
        <w:rPr>
          <w:rFonts w:hint="cs"/>
          <w:sz w:val="22"/>
          <w:rtl/>
          <w:lang w:bidi="ar-EG"/>
        </w:rPr>
        <w:t xml:space="preserve">ينظر فيها </w:t>
      </w:r>
      <w:r w:rsidR="005820F8">
        <w:rPr>
          <w:rFonts w:hint="cs"/>
          <w:sz w:val="22"/>
          <w:rtl/>
          <w:lang w:bidi="ar-EG"/>
        </w:rPr>
        <w:t>مؤتمر الأطراف العامل كاجتماع للأطراف في البروتوكول في اجتماعه التاسع</w:t>
      </w:r>
      <w:r>
        <w:rPr>
          <w:rFonts w:hint="cs"/>
          <w:sz w:val="22"/>
          <w:rtl/>
          <w:lang w:bidi="ar-EG"/>
        </w:rPr>
        <w:t xml:space="preserve">، بما في ذلك إمكانية </w:t>
      </w:r>
      <w:r w:rsidR="00EC7CB9">
        <w:rPr>
          <w:rFonts w:hint="cs"/>
          <w:sz w:val="22"/>
          <w:rtl/>
          <w:lang w:bidi="ar-EG"/>
        </w:rPr>
        <w:t>تأسيس</w:t>
      </w:r>
      <w:r>
        <w:rPr>
          <w:rFonts w:hint="cs"/>
          <w:sz w:val="22"/>
          <w:rtl/>
          <w:lang w:bidi="ar-EG"/>
        </w:rPr>
        <w:t xml:space="preserve"> فريق خبراء تقنيين مخصص جديد</w:t>
      </w:r>
      <w:r w:rsidR="00E14C74">
        <w:rPr>
          <w:sz w:val="22"/>
          <w:rtl/>
          <w:lang w:bidi="ar-EG"/>
        </w:rPr>
        <w:t>.</w:t>
      </w:r>
    </w:p>
    <w:p w:rsidR="00613C65" w:rsidRPr="00FC32BA" w:rsidRDefault="00613C65" w:rsidP="00EC7CB9">
      <w:pPr>
        <w:numPr>
          <w:ilvl w:val="0"/>
          <w:numId w:val="1"/>
        </w:numPr>
        <w:spacing w:after="120" w:line="192" w:lineRule="auto"/>
        <w:jc w:val="both"/>
        <w:rPr>
          <w:sz w:val="22"/>
          <w:rtl/>
          <w:lang w:bidi="ar-EG"/>
        </w:rPr>
      </w:pPr>
      <w:r>
        <w:rPr>
          <w:rFonts w:hint="cs"/>
          <w:sz w:val="22"/>
          <w:rtl/>
          <w:lang w:bidi="ar-EG"/>
        </w:rPr>
        <w:t xml:space="preserve">ويوضح القسم أولا </w:t>
      </w:r>
      <w:r w:rsidR="005820F8">
        <w:rPr>
          <w:rFonts w:hint="cs"/>
          <w:sz w:val="22"/>
          <w:rtl/>
          <w:lang w:bidi="ar-EG"/>
        </w:rPr>
        <w:t xml:space="preserve">من هذه الوثيقة </w:t>
      </w:r>
      <w:r>
        <w:rPr>
          <w:rFonts w:hint="cs"/>
          <w:sz w:val="22"/>
          <w:rtl/>
          <w:lang w:bidi="ar-EG"/>
        </w:rPr>
        <w:t xml:space="preserve">الأنشطة </w:t>
      </w:r>
      <w:proofErr w:type="spellStart"/>
      <w:r>
        <w:rPr>
          <w:rFonts w:hint="cs"/>
          <w:sz w:val="22"/>
          <w:rtl/>
          <w:lang w:bidi="ar-EG"/>
        </w:rPr>
        <w:t>المضطلع</w:t>
      </w:r>
      <w:proofErr w:type="spellEnd"/>
      <w:r>
        <w:rPr>
          <w:rFonts w:hint="cs"/>
          <w:sz w:val="22"/>
          <w:rtl/>
          <w:lang w:bidi="ar-EG"/>
        </w:rPr>
        <w:t xml:space="preserve"> بها في ضوء الولايات </w:t>
      </w:r>
      <w:r w:rsidR="005820F8">
        <w:rPr>
          <w:rFonts w:hint="cs"/>
          <w:sz w:val="22"/>
          <w:rtl/>
          <w:lang w:bidi="ar-EG"/>
        </w:rPr>
        <w:t>المذكورة أعلاه</w:t>
      </w:r>
      <w:r>
        <w:rPr>
          <w:rFonts w:hint="cs"/>
          <w:sz w:val="22"/>
          <w:rtl/>
          <w:lang w:bidi="ar-EG"/>
        </w:rPr>
        <w:t xml:space="preserve">. ويقدم القسم ثانيا نظرة عامة للتقديمات التي أعدها الأطراف والمناقشات </w:t>
      </w:r>
      <w:r w:rsidR="00EC7CB9">
        <w:rPr>
          <w:rFonts w:hint="cs"/>
          <w:sz w:val="22"/>
          <w:rtl/>
          <w:lang w:bidi="ar-EG"/>
        </w:rPr>
        <w:t>على الإنترنت</w:t>
      </w:r>
      <w:r>
        <w:rPr>
          <w:rFonts w:hint="cs"/>
          <w:sz w:val="22"/>
          <w:rtl/>
          <w:lang w:bidi="ar-EG"/>
        </w:rPr>
        <w:t xml:space="preserve"> في المنتدى الإلكتروني بش</w:t>
      </w:r>
      <w:r w:rsidR="005820F8">
        <w:rPr>
          <w:rFonts w:hint="cs"/>
          <w:sz w:val="22"/>
          <w:rtl/>
          <w:lang w:bidi="ar-EG"/>
        </w:rPr>
        <w:t>أن تقييم المخاطر وإدارة المخاطر.</w:t>
      </w:r>
      <w:r>
        <w:rPr>
          <w:rFonts w:hint="cs"/>
          <w:sz w:val="22"/>
          <w:rtl/>
          <w:lang w:bidi="ar-EG"/>
        </w:rPr>
        <w:t xml:space="preserve"> ويعرض القسم ثالثا العناصر المحتملة لإعداد توصية.</w:t>
      </w:r>
    </w:p>
    <w:p w:rsidR="00FA5C19" w:rsidRPr="007D70CA" w:rsidRDefault="007D70CA" w:rsidP="003E18B4">
      <w:pPr>
        <w:keepNext/>
        <w:spacing w:after="120" w:line="192" w:lineRule="auto"/>
        <w:jc w:val="center"/>
        <w:rPr>
          <w:b/>
          <w:bCs/>
          <w:sz w:val="28"/>
          <w:szCs w:val="28"/>
          <w:lang w:val="en-GB" w:bidi="ar-EG"/>
        </w:rPr>
      </w:pPr>
      <w:r>
        <w:rPr>
          <w:rFonts w:hint="cs"/>
          <w:b/>
          <w:bCs/>
          <w:sz w:val="28"/>
          <w:szCs w:val="28"/>
          <w:rtl/>
          <w:lang w:bidi="ar-EG"/>
        </w:rPr>
        <w:t>أولا</w:t>
      </w:r>
      <w:r w:rsidR="00FA5C19" w:rsidRPr="00482021">
        <w:rPr>
          <w:rFonts w:hint="cs"/>
          <w:b/>
          <w:bCs/>
          <w:sz w:val="28"/>
          <w:szCs w:val="28"/>
          <w:rtl/>
          <w:lang w:bidi="ar-EG"/>
        </w:rPr>
        <w:t>-</w:t>
      </w:r>
      <w:r w:rsidR="00FA5C19" w:rsidRPr="00482021">
        <w:rPr>
          <w:rFonts w:hint="cs"/>
          <w:b/>
          <w:bCs/>
          <w:sz w:val="28"/>
          <w:szCs w:val="28"/>
          <w:rtl/>
          <w:lang w:bidi="ar-EG"/>
        </w:rPr>
        <w:tab/>
      </w:r>
      <w:r>
        <w:rPr>
          <w:rFonts w:hint="cs"/>
          <w:b/>
          <w:bCs/>
          <w:sz w:val="28"/>
          <w:szCs w:val="28"/>
          <w:rtl/>
          <w:lang w:bidi="ar-EG"/>
        </w:rPr>
        <w:t>نظرة عامة للأنشطة</w:t>
      </w:r>
    </w:p>
    <w:p w:rsidR="00FA5C19" w:rsidRDefault="003E18B4" w:rsidP="00657B18">
      <w:pPr>
        <w:numPr>
          <w:ilvl w:val="0"/>
          <w:numId w:val="1"/>
        </w:numPr>
        <w:spacing w:after="120" w:line="192" w:lineRule="auto"/>
        <w:jc w:val="both"/>
        <w:rPr>
          <w:sz w:val="22"/>
        </w:rPr>
      </w:pPr>
      <w:r>
        <w:rPr>
          <w:rFonts w:hint="cs"/>
          <w:sz w:val="22"/>
          <w:rtl/>
        </w:rPr>
        <w:t xml:space="preserve">بناء على الطلب الوارد في الفقرة 6 من المقرر </w:t>
      </w:r>
      <w:r w:rsidRPr="00093DDC">
        <w:rPr>
          <w:kern w:val="22"/>
        </w:rPr>
        <w:t>CP-VIII/12</w:t>
      </w:r>
      <w:r w:rsidR="005820F8">
        <w:rPr>
          <w:rFonts w:hint="cs"/>
          <w:sz w:val="22"/>
          <w:rtl/>
        </w:rPr>
        <w:t>، أصدرت الأمينة التنفيذية إخطارا إلى الأطراف</w:t>
      </w:r>
      <w:r w:rsidR="00BC14C1">
        <w:rPr>
          <w:rFonts w:hint="cs"/>
          <w:sz w:val="22"/>
          <w:rtl/>
        </w:rPr>
        <w:t xml:space="preserve"> في 12 أبريل/نيسان 2017</w:t>
      </w:r>
      <w:r w:rsidR="005820F8">
        <w:rPr>
          <w:rFonts w:hint="cs"/>
          <w:sz w:val="22"/>
          <w:rtl/>
        </w:rPr>
        <w:t>.</w:t>
      </w:r>
      <w:r>
        <w:rPr>
          <w:rStyle w:val="FootnoteReference"/>
          <w:sz w:val="22"/>
          <w:rtl/>
        </w:rPr>
        <w:footnoteReference w:id="3"/>
      </w:r>
    </w:p>
    <w:p w:rsidR="003E18B4" w:rsidRDefault="005820F8" w:rsidP="00BC14C1">
      <w:pPr>
        <w:numPr>
          <w:ilvl w:val="0"/>
          <w:numId w:val="1"/>
        </w:numPr>
        <w:spacing w:after="120" w:line="192" w:lineRule="auto"/>
        <w:jc w:val="both"/>
        <w:rPr>
          <w:sz w:val="22"/>
        </w:rPr>
      </w:pPr>
      <w:r>
        <w:rPr>
          <w:rFonts w:hint="cs"/>
          <w:sz w:val="22"/>
          <w:rtl/>
        </w:rPr>
        <w:lastRenderedPageBreak/>
        <w:t xml:space="preserve">واستجابة لهذا الإخطار، </w:t>
      </w:r>
      <w:r w:rsidR="003E18B4">
        <w:rPr>
          <w:rFonts w:hint="cs"/>
          <w:sz w:val="22"/>
          <w:rtl/>
        </w:rPr>
        <w:t>تم تلقي</w:t>
      </w:r>
      <w:r>
        <w:rPr>
          <w:rFonts w:hint="cs"/>
          <w:sz w:val="22"/>
          <w:rtl/>
        </w:rPr>
        <w:t xml:space="preserve"> ما مجموعه</w:t>
      </w:r>
      <w:r w:rsidR="003E18B4">
        <w:rPr>
          <w:rFonts w:hint="cs"/>
          <w:sz w:val="22"/>
          <w:rtl/>
        </w:rPr>
        <w:t xml:space="preserve"> </w:t>
      </w:r>
      <w:r>
        <w:rPr>
          <w:rFonts w:hint="cs"/>
          <w:sz w:val="22"/>
          <w:rtl/>
        </w:rPr>
        <w:t>19</w:t>
      </w:r>
      <w:r w:rsidR="003E18B4">
        <w:rPr>
          <w:rFonts w:hint="cs"/>
          <w:sz w:val="22"/>
          <w:rtl/>
        </w:rPr>
        <w:t xml:space="preserve"> تقديما من الأطراف (النمسا، وبيلاروس، وبوليفيا، والبرازيل، وبلغاريا، وكوستاريكا، والاتحاد الأوروبي، وفنلندا، وفرنسا، وهندوراس، وإيطاليا، واليابان، وماليزيا، المكسيك، ونيوزيلندا، ونيجيريا، والنرويج، وجمهورية مولدوفا وجنوب أفريقيا). وبالإضافة إلى ذلك، قدمت ثلاثة بلدان من غير الأطراف في بروتوكول </w:t>
      </w:r>
      <w:proofErr w:type="spellStart"/>
      <w:r w:rsidR="003E18B4">
        <w:rPr>
          <w:rFonts w:hint="cs"/>
          <w:sz w:val="22"/>
          <w:rtl/>
        </w:rPr>
        <w:t>قرطاجنة</w:t>
      </w:r>
      <w:proofErr w:type="spellEnd"/>
      <w:r w:rsidR="003E18B4">
        <w:rPr>
          <w:rFonts w:hint="cs"/>
          <w:sz w:val="22"/>
          <w:rtl/>
        </w:rPr>
        <w:t xml:space="preserve"> (أستراليا، وكندا والولايات المتحدة الأمريكية) آراءها. ويرد </w:t>
      </w:r>
      <w:r w:rsidR="00BC14C1">
        <w:rPr>
          <w:rFonts w:hint="cs"/>
          <w:sz w:val="22"/>
          <w:rtl/>
        </w:rPr>
        <w:t>تجميع</w:t>
      </w:r>
      <w:r w:rsidR="003E18B4">
        <w:rPr>
          <w:rFonts w:hint="cs"/>
          <w:sz w:val="22"/>
          <w:rtl/>
        </w:rPr>
        <w:t xml:space="preserve"> مفصل لتقديمات الأطراف في الوثيقة الإعلامية </w:t>
      </w:r>
      <w:r w:rsidR="003E18B4" w:rsidRPr="000828C3">
        <w:rPr>
          <w:kern w:val="22"/>
        </w:rPr>
        <w:t>CBD/SBSTTA/22/INF/11</w:t>
      </w:r>
      <w:r w:rsidR="003E18B4">
        <w:rPr>
          <w:rFonts w:hint="cs"/>
          <w:sz w:val="22"/>
          <w:rtl/>
        </w:rPr>
        <w:t>.</w:t>
      </w:r>
      <w:r w:rsidR="00576B76">
        <w:rPr>
          <w:rFonts w:hint="cs"/>
          <w:sz w:val="22"/>
          <w:rtl/>
        </w:rPr>
        <w:t xml:space="preserve"> وتُتاح جميع التقديمات على الإنترنت على الرابط: </w:t>
      </w:r>
      <w:hyperlink r:id="rId12" w:history="1">
        <w:r w:rsidR="00576B76" w:rsidRPr="00174832">
          <w:rPr>
            <w:rStyle w:val="Hyperlink"/>
            <w:kern w:val="22"/>
          </w:rPr>
          <w:t>http://bch.cbd.int/protocol/cpb_art15_submissions</w:t>
        </w:r>
      </w:hyperlink>
      <w:r w:rsidR="00576B76">
        <w:rPr>
          <w:rFonts w:hint="cs"/>
          <w:sz w:val="22"/>
          <w:rtl/>
        </w:rPr>
        <w:t>.</w:t>
      </w:r>
    </w:p>
    <w:p w:rsidR="00576B76" w:rsidRPr="00576B76" w:rsidRDefault="00BC14C1" w:rsidP="00BC14C1">
      <w:pPr>
        <w:numPr>
          <w:ilvl w:val="0"/>
          <w:numId w:val="1"/>
        </w:numPr>
        <w:spacing w:after="120" w:line="192" w:lineRule="auto"/>
        <w:jc w:val="both"/>
        <w:rPr>
          <w:sz w:val="22"/>
        </w:rPr>
      </w:pPr>
      <w:r>
        <w:rPr>
          <w:rFonts w:hint="cs"/>
          <w:sz w:val="22"/>
          <w:rtl/>
        </w:rPr>
        <w:t xml:space="preserve">وعُقدت </w:t>
      </w:r>
      <w:r w:rsidR="00576B76">
        <w:rPr>
          <w:rFonts w:hint="cs"/>
          <w:sz w:val="22"/>
          <w:rtl/>
        </w:rPr>
        <w:t xml:space="preserve">مناقشات في إطار المنتدى الإلكتروني المفتوح بشأن تقييم المخاطر وإدارة المخاطر من خلال غرفة تبادل معلومات السلامة الأحيائية في الفترة من </w:t>
      </w:r>
      <w:r w:rsidR="00576B76">
        <w:rPr>
          <w:rFonts w:hint="cs"/>
          <w:sz w:val="22"/>
          <w:rtl/>
          <w:lang w:val="en-GB" w:bidi="ar-EG"/>
        </w:rPr>
        <w:t xml:space="preserve">29 يناير/كانون الثاني إلى 12 فبراير/شباط 2018، </w:t>
      </w:r>
      <w:r>
        <w:rPr>
          <w:rFonts w:hint="cs"/>
          <w:sz w:val="22"/>
          <w:rtl/>
          <w:lang w:val="en-GB" w:bidi="ar-EG"/>
        </w:rPr>
        <w:t>وتولى</w:t>
      </w:r>
      <w:r w:rsidR="00576B76">
        <w:rPr>
          <w:rFonts w:hint="cs"/>
          <w:sz w:val="22"/>
          <w:rtl/>
          <w:lang w:val="en-GB" w:bidi="ar-EG"/>
        </w:rPr>
        <w:t xml:space="preserve"> السيد </w:t>
      </w:r>
      <w:r w:rsidR="00576B76" w:rsidRPr="00093DDC">
        <w:rPr>
          <w:kern w:val="22"/>
        </w:rPr>
        <w:t xml:space="preserve">Timothy </w:t>
      </w:r>
      <w:proofErr w:type="spellStart"/>
      <w:r w:rsidR="00576B76" w:rsidRPr="00093DDC">
        <w:rPr>
          <w:kern w:val="22"/>
        </w:rPr>
        <w:t>Strabala</w:t>
      </w:r>
      <w:proofErr w:type="spellEnd"/>
      <w:r w:rsidR="00576B76">
        <w:rPr>
          <w:rFonts w:hint="cs"/>
          <w:sz w:val="22"/>
          <w:rtl/>
          <w:lang w:val="en-GB" w:bidi="ar-EG"/>
        </w:rPr>
        <w:t xml:space="preserve"> من نيوزيلندا</w:t>
      </w:r>
      <w:r>
        <w:rPr>
          <w:rFonts w:hint="cs"/>
          <w:sz w:val="22"/>
          <w:rtl/>
          <w:lang w:val="en-GB" w:bidi="ar-EG"/>
        </w:rPr>
        <w:t xml:space="preserve"> إدارة هذه المناقشات</w:t>
      </w:r>
      <w:r w:rsidR="00576B76">
        <w:rPr>
          <w:rFonts w:hint="cs"/>
          <w:sz w:val="22"/>
          <w:rtl/>
          <w:lang w:val="en-GB" w:bidi="ar-EG"/>
        </w:rPr>
        <w:t>.</w:t>
      </w:r>
      <w:r w:rsidR="00576B76">
        <w:rPr>
          <w:rStyle w:val="FootnoteReference"/>
          <w:sz w:val="22"/>
          <w:rtl/>
          <w:lang w:val="en-GB"/>
        </w:rPr>
        <w:footnoteReference w:id="4"/>
      </w:r>
      <w:r w:rsidR="00576B76">
        <w:rPr>
          <w:rFonts w:hint="cs"/>
          <w:sz w:val="22"/>
          <w:rtl/>
          <w:lang w:val="en-GB" w:bidi="ar-EG"/>
        </w:rPr>
        <w:t xml:space="preserve"> وقد استُمدت </w:t>
      </w:r>
      <w:r w:rsidR="005820F8">
        <w:rPr>
          <w:rFonts w:hint="cs"/>
          <w:sz w:val="22"/>
          <w:rtl/>
          <w:lang w:val="en-GB" w:bidi="ar-EG"/>
        </w:rPr>
        <w:t>ال</w:t>
      </w:r>
      <w:r w:rsidR="00576B76">
        <w:rPr>
          <w:rFonts w:hint="cs"/>
          <w:sz w:val="22"/>
          <w:rtl/>
          <w:lang w:val="en-GB" w:bidi="ar-EG"/>
        </w:rPr>
        <w:t xml:space="preserve">موضوعات </w:t>
      </w:r>
      <w:r>
        <w:rPr>
          <w:rFonts w:hint="cs"/>
          <w:sz w:val="22"/>
          <w:rtl/>
          <w:lang w:val="en-GB" w:bidi="ar-EG"/>
        </w:rPr>
        <w:t>المقرر مناقشتها</w:t>
      </w:r>
      <w:r w:rsidR="00576B76">
        <w:rPr>
          <w:rFonts w:hint="cs"/>
          <w:sz w:val="22"/>
          <w:rtl/>
          <w:lang w:val="en-GB" w:bidi="ar-EG"/>
        </w:rPr>
        <w:t xml:space="preserve"> من المقرر، على النحو التالي:</w:t>
      </w:r>
    </w:p>
    <w:p w:rsidR="00576B76" w:rsidRDefault="00576B76" w:rsidP="00576B76">
      <w:pPr>
        <w:spacing w:after="120" w:line="192" w:lineRule="auto"/>
        <w:ind w:firstLine="720"/>
        <w:jc w:val="both"/>
        <w:rPr>
          <w:sz w:val="22"/>
          <w:rtl/>
          <w:lang w:val="en-GB" w:bidi="ar-EG"/>
        </w:rPr>
      </w:pPr>
      <w:r>
        <w:rPr>
          <w:rFonts w:hint="cs"/>
          <w:sz w:val="22"/>
          <w:rtl/>
          <w:lang w:val="en-GB" w:bidi="ar-EG"/>
        </w:rPr>
        <w:t>(أ)</w:t>
      </w:r>
      <w:r>
        <w:rPr>
          <w:rFonts w:hint="cs"/>
          <w:sz w:val="22"/>
          <w:rtl/>
          <w:lang w:val="en-GB" w:bidi="ar-EG"/>
        </w:rPr>
        <w:tab/>
        <w:t>تقاسم الخبرات بشأن تقييم مخاطر الكائنات الحية المحورة؛</w:t>
      </w:r>
    </w:p>
    <w:p w:rsidR="00576B76" w:rsidRDefault="00576B76" w:rsidP="00576B76">
      <w:pPr>
        <w:spacing w:after="120" w:line="192" w:lineRule="auto"/>
        <w:ind w:firstLine="720"/>
        <w:jc w:val="both"/>
        <w:rPr>
          <w:sz w:val="22"/>
          <w:rtl/>
          <w:lang w:val="en-GB" w:bidi="ar-EG"/>
        </w:rPr>
      </w:pPr>
      <w:r>
        <w:rPr>
          <w:rFonts w:hint="cs"/>
          <w:sz w:val="22"/>
          <w:rtl/>
          <w:lang w:val="en-GB" w:bidi="ar-EG"/>
        </w:rPr>
        <w:t>(ب)</w:t>
      </w:r>
      <w:r>
        <w:rPr>
          <w:rFonts w:hint="cs"/>
          <w:sz w:val="22"/>
          <w:rtl/>
          <w:lang w:val="en-GB" w:bidi="ar-EG"/>
        </w:rPr>
        <w:tab/>
        <w:t>معلومات وآراء عن المواد الإرشادية الحالية بشأن تقييم المخاطر؛</w:t>
      </w:r>
    </w:p>
    <w:p w:rsidR="00576B76" w:rsidRPr="00576B76" w:rsidRDefault="00576B76" w:rsidP="00576B76">
      <w:pPr>
        <w:spacing w:after="120" w:line="192" w:lineRule="auto"/>
        <w:ind w:firstLine="720"/>
        <w:jc w:val="both"/>
        <w:rPr>
          <w:sz w:val="22"/>
        </w:rPr>
      </w:pPr>
      <w:r>
        <w:rPr>
          <w:rFonts w:hint="cs"/>
          <w:sz w:val="22"/>
          <w:rtl/>
          <w:lang w:val="en-GB" w:bidi="ar-EG"/>
        </w:rPr>
        <w:t>(ج)</w:t>
      </w:r>
      <w:r>
        <w:rPr>
          <w:rFonts w:hint="cs"/>
          <w:sz w:val="22"/>
          <w:rtl/>
          <w:lang w:val="en-GB" w:bidi="ar-EG"/>
        </w:rPr>
        <w:tab/>
        <w:t>الثغرات الملحوظة في المواد الإرشادية الحالية بشأن تقييم المخاطر، ومقترحات لسد أي ثغرات محددة.</w:t>
      </w:r>
    </w:p>
    <w:p w:rsidR="00576B76" w:rsidRDefault="00576B76" w:rsidP="001A68D9">
      <w:pPr>
        <w:numPr>
          <w:ilvl w:val="0"/>
          <w:numId w:val="1"/>
        </w:numPr>
        <w:spacing w:after="120" w:line="192" w:lineRule="auto"/>
        <w:jc w:val="both"/>
        <w:rPr>
          <w:sz w:val="22"/>
        </w:rPr>
      </w:pPr>
      <w:r>
        <w:rPr>
          <w:rFonts w:hint="cs"/>
          <w:sz w:val="22"/>
          <w:rtl/>
        </w:rPr>
        <w:t xml:space="preserve">وتم عمل ما مجموعه 110 تدخلات، أثناء المناقشات </w:t>
      </w:r>
      <w:r w:rsidR="001A68D9">
        <w:rPr>
          <w:rFonts w:hint="cs"/>
          <w:sz w:val="22"/>
          <w:rtl/>
        </w:rPr>
        <w:t>على الإنترنت</w:t>
      </w:r>
      <w:r>
        <w:rPr>
          <w:rFonts w:hint="cs"/>
          <w:sz w:val="22"/>
          <w:rtl/>
        </w:rPr>
        <w:t xml:space="preserve"> بشأن ثلاثة موضوعات،</w:t>
      </w:r>
      <w:r w:rsidR="00202FBD">
        <w:rPr>
          <w:rFonts w:hint="cs"/>
          <w:sz w:val="22"/>
          <w:rtl/>
        </w:rPr>
        <w:t xml:space="preserve"> من جانب 48 مشاركا من مختلف المشاركين، م</w:t>
      </w:r>
      <w:r w:rsidR="001A68D9">
        <w:rPr>
          <w:rFonts w:hint="cs"/>
          <w:sz w:val="22"/>
          <w:rtl/>
        </w:rPr>
        <w:t xml:space="preserve">نهم </w:t>
      </w:r>
      <w:r w:rsidR="00202FBD">
        <w:rPr>
          <w:rFonts w:hint="cs"/>
          <w:sz w:val="22"/>
          <w:rtl/>
        </w:rPr>
        <w:t>31 مشاركا رشحتهم الأطراف، ومشاركان رشحتهم الحكومات الأخرى، و15 مشاركا رشحتهم المنظمات.</w:t>
      </w:r>
    </w:p>
    <w:p w:rsidR="00812900" w:rsidRPr="00FC32BA" w:rsidRDefault="00812900" w:rsidP="001A68D9">
      <w:pPr>
        <w:numPr>
          <w:ilvl w:val="0"/>
          <w:numId w:val="1"/>
        </w:numPr>
        <w:spacing w:after="120" w:line="192" w:lineRule="auto"/>
        <w:jc w:val="both"/>
        <w:rPr>
          <w:sz w:val="22"/>
          <w:rtl/>
        </w:rPr>
      </w:pPr>
      <w:r>
        <w:rPr>
          <w:rFonts w:hint="cs"/>
          <w:sz w:val="22"/>
          <w:rtl/>
        </w:rPr>
        <w:t>وأعد ال</w:t>
      </w:r>
      <w:r w:rsidR="005835D1">
        <w:rPr>
          <w:rFonts w:hint="cs"/>
          <w:sz w:val="22"/>
          <w:rtl/>
        </w:rPr>
        <w:t>مدير</w:t>
      </w:r>
      <w:r w:rsidR="005820F8">
        <w:rPr>
          <w:rFonts w:hint="cs"/>
          <w:sz w:val="22"/>
          <w:rtl/>
        </w:rPr>
        <w:t xml:space="preserve"> الرئيسي مشروع تقرير عن </w:t>
      </w:r>
      <w:r>
        <w:rPr>
          <w:rFonts w:hint="cs"/>
          <w:sz w:val="22"/>
          <w:rtl/>
        </w:rPr>
        <w:t>مناقشات المنتدى الإلكتروني، بمساعدة من الأمانة، وقُدم</w:t>
      </w:r>
      <w:r w:rsidR="001A68D9">
        <w:rPr>
          <w:rFonts w:hint="cs"/>
          <w:sz w:val="22"/>
          <w:rtl/>
        </w:rPr>
        <w:t xml:space="preserve"> هذا التقرير</w:t>
      </w:r>
      <w:r>
        <w:rPr>
          <w:rFonts w:hint="cs"/>
          <w:sz w:val="22"/>
          <w:rtl/>
        </w:rPr>
        <w:t xml:space="preserve"> لاستعراض النظراء من </w:t>
      </w:r>
      <w:r w:rsidR="001A68D9">
        <w:rPr>
          <w:rFonts w:hint="cs"/>
          <w:sz w:val="22"/>
          <w:rtl/>
        </w:rPr>
        <w:t>خلال</w:t>
      </w:r>
      <w:r>
        <w:rPr>
          <w:rFonts w:hint="cs"/>
          <w:sz w:val="22"/>
          <w:rtl/>
        </w:rPr>
        <w:t xml:space="preserve"> المنتدى الإلكتروني في الفترة من </w:t>
      </w:r>
      <w:r>
        <w:rPr>
          <w:rFonts w:hint="cs"/>
          <w:sz w:val="22"/>
          <w:rtl/>
          <w:lang w:val="en-GB" w:bidi="ar-EG"/>
        </w:rPr>
        <w:t xml:space="preserve">26 فبراير/شباط إلى 12 مارس/آذار 2018. وتُتاح جميع التعليقات </w:t>
      </w:r>
      <w:proofErr w:type="spellStart"/>
      <w:r>
        <w:rPr>
          <w:rFonts w:hint="cs"/>
          <w:sz w:val="22"/>
          <w:rtl/>
          <w:lang w:val="en-GB" w:bidi="ar-EG"/>
        </w:rPr>
        <w:t>المتلقاة</w:t>
      </w:r>
      <w:proofErr w:type="spellEnd"/>
      <w:r>
        <w:rPr>
          <w:rFonts w:hint="cs"/>
          <w:sz w:val="22"/>
          <w:rtl/>
          <w:lang w:val="en-GB" w:bidi="ar-EG"/>
        </w:rPr>
        <w:t xml:space="preserve"> من عملية استعراض النظراء في غرفة تبادل معلومات السلامة الأحيائية.</w:t>
      </w:r>
      <w:r>
        <w:rPr>
          <w:rStyle w:val="FootnoteReference"/>
          <w:sz w:val="22"/>
          <w:rtl/>
          <w:lang w:val="en-GB"/>
        </w:rPr>
        <w:footnoteReference w:id="5"/>
      </w:r>
      <w:r>
        <w:rPr>
          <w:rFonts w:hint="cs"/>
          <w:sz w:val="22"/>
          <w:rtl/>
          <w:lang w:val="en-GB" w:bidi="ar-EG"/>
        </w:rPr>
        <w:t xml:space="preserve"> ويرد التقرير النهائي الناتج عن المنتدى الإلكتروني، كما أعده ال</w:t>
      </w:r>
      <w:r w:rsidR="005835D1">
        <w:rPr>
          <w:rFonts w:hint="cs"/>
          <w:sz w:val="22"/>
          <w:rtl/>
          <w:lang w:val="en-GB" w:bidi="ar-EG"/>
        </w:rPr>
        <w:t>مدير</w:t>
      </w:r>
      <w:r>
        <w:rPr>
          <w:rFonts w:hint="cs"/>
          <w:sz w:val="22"/>
          <w:rtl/>
          <w:lang w:val="en-GB" w:bidi="ar-EG"/>
        </w:rPr>
        <w:t xml:space="preserve"> الرئيسي، في الوثيقة الإعلامية </w:t>
      </w:r>
      <w:r w:rsidRPr="00174832">
        <w:rPr>
          <w:kern w:val="22"/>
        </w:rPr>
        <w:t>CBD/SBSTTA/22/INF/12</w:t>
      </w:r>
      <w:r>
        <w:rPr>
          <w:rFonts w:hint="cs"/>
          <w:sz w:val="22"/>
          <w:rtl/>
          <w:lang w:val="en-GB" w:bidi="ar-EG"/>
        </w:rPr>
        <w:t>.</w:t>
      </w:r>
    </w:p>
    <w:p w:rsidR="00FA5C19" w:rsidRPr="00482021" w:rsidRDefault="007D70CA" w:rsidP="00294B37">
      <w:pPr>
        <w:keepNext/>
        <w:spacing w:after="120" w:line="192" w:lineRule="auto"/>
        <w:jc w:val="center"/>
        <w:rPr>
          <w:b/>
          <w:bCs/>
          <w:sz w:val="28"/>
          <w:szCs w:val="28"/>
          <w:rtl/>
          <w:lang w:bidi="ar-EG"/>
        </w:rPr>
      </w:pPr>
      <w:r w:rsidRPr="006C38C6">
        <w:rPr>
          <w:rFonts w:hint="cs"/>
          <w:b/>
          <w:bCs/>
          <w:sz w:val="28"/>
          <w:szCs w:val="28"/>
          <w:rtl/>
          <w:lang w:bidi="ar-EG"/>
        </w:rPr>
        <w:t>ثانيا</w:t>
      </w:r>
      <w:r w:rsidR="00FA5C19" w:rsidRPr="006C38C6">
        <w:rPr>
          <w:rFonts w:hint="cs"/>
          <w:b/>
          <w:bCs/>
          <w:sz w:val="28"/>
          <w:szCs w:val="28"/>
          <w:rtl/>
          <w:lang w:bidi="ar-EG"/>
        </w:rPr>
        <w:t>-</w:t>
      </w:r>
      <w:r w:rsidR="00FA5C19" w:rsidRPr="006C38C6">
        <w:rPr>
          <w:rFonts w:hint="cs"/>
          <w:b/>
          <w:bCs/>
          <w:sz w:val="28"/>
          <w:szCs w:val="28"/>
          <w:rtl/>
          <w:lang w:bidi="ar-EG"/>
        </w:rPr>
        <w:tab/>
      </w:r>
      <w:r w:rsidR="006C38C6" w:rsidRPr="006C38C6">
        <w:rPr>
          <w:rFonts w:hint="cs"/>
          <w:b/>
          <w:bCs/>
          <w:sz w:val="28"/>
          <w:szCs w:val="28"/>
          <w:rtl/>
          <w:lang w:bidi="ar-EG"/>
        </w:rPr>
        <w:t>نظرة عامة للتقديمات والمناقشات في إطار المنتدى الإلكتروني</w:t>
      </w:r>
    </w:p>
    <w:p w:rsidR="008A42A3" w:rsidRPr="00FC32BA" w:rsidRDefault="006C38C6" w:rsidP="00FF4084">
      <w:pPr>
        <w:numPr>
          <w:ilvl w:val="0"/>
          <w:numId w:val="1"/>
        </w:numPr>
        <w:spacing w:after="120" w:line="192" w:lineRule="auto"/>
        <w:jc w:val="both"/>
        <w:rPr>
          <w:sz w:val="22"/>
          <w:rtl/>
          <w:lang w:bidi="ar-EG"/>
        </w:rPr>
      </w:pPr>
      <w:r>
        <w:rPr>
          <w:rFonts w:hint="cs"/>
          <w:sz w:val="22"/>
          <w:rtl/>
          <w:lang w:bidi="ar-EG"/>
        </w:rPr>
        <w:t>تم الاعتراف على نطاق واسع بأهمية تقاسم المعارف والخبرات في مجال تقييم المخاطر فيما بين البلدان</w:t>
      </w:r>
      <w:r w:rsidR="008A42A3" w:rsidRPr="00FC32BA">
        <w:rPr>
          <w:sz w:val="22"/>
          <w:rtl/>
          <w:lang w:bidi="ar-EG"/>
        </w:rPr>
        <w:t>.</w:t>
      </w:r>
      <w:r w:rsidR="00FF4084" w:rsidRPr="00FF4084">
        <w:rPr>
          <w:rFonts w:ascii="Arial" w:hAnsi="Arial" w:cs="Arial" w:hint="cs"/>
          <w:color w:val="222222"/>
          <w:rtl/>
          <w:lang w:bidi="ar"/>
        </w:rPr>
        <w:t xml:space="preserve"> </w:t>
      </w:r>
    </w:p>
    <w:p w:rsidR="0043620C" w:rsidRDefault="006C38C6" w:rsidP="0058732B">
      <w:pPr>
        <w:numPr>
          <w:ilvl w:val="0"/>
          <w:numId w:val="1"/>
        </w:numPr>
        <w:spacing w:after="120" w:line="192" w:lineRule="auto"/>
        <w:jc w:val="both"/>
        <w:rPr>
          <w:sz w:val="22"/>
          <w:lang w:bidi="ar-EG"/>
        </w:rPr>
      </w:pPr>
      <w:r>
        <w:rPr>
          <w:rFonts w:hint="cs"/>
          <w:sz w:val="22"/>
          <w:rtl/>
          <w:lang w:bidi="ar"/>
        </w:rPr>
        <w:t>وهناك اتفاق عام، بين كل من الأطراف من خلال تقديماتها والخبراء الفرادى من خلال المنتدى الإلكتروني، على أن المواد الإرشادية الحالية بشأن تقييم المخاطر مفيدة وتشكل أساسا جيدا لتقييم الكائنات الحية المحورة. وتقاسم المشاركون في المنتدى الإلكتروني الآراء بشأن نقاط القوة ومواطن الضعف الملحوظة في مختلف الوثائق الإرشادية المتاحة. وتضمنت التدخلات مصادر عديدة للمعلومات الخاصة بتقييم المخاطر، بما في ذلك غرفة تبادل معلومات السلامة الأحيائية والإرشادات التي أعدتها الحكومات المختلفة.</w:t>
      </w:r>
    </w:p>
    <w:p w:rsidR="006C38C6" w:rsidRDefault="006C38C6" w:rsidP="0058732B">
      <w:pPr>
        <w:numPr>
          <w:ilvl w:val="0"/>
          <w:numId w:val="1"/>
        </w:numPr>
        <w:spacing w:after="120" w:line="192" w:lineRule="auto"/>
        <w:jc w:val="both"/>
        <w:rPr>
          <w:sz w:val="22"/>
          <w:lang w:bidi="ar-EG"/>
        </w:rPr>
      </w:pPr>
      <w:r>
        <w:rPr>
          <w:rFonts w:hint="cs"/>
          <w:sz w:val="22"/>
          <w:rtl/>
          <w:lang w:bidi="ar-EG"/>
        </w:rPr>
        <w:t>ومع ذلك، حددت الأطراف عددا من الثغرات في الإرشادات الحالية بشأن تقييم مخاطر الكائنات الحية المحورة، بما في ذلك الافتقار إلى المعلومات بشأن كيفية القيام بما يلي:</w:t>
      </w:r>
    </w:p>
    <w:p w:rsidR="006C38C6" w:rsidRDefault="006C38C6" w:rsidP="001A68D9">
      <w:pPr>
        <w:spacing w:after="120" w:line="192" w:lineRule="auto"/>
        <w:ind w:firstLine="720"/>
        <w:jc w:val="both"/>
        <w:rPr>
          <w:sz w:val="22"/>
          <w:rtl/>
          <w:lang w:bidi="ar-EG"/>
        </w:rPr>
      </w:pPr>
      <w:r>
        <w:rPr>
          <w:rFonts w:hint="cs"/>
          <w:sz w:val="22"/>
          <w:rtl/>
          <w:lang w:bidi="ar-EG"/>
        </w:rPr>
        <w:t>(أ)</w:t>
      </w:r>
      <w:r>
        <w:rPr>
          <w:rFonts w:hint="cs"/>
          <w:sz w:val="22"/>
          <w:rtl/>
          <w:lang w:bidi="ar-EG"/>
        </w:rPr>
        <w:tab/>
      </w:r>
      <w:r w:rsidRPr="00F301C0">
        <w:rPr>
          <w:rFonts w:hint="cs"/>
          <w:sz w:val="22"/>
          <w:rtl/>
          <w:lang w:val="en-GB" w:bidi="ar-EG"/>
        </w:rPr>
        <w:t>إجراء</w:t>
      </w:r>
      <w:r>
        <w:rPr>
          <w:rFonts w:hint="cs"/>
          <w:sz w:val="22"/>
          <w:rtl/>
          <w:lang w:bidi="ar-EG"/>
        </w:rPr>
        <w:t xml:space="preserve"> تقييمات في حالة </w:t>
      </w:r>
      <w:r w:rsidR="001A68D9">
        <w:rPr>
          <w:rFonts w:hint="cs"/>
          <w:sz w:val="22"/>
          <w:rtl/>
          <w:lang w:bidi="ar-EG"/>
        </w:rPr>
        <w:t>عدم وجود</w:t>
      </w:r>
      <w:r w:rsidR="00F301C0">
        <w:rPr>
          <w:rFonts w:hint="cs"/>
          <w:sz w:val="22"/>
          <w:rtl/>
          <w:lang w:bidi="ar-EG"/>
        </w:rPr>
        <w:t xml:space="preserve"> كائنات مرجعية ملائمة؛</w:t>
      </w:r>
    </w:p>
    <w:p w:rsidR="00F301C0" w:rsidRDefault="00F301C0" w:rsidP="00F301C0">
      <w:pPr>
        <w:spacing w:after="120" w:line="192" w:lineRule="auto"/>
        <w:ind w:firstLine="720"/>
        <w:jc w:val="both"/>
        <w:rPr>
          <w:sz w:val="22"/>
          <w:rtl/>
          <w:lang w:bidi="ar-EG"/>
        </w:rPr>
      </w:pPr>
      <w:r>
        <w:rPr>
          <w:rFonts w:hint="cs"/>
          <w:sz w:val="22"/>
          <w:rtl/>
          <w:lang w:bidi="ar-EG"/>
        </w:rPr>
        <w:t>(ب)</w:t>
      </w:r>
      <w:r>
        <w:rPr>
          <w:rFonts w:hint="cs"/>
          <w:sz w:val="22"/>
          <w:rtl/>
          <w:lang w:bidi="ar-EG"/>
        </w:rPr>
        <w:tab/>
        <w:t>معالجة حالة عدم اليقين في تقييم مخاطر الكائنات الحية المحورة ذات الصفات المعقدة؛</w:t>
      </w:r>
    </w:p>
    <w:p w:rsidR="00F301C0" w:rsidRDefault="00294B37" w:rsidP="00294B37">
      <w:pPr>
        <w:spacing w:after="120" w:line="192" w:lineRule="auto"/>
        <w:ind w:firstLine="720"/>
        <w:jc w:val="both"/>
        <w:rPr>
          <w:sz w:val="22"/>
          <w:rtl/>
          <w:lang w:bidi="ar-EG"/>
        </w:rPr>
      </w:pPr>
      <w:r>
        <w:rPr>
          <w:rFonts w:hint="cs"/>
          <w:sz w:val="22"/>
          <w:rtl/>
          <w:lang w:bidi="ar-EG"/>
        </w:rPr>
        <w:t>(ج)</w:t>
      </w:r>
      <w:r>
        <w:rPr>
          <w:rFonts w:hint="cs"/>
          <w:sz w:val="22"/>
          <w:rtl/>
          <w:lang w:bidi="ar-EG"/>
        </w:rPr>
        <w:tab/>
        <w:t xml:space="preserve">تناول </w:t>
      </w:r>
      <w:r w:rsidR="00F301C0">
        <w:rPr>
          <w:rFonts w:hint="cs"/>
          <w:sz w:val="22"/>
          <w:rtl/>
          <w:lang w:bidi="ar-EG"/>
        </w:rPr>
        <w:t>اعتبارات الصحة البشرية والاعتبارات الاجتماعية الاقتصادية بشكل كاف أثناء تقييم المخاطر؛</w:t>
      </w:r>
    </w:p>
    <w:p w:rsidR="00F301C0" w:rsidRDefault="00F301C0" w:rsidP="001A68D9">
      <w:pPr>
        <w:spacing w:after="120" w:line="192" w:lineRule="auto"/>
        <w:ind w:firstLine="720"/>
        <w:jc w:val="both"/>
        <w:rPr>
          <w:sz w:val="22"/>
          <w:rtl/>
          <w:lang w:bidi="ar-EG"/>
        </w:rPr>
      </w:pPr>
      <w:r>
        <w:rPr>
          <w:rFonts w:hint="cs"/>
          <w:sz w:val="22"/>
          <w:rtl/>
          <w:lang w:bidi="ar-EG"/>
        </w:rPr>
        <w:t>(د)</w:t>
      </w:r>
      <w:r>
        <w:rPr>
          <w:rFonts w:hint="cs"/>
          <w:sz w:val="22"/>
          <w:rtl/>
          <w:lang w:bidi="ar-EG"/>
        </w:rPr>
        <w:tab/>
        <w:t xml:space="preserve">تقييم أثر الكائنات الحية المحورة على حالة </w:t>
      </w:r>
      <w:proofErr w:type="spellStart"/>
      <w:r>
        <w:rPr>
          <w:rFonts w:hint="cs"/>
          <w:sz w:val="22"/>
          <w:rtl/>
          <w:lang w:bidi="ar-EG"/>
        </w:rPr>
        <w:t>وديناميات</w:t>
      </w:r>
      <w:proofErr w:type="spellEnd"/>
      <w:r>
        <w:rPr>
          <w:rFonts w:hint="cs"/>
          <w:sz w:val="22"/>
          <w:rtl/>
          <w:lang w:bidi="ar-EG"/>
        </w:rPr>
        <w:t xml:space="preserve"> التنوع البيولوجي في التفاعل مع الزراعة (على سبيل المثال طيور </w:t>
      </w:r>
      <w:r w:rsidR="001A68D9">
        <w:rPr>
          <w:rFonts w:hint="cs"/>
          <w:sz w:val="22"/>
          <w:rtl/>
          <w:lang w:bidi="ar-EG"/>
        </w:rPr>
        <w:t>المزارع</w:t>
      </w:r>
      <w:r>
        <w:rPr>
          <w:rFonts w:hint="cs"/>
          <w:sz w:val="22"/>
          <w:rtl/>
          <w:lang w:bidi="ar-EG"/>
        </w:rPr>
        <w:t>)؛</w:t>
      </w:r>
    </w:p>
    <w:p w:rsidR="00F301C0" w:rsidRDefault="00F301C0" w:rsidP="00F301C0">
      <w:pPr>
        <w:spacing w:after="120" w:line="192" w:lineRule="auto"/>
        <w:ind w:firstLine="720"/>
        <w:jc w:val="both"/>
        <w:rPr>
          <w:sz w:val="22"/>
          <w:rtl/>
          <w:lang w:bidi="ar-EG"/>
        </w:rPr>
      </w:pPr>
      <w:r>
        <w:rPr>
          <w:rFonts w:hint="cs"/>
          <w:sz w:val="22"/>
          <w:rtl/>
          <w:lang w:bidi="ar-EG"/>
        </w:rPr>
        <w:lastRenderedPageBreak/>
        <w:t>(ه)</w:t>
      </w:r>
      <w:r>
        <w:rPr>
          <w:rFonts w:hint="cs"/>
          <w:sz w:val="22"/>
          <w:rtl/>
          <w:lang w:bidi="ar-EG"/>
        </w:rPr>
        <w:tab/>
        <w:t>إدارة المخاطر المحددة أثناء عملية تقييم المخاطر؛</w:t>
      </w:r>
    </w:p>
    <w:p w:rsidR="00F301C0" w:rsidRDefault="00F301C0" w:rsidP="00F301C0">
      <w:pPr>
        <w:spacing w:after="120" w:line="192" w:lineRule="auto"/>
        <w:ind w:firstLine="720"/>
        <w:jc w:val="both"/>
        <w:rPr>
          <w:sz w:val="22"/>
          <w:rtl/>
          <w:lang w:bidi="ar-EG"/>
        </w:rPr>
      </w:pPr>
      <w:r>
        <w:rPr>
          <w:rFonts w:hint="cs"/>
          <w:sz w:val="22"/>
          <w:rtl/>
          <w:lang w:bidi="ar-EG"/>
        </w:rPr>
        <w:t>(و)</w:t>
      </w:r>
      <w:r>
        <w:rPr>
          <w:rFonts w:hint="cs"/>
          <w:sz w:val="22"/>
          <w:rtl/>
          <w:lang w:bidi="ar-EG"/>
        </w:rPr>
        <w:tab/>
        <w:t>التعامل مع البيانات غير المكتملة المستمدة من عملية الرصد؛</w:t>
      </w:r>
    </w:p>
    <w:p w:rsidR="00F301C0" w:rsidRDefault="00F301C0" w:rsidP="00F301C0">
      <w:pPr>
        <w:spacing w:after="120" w:line="192" w:lineRule="auto"/>
        <w:ind w:firstLine="720"/>
        <w:jc w:val="both"/>
        <w:rPr>
          <w:sz w:val="22"/>
          <w:rtl/>
          <w:lang w:bidi="ar-EG"/>
        </w:rPr>
      </w:pPr>
      <w:r>
        <w:rPr>
          <w:rFonts w:hint="cs"/>
          <w:sz w:val="22"/>
          <w:rtl/>
          <w:lang w:bidi="ar-EG"/>
        </w:rPr>
        <w:t>(ز)</w:t>
      </w:r>
      <w:r>
        <w:rPr>
          <w:rFonts w:hint="cs"/>
          <w:sz w:val="22"/>
          <w:rtl/>
          <w:lang w:bidi="ar-EG"/>
        </w:rPr>
        <w:tab/>
        <w:t>استخلاص دروس من الملاحظات المتاحة حاليا؛</w:t>
      </w:r>
    </w:p>
    <w:p w:rsidR="00F301C0" w:rsidRDefault="00F301C0" w:rsidP="00F301C0">
      <w:pPr>
        <w:spacing w:after="120" w:line="192" w:lineRule="auto"/>
        <w:ind w:firstLine="720"/>
        <w:jc w:val="both"/>
        <w:rPr>
          <w:sz w:val="22"/>
          <w:lang w:bidi="ar-EG"/>
        </w:rPr>
      </w:pPr>
      <w:r>
        <w:rPr>
          <w:rFonts w:hint="cs"/>
          <w:sz w:val="22"/>
          <w:rtl/>
          <w:lang w:bidi="ar-EG"/>
        </w:rPr>
        <w:t>(ح)</w:t>
      </w:r>
      <w:r>
        <w:rPr>
          <w:rFonts w:hint="cs"/>
          <w:sz w:val="22"/>
          <w:rtl/>
          <w:lang w:bidi="ar-EG"/>
        </w:rPr>
        <w:tab/>
        <w:t xml:space="preserve">تيسير حصول </w:t>
      </w:r>
      <w:r w:rsidR="009B1856">
        <w:rPr>
          <w:rFonts w:hint="cs"/>
          <w:sz w:val="22"/>
          <w:rtl/>
          <w:lang w:bidi="ar-EG"/>
        </w:rPr>
        <w:t>القائمين بعملية تقييم المخاطر الأقل خبرة على المواد الحالية.</w:t>
      </w:r>
    </w:p>
    <w:p w:rsidR="006C38C6" w:rsidRDefault="009B1856" w:rsidP="00294B37">
      <w:pPr>
        <w:numPr>
          <w:ilvl w:val="0"/>
          <w:numId w:val="1"/>
        </w:numPr>
        <w:spacing w:after="120" w:line="192" w:lineRule="auto"/>
        <w:jc w:val="both"/>
        <w:rPr>
          <w:sz w:val="22"/>
          <w:lang w:bidi="ar-EG"/>
        </w:rPr>
      </w:pPr>
      <w:r>
        <w:rPr>
          <w:rFonts w:hint="cs"/>
          <w:sz w:val="22"/>
          <w:rtl/>
          <w:lang w:bidi="ar-EG"/>
        </w:rPr>
        <w:t xml:space="preserve">وتباينت الآراء </w:t>
      </w:r>
      <w:r w:rsidR="00294B37">
        <w:rPr>
          <w:rFonts w:hint="cs"/>
          <w:sz w:val="22"/>
          <w:rtl/>
          <w:lang w:bidi="ar-EG"/>
        </w:rPr>
        <w:t xml:space="preserve">بشأن </w:t>
      </w:r>
      <w:r>
        <w:rPr>
          <w:rFonts w:hint="cs"/>
          <w:sz w:val="22"/>
          <w:rtl/>
          <w:lang w:bidi="ar-EG"/>
        </w:rPr>
        <w:t xml:space="preserve">الحاجة الحالية إلى إرشادات إضافية، حيث أشارت أغلبية الأطراف التي أعدت تقديمات بشأن هذه القضية إلى ضرورة إعداد إرشادات أخرى بشأن موضوعات محددة لتقييم المخاطر. </w:t>
      </w:r>
      <w:r w:rsidR="00294B37">
        <w:rPr>
          <w:rFonts w:hint="cs"/>
          <w:sz w:val="22"/>
          <w:rtl/>
          <w:lang w:bidi="ar-EG"/>
        </w:rPr>
        <w:t>ولكن</w:t>
      </w:r>
      <w:r>
        <w:rPr>
          <w:rFonts w:hint="cs"/>
          <w:sz w:val="22"/>
          <w:rtl/>
          <w:lang w:bidi="ar-EG"/>
        </w:rPr>
        <w:t xml:space="preserve"> بالرغم من أن العديد من التدخلات في المنتدى الإلكتروني حددت ثغرات في الإرشادات الحالية وطرحت عددا من الموضوعات التي تحتاج إلى مزيد من التطوير، كانت أغلبية التدخلات في المنتدى تؤيد فكرة أنه لا توجد ثغرات في المواد الإرشادية الحالية، وبالتالي لا توجد حاجة إلى إرشادات جديدة. وعلاوة على ذلك، أشار بعض الأطراف والمشاركين في المنتدى إلى أهمية تقاسم الخبرات بشأن تقييم المخاطر.</w:t>
      </w:r>
    </w:p>
    <w:p w:rsidR="003F44E9" w:rsidRDefault="00EC7CB9" w:rsidP="007F5458">
      <w:pPr>
        <w:numPr>
          <w:ilvl w:val="0"/>
          <w:numId w:val="1"/>
        </w:numPr>
        <w:spacing w:after="120" w:line="192" w:lineRule="auto"/>
        <w:jc w:val="both"/>
        <w:rPr>
          <w:sz w:val="22"/>
          <w:lang w:bidi="ar-EG"/>
        </w:rPr>
      </w:pPr>
      <w:r>
        <w:rPr>
          <w:rFonts w:hint="cs"/>
          <w:sz w:val="22"/>
          <w:rtl/>
          <w:lang w:bidi="ar-EG"/>
        </w:rPr>
        <w:t>وأوصت</w:t>
      </w:r>
      <w:r w:rsidR="003F44E9">
        <w:rPr>
          <w:rFonts w:hint="cs"/>
          <w:sz w:val="22"/>
          <w:rtl/>
          <w:lang w:bidi="ar-EG"/>
        </w:rPr>
        <w:t xml:space="preserve"> </w:t>
      </w:r>
      <w:r w:rsidR="005820F8">
        <w:rPr>
          <w:rFonts w:hint="cs"/>
          <w:sz w:val="22"/>
          <w:rtl/>
          <w:lang w:bidi="ar-EG"/>
        </w:rPr>
        <w:t>12</w:t>
      </w:r>
      <w:r w:rsidR="003F44E9">
        <w:rPr>
          <w:rFonts w:hint="cs"/>
          <w:sz w:val="22"/>
          <w:rtl/>
          <w:lang w:bidi="ar-EG"/>
        </w:rPr>
        <w:t xml:space="preserve"> طرفا في تقديماتها بإعداد إرشادات جديدة بشأن موضوعات محددة لتقييم المخاطر بغية تقديم مساعدة إضافية في </w:t>
      </w:r>
      <w:r w:rsidR="007F5458">
        <w:rPr>
          <w:rFonts w:hint="cs"/>
          <w:sz w:val="22"/>
          <w:rtl/>
          <w:lang w:bidi="ar-EG"/>
        </w:rPr>
        <w:t>معالجة</w:t>
      </w:r>
      <w:r w:rsidR="003F44E9">
        <w:rPr>
          <w:rFonts w:hint="cs"/>
          <w:sz w:val="22"/>
          <w:rtl/>
          <w:lang w:bidi="ar-EG"/>
        </w:rPr>
        <w:t xml:space="preserve"> قضايا لا تكفيها الإرشادات الحالية بالفعل، ولاسيما فيما يتعلق بالتطورات الجديدة التي قد تشكل تحديات جديدة تتعلق بتقييم المخاطر وتتطلب</w:t>
      </w:r>
      <w:r w:rsidR="00867187">
        <w:rPr>
          <w:rFonts w:hint="cs"/>
          <w:sz w:val="22"/>
          <w:rtl/>
          <w:lang w:bidi="ar-EG"/>
        </w:rPr>
        <w:t xml:space="preserve"> اتباع نُهج جديدة. وحددت </w:t>
      </w:r>
      <w:r w:rsidR="005820F8">
        <w:rPr>
          <w:rFonts w:hint="cs"/>
          <w:sz w:val="22"/>
          <w:rtl/>
          <w:lang w:bidi="ar-EG"/>
        </w:rPr>
        <w:t>8</w:t>
      </w:r>
      <w:r w:rsidR="00867187">
        <w:rPr>
          <w:rFonts w:hint="cs"/>
          <w:sz w:val="22"/>
          <w:rtl/>
          <w:lang w:bidi="ar-EG"/>
        </w:rPr>
        <w:t xml:space="preserve"> أطراف من هذه الأطراف موضوع "تقييم مخاطر الكائنات </w:t>
      </w:r>
      <w:r w:rsidR="0090366E">
        <w:rPr>
          <w:rFonts w:hint="cs"/>
          <w:sz w:val="22"/>
          <w:rtl/>
          <w:lang w:bidi="ar-EG"/>
        </w:rPr>
        <w:t>الناشئة عن</w:t>
      </w:r>
      <w:r w:rsidR="00867187">
        <w:rPr>
          <w:rFonts w:hint="cs"/>
          <w:sz w:val="22"/>
          <w:rtl/>
          <w:lang w:bidi="ar-EG"/>
        </w:rPr>
        <w:t xml:space="preserve"> البيولوجيا التركيبية، بما في ذلك</w:t>
      </w:r>
      <w:r w:rsidR="00C831AA">
        <w:rPr>
          <w:rFonts w:hint="cs"/>
          <w:sz w:val="22"/>
          <w:rtl/>
          <w:lang w:bidi="ar-EG"/>
        </w:rPr>
        <w:t xml:space="preserve"> الكائنات </w:t>
      </w:r>
      <w:r w:rsidR="00FC2617">
        <w:rPr>
          <w:rFonts w:hint="cs"/>
          <w:sz w:val="22"/>
          <w:rtl/>
          <w:lang w:bidi="ar-EG"/>
        </w:rPr>
        <w:t>الناشئة عن</w:t>
      </w:r>
      <w:r w:rsidR="00C831AA">
        <w:rPr>
          <w:rFonts w:hint="cs"/>
          <w:sz w:val="22"/>
          <w:rtl/>
          <w:lang w:bidi="ar-EG"/>
        </w:rPr>
        <w:t xml:space="preserve"> تنقيح الجينوم والكائنات التي تحتوي على</w:t>
      </w:r>
      <w:r w:rsidR="00D51943">
        <w:rPr>
          <w:rFonts w:hint="cs"/>
          <w:sz w:val="22"/>
          <w:rtl/>
          <w:lang w:bidi="ar-EG"/>
        </w:rPr>
        <w:t xml:space="preserve"> المحركات الجينية المرسومة" كأحد الأولويات. وحددت </w:t>
      </w:r>
      <w:r w:rsidR="005820F8">
        <w:rPr>
          <w:rFonts w:hint="cs"/>
          <w:sz w:val="22"/>
          <w:rtl/>
          <w:lang w:bidi="ar-EG"/>
        </w:rPr>
        <w:t>8</w:t>
      </w:r>
      <w:r w:rsidR="00D51943">
        <w:rPr>
          <w:rFonts w:hint="cs"/>
          <w:sz w:val="22"/>
          <w:rtl/>
          <w:lang w:bidi="ar-EG"/>
        </w:rPr>
        <w:t xml:space="preserve"> أطراف أخرى موضوع "تقييم مخاطر الأسماك الحية ال</w:t>
      </w:r>
      <w:r w:rsidR="007F5458">
        <w:rPr>
          <w:rFonts w:hint="cs"/>
          <w:sz w:val="22"/>
          <w:rtl/>
          <w:lang w:bidi="ar-EG"/>
        </w:rPr>
        <w:t xml:space="preserve">محورة" كأحد الأولويات. وهناك موضوعات </w:t>
      </w:r>
      <w:r w:rsidR="00D51943">
        <w:rPr>
          <w:rFonts w:hint="cs"/>
          <w:sz w:val="22"/>
          <w:rtl/>
          <w:lang w:bidi="ar-EG"/>
        </w:rPr>
        <w:t xml:space="preserve">أخرى حددتها ثلاثة أطراف </w:t>
      </w:r>
      <w:r w:rsidR="007F5458">
        <w:rPr>
          <w:rFonts w:hint="cs"/>
          <w:sz w:val="22"/>
          <w:rtl/>
          <w:lang w:bidi="ar-EG"/>
        </w:rPr>
        <w:t>تمثلت في</w:t>
      </w:r>
      <w:r w:rsidR="00D51943">
        <w:rPr>
          <w:rFonts w:hint="cs"/>
          <w:sz w:val="22"/>
          <w:rtl/>
          <w:lang w:bidi="ar-EG"/>
        </w:rPr>
        <w:t>ما يلي: تقييمات مخاطر الكائنات الحية المحورة من الحيوانات/الثدييات والمفصليات (بما في ذلك الحشرات والرخويات) ومخاطر الكائنات الدقيقة والفيروسات، وتقييم مخاطر تأثيرات الكائنات الحية المحورة على الكائنات التي تسكن التربة، والتعايش بين الكائنات الحية المحورة والكائنات دون الكائنات الحية المحورة في سياق الزراعة صغيرة النطاق. وقد حدد أيضا بعض المشاركين في المنتدى الإلكتروني هذه الموضوعات. وترد</w:t>
      </w:r>
      <w:r w:rsidR="004F74C1">
        <w:rPr>
          <w:rFonts w:hint="cs"/>
          <w:sz w:val="22"/>
          <w:rtl/>
          <w:lang w:bidi="ar-EG"/>
        </w:rPr>
        <w:t xml:space="preserve"> مبررات تحديد هذه الموضوعات في تقديمات و/أو تقرير المنتدى الإلكتروني.</w:t>
      </w:r>
    </w:p>
    <w:p w:rsidR="007D2C69" w:rsidRDefault="007F5458" w:rsidP="00D51943">
      <w:pPr>
        <w:numPr>
          <w:ilvl w:val="0"/>
          <w:numId w:val="1"/>
        </w:numPr>
        <w:spacing w:after="120" w:line="192" w:lineRule="auto"/>
        <w:jc w:val="both"/>
        <w:rPr>
          <w:sz w:val="22"/>
          <w:lang w:bidi="ar-EG"/>
        </w:rPr>
      </w:pPr>
      <w:r>
        <w:rPr>
          <w:rFonts w:hint="cs"/>
          <w:sz w:val="22"/>
          <w:rtl/>
          <w:lang w:bidi="ar-EG"/>
        </w:rPr>
        <w:t>وترتبط</w:t>
      </w:r>
      <w:r w:rsidR="007D2C69">
        <w:rPr>
          <w:rFonts w:hint="cs"/>
          <w:sz w:val="22"/>
          <w:rtl/>
          <w:lang w:bidi="ar-EG"/>
        </w:rPr>
        <w:t xml:space="preserve"> بهذا السياق أيضا نتائج عمل فريق الخبراء التقنيين المخصص بشأن البيولوجيا التركيبية، الذي تأسس بموجب الاتفاقية.</w:t>
      </w:r>
      <w:r w:rsidR="007D2C69">
        <w:rPr>
          <w:rStyle w:val="FootnoteReference"/>
          <w:sz w:val="22"/>
          <w:rtl/>
        </w:rPr>
        <w:footnoteReference w:id="6"/>
      </w:r>
    </w:p>
    <w:p w:rsidR="007D2C69" w:rsidRDefault="007F5458" w:rsidP="001A1C55">
      <w:pPr>
        <w:numPr>
          <w:ilvl w:val="0"/>
          <w:numId w:val="1"/>
        </w:numPr>
        <w:spacing w:after="120" w:line="192" w:lineRule="auto"/>
        <w:jc w:val="both"/>
        <w:rPr>
          <w:sz w:val="22"/>
          <w:lang w:bidi="ar-EG"/>
        </w:rPr>
      </w:pPr>
      <w:r>
        <w:rPr>
          <w:rFonts w:hint="cs"/>
          <w:sz w:val="22"/>
          <w:rtl/>
          <w:lang w:bidi="ar-EG"/>
        </w:rPr>
        <w:t>وتقاسمت</w:t>
      </w:r>
      <w:r w:rsidR="007D2C69">
        <w:rPr>
          <w:rFonts w:hint="cs"/>
          <w:sz w:val="22"/>
          <w:rtl/>
          <w:lang w:bidi="ar-EG"/>
        </w:rPr>
        <w:t xml:space="preserve"> الأطراف أيضا الآراء بشأن عملية اختيار موضوعات من أجل إعداد إرشادات جديدة بشأن تقييم المخاطر. واقتُرحت عملية للمساعدة في تحديد موضوعات لإعداد إرشادات أخرى بشأن تقييم المخاطر، بموجب بروتوكول </w:t>
      </w:r>
      <w:proofErr w:type="spellStart"/>
      <w:r w:rsidR="007D2C69">
        <w:rPr>
          <w:rFonts w:hint="cs"/>
          <w:sz w:val="22"/>
          <w:rtl/>
          <w:lang w:bidi="ar-EG"/>
        </w:rPr>
        <w:t>قرطاجنة</w:t>
      </w:r>
      <w:proofErr w:type="spellEnd"/>
      <w:r w:rsidR="007D2C69">
        <w:rPr>
          <w:rFonts w:hint="cs"/>
          <w:sz w:val="22"/>
          <w:rtl/>
          <w:lang w:bidi="ar-EG"/>
        </w:rPr>
        <w:t xml:space="preserve">، </w:t>
      </w:r>
      <w:r w:rsidR="00F42183">
        <w:rPr>
          <w:rFonts w:hint="cs"/>
          <w:sz w:val="22"/>
          <w:rtl/>
          <w:lang w:bidi="ar-EG"/>
        </w:rPr>
        <w:t xml:space="preserve">تراعي موارد قضايا مماثلة </w:t>
      </w:r>
      <w:r w:rsidR="001A1C55">
        <w:rPr>
          <w:rFonts w:hint="cs"/>
          <w:sz w:val="22"/>
          <w:rtl/>
          <w:lang w:bidi="ar-EG"/>
        </w:rPr>
        <w:t>وفرتها</w:t>
      </w:r>
      <w:r w:rsidR="00F42183">
        <w:rPr>
          <w:rFonts w:hint="cs"/>
          <w:sz w:val="22"/>
          <w:rtl/>
          <w:lang w:bidi="ar-EG"/>
        </w:rPr>
        <w:t xml:space="preserve"> هيئات وطنية وإقليمية ودولية، وتحلل إلى أي مدى يمكن لهذه الموضوعات المحددة أن:</w:t>
      </w:r>
    </w:p>
    <w:p w:rsidR="00F42183" w:rsidRDefault="00F42183" w:rsidP="00F42183">
      <w:pPr>
        <w:spacing w:after="120" w:line="192" w:lineRule="auto"/>
        <w:ind w:firstLine="720"/>
        <w:jc w:val="both"/>
        <w:rPr>
          <w:sz w:val="22"/>
          <w:rtl/>
          <w:lang w:bidi="ar-EG"/>
        </w:rPr>
      </w:pPr>
      <w:r>
        <w:rPr>
          <w:rFonts w:hint="cs"/>
          <w:sz w:val="22"/>
          <w:rtl/>
          <w:lang w:bidi="ar-EG"/>
        </w:rPr>
        <w:t>(أ)</w:t>
      </w:r>
      <w:r>
        <w:rPr>
          <w:rFonts w:hint="cs"/>
          <w:sz w:val="22"/>
          <w:rtl/>
          <w:lang w:bidi="ar-EG"/>
        </w:rPr>
        <w:tab/>
        <w:t xml:space="preserve">تدخل ضمن نطاق بروتوكول </w:t>
      </w:r>
      <w:proofErr w:type="spellStart"/>
      <w:r>
        <w:rPr>
          <w:rFonts w:hint="cs"/>
          <w:sz w:val="22"/>
          <w:rtl/>
          <w:lang w:bidi="ar-EG"/>
        </w:rPr>
        <w:t>قرطاجنة</w:t>
      </w:r>
      <w:proofErr w:type="spellEnd"/>
      <w:r>
        <w:rPr>
          <w:rFonts w:hint="cs"/>
          <w:sz w:val="22"/>
          <w:rtl/>
          <w:lang w:bidi="ar-EG"/>
        </w:rPr>
        <w:t xml:space="preserve"> وهدفه؛</w:t>
      </w:r>
    </w:p>
    <w:p w:rsidR="00F42183" w:rsidRDefault="00F42183" w:rsidP="00F42183">
      <w:pPr>
        <w:spacing w:after="120" w:line="192" w:lineRule="auto"/>
        <w:ind w:firstLine="720"/>
        <w:jc w:val="both"/>
        <w:rPr>
          <w:sz w:val="22"/>
          <w:rtl/>
          <w:lang w:bidi="ar-EG"/>
        </w:rPr>
      </w:pPr>
      <w:r>
        <w:rPr>
          <w:rFonts w:hint="cs"/>
          <w:sz w:val="22"/>
          <w:rtl/>
          <w:lang w:bidi="ar-EG"/>
        </w:rPr>
        <w:t>(ب)</w:t>
      </w:r>
      <w:r>
        <w:rPr>
          <w:rFonts w:hint="cs"/>
          <w:sz w:val="22"/>
          <w:rtl/>
          <w:lang w:bidi="ar-EG"/>
        </w:rPr>
        <w:tab/>
        <w:t>تشكل تحديات على الأطر والمنهجيات الحالية لتقييم المخاطر؛</w:t>
      </w:r>
    </w:p>
    <w:p w:rsidR="00F42183" w:rsidRDefault="00F42183" w:rsidP="00F42183">
      <w:pPr>
        <w:spacing w:after="120" w:line="192" w:lineRule="auto"/>
        <w:ind w:firstLine="720"/>
        <w:jc w:val="both"/>
        <w:rPr>
          <w:sz w:val="22"/>
          <w:rtl/>
          <w:lang w:bidi="ar-EG"/>
        </w:rPr>
      </w:pPr>
      <w:r>
        <w:rPr>
          <w:rFonts w:hint="cs"/>
          <w:sz w:val="22"/>
          <w:rtl/>
          <w:lang w:bidi="ar-EG"/>
        </w:rPr>
        <w:t>(ج)</w:t>
      </w:r>
      <w:r>
        <w:rPr>
          <w:rFonts w:hint="cs"/>
          <w:sz w:val="22"/>
          <w:rtl/>
          <w:lang w:bidi="ar-EG"/>
        </w:rPr>
        <w:tab/>
        <w:t>تتضمن المعارف والخبرات التقنية المتوافرة في المجتمعات العلمية بوجه عام؛</w:t>
      </w:r>
    </w:p>
    <w:p w:rsidR="002276F7" w:rsidRDefault="00F42183" w:rsidP="00F42183">
      <w:pPr>
        <w:spacing w:after="120" w:line="192" w:lineRule="auto"/>
        <w:ind w:firstLine="720"/>
        <w:jc w:val="both"/>
        <w:rPr>
          <w:sz w:val="22"/>
          <w:rtl/>
          <w:lang w:bidi="ar-EG"/>
        </w:rPr>
      </w:pPr>
      <w:r>
        <w:rPr>
          <w:rFonts w:hint="cs"/>
          <w:sz w:val="22"/>
          <w:rtl/>
          <w:lang w:bidi="ar-EG"/>
        </w:rPr>
        <w:t>(د)</w:t>
      </w:r>
      <w:r>
        <w:rPr>
          <w:rFonts w:hint="cs"/>
          <w:sz w:val="22"/>
          <w:rtl/>
          <w:lang w:bidi="ar-EG"/>
        </w:rPr>
        <w:tab/>
        <w:t>تهتم بالتقنيات التي تتميز بالسرعة العالية في التطور العلمي والتكنولوجي</w:t>
      </w:r>
      <w:r w:rsidR="002276F7">
        <w:rPr>
          <w:rFonts w:hint="cs"/>
          <w:sz w:val="22"/>
          <w:rtl/>
          <w:lang w:bidi="ar-EG"/>
        </w:rPr>
        <w:t>؛</w:t>
      </w:r>
    </w:p>
    <w:p w:rsidR="002276F7" w:rsidRDefault="002276F7" w:rsidP="00F42183">
      <w:pPr>
        <w:spacing w:after="120" w:line="192" w:lineRule="auto"/>
        <w:ind w:firstLine="720"/>
        <w:jc w:val="both"/>
        <w:rPr>
          <w:sz w:val="22"/>
          <w:rtl/>
          <w:lang w:bidi="ar-EG"/>
        </w:rPr>
      </w:pPr>
      <w:r>
        <w:rPr>
          <w:rFonts w:hint="cs"/>
          <w:sz w:val="22"/>
          <w:rtl/>
          <w:lang w:bidi="ar-EG"/>
        </w:rPr>
        <w:t>(ه)</w:t>
      </w:r>
      <w:r>
        <w:rPr>
          <w:rFonts w:hint="cs"/>
          <w:sz w:val="22"/>
          <w:rtl/>
          <w:lang w:bidi="ar-EG"/>
        </w:rPr>
        <w:tab/>
        <w:t>تهتم بالكائنات الحية المحورة التي:</w:t>
      </w:r>
    </w:p>
    <w:p w:rsidR="00F42183" w:rsidRDefault="002276F7" w:rsidP="007F5458">
      <w:pPr>
        <w:spacing w:after="120" w:line="192" w:lineRule="auto"/>
        <w:ind w:left="1440"/>
        <w:jc w:val="both"/>
        <w:rPr>
          <w:sz w:val="22"/>
          <w:rtl/>
          <w:lang w:bidi="ar-EG"/>
        </w:rPr>
      </w:pPr>
      <w:r>
        <w:rPr>
          <w:rFonts w:hint="cs"/>
          <w:sz w:val="22"/>
          <w:rtl/>
          <w:lang w:bidi="ar-EG"/>
        </w:rPr>
        <w:t>(1)</w:t>
      </w:r>
      <w:r>
        <w:rPr>
          <w:rFonts w:hint="cs"/>
          <w:sz w:val="22"/>
          <w:rtl/>
          <w:lang w:bidi="ar-EG"/>
        </w:rPr>
        <w:tab/>
        <w:t xml:space="preserve">لها القدرة على إحداث تأثيرات </w:t>
      </w:r>
      <w:r w:rsidR="00FC2617">
        <w:rPr>
          <w:rFonts w:hint="cs"/>
          <w:sz w:val="22"/>
          <w:rtl/>
          <w:lang w:bidi="ar-EG"/>
        </w:rPr>
        <w:t>ضارة</w:t>
      </w:r>
      <w:r>
        <w:rPr>
          <w:rFonts w:hint="cs"/>
          <w:sz w:val="22"/>
          <w:rtl/>
          <w:lang w:bidi="ar-EG"/>
        </w:rPr>
        <w:t xml:space="preserve"> خطيرة يتعذر إصلاحها على التنوع البيولوجي، مع مراعاة الحاجة </w:t>
      </w:r>
      <w:r w:rsidR="007F5458">
        <w:rPr>
          <w:rFonts w:hint="cs"/>
          <w:sz w:val="22"/>
          <w:rtl/>
          <w:lang w:bidi="ar-EG"/>
        </w:rPr>
        <w:t>الماسة</w:t>
      </w:r>
      <w:r>
        <w:rPr>
          <w:rFonts w:hint="cs"/>
          <w:sz w:val="22"/>
          <w:rtl/>
          <w:lang w:bidi="ar-EG"/>
        </w:rPr>
        <w:t xml:space="preserve"> إلى حماية جوانب محددة للتنوع البيولوجي من قبيل أنواع متوطنة/نادرة، أو موئل أو نظام إيكولوجي فريد؛</w:t>
      </w:r>
    </w:p>
    <w:p w:rsidR="002276F7" w:rsidRDefault="002276F7" w:rsidP="002276F7">
      <w:pPr>
        <w:spacing w:after="120" w:line="192" w:lineRule="auto"/>
        <w:ind w:left="1440"/>
        <w:jc w:val="both"/>
        <w:rPr>
          <w:sz w:val="22"/>
          <w:rtl/>
          <w:lang w:bidi="ar-EG"/>
        </w:rPr>
      </w:pPr>
      <w:r>
        <w:rPr>
          <w:rFonts w:hint="cs"/>
          <w:sz w:val="22"/>
          <w:rtl/>
          <w:lang w:bidi="ar-EG"/>
        </w:rPr>
        <w:t>(2)</w:t>
      </w:r>
      <w:r>
        <w:rPr>
          <w:rFonts w:hint="cs"/>
          <w:sz w:val="22"/>
          <w:rtl/>
          <w:lang w:bidi="ar-EG"/>
        </w:rPr>
        <w:tab/>
        <w:t>قد يتم إدخالها في البيئة سواء عمدا أو دون قصد؛</w:t>
      </w:r>
    </w:p>
    <w:p w:rsidR="002276F7" w:rsidRDefault="002276F7" w:rsidP="002276F7">
      <w:pPr>
        <w:spacing w:after="120" w:line="192" w:lineRule="auto"/>
        <w:ind w:left="1440"/>
        <w:jc w:val="both"/>
        <w:rPr>
          <w:sz w:val="22"/>
          <w:rtl/>
          <w:lang w:bidi="ar-EG"/>
        </w:rPr>
      </w:pPr>
      <w:r>
        <w:rPr>
          <w:rFonts w:hint="cs"/>
          <w:sz w:val="22"/>
          <w:rtl/>
          <w:lang w:bidi="ar-EG"/>
        </w:rPr>
        <w:t>(3)</w:t>
      </w:r>
      <w:r>
        <w:rPr>
          <w:rFonts w:hint="cs"/>
          <w:sz w:val="22"/>
          <w:rtl/>
          <w:lang w:bidi="ar-EG"/>
        </w:rPr>
        <w:tab/>
        <w:t>لها القدرة على الانتشار عبر الحدود الإقليمية؛</w:t>
      </w:r>
    </w:p>
    <w:p w:rsidR="002276F7" w:rsidRDefault="002276F7" w:rsidP="008F3DA2">
      <w:pPr>
        <w:spacing w:after="120" w:line="192" w:lineRule="auto"/>
        <w:ind w:left="1440"/>
        <w:jc w:val="both"/>
        <w:rPr>
          <w:sz w:val="22"/>
          <w:lang w:bidi="ar-EG"/>
        </w:rPr>
      </w:pPr>
      <w:r>
        <w:rPr>
          <w:rFonts w:hint="cs"/>
          <w:sz w:val="22"/>
          <w:rtl/>
          <w:lang w:bidi="ar-EG"/>
        </w:rPr>
        <w:lastRenderedPageBreak/>
        <w:t>(4)</w:t>
      </w:r>
      <w:r>
        <w:rPr>
          <w:rFonts w:hint="cs"/>
          <w:sz w:val="22"/>
          <w:rtl/>
          <w:lang w:bidi="ar-EG"/>
        </w:rPr>
        <w:tab/>
      </w:r>
      <w:r w:rsidR="008F3DA2">
        <w:rPr>
          <w:rFonts w:hint="cs"/>
          <w:sz w:val="22"/>
          <w:rtl/>
          <w:lang w:bidi="ar-EG"/>
        </w:rPr>
        <w:t>يجري بالفعل، أو من الممكن،</w:t>
      </w:r>
      <w:r>
        <w:rPr>
          <w:rFonts w:hint="cs"/>
          <w:sz w:val="22"/>
          <w:rtl/>
          <w:lang w:bidi="ar-EG"/>
        </w:rPr>
        <w:t xml:space="preserve"> تسويقها أو استخدمها في مكان ما </w:t>
      </w:r>
      <w:r w:rsidR="008F3DA2">
        <w:rPr>
          <w:rFonts w:hint="cs"/>
          <w:sz w:val="22"/>
          <w:rtl/>
          <w:lang w:bidi="ar-EG"/>
        </w:rPr>
        <w:t>من</w:t>
      </w:r>
      <w:r>
        <w:rPr>
          <w:rFonts w:hint="cs"/>
          <w:sz w:val="22"/>
          <w:rtl/>
          <w:lang w:bidi="ar-EG"/>
        </w:rPr>
        <w:t xml:space="preserve"> العالم</w:t>
      </w:r>
      <w:r w:rsidR="008F3DA2">
        <w:rPr>
          <w:rFonts w:hint="cs"/>
          <w:sz w:val="22"/>
          <w:rtl/>
          <w:lang w:bidi="ar-EG"/>
        </w:rPr>
        <w:t>.</w:t>
      </w:r>
    </w:p>
    <w:p w:rsidR="00F42183" w:rsidRDefault="008F3DA2" w:rsidP="00D63F06">
      <w:pPr>
        <w:numPr>
          <w:ilvl w:val="0"/>
          <w:numId w:val="1"/>
        </w:numPr>
        <w:spacing w:after="120" w:line="192" w:lineRule="auto"/>
        <w:jc w:val="both"/>
        <w:rPr>
          <w:sz w:val="22"/>
          <w:lang w:bidi="ar-EG"/>
        </w:rPr>
      </w:pPr>
      <w:r>
        <w:rPr>
          <w:rFonts w:hint="cs"/>
          <w:sz w:val="22"/>
          <w:rtl/>
          <w:lang w:bidi="ar-EG"/>
        </w:rPr>
        <w:t xml:space="preserve">وهناك قضية بارزة أخرى نوقشت خلال المنتدى الإلكتروني تمثلت فيما إذا كان ينبغي إدراج تحليل المزايا كجزء من تقييم المخاطر. واختلفت الآراء بين تلك التي تؤيد هذا الأمر وتلك التي تعتبر أنه ينبغي إجراء تحليل المزايا خارج إطار تقييم المخاطر. </w:t>
      </w:r>
      <w:r w:rsidR="00D63F06">
        <w:rPr>
          <w:rFonts w:hint="cs"/>
          <w:sz w:val="22"/>
          <w:rtl/>
          <w:lang w:bidi="ar-EG"/>
        </w:rPr>
        <w:t>وقد</w:t>
      </w:r>
      <w:r>
        <w:rPr>
          <w:rFonts w:hint="cs"/>
          <w:sz w:val="22"/>
          <w:rtl/>
          <w:lang w:bidi="ar-EG"/>
        </w:rPr>
        <w:t xml:space="preserve"> أشار بعض المشاركين </w:t>
      </w:r>
      <w:r w:rsidR="00D63F06">
        <w:rPr>
          <w:rFonts w:hint="cs"/>
          <w:sz w:val="22"/>
          <w:rtl/>
          <w:lang w:bidi="ar-EG"/>
        </w:rPr>
        <w:t xml:space="preserve">أيضا </w:t>
      </w:r>
      <w:r>
        <w:rPr>
          <w:rFonts w:hint="cs"/>
          <w:sz w:val="22"/>
          <w:rtl/>
          <w:lang w:bidi="ar-EG"/>
        </w:rPr>
        <w:t xml:space="preserve">إلى أن تحليل المزايا لا يدخل ضمن نطاق بروتوكول </w:t>
      </w:r>
      <w:proofErr w:type="spellStart"/>
      <w:r>
        <w:rPr>
          <w:rFonts w:hint="cs"/>
          <w:sz w:val="22"/>
          <w:rtl/>
          <w:lang w:bidi="ar-EG"/>
        </w:rPr>
        <w:t>قرطاجنة</w:t>
      </w:r>
      <w:proofErr w:type="spellEnd"/>
      <w:r>
        <w:rPr>
          <w:rFonts w:hint="cs"/>
          <w:sz w:val="22"/>
          <w:rtl/>
          <w:lang w:bidi="ar-EG"/>
        </w:rPr>
        <w:t>.</w:t>
      </w:r>
    </w:p>
    <w:p w:rsidR="00B330D0" w:rsidRPr="00482021" w:rsidRDefault="00B330D0" w:rsidP="00294B37">
      <w:pPr>
        <w:keepNext/>
        <w:spacing w:after="120" w:line="192" w:lineRule="auto"/>
        <w:jc w:val="center"/>
        <w:rPr>
          <w:b/>
          <w:bCs/>
          <w:sz w:val="28"/>
          <w:szCs w:val="28"/>
          <w:rtl/>
          <w:lang w:bidi="ar-EG"/>
        </w:rPr>
      </w:pPr>
      <w:r>
        <w:rPr>
          <w:rFonts w:hint="cs"/>
          <w:b/>
          <w:bCs/>
          <w:sz w:val="28"/>
          <w:szCs w:val="28"/>
          <w:rtl/>
          <w:lang w:bidi="ar-EG"/>
        </w:rPr>
        <w:t>ثالثا</w:t>
      </w:r>
      <w:r w:rsidRPr="006C38C6">
        <w:rPr>
          <w:rFonts w:hint="cs"/>
          <w:b/>
          <w:bCs/>
          <w:sz w:val="28"/>
          <w:szCs w:val="28"/>
          <w:rtl/>
          <w:lang w:bidi="ar-EG"/>
        </w:rPr>
        <w:t>-</w:t>
      </w:r>
      <w:r w:rsidRPr="006C38C6">
        <w:rPr>
          <w:rFonts w:hint="cs"/>
          <w:b/>
          <w:bCs/>
          <w:sz w:val="28"/>
          <w:szCs w:val="28"/>
          <w:rtl/>
          <w:lang w:bidi="ar-EG"/>
        </w:rPr>
        <w:tab/>
      </w:r>
      <w:r>
        <w:rPr>
          <w:rFonts w:hint="cs"/>
          <w:b/>
          <w:bCs/>
          <w:sz w:val="28"/>
          <w:szCs w:val="28"/>
          <w:rtl/>
          <w:lang w:bidi="ar-EG"/>
        </w:rPr>
        <w:t>التوصيات المقترحة</w:t>
      </w:r>
    </w:p>
    <w:p w:rsidR="005D2059" w:rsidRDefault="00B330D0" w:rsidP="00B330D0">
      <w:pPr>
        <w:numPr>
          <w:ilvl w:val="0"/>
          <w:numId w:val="1"/>
        </w:numPr>
        <w:spacing w:after="120" w:line="192" w:lineRule="auto"/>
        <w:jc w:val="both"/>
        <w:rPr>
          <w:sz w:val="22"/>
          <w:lang w:bidi="ar-EG"/>
        </w:rPr>
      </w:pPr>
      <w:r>
        <w:rPr>
          <w:rFonts w:hint="cs"/>
          <w:sz w:val="22"/>
          <w:rtl/>
          <w:lang w:bidi="ar-EG"/>
        </w:rPr>
        <w:t xml:space="preserve">قد ترغب الهيئة الفرعية للمشورة العلمية والتقنية والتكنولوجية في أن توصي بأن يعتمد مؤتمر الأطراف العامل كاجتماع للأطراف في بروتوكول </w:t>
      </w:r>
      <w:proofErr w:type="spellStart"/>
      <w:r>
        <w:rPr>
          <w:rFonts w:hint="cs"/>
          <w:sz w:val="22"/>
          <w:rtl/>
          <w:lang w:bidi="ar-EG"/>
        </w:rPr>
        <w:t>قرطاجنة</w:t>
      </w:r>
      <w:proofErr w:type="spellEnd"/>
      <w:r>
        <w:rPr>
          <w:rFonts w:hint="cs"/>
          <w:sz w:val="22"/>
          <w:rtl/>
          <w:lang w:bidi="ar-EG"/>
        </w:rPr>
        <w:t xml:space="preserve"> للسلامة الأحيائية مقررا على غرار ما يلي:</w:t>
      </w:r>
    </w:p>
    <w:p w:rsidR="00B330D0" w:rsidRDefault="00B330D0" w:rsidP="00B330D0">
      <w:pPr>
        <w:spacing w:after="100" w:line="204" w:lineRule="auto"/>
        <w:ind w:firstLine="720"/>
        <w:jc w:val="both"/>
        <w:rPr>
          <w:i/>
          <w:iCs/>
          <w:sz w:val="22"/>
          <w:rtl/>
          <w:lang w:bidi="ar-EG"/>
        </w:rPr>
      </w:pPr>
      <w:r>
        <w:rPr>
          <w:rFonts w:hint="cs"/>
          <w:i/>
          <w:iCs/>
          <w:sz w:val="22"/>
          <w:rtl/>
          <w:lang w:bidi="ar-EG"/>
        </w:rPr>
        <w:t xml:space="preserve">إن </w:t>
      </w:r>
      <w:r w:rsidRPr="00FE3257">
        <w:rPr>
          <w:rFonts w:hint="cs"/>
          <w:i/>
          <w:iCs/>
          <w:sz w:val="22"/>
          <w:rtl/>
          <w:lang w:bidi="ar-EG"/>
        </w:rPr>
        <w:t>مؤتمر الأطراف</w:t>
      </w:r>
      <w:r>
        <w:rPr>
          <w:rFonts w:hint="cs"/>
          <w:i/>
          <w:iCs/>
          <w:sz w:val="22"/>
          <w:rtl/>
          <w:lang w:bidi="ar-EG"/>
        </w:rPr>
        <w:t xml:space="preserve"> العامل كاجتماع للأطراف في بروتوكول </w:t>
      </w:r>
      <w:proofErr w:type="spellStart"/>
      <w:r>
        <w:rPr>
          <w:rFonts w:hint="cs"/>
          <w:i/>
          <w:iCs/>
          <w:sz w:val="22"/>
          <w:rtl/>
          <w:lang w:bidi="ar-EG"/>
        </w:rPr>
        <w:t>قرطاجنة</w:t>
      </w:r>
      <w:proofErr w:type="spellEnd"/>
      <w:r>
        <w:rPr>
          <w:rFonts w:hint="cs"/>
          <w:i/>
          <w:iCs/>
          <w:sz w:val="22"/>
          <w:rtl/>
          <w:lang w:bidi="ar-EG"/>
        </w:rPr>
        <w:t xml:space="preserve"> للسلامة الأحيائية</w:t>
      </w:r>
      <w:r w:rsidRPr="00FE3257">
        <w:rPr>
          <w:rFonts w:hint="cs"/>
          <w:i/>
          <w:iCs/>
          <w:sz w:val="22"/>
          <w:rtl/>
          <w:lang w:bidi="ar-EG"/>
        </w:rPr>
        <w:t>،</w:t>
      </w:r>
    </w:p>
    <w:p w:rsidR="0090366E" w:rsidRPr="0090366E" w:rsidRDefault="0090366E" w:rsidP="00B330D0">
      <w:pPr>
        <w:spacing w:after="100" w:line="204" w:lineRule="auto"/>
        <w:ind w:firstLine="720"/>
        <w:jc w:val="both"/>
        <w:rPr>
          <w:sz w:val="22"/>
          <w:rtl/>
          <w:lang w:bidi="ar-EG"/>
        </w:rPr>
      </w:pPr>
      <w:r>
        <w:rPr>
          <w:rFonts w:hint="cs"/>
          <w:i/>
          <w:iCs/>
          <w:sz w:val="22"/>
          <w:rtl/>
          <w:lang w:bidi="ar-EG"/>
        </w:rPr>
        <w:t xml:space="preserve">إذ يشير إلى </w:t>
      </w:r>
      <w:r>
        <w:rPr>
          <w:rFonts w:hint="cs"/>
          <w:sz w:val="22"/>
          <w:rtl/>
          <w:lang w:bidi="ar-EG"/>
        </w:rPr>
        <w:t xml:space="preserve">المقررين </w:t>
      </w:r>
      <w:hyperlink r:id="rId13" w:history="1">
        <w:r w:rsidRPr="00093DDC">
          <w:rPr>
            <w:rStyle w:val="Hyperlink"/>
            <w:kern w:val="22"/>
          </w:rPr>
          <w:t>BS-V</w:t>
        </w:r>
        <w:r w:rsidR="00752DF2">
          <w:rPr>
            <w:rStyle w:val="Hyperlink"/>
            <w:kern w:val="22"/>
            <w:lang w:val="en-GB"/>
          </w:rPr>
          <w:t>I</w:t>
        </w:r>
        <w:r w:rsidRPr="00093DDC">
          <w:rPr>
            <w:rStyle w:val="Hyperlink"/>
            <w:kern w:val="22"/>
          </w:rPr>
          <w:t>I/12</w:t>
        </w:r>
      </w:hyperlink>
      <w:r>
        <w:rPr>
          <w:rFonts w:hint="cs"/>
          <w:sz w:val="22"/>
          <w:rtl/>
          <w:lang w:bidi="ar-EG"/>
        </w:rPr>
        <w:t xml:space="preserve"> و</w:t>
      </w:r>
      <w:hyperlink r:id="rId14" w:history="1">
        <w:r w:rsidRPr="00961F28">
          <w:rPr>
            <w:rStyle w:val="Hyperlink"/>
            <w:rFonts w:hint="cs"/>
            <w:sz w:val="22"/>
            <w:szCs w:val="22"/>
            <w:rtl/>
            <w:lang w:bidi="ar-EG"/>
          </w:rPr>
          <w:t>12/24</w:t>
        </w:r>
      </w:hyperlink>
      <w:r>
        <w:rPr>
          <w:rFonts w:hint="cs"/>
          <w:sz w:val="22"/>
          <w:rtl/>
          <w:lang w:bidi="ar-EG"/>
        </w:rPr>
        <w:t xml:space="preserve"> اللذان يوصيان بنهج منسق بشأن قضية البيولوجيا التركيبية،</w:t>
      </w:r>
    </w:p>
    <w:p w:rsidR="00B330D0" w:rsidRDefault="00B330D0" w:rsidP="0090366E">
      <w:pPr>
        <w:numPr>
          <w:ilvl w:val="0"/>
          <w:numId w:val="13"/>
        </w:numPr>
        <w:spacing w:after="100" w:line="204" w:lineRule="auto"/>
        <w:ind w:left="90" w:firstLine="630"/>
        <w:jc w:val="both"/>
        <w:rPr>
          <w:sz w:val="22"/>
          <w:lang w:bidi="ar-EG"/>
        </w:rPr>
      </w:pPr>
      <w:r w:rsidRPr="00B50B14">
        <w:rPr>
          <w:rFonts w:hint="cs"/>
          <w:i/>
          <w:iCs/>
          <w:sz w:val="22"/>
          <w:rtl/>
          <w:lang w:bidi="ar-EG"/>
        </w:rPr>
        <w:t>ي</w:t>
      </w:r>
      <w:r w:rsidR="0090366E">
        <w:rPr>
          <w:rFonts w:hint="cs"/>
          <w:i/>
          <w:iCs/>
          <w:sz w:val="22"/>
          <w:rtl/>
          <w:lang w:bidi="ar-EG"/>
        </w:rPr>
        <w:t xml:space="preserve">لاحظ </w:t>
      </w:r>
      <w:r w:rsidR="0090366E">
        <w:rPr>
          <w:rFonts w:hint="cs"/>
          <w:sz w:val="22"/>
          <w:rtl/>
          <w:lang w:bidi="ar-EG"/>
        </w:rPr>
        <w:t>توافر وثائق إرشادية عديدة وموارد أخرى لدعم عملية تقييم المخاطر</w:t>
      </w:r>
      <w:r w:rsidR="007F5458">
        <w:rPr>
          <w:rFonts w:hint="cs"/>
          <w:sz w:val="22"/>
          <w:rtl/>
          <w:lang w:bidi="ar-EG"/>
        </w:rPr>
        <w:t>،</w:t>
      </w:r>
      <w:r w:rsidR="0090366E">
        <w:rPr>
          <w:rFonts w:hint="cs"/>
          <w:sz w:val="22"/>
          <w:rtl/>
          <w:lang w:bidi="ar-EG"/>
        </w:rPr>
        <w:t xml:space="preserve"> ولكنه </w:t>
      </w:r>
      <w:r w:rsidR="0090366E">
        <w:rPr>
          <w:rFonts w:hint="cs"/>
          <w:i/>
          <w:iCs/>
          <w:sz w:val="22"/>
          <w:rtl/>
          <w:lang w:bidi="ar-EG"/>
        </w:rPr>
        <w:t xml:space="preserve">يقر </w:t>
      </w:r>
      <w:r w:rsidR="0090366E">
        <w:rPr>
          <w:rFonts w:hint="cs"/>
          <w:sz w:val="22"/>
          <w:rtl/>
          <w:lang w:bidi="ar-EG"/>
        </w:rPr>
        <w:t>بالثغرات والاحتياجات التي حددتها بعض الأطراف</w:t>
      </w:r>
      <w:r w:rsidRPr="00B50B14">
        <w:rPr>
          <w:rFonts w:hint="cs"/>
          <w:sz w:val="22"/>
          <w:rtl/>
          <w:lang w:bidi="ar-EG"/>
        </w:rPr>
        <w:t>؛</w:t>
      </w:r>
    </w:p>
    <w:p w:rsidR="0090366E" w:rsidRDefault="0090366E" w:rsidP="005820F8">
      <w:pPr>
        <w:numPr>
          <w:ilvl w:val="0"/>
          <w:numId w:val="13"/>
        </w:numPr>
        <w:spacing w:after="100" w:line="204" w:lineRule="auto"/>
        <w:ind w:left="90" w:firstLine="630"/>
        <w:jc w:val="both"/>
        <w:rPr>
          <w:sz w:val="22"/>
          <w:lang w:bidi="ar-EG"/>
        </w:rPr>
      </w:pPr>
      <w:r>
        <w:rPr>
          <w:rFonts w:hint="cs"/>
          <w:i/>
          <w:iCs/>
          <w:sz w:val="22"/>
          <w:rtl/>
          <w:lang w:bidi="ar-EG"/>
        </w:rPr>
        <w:t xml:space="preserve">يقر </w:t>
      </w:r>
      <w:r>
        <w:rPr>
          <w:rFonts w:hint="cs"/>
          <w:sz w:val="22"/>
          <w:rtl/>
          <w:lang w:bidi="ar-EG"/>
        </w:rPr>
        <w:t>باختلاف الآراء فيما بين الأطراف عما إذا كانت هناك حاجة إلى إرشادات إضافية بشأن قضايا محددة لتقييم المخاطر؛</w:t>
      </w:r>
    </w:p>
    <w:p w:rsidR="0090366E" w:rsidRDefault="0090366E" w:rsidP="0029669D">
      <w:pPr>
        <w:numPr>
          <w:ilvl w:val="0"/>
          <w:numId w:val="13"/>
        </w:numPr>
        <w:spacing w:after="100" w:line="204" w:lineRule="auto"/>
        <w:ind w:left="90" w:firstLine="630"/>
        <w:jc w:val="both"/>
        <w:rPr>
          <w:sz w:val="22"/>
          <w:lang w:bidi="ar-EG"/>
        </w:rPr>
      </w:pPr>
      <w:r>
        <w:rPr>
          <w:rFonts w:hint="cs"/>
          <w:i/>
          <w:iCs/>
          <w:sz w:val="22"/>
          <w:rtl/>
          <w:lang w:bidi="ar-EG"/>
        </w:rPr>
        <w:t xml:space="preserve">يحيط علما </w:t>
      </w:r>
      <w:r>
        <w:rPr>
          <w:rFonts w:hint="cs"/>
          <w:sz w:val="22"/>
          <w:rtl/>
          <w:lang w:bidi="ar-EG"/>
        </w:rPr>
        <w:t>بعمل فريق الخبراء التقنيين المخصص بشأن البيولوجيا التركيبية، و</w:t>
      </w:r>
      <w:r>
        <w:rPr>
          <w:rFonts w:hint="cs"/>
          <w:i/>
          <w:iCs/>
          <w:sz w:val="22"/>
          <w:rtl/>
          <w:lang w:bidi="ar-EG"/>
        </w:rPr>
        <w:t xml:space="preserve">يلاحظ </w:t>
      </w:r>
      <w:r>
        <w:rPr>
          <w:rFonts w:hint="cs"/>
          <w:sz w:val="22"/>
          <w:rtl/>
          <w:lang w:bidi="ar-EG"/>
        </w:rPr>
        <w:t xml:space="preserve">بشكل خاص أنه بالرغم من </w:t>
      </w:r>
      <w:r w:rsidR="0029669D">
        <w:rPr>
          <w:rFonts w:hint="cs"/>
          <w:sz w:val="22"/>
          <w:rtl/>
          <w:lang w:bidi="ar-EG"/>
        </w:rPr>
        <w:t>وجود</w:t>
      </w:r>
      <w:r>
        <w:rPr>
          <w:rFonts w:hint="cs"/>
          <w:sz w:val="22"/>
          <w:rtl/>
          <w:lang w:bidi="ar-EG"/>
        </w:rPr>
        <w:t xml:space="preserve"> مزايا محتملة تنشأ من الكائنات التي تحتوي على</w:t>
      </w:r>
      <w:r w:rsidR="00FC2617">
        <w:rPr>
          <w:rFonts w:hint="cs"/>
          <w:sz w:val="22"/>
          <w:rtl/>
          <w:lang w:bidi="ar-EG"/>
        </w:rPr>
        <w:t xml:space="preserve"> محركات جينية مرسومة، يتعين إجراء بحوث إضافية وإعداد إرشادات إضافية </w:t>
      </w:r>
      <w:r w:rsidR="0029669D">
        <w:rPr>
          <w:rFonts w:hint="cs"/>
          <w:sz w:val="22"/>
          <w:rtl/>
          <w:lang w:bidi="ar-EG"/>
        </w:rPr>
        <w:t xml:space="preserve">قبل </w:t>
      </w:r>
      <w:r w:rsidR="00FC2617">
        <w:rPr>
          <w:rFonts w:hint="cs"/>
          <w:sz w:val="22"/>
          <w:rtl/>
          <w:lang w:bidi="ar-EG"/>
        </w:rPr>
        <w:t>النظر في إطلاق</w:t>
      </w:r>
      <w:r w:rsidR="0029669D">
        <w:rPr>
          <w:rFonts w:hint="cs"/>
          <w:sz w:val="22"/>
          <w:rtl/>
          <w:lang w:bidi="ar-EG"/>
        </w:rPr>
        <w:t xml:space="preserve"> أي من</w:t>
      </w:r>
      <w:r w:rsidR="00FC2617">
        <w:rPr>
          <w:rFonts w:hint="cs"/>
          <w:sz w:val="22"/>
          <w:rtl/>
          <w:lang w:bidi="ar-EG"/>
        </w:rPr>
        <w:t xml:space="preserve"> هذه الكائنات في البيئة، بما في ذلك في أراضي وأقاليم الشعوب الأصلية والمجتمعات المحلية؛</w:t>
      </w:r>
    </w:p>
    <w:p w:rsidR="00FC2617" w:rsidRDefault="00FC2617" w:rsidP="0003607A">
      <w:pPr>
        <w:numPr>
          <w:ilvl w:val="0"/>
          <w:numId w:val="13"/>
        </w:numPr>
        <w:spacing w:after="100" w:line="204" w:lineRule="auto"/>
        <w:ind w:left="90" w:firstLine="630"/>
        <w:jc w:val="both"/>
        <w:rPr>
          <w:sz w:val="22"/>
          <w:lang w:bidi="ar-EG"/>
        </w:rPr>
      </w:pPr>
      <w:r>
        <w:rPr>
          <w:rFonts w:hint="cs"/>
          <w:i/>
          <w:iCs/>
          <w:sz w:val="22"/>
          <w:rtl/>
          <w:lang w:bidi="ar-EG"/>
        </w:rPr>
        <w:t xml:space="preserve">يدعو إلى </w:t>
      </w:r>
      <w:r>
        <w:rPr>
          <w:rFonts w:hint="cs"/>
          <w:sz w:val="22"/>
          <w:rtl/>
          <w:lang w:bidi="ar-EG"/>
        </w:rPr>
        <w:t xml:space="preserve">التعاون الدولي الواسع النطاق لتقييم التأثيرات الضارة المحتملة للكائنات الناشئة عن تنقيح الجينوم والكائنات التي تحتوي على محركات جينية مرسومة والأسماك الحية المحورة، على حفظ التنوع البيولوجي واستخدامه المستدام، مع </w:t>
      </w:r>
      <w:r w:rsidR="0003607A">
        <w:rPr>
          <w:rFonts w:hint="cs"/>
          <w:sz w:val="22"/>
          <w:rtl/>
          <w:lang w:bidi="ar-EG"/>
        </w:rPr>
        <w:t>مراعاة</w:t>
      </w:r>
      <w:r>
        <w:rPr>
          <w:rFonts w:hint="cs"/>
          <w:sz w:val="22"/>
          <w:rtl/>
          <w:lang w:bidi="ar-EG"/>
        </w:rPr>
        <w:t xml:space="preserve"> صحة البشر،</w:t>
      </w:r>
    </w:p>
    <w:p w:rsidR="0003607A" w:rsidRDefault="0003607A" w:rsidP="0003607A">
      <w:pPr>
        <w:numPr>
          <w:ilvl w:val="0"/>
          <w:numId w:val="13"/>
        </w:numPr>
        <w:spacing w:after="100" w:line="204" w:lineRule="auto"/>
        <w:ind w:left="90" w:firstLine="630"/>
        <w:jc w:val="both"/>
        <w:rPr>
          <w:sz w:val="22"/>
          <w:lang w:bidi="ar-EG"/>
        </w:rPr>
      </w:pPr>
      <w:r>
        <w:rPr>
          <w:rFonts w:hint="cs"/>
          <w:i/>
          <w:iCs/>
          <w:sz w:val="22"/>
          <w:rtl/>
          <w:lang w:bidi="ar-EG"/>
        </w:rPr>
        <w:t xml:space="preserve">يقرر </w:t>
      </w:r>
      <w:r>
        <w:rPr>
          <w:rFonts w:hint="cs"/>
          <w:sz w:val="22"/>
          <w:rtl/>
          <w:lang w:bidi="ar-EG"/>
        </w:rPr>
        <w:t>إجراء دراسة شاملة بشأن التأثيرات الضارة المحتملة على حفظ التنوع البيولوجي واستخدامه المستدام، مع مراعاة صحة البشر، وإدراج الاعتبارات ذات الصلة بتقييم مخاطر: (أ) الكائنات الناشئة عن تنقيح الجينوم والكائنات التي تحتوي على محركات جينية مرسومة، (ب) والأسماك الحية المحورة، للاسترشاد بها عند مواصلة النظر فيما إذا كانت هناك حاجة إلى إعداد مواد إرشادية إضافية بشأن تقييم المخاطر لهذه الكائنات؛</w:t>
      </w:r>
    </w:p>
    <w:p w:rsidR="0003607A" w:rsidRDefault="0003607A" w:rsidP="0003607A">
      <w:pPr>
        <w:numPr>
          <w:ilvl w:val="0"/>
          <w:numId w:val="13"/>
        </w:numPr>
        <w:spacing w:after="100" w:line="204" w:lineRule="auto"/>
        <w:ind w:left="90" w:firstLine="630"/>
        <w:jc w:val="both"/>
        <w:rPr>
          <w:sz w:val="22"/>
          <w:lang w:bidi="ar-EG"/>
        </w:rPr>
      </w:pPr>
      <w:r>
        <w:rPr>
          <w:rFonts w:hint="cs"/>
          <w:i/>
          <w:iCs/>
          <w:sz w:val="22"/>
          <w:rtl/>
          <w:lang w:bidi="ar-EG"/>
        </w:rPr>
        <w:t xml:space="preserve">يقرر أيضا </w:t>
      </w:r>
      <w:r>
        <w:rPr>
          <w:rFonts w:hint="cs"/>
          <w:sz w:val="22"/>
          <w:rtl/>
          <w:lang w:bidi="ar-EG"/>
        </w:rPr>
        <w:t xml:space="preserve">إعداد عملية لتحديد قضايا محددة لتقييم مخاطر الكائنات الحية المحورة التي قد يتعين النظر فيها في المستقبل من جانب مؤتمر الأطراف العامل كاجتماع للأطراف في بروتوكول </w:t>
      </w:r>
      <w:proofErr w:type="spellStart"/>
      <w:r>
        <w:rPr>
          <w:rFonts w:hint="cs"/>
          <w:sz w:val="22"/>
          <w:rtl/>
          <w:lang w:bidi="ar-EG"/>
        </w:rPr>
        <w:t>قرطاجنة</w:t>
      </w:r>
      <w:proofErr w:type="spellEnd"/>
      <w:r>
        <w:rPr>
          <w:rFonts w:hint="cs"/>
          <w:sz w:val="22"/>
          <w:rtl/>
          <w:lang w:bidi="ar-EG"/>
        </w:rPr>
        <w:t>، مع مراعاة العناصر الواردة في المرفق</w:t>
      </w:r>
      <w:r w:rsidR="005820F8">
        <w:rPr>
          <w:rFonts w:hint="cs"/>
          <w:sz w:val="22"/>
          <w:rtl/>
          <w:lang w:bidi="ar-EG"/>
        </w:rPr>
        <w:t xml:space="preserve"> بمشروع المقرر هذا</w:t>
      </w:r>
      <w:r>
        <w:rPr>
          <w:rFonts w:hint="cs"/>
          <w:sz w:val="22"/>
          <w:rtl/>
          <w:lang w:bidi="ar-EG"/>
        </w:rPr>
        <w:t>، وترتيب هذه القضايا حسب الأولوية؛</w:t>
      </w:r>
    </w:p>
    <w:p w:rsidR="0003607A" w:rsidRDefault="005820F8" w:rsidP="0029669D">
      <w:pPr>
        <w:numPr>
          <w:ilvl w:val="0"/>
          <w:numId w:val="13"/>
        </w:numPr>
        <w:spacing w:after="100" w:line="204" w:lineRule="auto"/>
        <w:ind w:left="90" w:firstLine="630"/>
        <w:jc w:val="both"/>
        <w:rPr>
          <w:rStyle w:val="hps"/>
          <w:sz w:val="22"/>
          <w:lang w:bidi="ar-EG"/>
        </w:rPr>
      </w:pPr>
      <w:r>
        <w:rPr>
          <w:rStyle w:val="hps"/>
          <w:rFonts w:hint="cs"/>
          <w:i/>
          <w:iCs/>
          <w:sz w:val="22"/>
          <w:rtl/>
          <w:lang w:bidi="ar-EG"/>
        </w:rPr>
        <w:t xml:space="preserve">يقرر أيضا </w:t>
      </w:r>
      <w:r>
        <w:rPr>
          <w:rStyle w:val="hps"/>
          <w:rFonts w:hint="cs"/>
          <w:sz w:val="22"/>
          <w:rtl/>
          <w:lang w:bidi="ar-EG"/>
        </w:rPr>
        <w:t>تأسيس</w:t>
      </w:r>
      <w:r w:rsidR="0003607A">
        <w:rPr>
          <w:rStyle w:val="hps"/>
          <w:rFonts w:hint="cs"/>
          <w:i/>
          <w:iCs/>
          <w:sz w:val="22"/>
          <w:rtl/>
          <w:lang w:bidi="ar-EG"/>
        </w:rPr>
        <w:t xml:space="preserve"> </w:t>
      </w:r>
      <w:r w:rsidR="0003607A">
        <w:rPr>
          <w:rStyle w:val="hps"/>
          <w:rFonts w:hint="cs"/>
          <w:sz w:val="22"/>
          <w:rtl/>
          <w:lang w:bidi="ar-EG"/>
        </w:rPr>
        <w:t>فريق خبراء تقنيين مخصص بشأن تقييم المخاطر، يتألف من خبراء يتم اختيارهم وفقا لطريق</w:t>
      </w:r>
      <w:r w:rsidR="002170F2">
        <w:rPr>
          <w:rStyle w:val="hps"/>
          <w:rFonts w:hint="cs"/>
          <w:sz w:val="22"/>
          <w:rtl/>
          <w:lang w:bidi="ar-EG"/>
        </w:rPr>
        <w:t>ة</w:t>
      </w:r>
      <w:r w:rsidR="0003607A">
        <w:rPr>
          <w:rStyle w:val="hps"/>
          <w:rFonts w:hint="cs"/>
          <w:sz w:val="22"/>
          <w:rtl/>
          <w:lang w:bidi="ar-EG"/>
        </w:rPr>
        <w:t xml:space="preserve"> التشغيل الموحدة للهيئة الفرعية للمشورة العلمية والتقنية والتكنولوجية،</w:t>
      </w:r>
      <w:r>
        <w:rPr>
          <w:rStyle w:val="FootnoteReference"/>
          <w:sz w:val="22"/>
          <w:rtl/>
        </w:rPr>
        <w:footnoteReference w:id="7"/>
      </w:r>
      <w:r w:rsidR="0003607A">
        <w:rPr>
          <w:rStyle w:val="hps"/>
          <w:rFonts w:hint="cs"/>
          <w:sz w:val="22"/>
          <w:rtl/>
          <w:lang w:bidi="ar-EG"/>
        </w:rPr>
        <w:t xml:space="preserve"> </w:t>
      </w:r>
      <w:r w:rsidR="002170F2">
        <w:rPr>
          <w:rStyle w:val="hps"/>
          <w:rFonts w:hint="cs"/>
          <w:sz w:val="22"/>
          <w:rtl/>
          <w:lang w:bidi="ar-EG"/>
        </w:rPr>
        <w:t>بهدف</w:t>
      </w:r>
      <w:r w:rsidR="0003607A">
        <w:rPr>
          <w:rStyle w:val="hps"/>
          <w:rFonts w:hint="cs"/>
          <w:sz w:val="22"/>
          <w:rtl/>
          <w:lang w:bidi="ar-EG"/>
        </w:rPr>
        <w:t xml:space="preserve"> العمل على القضايا المشار إليها في الفقرتين 5 و6 أعلاه، وإعداد تقرير لكي تنظر فيه الهيئة الفرعية للمشورة العلمية والتقنية والتكنولوجية </w:t>
      </w:r>
      <w:r>
        <w:rPr>
          <w:rStyle w:val="hps"/>
          <w:rFonts w:hint="cs"/>
          <w:sz w:val="22"/>
          <w:rtl/>
          <w:lang w:bidi="ar-EG"/>
        </w:rPr>
        <w:t>بغية تمكين ا</w:t>
      </w:r>
      <w:r w:rsidR="002170F2">
        <w:rPr>
          <w:rStyle w:val="hps"/>
          <w:rFonts w:hint="cs"/>
          <w:sz w:val="22"/>
          <w:rtl/>
          <w:lang w:bidi="ar-EG"/>
        </w:rPr>
        <w:t xml:space="preserve">لهيئة الفرعية </w:t>
      </w:r>
      <w:r w:rsidR="0029669D">
        <w:rPr>
          <w:rStyle w:val="hps"/>
          <w:rFonts w:hint="cs"/>
          <w:sz w:val="22"/>
          <w:rtl/>
          <w:lang w:bidi="ar-EG"/>
        </w:rPr>
        <w:t xml:space="preserve">من إعداد </w:t>
      </w:r>
      <w:r w:rsidR="002170F2">
        <w:rPr>
          <w:rStyle w:val="hps"/>
          <w:rFonts w:hint="cs"/>
          <w:sz w:val="22"/>
          <w:rtl/>
          <w:lang w:bidi="ar-EG"/>
        </w:rPr>
        <w:t xml:space="preserve">توصية لكي ينظر فيها مؤتمر الأطراف العامل كاجتماع للأطراف في بروتوكول </w:t>
      </w:r>
      <w:proofErr w:type="spellStart"/>
      <w:r w:rsidR="002170F2">
        <w:rPr>
          <w:rStyle w:val="hps"/>
          <w:rFonts w:hint="cs"/>
          <w:sz w:val="22"/>
          <w:rtl/>
          <w:lang w:bidi="ar-EG"/>
        </w:rPr>
        <w:t>قرطاجنة</w:t>
      </w:r>
      <w:proofErr w:type="spellEnd"/>
      <w:r w:rsidR="002170F2">
        <w:rPr>
          <w:rStyle w:val="hps"/>
          <w:rFonts w:hint="cs"/>
          <w:sz w:val="22"/>
          <w:rtl/>
          <w:lang w:bidi="ar-EG"/>
        </w:rPr>
        <w:t xml:space="preserve"> في اجتماعه العاشر؛</w:t>
      </w:r>
    </w:p>
    <w:p w:rsidR="002170F2" w:rsidRDefault="005820F8" w:rsidP="005820F8">
      <w:pPr>
        <w:numPr>
          <w:ilvl w:val="0"/>
          <w:numId w:val="13"/>
        </w:numPr>
        <w:spacing w:after="100" w:line="204" w:lineRule="auto"/>
        <w:ind w:left="90" w:firstLine="630"/>
        <w:jc w:val="both"/>
        <w:rPr>
          <w:rStyle w:val="hps"/>
          <w:sz w:val="22"/>
          <w:lang w:bidi="ar-EG"/>
        </w:rPr>
      </w:pPr>
      <w:r>
        <w:rPr>
          <w:rStyle w:val="hps"/>
          <w:rFonts w:hint="cs"/>
          <w:i/>
          <w:iCs/>
          <w:sz w:val="22"/>
          <w:rtl/>
          <w:lang w:bidi="ar-EG"/>
        </w:rPr>
        <w:t xml:space="preserve">يقرر كذلك </w:t>
      </w:r>
      <w:r>
        <w:rPr>
          <w:rStyle w:val="hps"/>
          <w:rFonts w:hint="cs"/>
          <w:sz w:val="22"/>
          <w:rtl/>
          <w:lang w:bidi="ar-EG"/>
        </w:rPr>
        <w:t>توسيع</w:t>
      </w:r>
      <w:r w:rsidR="002170F2">
        <w:rPr>
          <w:rStyle w:val="hps"/>
          <w:rFonts w:hint="cs"/>
          <w:i/>
          <w:iCs/>
          <w:sz w:val="22"/>
          <w:rtl/>
          <w:lang w:bidi="ar-EG"/>
        </w:rPr>
        <w:t xml:space="preserve"> </w:t>
      </w:r>
      <w:r w:rsidR="002170F2">
        <w:rPr>
          <w:rStyle w:val="hps"/>
          <w:rFonts w:hint="cs"/>
          <w:sz w:val="22"/>
          <w:rtl/>
          <w:lang w:bidi="ar-EG"/>
        </w:rPr>
        <w:t xml:space="preserve">المنتدى الإلكتروني بشأن تقييم المخاطر وإدارة المخاطر </w:t>
      </w:r>
      <w:r>
        <w:rPr>
          <w:rStyle w:val="hps"/>
          <w:rFonts w:hint="cs"/>
          <w:sz w:val="22"/>
          <w:rtl/>
          <w:lang w:bidi="ar-EG"/>
        </w:rPr>
        <w:t>لكي يساعد</w:t>
      </w:r>
      <w:r w:rsidR="002170F2">
        <w:rPr>
          <w:rStyle w:val="hps"/>
          <w:rFonts w:hint="cs"/>
          <w:sz w:val="22"/>
          <w:rtl/>
          <w:lang w:bidi="ar-EG"/>
        </w:rPr>
        <w:t xml:space="preserve"> فريق الخبراء التقنيين المخصص بشأن تقييم المخاطر؛</w:t>
      </w:r>
    </w:p>
    <w:p w:rsidR="002170F2" w:rsidRDefault="002170F2" w:rsidP="0029669D">
      <w:pPr>
        <w:keepNext/>
        <w:numPr>
          <w:ilvl w:val="0"/>
          <w:numId w:val="13"/>
        </w:numPr>
        <w:spacing w:after="100" w:line="204" w:lineRule="auto"/>
        <w:ind w:left="91" w:firstLine="629"/>
        <w:jc w:val="both"/>
        <w:rPr>
          <w:rStyle w:val="hps"/>
          <w:sz w:val="22"/>
          <w:lang w:bidi="ar-EG"/>
        </w:rPr>
      </w:pPr>
      <w:r>
        <w:rPr>
          <w:rStyle w:val="hps"/>
          <w:rFonts w:hint="cs"/>
          <w:i/>
          <w:iCs/>
          <w:sz w:val="22"/>
          <w:rtl/>
          <w:lang w:bidi="ar-EG"/>
        </w:rPr>
        <w:lastRenderedPageBreak/>
        <w:t xml:space="preserve">يطلب إلى </w:t>
      </w:r>
      <w:r>
        <w:rPr>
          <w:rStyle w:val="hps"/>
          <w:rFonts w:hint="cs"/>
          <w:sz w:val="22"/>
          <w:rtl/>
          <w:lang w:bidi="ar-EG"/>
        </w:rPr>
        <w:t>الأمين التنفيذي:</w:t>
      </w:r>
    </w:p>
    <w:p w:rsidR="002170F2" w:rsidRDefault="002170F2" w:rsidP="0029669D">
      <w:pPr>
        <w:spacing w:after="100" w:line="204" w:lineRule="auto"/>
        <w:ind w:left="720"/>
        <w:jc w:val="both"/>
        <w:rPr>
          <w:rStyle w:val="hps"/>
          <w:sz w:val="22"/>
          <w:rtl/>
          <w:lang w:bidi="ar-EG"/>
        </w:rPr>
      </w:pPr>
      <w:r>
        <w:rPr>
          <w:rStyle w:val="hps"/>
          <w:rFonts w:hint="cs"/>
          <w:sz w:val="22"/>
          <w:rtl/>
          <w:lang w:bidi="ar-EG"/>
        </w:rPr>
        <w:t>(أ)</w:t>
      </w:r>
      <w:r>
        <w:rPr>
          <w:rStyle w:val="hps"/>
          <w:rFonts w:hint="cs"/>
          <w:sz w:val="22"/>
          <w:rtl/>
          <w:lang w:bidi="ar-EG"/>
        </w:rPr>
        <w:tab/>
      </w:r>
      <w:r w:rsidR="0029669D">
        <w:rPr>
          <w:rStyle w:val="hps"/>
          <w:rFonts w:hint="cs"/>
          <w:sz w:val="22"/>
          <w:rtl/>
          <w:lang w:bidi="ar-EG"/>
        </w:rPr>
        <w:t>تجميع</w:t>
      </w:r>
      <w:r w:rsidR="005835D1">
        <w:rPr>
          <w:rStyle w:val="hps"/>
          <w:rFonts w:hint="cs"/>
          <w:sz w:val="22"/>
          <w:rtl/>
          <w:lang w:bidi="ar-EG"/>
        </w:rPr>
        <w:t xml:space="preserve"> وتوليف المعلومات ذات الصلة </w:t>
      </w:r>
      <w:r w:rsidR="0029669D">
        <w:rPr>
          <w:rStyle w:val="hps"/>
          <w:rFonts w:hint="cs"/>
          <w:sz w:val="22"/>
          <w:rtl/>
          <w:lang w:bidi="ar-EG"/>
        </w:rPr>
        <w:t>ل</w:t>
      </w:r>
      <w:r>
        <w:rPr>
          <w:rStyle w:val="hps"/>
          <w:rFonts w:hint="cs"/>
          <w:sz w:val="22"/>
          <w:rtl/>
          <w:lang w:bidi="ar-EG"/>
        </w:rPr>
        <w:t>تيسير عمل المنتدى الإلكتروني وفريق الخبراء التقنيين المخصص؛</w:t>
      </w:r>
    </w:p>
    <w:p w:rsidR="002170F2" w:rsidRDefault="002170F2" w:rsidP="002170F2">
      <w:pPr>
        <w:spacing w:after="100" w:line="204" w:lineRule="auto"/>
        <w:ind w:left="720"/>
        <w:jc w:val="both"/>
        <w:rPr>
          <w:rStyle w:val="hps"/>
          <w:sz w:val="22"/>
          <w:rtl/>
          <w:lang w:bidi="ar-EG"/>
        </w:rPr>
      </w:pPr>
      <w:r>
        <w:rPr>
          <w:rStyle w:val="hps"/>
          <w:rFonts w:hint="cs"/>
          <w:sz w:val="22"/>
          <w:rtl/>
          <w:lang w:bidi="ar-EG"/>
        </w:rPr>
        <w:t>(ب)</w:t>
      </w:r>
      <w:r>
        <w:rPr>
          <w:rStyle w:val="hps"/>
          <w:rFonts w:hint="cs"/>
          <w:sz w:val="22"/>
          <w:rtl/>
          <w:lang w:bidi="ar-EG"/>
        </w:rPr>
        <w:tab/>
        <w:t>مساعدة ال</w:t>
      </w:r>
      <w:r w:rsidR="005835D1">
        <w:rPr>
          <w:rStyle w:val="hps"/>
          <w:rFonts w:hint="cs"/>
          <w:sz w:val="22"/>
          <w:rtl/>
          <w:lang w:bidi="ar-EG"/>
        </w:rPr>
        <w:t>مدير</w:t>
      </w:r>
      <w:r>
        <w:rPr>
          <w:rStyle w:val="hps"/>
          <w:rFonts w:hint="cs"/>
          <w:sz w:val="22"/>
          <w:rtl/>
          <w:lang w:bidi="ar-EG"/>
        </w:rPr>
        <w:t xml:space="preserve"> الرئيسي للمنتدى الإلكتروني في عقد مناقشات والإبلاغ عن نتائج هذه المناقشات؛</w:t>
      </w:r>
    </w:p>
    <w:p w:rsidR="002170F2" w:rsidRDefault="002170F2" w:rsidP="002170F2">
      <w:pPr>
        <w:spacing w:after="100" w:line="204" w:lineRule="auto"/>
        <w:ind w:left="720"/>
        <w:jc w:val="both"/>
        <w:rPr>
          <w:rStyle w:val="hps"/>
          <w:sz w:val="22"/>
          <w:rtl/>
          <w:lang w:bidi="ar-EG"/>
        </w:rPr>
      </w:pPr>
      <w:r>
        <w:rPr>
          <w:rStyle w:val="hps"/>
          <w:rFonts w:hint="cs"/>
          <w:sz w:val="22"/>
          <w:rtl/>
          <w:lang w:bidi="ar-EG"/>
        </w:rPr>
        <w:t>(ج)</w:t>
      </w:r>
      <w:r>
        <w:rPr>
          <w:rStyle w:val="hps"/>
          <w:rFonts w:hint="cs"/>
          <w:sz w:val="22"/>
          <w:rtl/>
          <w:lang w:bidi="ar-EG"/>
        </w:rPr>
        <w:tab/>
        <w:t>القيام، رهنا بتوافر الموارد، بعقد اجتماع وجها لوجه لفريق الخبراء التقنيين المخصص بشأن تقييم المخاطر.</w:t>
      </w:r>
    </w:p>
    <w:p w:rsidR="005835D1" w:rsidRDefault="005835D1" w:rsidP="00EC7CB9">
      <w:pPr>
        <w:keepNext/>
        <w:spacing w:after="100" w:line="204" w:lineRule="auto"/>
        <w:ind w:left="720"/>
        <w:jc w:val="center"/>
        <w:rPr>
          <w:rStyle w:val="hps"/>
          <w:i/>
          <w:iCs/>
          <w:sz w:val="22"/>
          <w:rtl/>
          <w:lang w:bidi="ar-EG"/>
        </w:rPr>
      </w:pPr>
      <w:r>
        <w:rPr>
          <w:rStyle w:val="hps"/>
          <w:sz w:val="22"/>
          <w:rtl/>
          <w:lang w:bidi="ar-EG"/>
        </w:rPr>
        <w:br w:type="page"/>
      </w:r>
      <w:r>
        <w:rPr>
          <w:rStyle w:val="hps"/>
          <w:rFonts w:hint="cs"/>
          <w:i/>
          <w:iCs/>
          <w:sz w:val="22"/>
          <w:rtl/>
          <w:lang w:bidi="ar-EG"/>
        </w:rPr>
        <w:lastRenderedPageBreak/>
        <w:t>المرفق</w:t>
      </w:r>
    </w:p>
    <w:p w:rsidR="005835D1" w:rsidRDefault="005835D1" w:rsidP="00EC7CB9">
      <w:pPr>
        <w:keepNext/>
        <w:spacing w:after="100" w:line="204" w:lineRule="auto"/>
        <w:ind w:left="720"/>
        <w:jc w:val="center"/>
        <w:rPr>
          <w:rStyle w:val="hps"/>
          <w:b/>
          <w:bCs/>
          <w:sz w:val="22"/>
          <w:rtl/>
          <w:lang w:bidi="ar-EG"/>
        </w:rPr>
      </w:pPr>
      <w:r>
        <w:rPr>
          <w:rStyle w:val="hps"/>
          <w:rFonts w:hint="cs"/>
          <w:b/>
          <w:bCs/>
          <w:sz w:val="22"/>
          <w:rtl/>
          <w:lang w:bidi="ar-EG"/>
        </w:rPr>
        <w:t>تحديد قضايا محددة لتقييم مخاطر الكائنات الحية المحورة التي قد يتعين النظر فيها في المستقبل وترتيب هذه القضايا حسب الأولوية</w:t>
      </w:r>
    </w:p>
    <w:p w:rsidR="00153D05" w:rsidRPr="005835D1" w:rsidRDefault="00153D05" w:rsidP="005835D1">
      <w:pPr>
        <w:spacing w:after="100" w:line="204" w:lineRule="auto"/>
        <w:ind w:left="720"/>
        <w:jc w:val="center"/>
        <w:rPr>
          <w:rStyle w:val="hps"/>
          <w:b/>
          <w:bCs/>
          <w:sz w:val="22"/>
          <w:rtl/>
          <w:lang w:bidi="ar-EG"/>
        </w:rPr>
      </w:pPr>
    </w:p>
    <w:p w:rsidR="005835D1" w:rsidRDefault="00153D05" w:rsidP="00820D05">
      <w:pPr>
        <w:spacing w:after="120" w:line="192" w:lineRule="auto"/>
        <w:jc w:val="both"/>
        <w:rPr>
          <w:sz w:val="22"/>
          <w:rtl/>
          <w:lang w:bidi="ar-EG"/>
        </w:rPr>
      </w:pPr>
      <w:r>
        <w:rPr>
          <w:rFonts w:hint="cs"/>
          <w:sz w:val="22"/>
          <w:rtl/>
          <w:lang w:bidi="ar-EG"/>
        </w:rPr>
        <w:t xml:space="preserve">ينبغي أن تشتمل عملية التوصية بقضايا محددة لتقييم المخاطر لكي ينظر فيها مؤتمر الأطراف في بروتوكول </w:t>
      </w:r>
      <w:proofErr w:type="spellStart"/>
      <w:r>
        <w:rPr>
          <w:rFonts w:hint="cs"/>
          <w:sz w:val="22"/>
          <w:rtl/>
          <w:lang w:bidi="ar-EG"/>
        </w:rPr>
        <w:t>قرطاجنة</w:t>
      </w:r>
      <w:proofErr w:type="spellEnd"/>
      <w:r>
        <w:rPr>
          <w:rFonts w:hint="cs"/>
          <w:sz w:val="22"/>
          <w:rtl/>
          <w:lang w:bidi="ar-EG"/>
        </w:rPr>
        <w:t xml:space="preserve"> على </w:t>
      </w:r>
      <w:r w:rsidR="001A1C55">
        <w:rPr>
          <w:rFonts w:hint="cs"/>
          <w:sz w:val="22"/>
          <w:rtl/>
          <w:lang w:bidi="ar-EG"/>
        </w:rPr>
        <w:t>عملية</w:t>
      </w:r>
      <w:r>
        <w:rPr>
          <w:rFonts w:hint="cs"/>
          <w:sz w:val="22"/>
          <w:rtl/>
          <w:lang w:bidi="ar-EG"/>
        </w:rPr>
        <w:t xml:space="preserve"> تقييم لتحديد ما إذا قامت الهيئات الوطنية والإقليمية والدولية بتوفير موارد بشأن قضايا مماثلة</w:t>
      </w:r>
      <w:r w:rsidR="001A1C55">
        <w:rPr>
          <w:rFonts w:hint="cs"/>
          <w:sz w:val="22"/>
          <w:rtl/>
          <w:lang w:bidi="ar-EG"/>
        </w:rPr>
        <w:t xml:space="preserve">، وإذا كان الأمر كذلك، هل يمكن تنقيح أو تكييف هذه الموارد، حسب الاقتضاء، لكي </w:t>
      </w:r>
      <w:r w:rsidR="00820D05">
        <w:rPr>
          <w:rFonts w:hint="cs"/>
          <w:sz w:val="22"/>
          <w:rtl/>
          <w:lang w:bidi="ar-EG"/>
        </w:rPr>
        <w:t>تتناسب مع</w:t>
      </w:r>
      <w:r w:rsidR="001A1C55">
        <w:rPr>
          <w:rFonts w:hint="cs"/>
          <w:sz w:val="22"/>
          <w:rtl/>
          <w:lang w:bidi="ar-EG"/>
        </w:rPr>
        <w:t xml:space="preserve"> هدف بروتوكول </w:t>
      </w:r>
      <w:proofErr w:type="spellStart"/>
      <w:r w:rsidR="001A1C55">
        <w:rPr>
          <w:rFonts w:hint="cs"/>
          <w:sz w:val="22"/>
          <w:rtl/>
          <w:lang w:bidi="ar-EG"/>
        </w:rPr>
        <w:t>قرطاجنة</w:t>
      </w:r>
      <w:proofErr w:type="spellEnd"/>
      <w:r w:rsidR="001A1C55">
        <w:rPr>
          <w:rFonts w:hint="cs"/>
          <w:sz w:val="22"/>
          <w:rtl/>
          <w:lang w:bidi="ar-EG"/>
        </w:rPr>
        <w:t>، وعلى تحليل منظم لتقييم إلى أي مدى يمكن لهذه القضايا المحددة أن:</w:t>
      </w:r>
    </w:p>
    <w:p w:rsidR="001A1C55" w:rsidRDefault="001A1C55" w:rsidP="001A1C55">
      <w:pPr>
        <w:spacing w:after="120" w:line="192" w:lineRule="auto"/>
        <w:ind w:firstLine="720"/>
        <w:jc w:val="both"/>
        <w:rPr>
          <w:sz w:val="22"/>
          <w:rtl/>
          <w:lang w:bidi="ar-EG"/>
        </w:rPr>
      </w:pPr>
      <w:r>
        <w:rPr>
          <w:rFonts w:hint="cs"/>
          <w:sz w:val="22"/>
          <w:rtl/>
          <w:lang w:bidi="ar-EG"/>
        </w:rPr>
        <w:t>(أ)</w:t>
      </w:r>
      <w:r>
        <w:rPr>
          <w:rFonts w:hint="cs"/>
          <w:sz w:val="22"/>
          <w:rtl/>
          <w:lang w:bidi="ar-EG"/>
        </w:rPr>
        <w:tab/>
        <w:t xml:space="preserve">تدخل ضمن نطاق بروتوكول </w:t>
      </w:r>
      <w:proofErr w:type="spellStart"/>
      <w:r>
        <w:rPr>
          <w:rFonts w:hint="cs"/>
          <w:sz w:val="22"/>
          <w:rtl/>
          <w:lang w:bidi="ar-EG"/>
        </w:rPr>
        <w:t>قرطاجنة</w:t>
      </w:r>
      <w:proofErr w:type="spellEnd"/>
      <w:r>
        <w:rPr>
          <w:rFonts w:hint="cs"/>
          <w:sz w:val="22"/>
          <w:rtl/>
          <w:lang w:bidi="ar-EG"/>
        </w:rPr>
        <w:t xml:space="preserve"> وهدفه؛</w:t>
      </w:r>
    </w:p>
    <w:p w:rsidR="001A1C55" w:rsidRDefault="001A1C55" w:rsidP="001A1C55">
      <w:pPr>
        <w:spacing w:after="120" w:line="192" w:lineRule="auto"/>
        <w:ind w:firstLine="720"/>
        <w:jc w:val="both"/>
        <w:rPr>
          <w:sz w:val="22"/>
          <w:rtl/>
          <w:lang w:bidi="ar-EG"/>
        </w:rPr>
      </w:pPr>
      <w:r>
        <w:rPr>
          <w:rFonts w:hint="cs"/>
          <w:sz w:val="22"/>
          <w:rtl/>
          <w:lang w:bidi="ar-EG"/>
        </w:rPr>
        <w:t>(ب)</w:t>
      </w:r>
      <w:r>
        <w:rPr>
          <w:rFonts w:hint="cs"/>
          <w:sz w:val="22"/>
          <w:rtl/>
          <w:lang w:bidi="ar-EG"/>
        </w:rPr>
        <w:tab/>
        <w:t>تشكل تحديات على الأطر والمنهجيات الحالية لتقييم المخاطر؛</w:t>
      </w:r>
    </w:p>
    <w:p w:rsidR="001A1C55" w:rsidRDefault="001A1C55" w:rsidP="001A1C55">
      <w:pPr>
        <w:spacing w:after="120" w:line="192" w:lineRule="auto"/>
        <w:ind w:firstLine="720"/>
        <w:jc w:val="both"/>
        <w:rPr>
          <w:sz w:val="22"/>
          <w:rtl/>
          <w:lang w:bidi="ar-EG"/>
        </w:rPr>
      </w:pPr>
      <w:r>
        <w:rPr>
          <w:rFonts w:hint="cs"/>
          <w:sz w:val="22"/>
          <w:rtl/>
          <w:lang w:bidi="ar-EG"/>
        </w:rPr>
        <w:t>(ج)</w:t>
      </w:r>
      <w:r>
        <w:rPr>
          <w:rFonts w:hint="cs"/>
          <w:sz w:val="22"/>
          <w:rtl/>
          <w:lang w:bidi="ar-EG"/>
        </w:rPr>
        <w:tab/>
        <w:t>تتضمن المعارف والخبرات التقنية المتوافرة في المجتمعات العلمية بوجه عام؛</w:t>
      </w:r>
    </w:p>
    <w:p w:rsidR="001A1C55" w:rsidRDefault="001A1C55" w:rsidP="001A1C55">
      <w:pPr>
        <w:spacing w:after="120" w:line="192" w:lineRule="auto"/>
        <w:ind w:firstLine="720"/>
        <w:jc w:val="both"/>
        <w:rPr>
          <w:sz w:val="22"/>
          <w:rtl/>
          <w:lang w:bidi="ar-EG"/>
        </w:rPr>
      </w:pPr>
      <w:r>
        <w:rPr>
          <w:rFonts w:hint="cs"/>
          <w:sz w:val="22"/>
          <w:rtl/>
          <w:lang w:bidi="ar-EG"/>
        </w:rPr>
        <w:t>(د)</w:t>
      </w:r>
      <w:r>
        <w:rPr>
          <w:rFonts w:hint="cs"/>
          <w:sz w:val="22"/>
          <w:rtl/>
          <w:lang w:bidi="ar-EG"/>
        </w:rPr>
        <w:tab/>
        <w:t>تهتم بالتقنيات التي تتميز بالسرعة العالية في التطور العلمي والتكنولوجي؛</w:t>
      </w:r>
    </w:p>
    <w:p w:rsidR="001A1C55" w:rsidRDefault="001A1C55" w:rsidP="001A1C55">
      <w:pPr>
        <w:spacing w:after="120" w:line="192" w:lineRule="auto"/>
        <w:ind w:firstLine="720"/>
        <w:jc w:val="both"/>
        <w:rPr>
          <w:sz w:val="22"/>
          <w:rtl/>
          <w:lang w:bidi="ar-EG"/>
        </w:rPr>
      </w:pPr>
      <w:r>
        <w:rPr>
          <w:rFonts w:hint="cs"/>
          <w:sz w:val="22"/>
          <w:rtl/>
          <w:lang w:bidi="ar-EG"/>
        </w:rPr>
        <w:t>(ه)</w:t>
      </w:r>
      <w:r>
        <w:rPr>
          <w:rFonts w:hint="cs"/>
          <w:sz w:val="22"/>
          <w:rtl/>
          <w:lang w:bidi="ar-EG"/>
        </w:rPr>
        <w:tab/>
        <w:t>تهتم بالكائنات الحية المحورة التي:</w:t>
      </w:r>
    </w:p>
    <w:p w:rsidR="001A1C55" w:rsidRDefault="001A1C55" w:rsidP="001A1C55">
      <w:pPr>
        <w:spacing w:after="120" w:line="192" w:lineRule="auto"/>
        <w:ind w:left="2160" w:hanging="720"/>
        <w:jc w:val="both"/>
        <w:rPr>
          <w:sz w:val="22"/>
          <w:rtl/>
          <w:lang w:bidi="ar-EG"/>
        </w:rPr>
      </w:pPr>
      <w:r>
        <w:rPr>
          <w:rFonts w:hint="cs"/>
          <w:sz w:val="22"/>
          <w:rtl/>
          <w:lang w:bidi="ar-EG"/>
        </w:rPr>
        <w:t>(1)</w:t>
      </w:r>
      <w:r>
        <w:rPr>
          <w:rFonts w:hint="cs"/>
          <w:sz w:val="22"/>
          <w:rtl/>
          <w:lang w:bidi="ar-EG"/>
        </w:rPr>
        <w:tab/>
        <w:t>لها القدرة على إحداث تأثيرات ضارة خطيرة يتعذر إصلاحها على التنوع البيولوجي، مع مراعاة الحاجة الملحة إلى حماية جوانب محددة للتنوع البيولوجي من قبيل أنواع متوطنة/نادرة، أو موئل أو نظام إيكولوجي فريد؛</w:t>
      </w:r>
    </w:p>
    <w:p w:rsidR="001A1C55" w:rsidRDefault="001A1C55" w:rsidP="001A1C55">
      <w:pPr>
        <w:spacing w:after="120" w:line="192" w:lineRule="auto"/>
        <w:ind w:left="2160" w:hanging="720"/>
        <w:jc w:val="both"/>
        <w:rPr>
          <w:sz w:val="22"/>
          <w:rtl/>
          <w:lang w:bidi="ar-EG"/>
        </w:rPr>
      </w:pPr>
      <w:r>
        <w:rPr>
          <w:rFonts w:hint="cs"/>
          <w:sz w:val="22"/>
          <w:rtl/>
          <w:lang w:bidi="ar-EG"/>
        </w:rPr>
        <w:t>(2)</w:t>
      </w:r>
      <w:r>
        <w:rPr>
          <w:rFonts w:hint="cs"/>
          <w:sz w:val="22"/>
          <w:rtl/>
          <w:lang w:bidi="ar-EG"/>
        </w:rPr>
        <w:tab/>
        <w:t>قد يتم إدخالها في البيئة سواء عمدا أو دون قصد؛</w:t>
      </w:r>
    </w:p>
    <w:p w:rsidR="001A1C55" w:rsidRDefault="001A1C55" w:rsidP="001A1C55">
      <w:pPr>
        <w:spacing w:after="120" w:line="192" w:lineRule="auto"/>
        <w:ind w:left="2160" w:hanging="720"/>
        <w:jc w:val="both"/>
        <w:rPr>
          <w:sz w:val="22"/>
          <w:rtl/>
          <w:lang w:bidi="ar-EG"/>
        </w:rPr>
      </w:pPr>
      <w:r>
        <w:rPr>
          <w:rFonts w:hint="cs"/>
          <w:sz w:val="22"/>
          <w:rtl/>
          <w:lang w:bidi="ar-EG"/>
        </w:rPr>
        <w:t>(3)</w:t>
      </w:r>
      <w:r>
        <w:rPr>
          <w:rFonts w:hint="cs"/>
          <w:sz w:val="22"/>
          <w:rtl/>
          <w:lang w:bidi="ar-EG"/>
        </w:rPr>
        <w:tab/>
        <w:t>لها القدرة على الانتشار عبر الحدود الإقليمية؛</w:t>
      </w:r>
    </w:p>
    <w:p w:rsidR="001A1C55" w:rsidRPr="007219A0" w:rsidRDefault="001A1C55" w:rsidP="001A1C55">
      <w:pPr>
        <w:spacing w:after="120" w:line="192" w:lineRule="auto"/>
        <w:ind w:left="2160" w:hanging="720"/>
        <w:jc w:val="both"/>
        <w:rPr>
          <w:sz w:val="22"/>
          <w:lang w:val="en-GB" w:bidi="ar-EG"/>
        </w:rPr>
      </w:pPr>
      <w:r>
        <w:rPr>
          <w:rFonts w:hint="cs"/>
          <w:sz w:val="22"/>
          <w:rtl/>
          <w:lang w:bidi="ar-EG"/>
        </w:rPr>
        <w:t>(4)</w:t>
      </w:r>
      <w:r>
        <w:rPr>
          <w:rFonts w:hint="cs"/>
          <w:sz w:val="22"/>
          <w:rtl/>
          <w:lang w:bidi="ar-EG"/>
        </w:rPr>
        <w:tab/>
        <w:t>يجري بالفعل، أو من الممكن، تسويقها أو استخدمها في مكان ما من العالم.</w:t>
      </w:r>
      <w:r w:rsidR="009713C5">
        <w:rPr>
          <w:rFonts w:hint="cs"/>
          <w:sz w:val="22"/>
          <w:rtl/>
          <w:lang w:bidi="ar-EG"/>
        </w:rPr>
        <w:t xml:space="preserve"> </w:t>
      </w:r>
      <w:r w:rsidR="00961F28">
        <w:rPr>
          <w:rFonts w:hint="cs"/>
          <w:sz w:val="22"/>
          <w:rtl/>
          <w:lang w:bidi="ar-EG"/>
        </w:rPr>
        <w:t xml:space="preserve"> </w:t>
      </w:r>
      <w:r w:rsidR="002B253C">
        <w:rPr>
          <w:rFonts w:hint="cs"/>
          <w:sz w:val="22"/>
          <w:rtl/>
          <w:lang w:bidi="ar-EG"/>
        </w:rPr>
        <w:t xml:space="preserve"> </w:t>
      </w:r>
      <w:bookmarkStart w:id="0" w:name="_GoBack"/>
      <w:bookmarkEnd w:id="0"/>
    </w:p>
    <w:p w:rsidR="001A1C55" w:rsidRPr="002B4F51" w:rsidRDefault="001A1C55" w:rsidP="001A1C55">
      <w:pPr>
        <w:pStyle w:val="Para1"/>
        <w:numPr>
          <w:ilvl w:val="0"/>
          <w:numId w:val="0"/>
        </w:numPr>
        <w:jc w:val="center"/>
        <w:rPr>
          <w:sz w:val="24"/>
          <w:szCs w:val="24"/>
          <w:lang w:val="en-CA" w:bidi="ar-EG"/>
        </w:rPr>
      </w:pPr>
      <w:r>
        <w:rPr>
          <w:sz w:val="24"/>
          <w:szCs w:val="24"/>
        </w:rPr>
        <w:t>_</w:t>
      </w:r>
      <w:r>
        <w:rPr>
          <w:sz w:val="24"/>
          <w:szCs w:val="24"/>
          <w:lang w:val="en-CA"/>
        </w:rPr>
        <w:t>_</w:t>
      </w:r>
      <w:r>
        <w:rPr>
          <w:sz w:val="24"/>
          <w:szCs w:val="24"/>
        </w:rPr>
        <w:t>_______</w:t>
      </w:r>
    </w:p>
    <w:sectPr w:rsidR="001A1C55" w:rsidRPr="002B4F51" w:rsidSect="00B330D0">
      <w:headerReference w:type="even" r:id="rId15"/>
      <w:headerReference w:type="default" r:id="rId16"/>
      <w:headerReference w:type="first" r:id="rId17"/>
      <w:pgSz w:w="12240" w:h="15840" w:code="1"/>
      <w:pgMar w:top="964" w:right="1440" w:bottom="1021"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D6" w:rsidRDefault="00CC67D6">
      <w:r>
        <w:separator/>
      </w:r>
    </w:p>
  </w:endnote>
  <w:endnote w:type="continuationSeparator" w:id="0">
    <w:p w:rsidR="00CC67D6" w:rsidRDefault="00CC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D6" w:rsidRDefault="00CC67D6">
      <w:r>
        <w:separator/>
      </w:r>
    </w:p>
  </w:footnote>
  <w:footnote w:type="continuationSeparator" w:id="0">
    <w:p w:rsidR="00CC67D6" w:rsidRDefault="00CC67D6">
      <w:r>
        <w:continuationSeparator/>
      </w:r>
    </w:p>
  </w:footnote>
  <w:footnote w:id="1">
    <w:p w:rsidR="00752DF2" w:rsidRPr="00752DF2" w:rsidRDefault="00752DF2" w:rsidP="00752DF2">
      <w:pPr>
        <w:pStyle w:val="FootnoteText"/>
        <w:rPr>
          <w:rFonts w:hint="cs"/>
          <w:rtl/>
          <w:lang w:val="en-GB" w:bidi="ar-EG"/>
        </w:rPr>
      </w:pPr>
      <w:r>
        <w:rPr>
          <w:rStyle w:val="FootnoteReference"/>
          <w:rtl/>
        </w:rPr>
        <w:t>*</w:t>
      </w:r>
      <w:r>
        <w:rPr>
          <w:rtl/>
        </w:rPr>
        <w:t xml:space="preserve"> </w:t>
      </w:r>
      <w:r>
        <w:rPr>
          <w:rFonts w:hint="cs"/>
          <w:rtl/>
          <w:lang w:val="en-GB" w:bidi="ar-EG"/>
        </w:rPr>
        <w:t>أُعيد إصدار هذه الوثيقة في 27 مايو/أيار 2018 لأسباب تقنية.</w:t>
      </w:r>
    </w:p>
  </w:footnote>
  <w:footnote w:id="2">
    <w:p w:rsidR="00752DF2" w:rsidRDefault="00752DF2">
      <w:pPr>
        <w:pStyle w:val="FootnoteText"/>
        <w:rPr>
          <w:rFonts w:hint="cs"/>
        </w:rPr>
      </w:pPr>
      <w:r>
        <w:rPr>
          <w:rStyle w:val="FootnoteReference"/>
          <w:rtl/>
        </w:rPr>
        <w:t>**</w:t>
      </w:r>
      <w:r>
        <w:rPr>
          <w:rtl/>
        </w:rPr>
        <w:t xml:space="preserve"> </w:t>
      </w:r>
      <w:hyperlink r:id="rId1" w:history="1">
        <w:r w:rsidRPr="005820F8">
          <w:rPr>
            <w:rStyle w:val="Hyperlink"/>
            <w:szCs w:val="20"/>
            <w:lang w:val="en-CA" w:bidi="ar-EG"/>
          </w:rPr>
          <w:t>CBD/SBSTTA/22/1</w:t>
        </w:r>
      </w:hyperlink>
      <w:r w:rsidRPr="00117A4B">
        <w:rPr>
          <w:rFonts w:hint="cs"/>
          <w:szCs w:val="20"/>
          <w:rtl/>
          <w:lang w:bidi="ar-EG"/>
        </w:rPr>
        <w:t>.</w:t>
      </w:r>
    </w:p>
  </w:footnote>
  <w:footnote w:id="3">
    <w:p w:rsidR="003E18B4" w:rsidRDefault="003E18B4">
      <w:pPr>
        <w:pStyle w:val="FootnoteText"/>
      </w:pPr>
      <w:r>
        <w:rPr>
          <w:rStyle w:val="FootnoteReference"/>
        </w:rPr>
        <w:footnoteRef/>
      </w:r>
      <w:r>
        <w:rPr>
          <w:rtl/>
        </w:rPr>
        <w:t xml:space="preserve"> </w:t>
      </w:r>
      <w:hyperlink r:id="rId2" w:history="1">
        <w:r w:rsidRPr="005820F8">
          <w:rPr>
            <w:rStyle w:val="Hyperlink"/>
          </w:rPr>
          <w:t>SCBD/SPS/DC/MPM/MW/86376</w:t>
        </w:r>
      </w:hyperlink>
      <w:r>
        <w:rPr>
          <w:rFonts w:hint="cs"/>
          <w:rtl/>
        </w:rPr>
        <w:t>.</w:t>
      </w:r>
    </w:p>
  </w:footnote>
  <w:footnote w:id="4">
    <w:p w:rsidR="00576B76" w:rsidRDefault="00576B76">
      <w:pPr>
        <w:pStyle w:val="FootnoteText"/>
      </w:pPr>
      <w:r>
        <w:rPr>
          <w:rStyle w:val="FootnoteReference"/>
        </w:rPr>
        <w:footnoteRef/>
      </w:r>
      <w:r>
        <w:rPr>
          <w:rtl/>
        </w:rPr>
        <w:t xml:space="preserve"> </w:t>
      </w:r>
      <w:r w:rsidRPr="00B330D0">
        <w:rPr>
          <w:rFonts w:ascii="Simplified Arabic" w:hAnsi="Simplified Arabic" w:cs="Simplified Arabic"/>
          <w:rtl/>
        </w:rPr>
        <w:t>تُتاح المناقشات على الرابط</w:t>
      </w:r>
      <w:r>
        <w:rPr>
          <w:rFonts w:hint="cs"/>
          <w:rtl/>
        </w:rPr>
        <w:t xml:space="preserve">: </w:t>
      </w:r>
      <w:hyperlink r:id="rId3" w:history="1">
        <w:r w:rsidRPr="00355672">
          <w:rPr>
            <w:rStyle w:val="Hyperlink"/>
          </w:rPr>
          <w:t>https://bch.cbd.int/onlineconferences/forum_ra/discussion.shtml</w:t>
        </w:r>
      </w:hyperlink>
      <w:r>
        <w:rPr>
          <w:rFonts w:hint="cs"/>
          <w:rtl/>
        </w:rPr>
        <w:t>.</w:t>
      </w:r>
    </w:p>
  </w:footnote>
  <w:footnote w:id="5">
    <w:p w:rsidR="00812900" w:rsidRDefault="00812900">
      <w:pPr>
        <w:pStyle w:val="FootnoteText"/>
        <w:rPr>
          <w:lang w:bidi="ar-EG"/>
        </w:rPr>
      </w:pPr>
      <w:r>
        <w:rPr>
          <w:rStyle w:val="FootnoteReference"/>
        </w:rPr>
        <w:footnoteRef/>
      </w:r>
      <w:r>
        <w:rPr>
          <w:rtl/>
        </w:rPr>
        <w:t xml:space="preserve"> </w:t>
      </w:r>
      <w:hyperlink r:id="rId4" w:history="1">
        <w:r w:rsidRPr="00093DDC">
          <w:rPr>
            <w:rStyle w:val="Hyperlink"/>
            <w:sz w:val="18"/>
            <w:szCs w:val="18"/>
          </w:rPr>
          <w:t>https://bch.cbd.int/onlineconferences/forum_ra/peer-review.shtml</w:t>
        </w:r>
      </w:hyperlink>
      <w:r>
        <w:rPr>
          <w:rFonts w:hint="cs"/>
          <w:rtl/>
        </w:rPr>
        <w:t>.</w:t>
      </w:r>
    </w:p>
  </w:footnote>
  <w:footnote w:id="6">
    <w:p w:rsidR="007D2C69" w:rsidRDefault="007D2C69">
      <w:pPr>
        <w:pStyle w:val="FootnoteText"/>
      </w:pPr>
      <w:r>
        <w:rPr>
          <w:rStyle w:val="FootnoteReference"/>
        </w:rPr>
        <w:footnoteRef/>
      </w:r>
      <w:r>
        <w:rPr>
          <w:rtl/>
        </w:rPr>
        <w:t xml:space="preserve"> </w:t>
      </w:r>
      <w:r w:rsidRPr="00B330D0">
        <w:rPr>
          <w:rFonts w:ascii="Simplified Arabic" w:hAnsi="Simplified Arabic" w:cs="Simplified Arabic"/>
          <w:rtl/>
        </w:rPr>
        <w:t>انظر الوثيقة</w:t>
      </w:r>
      <w:r>
        <w:rPr>
          <w:rFonts w:hint="cs"/>
          <w:rtl/>
        </w:rPr>
        <w:t xml:space="preserve"> </w:t>
      </w:r>
      <w:r>
        <w:rPr>
          <w:kern w:val="22"/>
        </w:rPr>
        <w:t>CBD/SBSTTA/22/4</w:t>
      </w:r>
      <w:r>
        <w:rPr>
          <w:rFonts w:hint="cs"/>
          <w:rtl/>
        </w:rPr>
        <w:t>.</w:t>
      </w:r>
    </w:p>
  </w:footnote>
  <w:footnote w:id="7">
    <w:p w:rsidR="005820F8" w:rsidRDefault="005820F8">
      <w:pPr>
        <w:pStyle w:val="FootnoteText"/>
        <w:rPr>
          <w:lang w:bidi="ar-EG"/>
        </w:rPr>
      </w:pPr>
      <w:r>
        <w:rPr>
          <w:rStyle w:val="FootnoteReference"/>
        </w:rPr>
        <w:footnoteRef/>
      </w:r>
      <w:r>
        <w:rPr>
          <w:rtl/>
        </w:rPr>
        <w:t xml:space="preserve"> </w:t>
      </w:r>
      <w:hyperlink r:id="rId5" w:history="1">
        <w:r w:rsidRPr="005820F8">
          <w:rPr>
            <w:rStyle w:val="Hyperlink"/>
            <w:rFonts w:ascii="Simplified Arabic" w:hAnsi="Simplified Arabic" w:cs="Simplified Arabic" w:hint="cs"/>
            <w:rtl/>
          </w:rPr>
          <w:t>المقرر</w:t>
        </w:r>
        <w:r w:rsidRPr="005820F8">
          <w:rPr>
            <w:rStyle w:val="Hyperlink"/>
            <w:rFonts w:hint="cs"/>
            <w:rtl/>
          </w:rPr>
          <w:t xml:space="preserve"> 8/10</w:t>
        </w:r>
      </w:hyperlink>
      <w:r>
        <w:rPr>
          <w:rFonts w:hint="cs"/>
          <w:rtl/>
        </w:rPr>
        <w:t>، المرفق الثالث.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41" w:rsidRPr="006B57BC" w:rsidRDefault="00B330D0" w:rsidP="002B4F51">
    <w:pPr>
      <w:tabs>
        <w:tab w:val="left" w:pos="6379"/>
      </w:tabs>
      <w:bidi w:val="0"/>
      <w:ind w:left="6237" w:hanging="477"/>
      <w:jc w:val="right"/>
      <w:rPr>
        <w:sz w:val="22"/>
        <w:szCs w:val="22"/>
      </w:rPr>
    </w:pPr>
    <w:r w:rsidRPr="00650EFC">
      <w:rPr>
        <w:sz w:val="22"/>
        <w:szCs w:val="22"/>
      </w:rPr>
      <w:t>CBD/SBSTTA/</w:t>
    </w:r>
    <w:r w:rsidRPr="00650EFC">
      <w:rPr>
        <w:sz w:val="22"/>
        <w:szCs w:val="22"/>
        <w:lang w:bidi="ar-EG"/>
      </w:rPr>
      <w:t>2</w:t>
    </w:r>
    <w:r>
      <w:rPr>
        <w:sz w:val="22"/>
        <w:szCs w:val="22"/>
        <w:lang w:bidi="ar-EG"/>
      </w:rPr>
      <w:t>2</w:t>
    </w:r>
    <w:r w:rsidRPr="00650EFC">
      <w:rPr>
        <w:rFonts w:cs="Times New Roman"/>
        <w:sz w:val="22"/>
        <w:szCs w:val="22"/>
        <w:lang w:bidi="ar-EG"/>
      </w:rPr>
      <w:t>/</w:t>
    </w:r>
    <w:r>
      <w:rPr>
        <w:rFonts w:cs="Times New Roman"/>
        <w:sz w:val="22"/>
        <w:szCs w:val="22"/>
        <w:lang w:bidi="ar-EG"/>
      </w:rPr>
      <w:t>3</w:t>
    </w:r>
  </w:p>
  <w:p w:rsidR="00B02441" w:rsidRPr="00084BB4" w:rsidRDefault="00B02441" w:rsidP="00B30E50">
    <w:pPr>
      <w:tabs>
        <w:tab w:val="left" w:pos="6379"/>
      </w:tabs>
      <w:bidi w:val="0"/>
      <w:ind w:left="6237"/>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7219A0">
      <w:rPr>
        <w:noProof/>
        <w:sz w:val="22"/>
        <w:szCs w:val="22"/>
      </w:rPr>
      <w:t>4</w:t>
    </w:r>
    <w:r w:rsidRPr="00BF5722">
      <w:rPr>
        <w:sz w:val="22"/>
        <w:szCs w:val="22"/>
      </w:rPr>
      <w:fldChar w:fldCharType="end"/>
    </w:r>
  </w:p>
  <w:p w:rsidR="00B02441" w:rsidRPr="00FF65D5" w:rsidRDefault="00B02441" w:rsidP="00B30E50">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41" w:rsidRPr="00176BCC" w:rsidRDefault="00B330D0" w:rsidP="002462D4">
    <w:pPr>
      <w:tabs>
        <w:tab w:val="left" w:pos="6379"/>
      </w:tabs>
      <w:bidi w:val="0"/>
      <w:jc w:val="left"/>
      <w:rPr>
        <w:sz w:val="22"/>
        <w:szCs w:val="22"/>
        <w:lang w:val="en-CA"/>
      </w:rPr>
    </w:pPr>
    <w:r w:rsidRPr="00650EFC">
      <w:rPr>
        <w:sz w:val="22"/>
        <w:szCs w:val="22"/>
      </w:rPr>
      <w:t>CBD/SBSTTA/</w:t>
    </w:r>
    <w:r w:rsidRPr="00650EFC">
      <w:rPr>
        <w:sz w:val="22"/>
        <w:szCs w:val="22"/>
        <w:lang w:bidi="ar-EG"/>
      </w:rPr>
      <w:t>2</w:t>
    </w:r>
    <w:r>
      <w:rPr>
        <w:sz w:val="22"/>
        <w:szCs w:val="22"/>
        <w:lang w:bidi="ar-EG"/>
      </w:rPr>
      <w:t>2</w:t>
    </w:r>
    <w:r w:rsidRPr="00650EFC">
      <w:rPr>
        <w:rFonts w:cs="Times New Roman"/>
        <w:sz w:val="22"/>
        <w:szCs w:val="22"/>
        <w:lang w:bidi="ar-EG"/>
      </w:rPr>
      <w:t>/</w:t>
    </w:r>
    <w:r>
      <w:rPr>
        <w:rFonts w:cs="Times New Roman"/>
        <w:sz w:val="22"/>
        <w:szCs w:val="22"/>
        <w:lang w:bidi="ar-EG"/>
      </w:rPr>
      <w:t>3</w:t>
    </w:r>
  </w:p>
  <w:p w:rsidR="00B02441" w:rsidRPr="00084BB4" w:rsidRDefault="00B02441" w:rsidP="00FF65D5">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7219A0">
      <w:rPr>
        <w:noProof/>
        <w:sz w:val="22"/>
        <w:szCs w:val="22"/>
      </w:rPr>
      <w:t>5</w:t>
    </w:r>
    <w:r w:rsidRPr="00BF5722">
      <w:rPr>
        <w:sz w:val="22"/>
        <w:szCs w:val="22"/>
      </w:rPr>
      <w:fldChar w:fldCharType="end"/>
    </w:r>
  </w:p>
  <w:p w:rsidR="00B02441" w:rsidRPr="00FF65D5" w:rsidRDefault="00B02441" w:rsidP="00FF6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41" w:rsidRPr="00084BB4" w:rsidRDefault="00B02441" w:rsidP="00FF65D5">
    <w:pPr>
      <w:tabs>
        <w:tab w:val="left" w:pos="6379"/>
      </w:tabs>
      <w:bidi w:val="0"/>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87F4A"/>
    <w:multiLevelType w:val="hybridMultilevel"/>
    <w:tmpl w:val="C278F9AE"/>
    <w:lvl w:ilvl="0" w:tplc="F9806AA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5864B1"/>
    <w:multiLevelType w:val="hybridMultilevel"/>
    <w:tmpl w:val="BE9E2D60"/>
    <w:lvl w:ilvl="0" w:tplc="2592DA28">
      <w:start w:val="1"/>
      <w:numFmt w:val="decimal"/>
      <w:lvlText w:val="%1-"/>
      <w:lvlJc w:val="left"/>
      <w:pPr>
        <w:ind w:left="1786" w:hanging="720"/>
      </w:pPr>
    </w:lvl>
    <w:lvl w:ilvl="1" w:tplc="10090019">
      <w:start w:val="1"/>
      <w:numFmt w:val="lowerLetter"/>
      <w:lvlText w:val="%2."/>
      <w:lvlJc w:val="left"/>
      <w:pPr>
        <w:ind w:left="2146" w:hanging="360"/>
      </w:pPr>
    </w:lvl>
    <w:lvl w:ilvl="2" w:tplc="1009001B">
      <w:start w:val="1"/>
      <w:numFmt w:val="lowerRoman"/>
      <w:lvlText w:val="%3."/>
      <w:lvlJc w:val="right"/>
      <w:pPr>
        <w:ind w:left="2866" w:hanging="180"/>
      </w:pPr>
    </w:lvl>
    <w:lvl w:ilvl="3" w:tplc="1009000F">
      <w:start w:val="1"/>
      <w:numFmt w:val="decimal"/>
      <w:lvlText w:val="%4."/>
      <w:lvlJc w:val="left"/>
      <w:pPr>
        <w:ind w:left="3586" w:hanging="360"/>
      </w:pPr>
    </w:lvl>
    <w:lvl w:ilvl="4" w:tplc="10090019">
      <w:start w:val="1"/>
      <w:numFmt w:val="lowerLetter"/>
      <w:lvlText w:val="%5."/>
      <w:lvlJc w:val="left"/>
      <w:pPr>
        <w:ind w:left="4306" w:hanging="360"/>
      </w:pPr>
    </w:lvl>
    <w:lvl w:ilvl="5" w:tplc="1009001B">
      <w:start w:val="1"/>
      <w:numFmt w:val="lowerRoman"/>
      <w:lvlText w:val="%6."/>
      <w:lvlJc w:val="right"/>
      <w:pPr>
        <w:ind w:left="5026" w:hanging="180"/>
      </w:pPr>
    </w:lvl>
    <w:lvl w:ilvl="6" w:tplc="1009000F">
      <w:start w:val="1"/>
      <w:numFmt w:val="decimal"/>
      <w:lvlText w:val="%7."/>
      <w:lvlJc w:val="left"/>
      <w:pPr>
        <w:ind w:left="5746" w:hanging="360"/>
      </w:pPr>
    </w:lvl>
    <w:lvl w:ilvl="7" w:tplc="10090019">
      <w:start w:val="1"/>
      <w:numFmt w:val="lowerLetter"/>
      <w:lvlText w:val="%8."/>
      <w:lvlJc w:val="left"/>
      <w:pPr>
        <w:ind w:left="6466" w:hanging="360"/>
      </w:pPr>
    </w:lvl>
    <w:lvl w:ilvl="8" w:tplc="1009001B">
      <w:start w:val="1"/>
      <w:numFmt w:val="lowerRoman"/>
      <w:lvlText w:val="%9."/>
      <w:lvlJc w:val="right"/>
      <w:pPr>
        <w:ind w:left="7186" w:hanging="180"/>
      </w:pPr>
    </w:lvl>
  </w:abstractNum>
  <w:abstractNum w:abstractNumId="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6"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10"/>
  </w:num>
  <w:num w:numId="3">
    <w:abstractNumId w:val="7"/>
  </w:num>
  <w:num w:numId="4">
    <w:abstractNumId w:val="6"/>
  </w:num>
  <w:num w:numId="5">
    <w:abstractNumId w:val="0"/>
  </w:num>
  <w:num w:numId="6">
    <w:abstractNumId w:val="3"/>
  </w:num>
  <w:num w:numId="7">
    <w:abstractNumId w:val="9"/>
  </w:num>
  <w:num w:numId="8">
    <w:abstractNumId w:val="11"/>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8"/>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24"/>
    <w:rsid w:val="00000127"/>
    <w:rsid w:val="00001033"/>
    <w:rsid w:val="00001335"/>
    <w:rsid w:val="00001FD1"/>
    <w:rsid w:val="0000220F"/>
    <w:rsid w:val="000039B6"/>
    <w:rsid w:val="000047DC"/>
    <w:rsid w:val="00004E02"/>
    <w:rsid w:val="00004F1B"/>
    <w:rsid w:val="000056A7"/>
    <w:rsid w:val="00005C6B"/>
    <w:rsid w:val="00006287"/>
    <w:rsid w:val="0000629F"/>
    <w:rsid w:val="00006B3C"/>
    <w:rsid w:val="00007338"/>
    <w:rsid w:val="0000770F"/>
    <w:rsid w:val="00007E58"/>
    <w:rsid w:val="00010174"/>
    <w:rsid w:val="00010F2A"/>
    <w:rsid w:val="000144D3"/>
    <w:rsid w:val="00014C62"/>
    <w:rsid w:val="00014DC6"/>
    <w:rsid w:val="00015DC4"/>
    <w:rsid w:val="00016B4E"/>
    <w:rsid w:val="00017621"/>
    <w:rsid w:val="00017D1A"/>
    <w:rsid w:val="000213DE"/>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4A6"/>
    <w:rsid w:val="00033F9A"/>
    <w:rsid w:val="00034043"/>
    <w:rsid w:val="00034910"/>
    <w:rsid w:val="0003607A"/>
    <w:rsid w:val="00036F64"/>
    <w:rsid w:val="000408ED"/>
    <w:rsid w:val="00040FA5"/>
    <w:rsid w:val="00041299"/>
    <w:rsid w:val="000418B0"/>
    <w:rsid w:val="00041FD9"/>
    <w:rsid w:val="00043D1B"/>
    <w:rsid w:val="00044AAF"/>
    <w:rsid w:val="00044EB4"/>
    <w:rsid w:val="0004504F"/>
    <w:rsid w:val="00045E3C"/>
    <w:rsid w:val="00046170"/>
    <w:rsid w:val="0004712C"/>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3D8B"/>
    <w:rsid w:val="00064142"/>
    <w:rsid w:val="00064701"/>
    <w:rsid w:val="000647C5"/>
    <w:rsid w:val="00065187"/>
    <w:rsid w:val="000659D4"/>
    <w:rsid w:val="00065D74"/>
    <w:rsid w:val="00065EAD"/>
    <w:rsid w:val="00066168"/>
    <w:rsid w:val="000673FE"/>
    <w:rsid w:val="00070DE2"/>
    <w:rsid w:val="00070EF1"/>
    <w:rsid w:val="00071AA3"/>
    <w:rsid w:val="00072556"/>
    <w:rsid w:val="000730AE"/>
    <w:rsid w:val="0007477C"/>
    <w:rsid w:val="000748F0"/>
    <w:rsid w:val="00074A52"/>
    <w:rsid w:val="00075A8A"/>
    <w:rsid w:val="000770F3"/>
    <w:rsid w:val="000777DF"/>
    <w:rsid w:val="00077DAB"/>
    <w:rsid w:val="0008009F"/>
    <w:rsid w:val="00080B30"/>
    <w:rsid w:val="00081999"/>
    <w:rsid w:val="000839A2"/>
    <w:rsid w:val="00084BB4"/>
    <w:rsid w:val="00085341"/>
    <w:rsid w:val="000858CA"/>
    <w:rsid w:val="000867EE"/>
    <w:rsid w:val="00086ADE"/>
    <w:rsid w:val="0008758D"/>
    <w:rsid w:val="00087C19"/>
    <w:rsid w:val="000904A8"/>
    <w:rsid w:val="000916BE"/>
    <w:rsid w:val="00091948"/>
    <w:rsid w:val="00092667"/>
    <w:rsid w:val="0009290C"/>
    <w:rsid w:val="00093760"/>
    <w:rsid w:val="00093B35"/>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661"/>
    <w:rsid w:val="000A1E30"/>
    <w:rsid w:val="000A2405"/>
    <w:rsid w:val="000A395A"/>
    <w:rsid w:val="000A52DA"/>
    <w:rsid w:val="000A5398"/>
    <w:rsid w:val="000A5B08"/>
    <w:rsid w:val="000A776F"/>
    <w:rsid w:val="000A792D"/>
    <w:rsid w:val="000B013A"/>
    <w:rsid w:val="000B0213"/>
    <w:rsid w:val="000B100E"/>
    <w:rsid w:val="000B1E61"/>
    <w:rsid w:val="000B1E95"/>
    <w:rsid w:val="000B2606"/>
    <w:rsid w:val="000B3249"/>
    <w:rsid w:val="000B3997"/>
    <w:rsid w:val="000B4102"/>
    <w:rsid w:val="000B4A2B"/>
    <w:rsid w:val="000B4E04"/>
    <w:rsid w:val="000B5A15"/>
    <w:rsid w:val="000B5A66"/>
    <w:rsid w:val="000B5A77"/>
    <w:rsid w:val="000B61A8"/>
    <w:rsid w:val="000B731D"/>
    <w:rsid w:val="000B737A"/>
    <w:rsid w:val="000B7D90"/>
    <w:rsid w:val="000C1221"/>
    <w:rsid w:val="000C1320"/>
    <w:rsid w:val="000C14D0"/>
    <w:rsid w:val="000C1FF3"/>
    <w:rsid w:val="000C2493"/>
    <w:rsid w:val="000C2729"/>
    <w:rsid w:val="000C2D35"/>
    <w:rsid w:val="000C2D6E"/>
    <w:rsid w:val="000C34D2"/>
    <w:rsid w:val="000C381A"/>
    <w:rsid w:val="000C3D18"/>
    <w:rsid w:val="000C4896"/>
    <w:rsid w:val="000C48B3"/>
    <w:rsid w:val="000C49C5"/>
    <w:rsid w:val="000C5662"/>
    <w:rsid w:val="000C697A"/>
    <w:rsid w:val="000C6F97"/>
    <w:rsid w:val="000D09E6"/>
    <w:rsid w:val="000D0AAE"/>
    <w:rsid w:val="000D0AC3"/>
    <w:rsid w:val="000D0E3C"/>
    <w:rsid w:val="000D18D7"/>
    <w:rsid w:val="000D19AB"/>
    <w:rsid w:val="000D1FD4"/>
    <w:rsid w:val="000D2896"/>
    <w:rsid w:val="000D481D"/>
    <w:rsid w:val="000D48C6"/>
    <w:rsid w:val="000D4B21"/>
    <w:rsid w:val="000D6011"/>
    <w:rsid w:val="000D707B"/>
    <w:rsid w:val="000D7524"/>
    <w:rsid w:val="000E0176"/>
    <w:rsid w:val="000E01B6"/>
    <w:rsid w:val="000E01D6"/>
    <w:rsid w:val="000E1BBD"/>
    <w:rsid w:val="000E1BD9"/>
    <w:rsid w:val="000E272A"/>
    <w:rsid w:val="000E2BE2"/>
    <w:rsid w:val="000E33F7"/>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5748"/>
    <w:rsid w:val="000F58C1"/>
    <w:rsid w:val="000F5B3D"/>
    <w:rsid w:val="000F7C9C"/>
    <w:rsid w:val="001000A9"/>
    <w:rsid w:val="00100918"/>
    <w:rsid w:val="00101DD4"/>
    <w:rsid w:val="00102599"/>
    <w:rsid w:val="00103222"/>
    <w:rsid w:val="00103AE0"/>
    <w:rsid w:val="0010432E"/>
    <w:rsid w:val="001044C2"/>
    <w:rsid w:val="001061E2"/>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A4B"/>
    <w:rsid w:val="00117DE2"/>
    <w:rsid w:val="00117E49"/>
    <w:rsid w:val="0012044D"/>
    <w:rsid w:val="001207B2"/>
    <w:rsid w:val="0012117C"/>
    <w:rsid w:val="00121E3A"/>
    <w:rsid w:val="00122BDE"/>
    <w:rsid w:val="001243B6"/>
    <w:rsid w:val="00126DCB"/>
    <w:rsid w:val="001306C4"/>
    <w:rsid w:val="00130D85"/>
    <w:rsid w:val="00131C2E"/>
    <w:rsid w:val="00132236"/>
    <w:rsid w:val="001333F6"/>
    <w:rsid w:val="0013397B"/>
    <w:rsid w:val="001344FD"/>
    <w:rsid w:val="001359E9"/>
    <w:rsid w:val="00136622"/>
    <w:rsid w:val="001367D4"/>
    <w:rsid w:val="00136BDC"/>
    <w:rsid w:val="001376BF"/>
    <w:rsid w:val="0014028D"/>
    <w:rsid w:val="00140467"/>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BE8"/>
    <w:rsid w:val="0014606A"/>
    <w:rsid w:val="00146A70"/>
    <w:rsid w:val="00146C0B"/>
    <w:rsid w:val="0014701D"/>
    <w:rsid w:val="0015389D"/>
    <w:rsid w:val="00153A4B"/>
    <w:rsid w:val="00153D05"/>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1CC9"/>
    <w:rsid w:val="001728CF"/>
    <w:rsid w:val="00172EF1"/>
    <w:rsid w:val="00173FC2"/>
    <w:rsid w:val="00176BCC"/>
    <w:rsid w:val="0017757C"/>
    <w:rsid w:val="00177826"/>
    <w:rsid w:val="00181A29"/>
    <w:rsid w:val="00181C37"/>
    <w:rsid w:val="00182117"/>
    <w:rsid w:val="00183A60"/>
    <w:rsid w:val="00183B25"/>
    <w:rsid w:val="00184104"/>
    <w:rsid w:val="001842C5"/>
    <w:rsid w:val="0018508B"/>
    <w:rsid w:val="00185827"/>
    <w:rsid w:val="00185DC3"/>
    <w:rsid w:val="00186890"/>
    <w:rsid w:val="00187013"/>
    <w:rsid w:val="001904F0"/>
    <w:rsid w:val="001905D4"/>
    <w:rsid w:val="001910DD"/>
    <w:rsid w:val="001910F3"/>
    <w:rsid w:val="00191391"/>
    <w:rsid w:val="0019279D"/>
    <w:rsid w:val="0019349C"/>
    <w:rsid w:val="00194B47"/>
    <w:rsid w:val="00195913"/>
    <w:rsid w:val="001964E7"/>
    <w:rsid w:val="00197CD2"/>
    <w:rsid w:val="001A0740"/>
    <w:rsid w:val="001A0BB5"/>
    <w:rsid w:val="001A1396"/>
    <w:rsid w:val="001A1C55"/>
    <w:rsid w:val="001A2111"/>
    <w:rsid w:val="001A3186"/>
    <w:rsid w:val="001A3254"/>
    <w:rsid w:val="001A46DB"/>
    <w:rsid w:val="001A4A2D"/>
    <w:rsid w:val="001A54D5"/>
    <w:rsid w:val="001A5503"/>
    <w:rsid w:val="001A68D9"/>
    <w:rsid w:val="001A7344"/>
    <w:rsid w:val="001A79A3"/>
    <w:rsid w:val="001B2191"/>
    <w:rsid w:val="001B2595"/>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7D"/>
    <w:rsid w:val="001C5AEE"/>
    <w:rsid w:val="001C6CFD"/>
    <w:rsid w:val="001C7861"/>
    <w:rsid w:val="001C7BD2"/>
    <w:rsid w:val="001C7F36"/>
    <w:rsid w:val="001D0DF6"/>
    <w:rsid w:val="001D3924"/>
    <w:rsid w:val="001D45C6"/>
    <w:rsid w:val="001D5549"/>
    <w:rsid w:val="001D6114"/>
    <w:rsid w:val="001D6EAC"/>
    <w:rsid w:val="001D7ADB"/>
    <w:rsid w:val="001E0D3A"/>
    <w:rsid w:val="001E1B00"/>
    <w:rsid w:val="001E3A23"/>
    <w:rsid w:val="001E3DC9"/>
    <w:rsid w:val="001E6145"/>
    <w:rsid w:val="001E6E2F"/>
    <w:rsid w:val="001E720C"/>
    <w:rsid w:val="001E755B"/>
    <w:rsid w:val="001E75AC"/>
    <w:rsid w:val="001F05BB"/>
    <w:rsid w:val="001F116D"/>
    <w:rsid w:val="001F1A9B"/>
    <w:rsid w:val="001F3917"/>
    <w:rsid w:val="001F3B35"/>
    <w:rsid w:val="001F550E"/>
    <w:rsid w:val="001F6492"/>
    <w:rsid w:val="001F655A"/>
    <w:rsid w:val="001F7070"/>
    <w:rsid w:val="001F70BC"/>
    <w:rsid w:val="001F7699"/>
    <w:rsid w:val="001F7E62"/>
    <w:rsid w:val="00200285"/>
    <w:rsid w:val="002008DD"/>
    <w:rsid w:val="00200B4B"/>
    <w:rsid w:val="00202230"/>
    <w:rsid w:val="0020291E"/>
    <w:rsid w:val="00202A7D"/>
    <w:rsid w:val="00202FBD"/>
    <w:rsid w:val="0020597A"/>
    <w:rsid w:val="0020663F"/>
    <w:rsid w:val="0020679B"/>
    <w:rsid w:val="00206C65"/>
    <w:rsid w:val="0020757C"/>
    <w:rsid w:val="00207B78"/>
    <w:rsid w:val="00212288"/>
    <w:rsid w:val="00213677"/>
    <w:rsid w:val="00214074"/>
    <w:rsid w:val="00215B52"/>
    <w:rsid w:val="00215CDC"/>
    <w:rsid w:val="00216892"/>
    <w:rsid w:val="00216CC5"/>
    <w:rsid w:val="00216D4D"/>
    <w:rsid w:val="002170F2"/>
    <w:rsid w:val="00217152"/>
    <w:rsid w:val="0021743C"/>
    <w:rsid w:val="0022077F"/>
    <w:rsid w:val="002207FF"/>
    <w:rsid w:val="0022129C"/>
    <w:rsid w:val="002214C4"/>
    <w:rsid w:val="00221F29"/>
    <w:rsid w:val="002224DB"/>
    <w:rsid w:val="00222D10"/>
    <w:rsid w:val="002237BC"/>
    <w:rsid w:val="00224D4B"/>
    <w:rsid w:val="00224E4C"/>
    <w:rsid w:val="0022666F"/>
    <w:rsid w:val="00227066"/>
    <w:rsid w:val="002273B3"/>
    <w:rsid w:val="002276F7"/>
    <w:rsid w:val="00227E29"/>
    <w:rsid w:val="00230B45"/>
    <w:rsid w:val="002328A5"/>
    <w:rsid w:val="00232DEC"/>
    <w:rsid w:val="002366DF"/>
    <w:rsid w:val="0024021E"/>
    <w:rsid w:val="0024076D"/>
    <w:rsid w:val="00240788"/>
    <w:rsid w:val="00241753"/>
    <w:rsid w:val="00241D35"/>
    <w:rsid w:val="002425E8"/>
    <w:rsid w:val="00243136"/>
    <w:rsid w:val="00244971"/>
    <w:rsid w:val="0024513B"/>
    <w:rsid w:val="002462D4"/>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22E7"/>
    <w:rsid w:val="00262590"/>
    <w:rsid w:val="002628E7"/>
    <w:rsid w:val="00262988"/>
    <w:rsid w:val="00262C67"/>
    <w:rsid w:val="002632E2"/>
    <w:rsid w:val="00264564"/>
    <w:rsid w:val="002658A1"/>
    <w:rsid w:val="00265A5D"/>
    <w:rsid w:val="00265BBA"/>
    <w:rsid w:val="00266161"/>
    <w:rsid w:val="00267D60"/>
    <w:rsid w:val="00267DD1"/>
    <w:rsid w:val="00267F40"/>
    <w:rsid w:val="00270F95"/>
    <w:rsid w:val="00271024"/>
    <w:rsid w:val="00271F2D"/>
    <w:rsid w:val="00272866"/>
    <w:rsid w:val="00272959"/>
    <w:rsid w:val="00272DEB"/>
    <w:rsid w:val="0027387D"/>
    <w:rsid w:val="00273A8B"/>
    <w:rsid w:val="00273E98"/>
    <w:rsid w:val="00275585"/>
    <w:rsid w:val="00275B93"/>
    <w:rsid w:val="00276E61"/>
    <w:rsid w:val="002770CA"/>
    <w:rsid w:val="0027728D"/>
    <w:rsid w:val="002805CE"/>
    <w:rsid w:val="002807C8"/>
    <w:rsid w:val="002813E7"/>
    <w:rsid w:val="0028187C"/>
    <w:rsid w:val="00282461"/>
    <w:rsid w:val="00282D8E"/>
    <w:rsid w:val="00282EC5"/>
    <w:rsid w:val="00283D43"/>
    <w:rsid w:val="00285E6A"/>
    <w:rsid w:val="00286468"/>
    <w:rsid w:val="00286812"/>
    <w:rsid w:val="00286ED1"/>
    <w:rsid w:val="00287EAE"/>
    <w:rsid w:val="00287F71"/>
    <w:rsid w:val="00290527"/>
    <w:rsid w:val="00290B5C"/>
    <w:rsid w:val="0029356F"/>
    <w:rsid w:val="00293A63"/>
    <w:rsid w:val="00294864"/>
    <w:rsid w:val="00294B37"/>
    <w:rsid w:val="00296069"/>
    <w:rsid w:val="002963EB"/>
    <w:rsid w:val="0029669D"/>
    <w:rsid w:val="002A04CE"/>
    <w:rsid w:val="002A202D"/>
    <w:rsid w:val="002A265B"/>
    <w:rsid w:val="002A27D4"/>
    <w:rsid w:val="002A28DA"/>
    <w:rsid w:val="002A2E4B"/>
    <w:rsid w:val="002A333C"/>
    <w:rsid w:val="002A397D"/>
    <w:rsid w:val="002A434B"/>
    <w:rsid w:val="002A4553"/>
    <w:rsid w:val="002A4572"/>
    <w:rsid w:val="002A4D72"/>
    <w:rsid w:val="002A6240"/>
    <w:rsid w:val="002A646F"/>
    <w:rsid w:val="002A6E58"/>
    <w:rsid w:val="002A7996"/>
    <w:rsid w:val="002B1D05"/>
    <w:rsid w:val="002B1DAE"/>
    <w:rsid w:val="002B253C"/>
    <w:rsid w:val="002B2CD5"/>
    <w:rsid w:val="002B2EB6"/>
    <w:rsid w:val="002B3414"/>
    <w:rsid w:val="002B3C22"/>
    <w:rsid w:val="002B415A"/>
    <w:rsid w:val="002B4F51"/>
    <w:rsid w:val="002B52B4"/>
    <w:rsid w:val="002B6431"/>
    <w:rsid w:val="002B6A2F"/>
    <w:rsid w:val="002B6AE5"/>
    <w:rsid w:val="002C0932"/>
    <w:rsid w:val="002C0EA1"/>
    <w:rsid w:val="002C12CA"/>
    <w:rsid w:val="002C34CE"/>
    <w:rsid w:val="002C3CE2"/>
    <w:rsid w:val="002C4F7A"/>
    <w:rsid w:val="002C5A7E"/>
    <w:rsid w:val="002C62C6"/>
    <w:rsid w:val="002C7811"/>
    <w:rsid w:val="002D04AA"/>
    <w:rsid w:val="002D0B34"/>
    <w:rsid w:val="002D0C4E"/>
    <w:rsid w:val="002D1ADE"/>
    <w:rsid w:val="002D1D6B"/>
    <w:rsid w:val="002D2302"/>
    <w:rsid w:val="002D24DC"/>
    <w:rsid w:val="002D25F5"/>
    <w:rsid w:val="002D2F37"/>
    <w:rsid w:val="002D3EE9"/>
    <w:rsid w:val="002D4279"/>
    <w:rsid w:val="002D448F"/>
    <w:rsid w:val="002D4A9A"/>
    <w:rsid w:val="002D56EB"/>
    <w:rsid w:val="002D5C13"/>
    <w:rsid w:val="002D5C2C"/>
    <w:rsid w:val="002D6006"/>
    <w:rsid w:val="002D677E"/>
    <w:rsid w:val="002D7DA9"/>
    <w:rsid w:val="002E0C4A"/>
    <w:rsid w:val="002E0D57"/>
    <w:rsid w:val="002E228C"/>
    <w:rsid w:val="002E2443"/>
    <w:rsid w:val="002E2B45"/>
    <w:rsid w:val="002E32D6"/>
    <w:rsid w:val="002E4241"/>
    <w:rsid w:val="002E5922"/>
    <w:rsid w:val="002E5BAA"/>
    <w:rsid w:val="002E5E37"/>
    <w:rsid w:val="002E6312"/>
    <w:rsid w:val="002E78F5"/>
    <w:rsid w:val="002E7ED3"/>
    <w:rsid w:val="002F05DD"/>
    <w:rsid w:val="002F159D"/>
    <w:rsid w:val="002F159E"/>
    <w:rsid w:val="002F1744"/>
    <w:rsid w:val="002F437F"/>
    <w:rsid w:val="002F438B"/>
    <w:rsid w:val="002F4DB8"/>
    <w:rsid w:val="002F51C1"/>
    <w:rsid w:val="002F5DFE"/>
    <w:rsid w:val="002F6084"/>
    <w:rsid w:val="002F7451"/>
    <w:rsid w:val="0030012E"/>
    <w:rsid w:val="00300A5B"/>
    <w:rsid w:val="00300E35"/>
    <w:rsid w:val="003020FD"/>
    <w:rsid w:val="003025BD"/>
    <w:rsid w:val="003047D0"/>
    <w:rsid w:val="00306C34"/>
    <w:rsid w:val="003071F4"/>
    <w:rsid w:val="00310720"/>
    <w:rsid w:val="003110D1"/>
    <w:rsid w:val="003111B5"/>
    <w:rsid w:val="0031220C"/>
    <w:rsid w:val="0031246C"/>
    <w:rsid w:val="00313667"/>
    <w:rsid w:val="00314132"/>
    <w:rsid w:val="00315923"/>
    <w:rsid w:val="00315BDA"/>
    <w:rsid w:val="00315EBE"/>
    <w:rsid w:val="00316F74"/>
    <w:rsid w:val="003171A8"/>
    <w:rsid w:val="003178D1"/>
    <w:rsid w:val="00317E03"/>
    <w:rsid w:val="0032102F"/>
    <w:rsid w:val="003212F2"/>
    <w:rsid w:val="00321CA7"/>
    <w:rsid w:val="00321CE0"/>
    <w:rsid w:val="00322217"/>
    <w:rsid w:val="0032335B"/>
    <w:rsid w:val="00323765"/>
    <w:rsid w:val="003248EA"/>
    <w:rsid w:val="003251A2"/>
    <w:rsid w:val="0032547E"/>
    <w:rsid w:val="00325CF6"/>
    <w:rsid w:val="003275D9"/>
    <w:rsid w:val="00330071"/>
    <w:rsid w:val="003301CD"/>
    <w:rsid w:val="00330382"/>
    <w:rsid w:val="003303D8"/>
    <w:rsid w:val="00330B53"/>
    <w:rsid w:val="00331001"/>
    <w:rsid w:val="003334DC"/>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645"/>
    <w:rsid w:val="00345C3F"/>
    <w:rsid w:val="00346218"/>
    <w:rsid w:val="00346B08"/>
    <w:rsid w:val="0034745D"/>
    <w:rsid w:val="00347C75"/>
    <w:rsid w:val="00347D0B"/>
    <w:rsid w:val="00350FAA"/>
    <w:rsid w:val="00351A32"/>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1B24"/>
    <w:rsid w:val="00361ED7"/>
    <w:rsid w:val="003624B5"/>
    <w:rsid w:val="003640F5"/>
    <w:rsid w:val="003651A1"/>
    <w:rsid w:val="00365BCC"/>
    <w:rsid w:val="00365EC0"/>
    <w:rsid w:val="00367700"/>
    <w:rsid w:val="0036783B"/>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948"/>
    <w:rsid w:val="00395560"/>
    <w:rsid w:val="00396FD1"/>
    <w:rsid w:val="003971F2"/>
    <w:rsid w:val="003A04DE"/>
    <w:rsid w:val="003A11EE"/>
    <w:rsid w:val="003A20AF"/>
    <w:rsid w:val="003A2B97"/>
    <w:rsid w:val="003A4CFA"/>
    <w:rsid w:val="003A4DF0"/>
    <w:rsid w:val="003A71A8"/>
    <w:rsid w:val="003A76B3"/>
    <w:rsid w:val="003A7759"/>
    <w:rsid w:val="003A7A87"/>
    <w:rsid w:val="003A7B25"/>
    <w:rsid w:val="003A7D34"/>
    <w:rsid w:val="003B1225"/>
    <w:rsid w:val="003B245A"/>
    <w:rsid w:val="003B2F19"/>
    <w:rsid w:val="003B3906"/>
    <w:rsid w:val="003B3CB4"/>
    <w:rsid w:val="003B478A"/>
    <w:rsid w:val="003B5981"/>
    <w:rsid w:val="003B6F3C"/>
    <w:rsid w:val="003B70E0"/>
    <w:rsid w:val="003B7B9D"/>
    <w:rsid w:val="003C134B"/>
    <w:rsid w:val="003C13F1"/>
    <w:rsid w:val="003C3739"/>
    <w:rsid w:val="003C3963"/>
    <w:rsid w:val="003C457F"/>
    <w:rsid w:val="003C45A3"/>
    <w:rsid w:val="003C4A7A"/>
    <w:rsid w:val="003C5470"/>
    <w:rsid w:val="003C6972"/>
    <w:rsid w:val="003C7075"/>
    <w:rsid w:val="003C7BFB"/>
    <w:rsid w:val="003D04D7"/>
    <w:rsid w:val="003D04FD"/>
    <w:rsid w:val="003D2EBE"/>
    <w:rsid w:val="003D3614"/>
    <w:rsid w:val="003D3F82"/>
    <w:rsid w:val="003D441B"/>
    <w:rsid w:val="003D5D71"/>
    <w:rsid w:val="003D68C1"/>
    <w:rsid w:val="003D761D"/>
    <w:rsid w:val="003D7970"/>
    <w:rsid w:val="003E045F"/>
    <w:rsid w:val="003E094E"/>
    <w:rsid w:val="003E0966"/>
    <w:rsid w:val="003E0D3E"/>
    <w:rsid w:val="003E0EE3"/>
    <w:rsid w:val="003E18B4"/>
    <w:rsid w:val="003E1D48"/>
    <w:rsid w:val="003E34A3"/>
    <w:rsid w:val="003E3DC2"/>
    <w:rsid w:val="003E3FA9"/>
    <w:rsid w:val="003E6B08"/>
    <w:rsid w:val="003F07D6"/>
    <w:rsid w:val="003F1E10"/>
    <w:rsid w:val="003F2531"/>
    <w:rsid w:val="003F31CF"/>
    <w:rsid w:val="003F3EE1"/>
    <w:rsid w:val="003F44E9"/>
    <w:rsid w:val="003F4577"/>
    <w:rsid w:val="003F49B2"/>
    <w:rsid w:val="003F507A"/>
    <w:rsid w:val="003F50A1"/>
    <w:rsid w:val="003F6A15"/>
    <w:rsid w:val="003F7000"/>
    <w:rsid w:val="003F756C"/>
    <w:rsid w:val="0040199D"/>
    <w:rsid w:val="00401FD8"/>
    <w:rsid w:val="004020F7"/>
    <w:rsid w:val="004028EE"/>
    <w:rsid w:val="00402FAA"/>
    <w:rsid w:val="00403853"/>
    <w:rsid w:val="004045A7"/>
    <w:rsid w:val="004052E2"/>
    <w:rsid w:val="00406AB0"/>
    <w:rsid w:val="00407375"/>
    <w:rsid w:val="004077DC"/>
    <w:rsid w:val="004110AD"/>
    <w:rsid w:val="0041136A"/>
    <w:rsid w:val="0041177C"/>
    <w:rsid w:val="004121B1"/>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C8B"/>
    <w:rsid w:val="0042152D"/>
    <w:rsid w:val="00422D6F"/>
    <w:rsid w:val="0042356D"/>
    <w:rsid w:val="004245C1"/>
    <w:rsid w:val="00424615"/>
    <w:rsid w:val="0042675E"/>
    <w:rsid w:val="004270E9"/>
    <w:rsid w:val="004277F4"/>
    <w:rsid w:val="00427BA5"/>
    <w:rsid w:val="00431C8C"/>
    <w:rsid w:val="00432F9B"/>
    <w:rsid w:val="0043311F"/>
    <w:rsid w:val="00433B07"/>
    <w:rsid w:val="00434855"/>
    <w:rsid w:val="00435749"/>
    <w:rsid w:val="00435795"/>
    <w:rsid w:val="00436043"/>
    <w:rsid w:val="0043620C"/>
    <w:rsid w:val="0043785F"/>
    <w:rsid w:val="00437B06"/>
    <w:rsid w:val="00437E3E"/>
    <w:rsid w:val="00441DFC"/>
    <w:rsid w:val="00441ECA"/>
    <w:rsid w:val="00442BF4"/>
    <w:rsid w:val="00443524"/>
    <w:rsid w:val="00444EE2"/>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1F46"/>
    <w:rsid w:val="004628F6"/>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2021"/>
    <w:rsid w:val="00482299"/>
    <w:rsid w:val="004824EA"/>
    <w:rsid w:val="0048267C"/>
    <w:rsid w:val="0048277D"/>
    <w:rsid w:val="004841A0"/>
    <w:rsid w:val="004841BC"/>
    <w:rsid w:val="004855E6"/>
    <w:rsid w:val="00486A22"/>
    <w:rsid w:val="0049054D"/>
    <w:rsid w:val="0049363B"/>
    <w:rsid w:val="00493925"/>
    <w:rsid w:val="00493DE0"/>
    <w:rsid w:val="00494130"/>
    <w:rsid w:val="0049415A"/>
    <w:rsid w:val="004944FB"/>
    <w:rsid w:val="00494A4B"/>
    <w:rsid w:val="004954EE"/>
    <w:rsid w:val="00495C40"/>
    <w:rsid w:val="00497003"/>
    <w:rsid w:val="004A1056"/>
    <w:rsid w:val="004A197A"/>
    <w:rsid w:val="004A1BB2"/>
    <w:rsid w:val="004A1BBF"/>
    <w:rsid w:val="004A208D"/>
    <w:rsid w:val="004A2776"/>
    <w:rsid w:val="004A2A64"/>
    <w:rsid w:val="004A38B2"/>
    <w:rsid w:val="004A42BB"/>
    <w:rsid w:val="004A5072"/>
    <w:rsid w:val="004A5D09"/>
    <w:rsid w:val="004A6386"/>
    <w:rsid w:val="004A65FD"/>
    <w:rsid w:val="004A6F65"/>
    <w:rsid w:val="004B1245"/>
    <w:rsid w:val="004B1ACB"/>
    <w:rsid w:val="004B4C87"/>
    <w:rsid w:val="004B5873"/>
    <w:rsid w:val="004B5C58"/>
    <w:rsid w:val="004B743E"/>
    <w:rsid w:val="004C0749"/>
    <w:rsid w:val="004C0B31"/>
    <w:rsid w:val="004C127E"/>
    <w:rsid w:val="004C1D41"/>
    <w:rsid w:val="004C24EA"/>
    <w:rsid w:val="004C2B5D"/>
    <w:rsid w:val="004C3A7B"/>
    <w:rsid w:val="004C3AFD"/>
    <w:rsid w:val="004C40F7"/>
    <w:rsid w:val="004C45FE"/>
    <w:rsid w:val="004C56FF"/>
    <w:rsid w:val="004C59E0"/>
    <w:rsid w:val="004C6651"/>
    <w:rsid w:val="004C6D68"/>
    <w:rsid w:val="004C71D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DA8"/>
    <w:rsid w:val="004F2F7E"/>
    <w:rsid w:val="004F2FDC"/>
    <w:rsid w:val="004F38C4"/>
    <w:rsid w:val="004F3E33"/>
    <w:rsid w:val="004F43F5"/>
    <w:rsid w:val="004F6CAD"/>
    <w:rsid w:val="004F7065"/>
    <w:rsid w:val="004F74C1"/>
    <w:rsid w:val="004F7666"/>
    <w:rsid w:val="00500A15"/>
    <w:rsid w:val="00500D9D"/>
    <w:rsid w:val="00503554"/>
    <w:rsid w:val="005038A9"/>
    <w:rsid w:val="00504179"/>
    <w:rsid w:val="00505533"/>
    <w:rsid w:val="00505A4A"/>
    <w:rsid w:val="00506AF8"/>
    <w:rsid w:val="00506CE5"/>
    <w:rsid w:val="00506FFB"/>
    <w:rsid w:val="00511F69"/>
    <w:rsid w:val="00513171"/>
    <w:rsid w:val="00514D49"/>
    <w:rsid w:val="00515742"/>
    <w:rsid w:val="00520153"/>
    <w:rsid w:val="0052075C"/>
    <w:rsid w:val="00520DF4"/>
    <w:rsid w:val="00521B8D"/>
    <w:rsid w:val="00521EBE"/>
    <w:rsid w:val="00522231"/>
    <w:rsid w:val="005225B9"/>
    <w:rsid w:val="00523006"/>
    <w:rsid w:val="00523170"/>
    <w:rsid w:val="0052446C"/>
    <w:rsid w:val="00525218"/>
    <w:rsid w:val="00525BCC"/>
    <w:rsid w:val="00525C68"/>
    <w:rsid w:val="005261FF"/>
    <w:rsid w:val="00527119"/>
    <w:rsid w:val="005271EA"/>
    <w:rsid w:val="005274FE"/>
    <w:rsid w:val="00527AB0"/>
    <w:rsid w:val="00527BCB"/>
    <w:rsid w:val="0053036B"/>
    <w:rsid w:val="0053062B"/>
    <w:rsid w:val="005306E4"/>
    <w:rsid w:val="0053157E"/>
    <w:rsid w:val="00531B33"/>
    <w:rsid w:val="00531E0F"/>
    <w:rsid w:val="005320B7"/>
    <w:rsid w:val="005320DC"/>
    <w:rsid w:val="00532ECD"/>
    <w:rsid w:val="005331D8"/>
    <w:rsid w:val="005332A0"/>
    <w:rsid w:val="005337A9"/>
    <w:rsid w:val="005337BD"/>
    <w:rsid w:val="00533B6A"/>
    <w:rsid w:val="00534418"/>
    <w:rsid w:val="0053449E"/>
    <w:rsid w:val="0053465A"/>
    <w:rsid w:val="00534D8C"/>
    <w:rsid w:val="005351D7"/>
    <w:rsid w:val="00535A29"/>
    <w:rsid w:val="00535D28"/>
    <w:rsid w:val="005367FF"/>
    <w:rsid w:val="00540A17"/>
    <w:rsid w:val="00541374"/>
    <w:rsid w:val="0054142A"/>
    <w:rsid w:val="00541B98"/>
    <w:rsid w:val="00542381"/>
    <w:rsid w:val="00542DC7"/>
    <w:rsid w:val="00542E76"/>
    <w:rsid w:val="00543517"/>
    <w:rsid w:val="00545633"/>
    <w:rsid w:val="00545F1B"/>
    <w:rsid w:val="00546407"/>
    <w:rsid w:val="00546C2A"/>
    <w:rsid w:val="0054725C"/>
    <w:rsid w:val="00547D38"/>
    <w:rsid w:val="00547F2E"/>
    <w:rsid w:val="005509F2"/>
    <w:rsid w:val="0055147D"/>
    <w:rsid w:val="00551C85"/>
    <w:rsid w:val="00552447"/>
    <w:rsid w:val="00553725"/>
    <w:rsid w:val="00553751"/>
    <w:rsid w:val="0055396D"/>
    <w:rsid w:val="00553B6A"/>
    <w:rsid w:val="005545B9"/>
    <w:rsid w:val="00555095"/>
    <w:rsid w:val="00555503"/>
    <w:rsid w:val="005557D3"/>
    <w:rsid w:val="00555890"/>
    <w:rsid w:val="00555AFE"/>
    <w:rsid w:val="00557177"/>
    <w:rsid w:val="00557B75"/>
    <w:rsid w:val="00560613"/>
    <w:rsid w:val="00560C14"/>
    <w:rsid w:val="00560F23"/>
    <w:rsid w:val="00561CA6"/>
    <w:rsid w:val="0056262A"/>
    <w:rsid w:val="005628AE"/>
    <w:rsid w:val="00562B54"/>
    <w:rsid w:val="00562D09"/>
    <w:rsid w:val="00563578"/>
    <w:rsid w:val="005635A5"/>
    <w:rsid w:val="005636DA"/>
    <w:rsid w:val="00564206"/>
    <w:rsid w:val="00566E46"/>
    <w:rsid w:val="00570B3F"/>
    <w:rsid w:val="00570FBD"/>
    <w:rsid w:val="00571734"/>
    <w:rsid w:val="00572023"/>
    <w:rsid w:val="00572E1B"/>
    <w:rsid w:val="00573EC7"/>
    <w:rsid w:val="0057497F"/>
    <w:rsid w:val="00574D73"/>
    <w:rsid w:val="0057591D"/>
    <w:rsid w:val="00575C3C"/>
    <w:rsid w:val="00575D10"/>
    <w:rsid w:val="0057655E"/>
    <w:rsid w:val="00576B76"/>
    <w:rsid w:val="005770DB"/>
    <w:rsid w:val="005775B2"/>
    <w:rsid w:val="0057768F"/>
    <w:rsid w:val="00580193"/>
    <w:rsid w:val="005808B2"/>
    <w:rsid w:val="0058126D"/>
    <w:rsid w:val="0058132E"/>
    <w:rsid w:val="00581C93"/>
    <w:rsid w:val="00581E53"/>
    <w:rsid w:val="005820F8"/>
    <w:rsid w:val="005823AC"/>
    <w:rsid w:val="00582916"/>
    <w:rsid w:val="005835D1"/>
    <w:rsid w:val="0058362F"/>
    <w:rsid w:val="0058522E"/>
    <w:rsid w:val="00585F6F"/>
    <w:rsid w:val="005861A7"/>
    <w:rsid w:val="00586FD3"/>
    <w:rsid w:val="0058732B"/>
    <w:rsid w:val="005915B8"/>
    <w:rsid w:val="005917A8"/>
    <w:rsid w:val="00591E00"/>
    <w:rsid w:val="00592408"/>
    <w:rsid w:val="005924C0"/>
    <w:rsid w:val="00594444"/>
    <w:rsid w:val="00594B5F"/>
    <w:rsid w:val="005951E1"/>
    <w:rsid w:val="005954CB"/>
    <w:rsid w:val="00595C2F"/>
    <w:rsid w:val="00596432"/>
    <w:rsid w:val="005A21F7"/>
    <w:rsid w:val="005A2AC9"/>
    <w:rsid w:val="005A55BF"/>
    <w:rsid w:val="005A5EE4"/>
    <w:rsid w:val="005A6062"/>
    <w:rsid w:val="005A7089"/>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1DED"/>
    <w:rsid w:val="005D2059"/>
    <w:rsid w:val="005D279B"/>
    <w:rsid w:val="005D2D20"/>
    <w:rsid w:val="005D306F"/>
    <w:rsid w:val="005D323C"/>
    <w:rsid w:val="005D390E"/>
    <w:rsid w:val="005D4A0F"/>
    <w:rsid w:val="005D5664"/>
    <w:rsid w:val="005D5986"/>
    <w:rsid w:val="005D6865"/>
    <w:rsid w:val="005D69C3"/>
    <w:rsid w:val="005D6BF8"/>
    <w:rsid w:val="005D7453"/>
    <w:rsid w:val="005D763F"/>
    <w:rsid w:val="005D781D"/>
    <w:rsid w:val="005D785F"/>
    <w:rsid w:val="005E0DF3"/>
    <w:rsid w:val="005E134F"/>
    <w:rsid w:val="005E151F"/>
    <w:rsid w:val="005E1986"/>
    <w:rsid w:val="005E2FBF"/>
    <w:rsid w:val="005E425C"/>
    <w:rsid w:val="005E47A5"/>
    <w:rsid w:val="005E4C7A"/>
    <w:rsid w:val="005E4F2C"/>
    <w:rsid w:val="005E542B"/>
    <w:rsid w:val="005E6BCA"/>
    <w:rsid w:val="005E6E1D"/>
    <w:rsid w:val="005E71E0"/>
    <w:rsid w:val="005E7A40"/>
    <w:rsid w:val="005F003B"/>
    <w:rsid w:val="005F055E"/>
    <w:rsid w:val="005F0560"/>
    <w:rsid w:val="005F085F"/>
    <w:rsid w:val="005F0A23"/>
    <w:rsid w:val="005F16BB"/>
    <w:rsid w:val="005F1B9B"/>
    <w:rsid w:val="005F21DD"/>
    <w:rsid w:val="005F3277"/>
    <w:rsid w:val="005F3620"/>
    <w:rsid w:val="005F398A"/>
    <w:rsid w:val="005F4087"/>
    <w:rsid w:val="005F41B8"/>
    <w:rsid w:val="005F4335"/>
    <w:rsid w:val="005F46F7"/>
    <w:rsid w:val="005F6E9F"/>
    <w:rsid w:val="00600A04"/>
    <w:rsid w:val="00600F43"/>
    <w:rsid w:val="00601E8C"/>
    <w:rsid w:val="006023CC"/>
    <w:rsid w:val="006057FC"/>
    <w:rsid w:val="00605AE5"/>
    <w:rsid w:val="00605CFA"/>
    <w:rsid w:val="00606E77"/>
    <w:rsid w:val="006070FC"/>
    <w:rsid w:val="00607997"/>
    <w:rsid w:val="00607E4C"/>
    <w:rsid w:val="006101C7"/>
    <w:rsid w:val="00610E00"/>
    <w:rsid w:val="006112FB"/>
    <w:rsid w:val="00611359"/>
    <w:rsid w:val="00611426"/>
    <w:rsid w:val="006116CB"/>
    <w:rsid w:val="006118CF"/>
    <w:rsid w:val="00611B0E"/>
    <w:rsid w:val="00612086"/>
    <w:rsid w:val="006136BD"/>
    <w:rsid w:val="00613908"/>
    <w:rsid w:val="00613C65"/>
    <w:rsid w:val="00613CA1"/>
    <w:rsid w:val="00613F1D"/>
    <w:rsid w:val="006144E5"/>
    <w:rsid w:val="006153C5"/>
    <w:rsid w:val="00615F18"/>
    <w:rsid w:val="0061761A"/>
    <w:rsid w:val="00617826"/>
    <w:rsid w:val="00617AD9"/>
    <w:rsid w:val="00617C91"/>
    <w:rsid w:val="00617D2B"/>
    <w:rsid w:val="0062046E"/>
    <w:rsid w:val="00620E8E"/>
    <w:rsid w:val="00621034"/>
    <w:rsid w:val="006223E5"/>
    <w:rsid w:val="00622BE7"/>
    <w:rsid w:val="006239B3"/>
    <w:rsid w:val="006250E3"/>
    <w:rsid w:val="00626010"/>
    <w:rsid w:val="00626A9A"/>
    <w:rsid w:val="00627F09"/>
    <w:rsid w:val="0063116C"/>
    <w:rsid w:val="0063222E"/>
    <w:rsid w:val="00632835"/>
    <w:rsid w:val="00633E08"/>
    <w:rsid w:val="00633F21"/>
    <w:rsid w:val="0063476C"/>
    <w:rsid w:val="006358CC"/>
    <w:rsid w:val="006361B8"/>
    <w:rsid w:val="0063638D"/>
    <w:rsid w:val="00636454"/>
    <w:rsid w:val="00636513"/>
    <w:rsid w:val="006365D6"/>
    <w:rsid w:val="00636790"/>
    <w:rsid w:val="00636850"/>
    <w:rsid w:val="00637F18"/>
    <w:rsid w:val="00640A6B"/>
    <w:rsid w:val="00640A74"/>
    <w:rsid w:val="0064126B"/>
    <w:rsid w:val="0064255F"/>
    <w:rsid w:val="00642C40"/>
    <w:rsid w:val="006449B4"/>
    <w:rsid w:val="00644D62"/>
    <w:rsid w:val="00644E6D"/>
    <w:rsid w:val="006454C3"/>
    <w:rsid w:val="006479D6"/>
    <w:rsid w:val="00647BF8"/>
    <w:rsid w:val="0065031D"/>
    <w:rsid w:val="00650EFC"/>
    <w:rsid w:val="00650F1E"/>
    <w:rsid w:val="00651417"/>
    <w:rsid w:val="00651850"/>
    <w:rsid w:val="00652C4A"/>
    <w:rsid w:val="006544E4"/>
    <w:rsid w:val="00654CD5"/>
    <w:rsid w:val="00654E4E"/>
    <w:rsid w:val="00655149"/>
    <w:rsid w:val="00655156"/>
    <w:rsid w:val="00655D9A"/>
    <w:rsid w:val="006573C4"/>
    <w:rsid w:val="00657838"/>
    <w:rsid w:val="00657B18"/>
    <w:rsid w:val="00660C7F"/>
    <w:rsid w:val="0066189D"/>
    <w:rsid w:val="00661C36"/>
    <w:rsid w:val="00661F3C"/>
    <w:rsid w:val="006623EF"/>
    <w:rsid w:val="00662C90"/>
    <w:rsid w:val="0066409F"/>
    <w:rsid w:val="0066467C"/>
    <w:rsid w:val="00664B08"/>
    <w:rsid w:val="00664E83"/>
    <w:rsid w:val="00664F99"/>
    <w:rsid w:val="0066582C"/>
    <w:rsid w:val="00666C8B"/>
    <w:rsid w:val="00670D20"/>
    <w:rsid w:val="006717CD"/>
    <w:rsid w:val="0067257C"/>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754"/>
    <w:rsid w:val="00684BA2"/>
    <w:rsid w:val="00685EAF"/>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97D68"/>
    <w:rsid w:val="006A11EE"/>
    <w:rsid w:val="006A17B3"/>
    <w:rsid w:val="006A1CC5"/>
    <w:rsid w:val="006A3052"/>
    <w:rsid w:val="006A361E"/>
    <w:rsid w:val="006A378F"/>
    <w:rsid w:val="006A3C6A"/>
    <w:rsid w:val="006A4423"/>
    <w:rsid w:val="006A46BB"/>
    <w:rsid w:val="006A4DF4"/>
    <w:rsid w:val="006A51EB"/>
    <w:rsid w:val="006A5520"/>
    <w:rsid w:val="006A567A"/>
    <w:rsid w:val="006A5804"/>
    <w:rsid w:val="006A60E9"/>
    <w:rsid w:val="006A6D3B"/>
    <w:rsid w:val="006A7CAB"/>
    <w:rsid w:val="006A7D68"/>
    <w:rsid w:val="006B05F4"/>
    <w:rsid w:val="006B06D2"/>
    <w:rsid w:val="006B103D"/>
    <w:rsid w:val="006B10AB"/>
    <w:rsid w:val="006B1A90"/>
    <w:rsid w:val="006B1E79"/>
    <w:rsid w:val="006B2AB0"/>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8C6"/>
    <w:rsid w:val="006C3D8A"/>
    <w:rsid w:val="006C41C2"/>
    <w:rsid w:val="006C43A3"/>
    <w:rsid w:val="006C46D8"/>
    <w:rsid w:val="006C4ADE"/>
    <w:rsid w:val="006C5519"/>
    <w:rsid w:val="006C75ED"/>
    <w:rsid w:val="006C7DC4"/>
    <w:rsid w:val="006C7F65"/>
    <w:rsid w:val="006D0340"/>
    <w:rsid w:val="006D04ED"/>
    <w:rsid w:val="006D08CD"/>
    <w:rsid w:val="006D1288"/>
    <w:rsid w:val="006D29B4"/>
    <w:rsid w:val="006D2EEA"/>
    <w:rsid w:val="006D39AF"/>
    <w:rsid w:val="006D5A94"/>
    <w:rsid w:val="006D70DF"/>
    <w:rsid w:val="006D71EB"/>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355B"/>
    <w:rsid w:val="006F3ADE"/>
    <w:rsid w:val="006F3F38"/>
    <w:rsid w:val="006F4E14"/>
    <w:rsid w:val="006F53AD"/>
    <w:rsid w:val="006F581D"/>
    <w:rsid w:val="006F6AC1"/>
    <w:rsid w:val="006F765C"/>
    <w:rsid w:val="006F7839"/>
    <w:rsid w:val="00700E94"/>
    <w:rsid w:val="007011BE"/>
    <w:rsid w:val="007015CC"/>
    <w:rsid w:val="00701747"/>
    <w:rsid w:val="007018C2"/>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2265"/>
    <w:rsid w:val="00713991"/>
    <w:rsid w:val="00713C9E"/>
    <w:rsid w:val="00716C5A"/>
    <w:rsid w:val="0071705C"/>
    <w:rsid w:val="00717A79"/>
    <w:rsid w:val="00720455"/>
    <w:rsid w:val="00720BEC"/>
    <w:rsid w:val="007219A0"/>
    <w:rsid w:val="00721C44"/>
    <w:rsid w:val="00721FD9"/>
    <w:rsid w:val="00722755"/>
    <w:rsid w:val="00723282"/>
    <w:rsid w:val="007238CF"/>
    <w:rsid w:val="00725D13"/>
    <w:rsid w:val="00726C25"/>
    <w:rsid w:val="00727B22"/>
    <w:rsid w:val="0073049F"/>
    <w:rsid w:val="0073052F"/>
    <w:rsid w:val="00731E0E"/>
    <w:rsid w:val="007330F9"/>
    <w:rsid w:val="0073343B"/>
    <w:rsid w:val="00733EA0"/>
    <w:rsid w:val="00734817"/>
    <w:rsid w:val="00734B43"/>
    <w:rsid w:val="00735007"/>
    <w:rsid w:val="007378D5"/>
    <w:rsid w:val="00740FE2"/>
    <w:rsid w:val="0074129A"/>
    <w:rsid w:val="00741922"/>
    <w:rsid w:val="0074225A"/>
    <w:rsid w:val="00742493"/>
    <w:rsid w:val="0074311E"/>
    <w:rsid w:val="0074349F"/>
    <w:rsid w:val="00744B30"/>
    <w:rsid w:val="007455B0"/>
    <w:rsid w:val="00745A26"/>
    <w:rsid w:val="00747C1B"/>
    <w:rsid w:val="007511D1"/>
    <w:rsid w:val="007512F6"/>
    <w:rsid w:val="00751E35"/>
    <w:rsid w:val="0075239D"/>
    <w:rsid w:val="00752DF2"/>
    <w:rsid w:val="00753383"/>
    <w:rsid w:val="00753787"/>
    <w:rsid w:val="00753DFA"/>
    <w:rsid w:val="00754A65"/>
    <w:rsid w:val="00754C25"/>
    <w:rsid w:val="007573CA"/>
    <w:rsid w:val="00757A12"/>
    <w:rsid w:val="00760415"/>
    <w:rsid w:val="0076054F"/>
    <w:rsid w:val="00760BF7"/>
    <w:rsid w:val="007615AC"/>
    <w:rsid w:val="007625B1"/>
    <w:rsid w:val="00764FA1"/>
    <w:rsid w:val="0076521E"/>
    <w:rsid w:val="00765445"/>
    <w:rsid w:val="00765497"/>
    <w:rsid w:val="00766380"/>
    <w:rsid w:val="00766BBE"/>
    <w:rsid w:val="00767306"/>
    <w:rsid w:val="00767945"/>
    <w:rsid w:val="00770FD7"/>
    <w:rsid w:val="00772494"/>
    <w:rsid w:val="00774383"/>
    <w:rsid w:val="00774798"/>
    <w:rsid w:val="007751F1"/>
    <w:rsid w:val="007765CA"/>
    <w:rsid w:val="007766E0"/>
    <w:rsid w:val="0078083B"/>
    <w:rsid w:val="0078175C"/>
    <w:rsid w:val="00781924"/>
    <w:rsid w:val="00781BA5"/>
    <w:rsid w:val="007825AD"/>
    <w:rsid w:val="00782CD8"/>
    <w:rsid w:val="00783446"/>
    <w:rsid w:val="007838AE"/>
    <w:rsid w:val="007839AA"/>
    <w:rsid w:val="00783DF1"/>
    <w:rsid w:val="007868C9"/>
    <w:rsid w:val="00790103"/>
    <w:rsid w:val="00791161"/>
    <w:rsid w:val="007918DB"/>
    <w:rsid w:val="00791BC9"/>
    <w:rsid w:val="00791C8B"/>
    <w:rsid w:val="007920F1"/>
    <w:rsid w:val="007923D0"/>
    <w:rsid w:val="00793634"/>
    <w:rsid w:val="007938C7"/>
    <w:rsid w:val="00793992"/>
    <w:rsid w:val="00793A5D"/>
    <w:rsid w:val="00794CD2"/>
    <w:rsid w:val="00795A3F"/>
    <w:rsid w:val="0079627E"/>
    <w:rsid w:val="0079691F"/>
    <w:rsid w:val="00797592"/>
    <w:rsid w:val="007A022B"/>
    <w:rsid w:val="007A0E6A"/>
    <w:rsid w:val="007A17A7"/>
    <w:rsid w:val="007A1DB7"/>
    <w:rsid w:val="007A29BC"/>
    <w:rsid w:val="007A309A"/>
    <w:rsid w:val="007A4569"/>
    <w:rsid w:val="007A51D3"/>
    <w:rsid w:val="007A65A5"/>
    <w:rsid w:val="007A7736"/>
    <w:rsid w:val="007B0324"/>
    <w:rsid w:val="007B1468"/>
    <w:rsid w:val="007B19DF"/>
    <w:rsid w:val="007B1B01"/>
    <w:rsid w:val="007B1C85"/>
    <w:rsid w:val="007B28E1"/>
    <w:rsid w:val="007B459A"/>
    <w:rsid w:val="007B5BDD"/>
    <w:rsid w:val="007B5FB0"/>
    <w:rsid w:val="007B6033"/>
    <w:rsid w:val="007B626B"/>
    <w:rsid w:val="007B636E"/>
    <w:rsid w:val="007B6F0C"/>
    <w:rsid w:val="007C0025"/>
    <w:rsid w:val="007C0774"/>
    <w:rsid w:val="007C118D"/>
    <w:rsid w:val="007C1448"/>
    <w:rsid w:val="007C146E"/>
    <w:rsid w:val="007C1A3B"/>
    <w:rsid w:val="007C1E2F"/>
    <w:rsid w:val="007C235C"/>
    <w:rsid w:val="007C2A6D"/>
    <w:rsid w:val="007C2E8B"/>
    <w:rsid w:val="007C2F1F"/>
    <w:rsid w:val="007C4936"/>
    <w:rsid w:val="007C5506"/>
    <w:rsid w:val="007C5A7E"/>
    <w:rsid w:val="007C5DC9"/>
    <w:rsid w:val="007C606C"/>
    <w:rsid w:val="007C6226"/>
    <w:rsid w:val="007C6A48"/>
    <w:rsid w:val="007C6C97"/>
    <w:rsid w:val="007C6F88"/>
    <w:rsid w:val="007C709C"/>
    <w:rsid w:val="007D0DC2"/>
    <w:rsid w:val="007D11B4"/>
    <w:rsid w:val="007D1727"/>
    <w:rsid w:val="007D1A23"/>
    <w:rsid w:val="007D216E"/>
    <w:rsid w:val="007D286D"/>
    <w:rsid w:val="007D2A7C"/>
    <w:rsid w:val="007D2C69"/>
    <w:rsid w:val="007D2F4F"/>
    <w:rsid w:val="007D34DE"/>
    <w:rsid w:val="007D3882"/>
    <w:rsid w:val="007D431E"/>
    <w:rsid w:val="007D557B"/>
    <w:rsid w:val="007D68CD"/>
    <w:rsid w:val="007D70CA"/>
    <w:rsid w:val="007D7559"/>
    <w:rsid w:val="007D7670"/>
    <w:rsid w:val="007E05D3"/>
    <w:rsid w:val="007E144C"/>
    <w:rsid w:val="007E1B25"/>
    <w:rsid w:val="007E2F69"/>
    <w:rsid w:val="007E343D"/>
    <w:rsid w:val="007E38BF"/>
    <w:rsid w:val="007E3EA3"/>
    <w:rsid w:val="007E4AF6"/>
    <w:rsid w:val="007E5B09"/>
    <w:rsid w:val="007E6D33"/>
    <w:rsid w:val="007E6FF5"/>
    <w:rsid w:val="007E79E2"/>
    <w:rsid w:val="007E7C24"/>
    <w:rsid w:val="007F0C58"/>
    <w:rsid w:val="007F16FC"/>
    <w:rsid w:val="007F1C7A"/>
    <w:rsid w:val="007F32EE"/>
    <w:rsid w:val="007F33E9"/>
    <w:rsid w:val="007F41DC"/>
    <w:rsid w:val="007F463E"/>
    <w:rsid w:val="007F5458"/>
    <w:rsid w:val="007F65FE"/>
    <w:rsid w:val="007F6AD1"/>
    <w:rsid w:val="00800631"/>
    <w:rsid w:val="00800855"/>
    <w:rsid w:val="0080194B"/>
    <w:rsid w:val="00801EA4"/>
    <w:rsid w:val="008022A3"/>
    <w:rsid w:val="008029CF"/>
    <w:rsid w:val="00803A5C"/>
    <w:rsid w:val="00803C3F"/>
    <w:rsid w:val="00804099"/>
    <w:rsid w:val="008049E8"/>
    <w:rsid w:val="00804D3F"/>
    <w:rsid w:val="0080705F"/>
    <w:rsid w:val="00807316"/>
    <w:rsid w:val="00807E98"/>
    <w:rsid w:val="0081046F"/>
    <w:rsid w:val="00810796"/>
    <w:rsid w:val="00810D20"/>
    <w:rsid w:val="00812900"/>
    <w:rsid w:val="00812A12"/>
    <w:rsid w:val="00813830"/>
    <w:rsid w:val="00813F7D"/>
    <w:rsid w:val="00815B06"/>
    <w:rsid w:val="00816915"/>
    <w:rsid w:val="00820074"/>
    <w:rsid w:val="00820D05"/>
    <w:rsid w:val="00821023"/>
    <w:rsid w:val="00821416"/>
    <w:rsid w:val="00821FDC"/>
    <w:rsid w:val="0082465E"/>
    <w:rsid w:val="00826A64"/>
    <w:rsid w:val="00826BE8"/>
    <w:rsid w:val="00827C2E"/>
    <w:rsid w:val="00827D97"/>
    <w:rsid w:val="00831048"/>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0EF7"/>
    <w:rsid w:val="008413D2"/>
    <w:rsid w:val="00841BE1"/>
    <w:rsid w:val="00843848"/>
    <w:rsid w:val="00844A7E"/>
    <w:rsid w:val="00844B7C"/>
    <w:rsid w:val="00845373"/>
    <w:rsid w:val="008455D3"/>
    <w:rsid w:val="008457DB"/>
    <w:rsid w:val="00845A54"/>
    <w:rsid w:val="00845D1A"/>
    <w:rsid w:val="00846227"/>
    <w:rsid w:val="00846604"/>
    <w:rsid w:val="00846A1F"/>
    <w:rsid w:val="00847640"/>
    <w:rsid w:val="008509B5"/>
    <w:rsid w:val="00851C45"/>
    <w:rsid w:val="0085230C"/>
    <w:rsid w:val="00852A87"/>
    <w:rsid w:val="00852B33"/>
    <w:rsid w:val="00852E08"/>
    <w:rsid w:val="00853681"/>
    <w:rsid w:val="00853E85"/>
    <w:rsid w:val="008553E8"/>
    <w:rsid w:val="008565ED"/>
    <w:rsid w:val="00856699"/>
    <w:rsid w:val="00857785"/>
    <w:rsid w:val="008607E2"/>
    <w:rsid w:val="00860B13"/>
    <w:rsid w:val="00863DCB"/>
    <w:rsid w:val="00864A73"/>
    <w:rsid w:val="00865A3E"/>
    <w:rsid w:val="00865CF9"/>
    <w:rsid w:val="0086622F"/>
    <w:rsid w:val="00867103"/>
    <w:rsid w:val="00867187"/>
    <w:rsid w:val="008715BA"/>
    <w:rsid w:val="008716AE"/>
    <w:rsid w:val="0087196F"/>
    <w:rsid w:val="00872311"/>
    <w:rsid w:val="0087255E"/>
    <w:rsid w:val="008727C1"/>
    <w:rsid w:val="008729ED"/>
    <w:rsid w:val="00872B30"/>
    <w:rsid w:val="008735DB"/>
    <w:rsid w:val="008737CA"/>
    <w:rsid w:val="0087589E"/>
    <w:rsid w:val="008759A8"/>
    <w:rsid w:val="00875A6B"/>
    <w:rsid w:val="008773E0"/>
    <w:rsid w:val="008806FA"/>
    <w:rsid w:val="0088181E"/>
    <w:rsid w:val="00882035"/>
    <w:rsid w:val="0088267B"/>
    <w:rsid w:val="00882DF9"/>
    <w:rsid w:val="0088306A"/>
    <w:rsid w:val="008848E0"/>
    <w:rsid w:val="00884A8B"/>
    <w:rsid w:val="00885E02"/>
    <w:rsid w:val="00885E43"/>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844"/>
    <w:rsid w:val="008A35AF"/>
    <w:rsid w:val="008A42A3"/>
    <w:rsid w:val="008A43A4"/>
    <w:rsid w:val="008A60E0"/>
    <w:rsid w:val="008A6268"/>
    <w:rsid w:val="008A6B5A"/>
    <w:rsid w:val="008A6B88"/>
    <w:rsid w:val="008A7FBF"/>
    <w:rsid w:val="008B12F7"/>
    <w:rsid w:val="008B1D90"/>
    <w:rsid w:val="008B1E37"/>
    <w:rsid w:val="008B2182"/>
    <w:rsid w:val="008B2437"/>
    <w:rsid w:val="008B2B0B"/>
    <w:rsid w:val="008B4849"/>
    <w:rsid w:val="008B595C"/>
    <w:rsid w:val="008B5C60"/>
    <w:rsid w:val="008B797F"/>
    <w:rsid w:val="008C0B3B"/>
    <w:rsid w:val="008C0C2A"/>
    <w:rsid w:val="008C0DAB"/>
    <w:rsid w:val="008C27D2"/>
    <w:rsid w:val="008C30B7"/>
    <w:rsid w:val="008C3F6D"/>
    <w:rsid w:val="008C4651"/>
    <w:rsid w:val="008C4E37"/>
    <w:rsid w:val="008C556F"/>
    <w:rsid w:val="008C585F"/>
    <w:rsid w:val="008C5901"/>
    <w:rsid w:val="008C5DF1"/>
    <w:rsid w:val="008C60BF"/>
    <w:rsid w:val="008C6E84"/>
    <w:rsid w:val="008C70C3"/>
    <w:rsid w:val="008D05A4"/>
    <w:rsid w:val="008D20D2"/>
    <w:rsid w:val="008D2129"/>
    <w:rsid w:val="008D2324"/>
    <w:rsid w:val="008D24E1"/>
    <w:rsid w:val="008D2728"/>
    <w:rsid w:val="008D2A25"/>
    <w:rsid w:val="008D2C1A"/>
    <w:rsid w:val="008D358C"/>
    <w:rsid w:val="008D3677"/>
    <w:rsid w:val="008D47CA"/>
    <w:rsid w:val="008D4EFD"/>
    <w:rsid w:val="008D6111"/>
    <w:rsid w:val="008D6135"/>
    <w:rsid w:val="008D65A3"/>
    <w:rsid w:val="008D6ABB"/>
    <w:rsid w:val="008D7C15"/>
    <w:rsid w:val="008E0168"/>
    <w:rsid w:val="008E02E0"/>
    <w:rsid w:val="008E0654"/>
    <w:rsid w:val="008E124F"/>
    <w:rsid w:val="008E16B1"/>
    <w:rsid w:val="008E1845"/>
    <w:rsid w:val="008E1877"/>
    <w:rsid w:val="008E2ABE"/>
    <w:rsid w:val="008E2BC9"/>
    <w:rsid w:val="008E4BC9"/>
    <w:rsid w:val="008E5A97"/>
    <w:rsid w:val="008E62BE"/>
    <w:rsid w:val="008E68C0"/>
    <w:rsid w:val="008E7181"/>
    <w:rsid w:val="008F14D4"/>
    <w:rsid w:val="008F19C9"/>
    <w:rsid w:val="008F1D4D"/>
    <w:rsid w:val="008F2729"/>
    <w:rsid w:val="008F2893"/>
    <w:rsid w:val="008F3083"/>
    <w:rsid w:val="008F356C"/>
    <w:rsid w:val="008F392C"/>
    <w:rsid w:val="008F3DA2"/>
    <w:rsid w:val="008F4111"/>
    <w:rsid w:val="008F444A"/>
    <w:rsid w:val="008F4BE5"/>
    <w:rsid w:val="008F50CA"/>
    <w:rsid w:val="008F70E3"/>
    <w:rsid w:val="008F76DA"/>
    <w:rsid w:val="008F77CB"/>
    <w:rsid w:val="00900AB9"/>
    <w:rsid w:val="00901150"/>
    <w:rsid w:val="009015E3"/>
    <w:rsid w:val="00901B99"/>
    <w:rsid w:val="00902036"/>
    <w:rsid w:val="0090330C"/>
    <w:rsid w:val="0090366E"/>
    <w:rsid w:val="00903D27"/>
    <w:rsid w:val="00905EC8"/>
    <w:rsid w:val="00907897"/>
    <w:rsid w:val="0090797C"/>
    <w:rsid w:val="00907CAD"/>
    <w:rsid w:val="00910864"/>
    <w:rsid w:val="00910D80"/>
    <w:rsid w:val="0091120C"/>
    <w:rsid w:val="00912FC1"/>
    <w:rsid w:val="0091308E"/>
    <w:rsid w:val="009130C4"/>
    <w:rsid w:val="00913C99"/>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2A11"/>
    <w:rsid w:val="00923A23"/>
    <w:rsid w:val="0092478F"/>
    <w:rsid w:val="0092495C"/>
    <w:rsid w:val="00925A12"/>
    <w:rsid w:val="009261DD"/>
    <w:rsid w:val="009262D9"/>
    <w:rsid w:val="009271F6"/>
    <w:rsid w:val="009278E5"/>
    <w:rsid w:val="0093026E"/>
    <w:rsid w:val="009316F2"/>
    <w:rsid w:val="00931C32"/>
    <w:rsid w:val="00932A6B"/>
    <w:rsid w:val="00932C34"/>
    <w:rsid w:val="00932E96"/>
    <w:rsid w:val="00932F6D"/>
    <w:rsid w:val="00933333"/>
    <w:rsid w:val="009341AE"/>
    <w:rsid w:val="00934EEE"/>
    <w:rsid w:val="0093601D"/>
    <w:rsid w:val="0093674B"/>
    <w:rsid w:val="00936F68"/>
    <w:rsid w:val="00937A7E"/>
    <w:rsid w:val="00940E96"/>
    <w:rsid w:val="00940FB9"/>
    <w:rsid w:val="00942D4B"/>
    <w:rsid w:val="00943872"/>
    <w:rsid w:val="00943FF9"/>
    <w:rsid w:val="00944341"/>
    <w:rsid w:val="00946EE9"/>
    <w:rsid w:val="0094702A"/>
    <w:rsid w:val="009477B5"/>
    <w:rsid w:val="00947C8C"/>
    <w:rsid w:val="00947EEB"/>
    <w:rsid w:val="009500CA"/>
    <w:rsid w:val="0095098F"/>
    <w:rsid w:val="00950A1B"/>
    <w:rsid w:val="00950BFB"/>
    <w:rsid w:val="00951A1A"/>
    <w:rsid w:val="00951AE4"/>
    <w:rsid w:val="00951C12"/>
    <w:rsid w:val="00952267"/>
    <w:rsid w:val="00953627"/>
    <w:rsid w:val="00954348"/>
    <w:rsid w:val="00956487"/>
    <w:rsid w:val="0095798B"/>
    <w:rsid w:val="009604FC"/>
    <w:rsid w:val="009612EA"/>
    <w:rsid w:val="009616DC"/>
    <w:rsid w:val="00961F28"/>
    <w:rsid w:val="0096205E"/>
    <w:rsid w:val="009626A7"/>
    <w:rsid w:val="009628B7"/>
    <w:rsid w:val="00962BEB"/>
    <w:rsid w:val="009634D7"/>
    <w:rsid w:val="0096393E"/>
    <w:rsid w:val="00964CEF"/>
    <w:rsid w:val="00964DA0"/>
    <w:rsid w:val="00964F77"/>
    <w:rsid w:val="009655F8"/>
    <w:rsid w:val="009656CD"/>
    <w:rsid w:val="0096670D"/>
    <w:rsid w:val="00967804"/>
    <w:rsid w:val="00967F7F"/>
    <w:rsid w:val="00970B03"/>
    <w:rsid w:val="009713C5"/>
    <w:rsid w:val="00971F53"/>
    <w:rsid w:val="00972869"/>
    <w:rsid w:val="0097291C"/>
    <w:rsid w:val="00973C36"/>
    <w:rsid w:val="0097453F"/>
    <w:rsid w:val="00974E56"/>
    <w:rsid w:val="00975064"/>
    <w:rsid w:val="009752C7"/>
    <w:rsid w:val="0097564A"/>
    <w:rsid w:val="0097577F"/>
    <w:rsid w:val="00976098"/>
    <w:rsid w:val="009773A6"/>
    <w:rsid w:val="009774F7"/>
    <w:rsid w:val="0097779F"/>
    <w:rsid w:val="00982420"/>
    <w:rsid w:val="00983CC9"/>
    <w:rsid w:val="00983F46"/>
    <w:rsid w:val="00984258"/>
    <w:rsid w:val="00984468"/>
    <w:rsid w:val="0098475C"/>
    <w:rsid w:val="0098506E"/>
    <w:rsid w:val="009853C6"/>
    <w:rsid w:val="00985602"/>
    <w:rsid w:val="00985F79"/>
    <w:rsid w:val="00986FE3"/>
    <w:rsid w:val="0098756C"/>
    <w:rsid w:val="009875C2"/>
    <w:rsid w:val="00990C8A"/>
    <w:rsid w:val="00991243"/>
    <w:rsid w:val="009912AC"/>
    <w:rsid w:val="00993786"/>
    <w:rsid w:val="00993B35"/>
    <w:rsid w:val="0099422B"/>
    <w:rsid w:val="00994D8D"/>
    <w:rsid w:val="009953B6"/>
    <w:rsid w:val="00995682"/>
    <w:rsid w:val="009957E4"/>
    <w:rsid w:val="0099663F"/>
    <w:rsid w:val="00996AD0"/>
    <w:rsid w:val="00996FB2"/>
    <w:rsid w:val="009979C7"/>
    <w:rsid w:val="00997A3B"/>
    <w:rsid w:val="00997B50"/>
    <w:rsid w:val="009A0FFA"/>
    <w:rsid w:val="009A1183"/>
    <w:rsid w:val="009A1786"/>
    <w:rsid w:val="009A2A7E"/>
    <w:rsid w:val="009A4925"/>
    <w:rsid w:val="009A6315"/>
    <w:rsid w:val="009A7F11"/>
    <w:rsid w:val="009B0312"/>
    <w:rsid w:val="009B0344"/>
    <w:rsid w:val="009B1316"/>
    <w:rsid w:val="009B1856"/>
    <w:rsid w:val="009B226F"/>
    <w:rsid w:val="009B2288"/>
    <w:rsid w:val="009B22DE"/>
    <w:rsid w:val="009B286C"/>
    <w:rsid w:val="009B4263"/>
    <w:rsid w:val="009B468C"/>
    <w:rsid w:val="009B49DE"/>
    <w:rsid w:val="009B4DBE"/>
    <w:rsid w:val="009B6BD8"/>
    <w:rsid w:val="009B7154"/>
    <w:rsid w:val="009B7897"/>
    <w:rsid w:val="009B7B21"/>
    <w:rsid w:val="009C136A"/>
    <w:rsid w:val="009C1741"/>
    <w:rsid w:val="009C4E65"/>
    <w:rsid w:val="009C64B5"/>
    <w:rsid w:val="009C68CD"/>
    <w:rsid w:val="009C696D"/>
    <w:rsid w:val="009C6CEB"/>
    <w:rsid w:val="009D0094"/>
    <w:rsid w:val="009D0FF6"/>
    <w:rsid w:val="009D160B"/>
    <w:rsid w:val="009D2289"/>
    <w:rsid w:val="009D23B4"/>
    <w:rsid w:val="009D2410"/>
    <w:rsid w:val="009D47F8"/>
    <w:rsid w:val="009D493B"/>
    <w:rsid w:val="009D5BF2"/>
    <w:rsid w:val="009D760C"/>
    <w:rsid w:val="009D7ECD"/>
    <w:rsid w:val="009E0921"/>
    <w:rsid w:val="009E1B43"/>
    <w:rsid w:val="009E3D62"/>
    <w:rsid w:val="009E597C"/>
    <w:rsid w:val="009E6426"/>
    <w:rsid w:val="009E6849"/>
    <w:rsid w:val="009E79C0"/>
    <w:rsid w:val="009E7A57"/>
    <w:rsid w:val="009F0CC4"/>
    <w:rsid w:val="009F1C99"/>
    <w:rsid w:val="009F22FF"/>
    <w:rsid w:val="009F25A5"/>
    <w:rsid w:val="009F2807"/>
    <w:rsid w:val="009F3117"/>
    <w:rsid w:val="009F3836"/>
    <w:rsid w:val="009F3A0F"/>
    <w:rsid w:val="009F431A"/>
    <w:rsid w:val="009F4373"/>
    <w:rsid w:val="009F5034"/>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95F"/>
    <w:rsid w:val="00A06E86"/>
    <w:rsid w:val="00A07A38"/>
    <w:rsid w:val="00A10222"/>
    <w:rsid w:val="00A10639"/>
    <w:rsid w:val="00A1071F"/>
    <w:rsid w:val="00A10C68"/>
    <w:rsid w:val="00A11D6C"/>
    <w:rsid w:val="00A12101"/>
    <w:rsid w:val="00A12E0A"/>
    <w:rsid w:val="00A139E1"/>
    <w:rsid w:val="00A14390"/>
    <w:rsid w:val="00A1474B"/>
    <w:rsid w:val="00A15FCB"/>
    <w:rsid w:val="00A16901"/>
    <w:rsid w:val="00A1773A"/>
    <w:rsid w:val="00A17A06"/>
    <w:rsid w:val="00A17D2C"/>
    <w:rsid w:val="00A23828"/>
    <w:rsid w:val="00A23ADB"/>
    <w:rsid w:val="00A23DA3"/>
    <w:rsid w:val="00A242C1"/>
    <w:rsid w:val="00A2497A"/>
    <w:rsid w:val="00A24C37"/>
    <w:rsid w:val="00A25ED4"/>
    <w:rsid w:val="00A2778B"/>
    <w:rsid w:val="00A30C45"/>
    <w:rsid w:val="00A31F81"/>
    <w:rsid w:val="00A32617"/>
    <w:rsid w:val="00A337A2"/>
    <w:rsid w:val="00A339D1"/>
    <w:rsid w:val="00A34D97"/>
    <w:rsid w:val="00A3794D"/>
    <w:rsid w:val="00A40AAB"/>
    <w:rsid w:val="00A424F9"/>
    <w:rsid w:val="00A4274F"/>
    <w:rsid w:val="00A42F45"/>
    <w:rsid w:val="00A43A8C"/>
    <w:rsid w:val="00A44708"/>
    <w:rsid w:val="00A45629"/>
    <w:rsid w:val="00A45DF2"/>
    <w:rsid w:val="00A508D2"/>
    <w:rsid w:val="00A550AF"/>
    <w:rsid w:val="00A57A44"/>
    <w:rsid w:val="00A6049D"/>
    <w:rsid w:val="00A6088C"/>
    <w:rsid w:val="00A61349"/>
    <w:rsid w:val="00A616C8"/>
    <w:rsid w:val="00A62240"/>
    <w:rsid w:val="00A62321"/>
    <w:rsid w:val="00A62402"/>
    <w:rsid w:val="00A635FE"/>
    <w:rsid w:val="00A643C1"/>
    <w:rsid w:val="00A65085"/>
    <w:rsid w:val="00A65A02"/>
    <w:rsid w:val="00A65A44"/>
    <w:rsid w:val="00A668C5"/>
    <w:rsid w:val="00A668DA"/>
    <w:rsid w:val="00A6690D"/>
    <w:rsid w:val="00A66C37"/>
    <w:rsid w:val="00A66FCE"/>
    <w:rsid w:val="00A67F5F"/>
    <w:rsid w:val="00A73B61"/>
    <w:rsid w:val="00A74D8D"/>
    <w:rsid w:val="00A74FF9"/>
    <w:rsid w:val="00A75787"/>
    <w:rsid w:val="00A75C49"/>
    <w:rsid w:val="00A76AAE"/>
    <w:rsid w:val="00A76C7F"/>
    <w:rsid w:val="00A76EA4"/>
    <w:rsid w:val="00A77B69"/>
    <w:rsid w:val="00A820B4"/>
    <w:rsid w:val="00A821A0"/>
    <w:rsid w:val="00A835C5"/>
    <w:rsid w:val="00A83A71"/>
    <w:rsid w:val="00A848D6"/>
    <w:rsid w:val="00A84A4D"/>
    <w:rsid w:val="00A852C6"/>
    <w:rsid w:val="00A85E84"/>
    <w:rsid w:val="00A861B7"/>
    <w:rsid w:val="00A86A2D"/>
    <w:rsid w:val="00A86EF6"/>
    <w:rsid w:val="00A87A7E"/>
    <w:rsid w:val="00A87D35"/>
    <w:rsid w:val="00A87E6D"/>
    <w:rsid w:val="00A908CB"/>
    <w:rsid w:val="00A9271E"/>
    <w:rsid w:val="00A92843"/>
    <w:rsid w:val="00A95F9C"/>
    <w:rsid w:val="00A9673A"/>
    <w:rsid w:val="00A96BFE"/>
    <w:rsid w:val="00A96F8D"/>
    <w:rsid w:val="00AA0030"/>
    <w:rsid w:val="00AA084E"/>
    <w:rsid w:val="00AA1252"/>
    <w:rsid w:val="00AA285E"/>
    <w:rsid w:val="00AA2BBA"/>
    <w:rsid w:val="00AA2DDC"/>
    <w:rsid w:val="00AA34FC"/>
    <w:rsid w:val="00AA3CD6"/>
    <w:rsid w:val="00AA3CF9"/>
    <w:rsid w:val="00AA3F45"/>
    <w:rsid w:val="00AA42EA"/>
    <w:rsid w:val="00AA6AE4"/>
    <w:rsid w:val="00AA6BCD"/>
    <w:rsid w:val="00AA7AE3"/>
    <w:rsid w:val="00AB0556"/>
    <w:rsid w:val="00AB0C15"/>
    <w:rsid w:val="00AB1088"/>
    <w:rsid w:val="00AB2D57"/>
    <w:rsid w:val="00AB3041"/>
    <w:rsid w:val="00AB3072"/>
    <w:rsid w:val="00AB3BA4"/>
    <w:rsid w:val="00AB50C1"/>
    <w:rsid w:val="00AB5BB1"/>
    <w:rsid w:val="00AB6591"/>
    <w:rsid w:val="00AB6F43"/>
    <w:rsid w:val="00AB79DE"/>
    <w:rsid w:val="00AB7DCF"/>
    <w:rsid w:val="00AC01DD"/>
    <w:rsid w:val="00AC0800"/>
    <w:rsid w:val="00AC0F5A"/>
    <w:rsid w:val="00AC13BB"/>
    <w:rsid w:val="00AC146B"/>
    <w:rsid w:val="00AC24B8"/>
    <w:rsid w:val="00AC2C4D"/>
    <w:rsid w:val="00AC3058"/>
    <w:rsid w:val="00AC31D2"/>
    <w:rsid w:val="00AC32BE"/>
    <w:rsid w:val="00AC3C13"/>
    <w:rsid w:val="00AC3C6E"/>
    <w:rsid w:val="00AC4F67"/>
    <w:rsid w:val="00AC6E2F"/>
    <w:rsid w:val="00AC6E71"/>
    <w:rsid w:val="00AC6F91"/>
    <w:rsid w:val="00AC788F"/>
    <w:rsid w:val="00AC7E94"/>
    <w:rsid w:val="00AD07B4"/>
    <w:rsid w:val="00AD08A7"/>
    <w:rsid w:val="00AD0B82"/>
    <w:rsid w:val="00AD0E6B"/>
    <w:rsid w:val="00AD0F0F"/>
    <w:rsid w:val="00AD1C61"/>
    <w:rsid w:val="00AD3523"/>
    <w:rsid w:val="00AD387D"/>
    <w:rsid w:val="00AD4CA8"/>
    <w:rsid w:val="00AD5181"/>
    <w:rsid w:val="00AD575E"/>
    <w:rsid w:val="00AD5950"/>
    <w:rsid w:val="00AD6038"/>
    <w:rsid w:val="00AD6BFB"/>
    <w:rsid w:val="00AE027F"/>
    <w:rsid w:val="00AE0763"/>
    <w:rsid w:val="00AE0F43"/>
    <w:rsid w:val="00AE18EF"/>
    <w:rsid w:val="00AE19CA"/>
    <w:rsid w:val="00AE22E7"/>
    <w:rsid w:val="00AE2B65"/>
    <w:rsid w:val="00AE3024"/>
    <w:rsid w:val="00AE358E"/>
    <w:rsid w:val="00AE3668"/>
    <w:rsid w:val="00AE3BFC"/>
    <w:rsid w:val="00AE4283"/>
    <w:rsid w:val="00AE46E6"/>
    <w:rsid w:val="00AE4A63"/>
    <w:rsid w:val="00AE4C73"/>
    <w:rsid w:val="00AE61E2"/>
    <w:rsid w:val="00AE6A20"/>
    <w:rsid w:val="00AE7D78"/>
    <w:rsid w:val="00AF418B"/>
    <w:rsid w:val="00AF517D"/>
    <w:rsid w:val="00AF561A"/>
    <w:rsid w:val="00AF5F36"/>
    <w:rsid w:val="00AF64C7"/>
    <w:rsid w:val="00AF66A9"/>
    <w:rsid w:val="00AF7172"/>
    <w:rsid w:val="00AF7B86"/>
    <w:rsid w:val="00B00FD6"/>
    <w:rsid w:val="00B01CC0"/>
    <w:rsid w:val="00B023B6"/>
    <w:rsid w:val="00B02441"/>
    <w:rsid w:val="00B027A0"/>
    <w:rsid w:val="00B02F5D"/>
    <w:rsid w:val="00B04A9B"/>
    <w:rsid w:val="00B04DB2"/>
    <w:rsid w:val="00B0541C"/>
    <w:rsid w:val="00B11996"/>
    <w:rsid w:val="00B1227E"/>
    <w:rsid w:val="00B122E6"/>
    <w:rsid w:val="00B12475"/>
    <w:rsid w:val="00B148D3"/>
    <w:rsid w:val="00B14CC6"/>
    <w:rsid w:val="00B15012"/>
    <w:rsid w:val="00B150E8"/>
    <w:rsid w:val="00B15240"/>
    <w:rsid w:val="00B16BDB"/>
    <w:rsid w:val="00B17855"/>
    <w:rsid w:val="00B17B67"/>
    <w:rsid w:val="00B17CD4"/>
    <w:rsid w:val="00B20FF1"/>
    <w:rsid w:val="00B2138F"/>
    <w:rsid w:val="00B222A3"/>
    <w:rsid w:val="00B22459"/>
    <w:rsid w:val="00B239FA"/>
    <w:rsid w:val="00B23AA0"/>
    <w:rsid w:val="00B23E0B"/>
    <w:rsid w:val="00B245FB"/>
    <w:rsid w:val="00B25D06"/>
    <w:rsid w:val="00B260DA"/>
    <w:rsid w:val="00B2684A"/>
    <w:rsid w:val="00B272A6"/>
    <w:rsid w:val="00B30A63"/>
    <w:rsid w:val="00B30E50"/>
    <w:rsid w:val="00B31ED0"/>
    <w:rsid w:val="00B32453"/>
    <w:rsid w:val="00B32D36"/>
    <w:rsid w:val="00B330D0"/>
    <w:rsid w:val="00B337E0"/>
    <w:rsid w:val="00B344FC"/>
    <w:rsid w:val="00B3462B"/>
    <w:rsid w:val="00B3576F"/>
    <w:rsid w:val="00B35816"/>
    <w:rsid w:val="00B36CE3"/>
    <w:rsid w:val="00B37E0D"/>
    <w:rsid w:val="00B40928"/>
    <w:rsid w:val="00B40EDC"/>
    <w:rsid w:val="00B413C8"/>
    <w:rsid w:val="00B4416B"/>
    <w:rsid w:val="00B467EE"/>
    <w:rsid w:val="00B50667"/>
    <w:rsid w:val="00B508BF"/>
    <w:rsid w:val="00B51252"/>
    <w:rsid w:val="00B51ACF"/>
    <w:rsid w:val="00B547C7"/>
    <w:rsid w:val="00B54DE2"/>
    <w:rsid w:val="00B55BBE"/>
    <w:rsid w:val="00B55DB0"/>
    <w:rsid w:val="00B603E8"/>
    <w:rsid w:val="00B6070D"/>
    <w:rsid w:val="00B60D9D"/>
    <w:rsid w:val="00B616BB"/>
    <w:rsid w:val="00B6273C"/>
    <w:rsid w:val="00B627AB"/>
    <w:rsid w:val="00B62DE3"/>
    <w:rsid w:val="00B63C39"/>
    <w:rsid w:val="00B66615"/>
    <w:rsid w:val="00B66AC7"/>
    <w:rsid w:val="00B674F4"/>
    <w:rsid w:val="00B675E0"/>
    <w:rsid w:val="00B67707"/>
    <w:rsid w:val="00B706E4"/>
    <w:rsid w:val="00B70C21"/>
    <w:rsid w:val="00B70D5E"/>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B87"/>
    <w:rsid w:val="00B9127F"/>
    <w:rsid w:val="00B913FD"/>
    <w:rsid w:val="00B924E9"/>
    <w:rsid w:val="00B9459B"/>
    <w:rsid w:val="00B949EA"/>
    <w:rsid w:val="00B95563"/>
    <w:rsid w:val="00B9587A"/>
    <w:rsid w:val="00B95A93"/>
    <w:rsid w:val="00B962F7"/>
    <w:rsid w:val="00B96A95"/>
    <w:rsid w:val="00B96CA4"/>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738"/>
    <w:rsid w:val="00BB74DA"/>
    <w:rsid w:val="00BB7581"/>
    <w:rsid w:val="00BC0948"/>
    <w:rsid w:val="00BC0952"/>
    <w:rsid w:val="00BC14C1"/>
    <w:rsid w:val="00BC184F"/>
    <w:rsid w:val="00BC1AAA"/>
    <w:rsid w:val="00BC1FA2"/>
    <w:rsid w:val="00BC3ABB"/>
    <w:rsid w:val="00BC41E9"/>
    <w:rsid w:val="00BC43F3"/>
    <w:rsid w:val="00BC48B3"/>
    <w:rsid w:val="00BC5D3A"/>
    <w:rsid w:val="00BC6927"/>
    <w:rsid w:val="00BC781B"/>
    <w:rsid w:val="00BD08FF"/>
    <w:rsid w:val="00BD090C"/>
    <w:rsid w:val="00BD0C55"/>
    <w:rsid w:val="00BD0DAD"/>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631D"/>
    <w:rsid w:val="00BD70AC"/>
    <w:rsid w:val="00BD7138"/>
    <w:rsid w:val="00BE18E7"/>
    <w:rsid w:val="00BE2AC1"/>
    <w:rsid w:val="00BE2F1E"/>
    <w:rsid w:val="00BE345F"/>
    <w:rsid w:val="00BE3FA1"/>
    <w:rsid w:val="00BE422C"/>
    <w:rsid w:val="00BE5947"/>
    <w:rsid w:val="00BE5A9E"/>
    <w:rsid w:val="00BE6259"/>
    <w:rsid w:val="00BE724F"/>
    <w:rsid w:val="00BE7BA7"/>
    <w:rsid w:val="00BF0580"/>
    <w:rsid w:val="00BF20B6"/>
    <w:rsid w:val="00BF343A"/>
    <w:rsid w:val="00BF4255"/>
    <w:rsid w:val="00BF5CA5"/>
    <w:rsid w:val="00BF7661"/>
    <w:rsid w:val="00BF7A96"/>
    <w:rsid w:val="00C0001D"/>
    <w:rsid w:val="00C004CE"/>
    <w:rsid w:val="00C00FB8"/>
    <w:rsid w:val="00C016F6"/>
    <w:rsid w:val="00C01CDB"/>
    <w:rsid w:val="00C0338B"/>
    <w:rsid w:val="00C040C7"/>
    <w:rsid w:val="00C042CD"/>
    <w:rsid w:val="00C06970"/>
    <w:rsid w:val="00C06A4F"/>
    <w:rsid w:val="00C10131"/>
    <w:rsid w:val="00C11A05"/>
    <w:rsid w:val="00C11F46"/>
    <w:rsid w:val="00C125CB"/>
    <w:rsid w:val="00C1301E"/>
    <w:rsid w:val="00C13D24"/>
    <w:rsid w:val="00C14A84"/>
    <w:rsid w:val="00C152E3"/>
    <w:rsid w:val="00C15F5D"/>
    <w:rsid w:val="00C16B90"/>
    <w:rsid w:val="00C20312"/>
    <w:rsid w:val="00C21001"/>
    <w:rsid w:val="00C218CA"/>
    <w:rsid w:val="00C21BCA"/>
    <w:rsid w:val="00C2223C"/>
    <w:rsid w:val="00C222A6"/>
    <w:rsid w:val="00C229B5"/>
    <w:rsid w:val="00C235C4"/>
    <w:rsid w:val="00C23884"/>
    <w:rsid w:val="00C24AE8"/>
    <w:rsid w:val="00C258EB"/>
    <w:rsid w:val="00C2658C"/>
    <w:rsid w:val="00C279CF"/>
    <w:rsid w:val="00C30037"/>
    <w:rsid w:val="00C300BE"/>
    <w:rsid w:val="00C30427"/>
    <w:rsid w:val="00C305E8"/>
    <w:rsid w:val="00C307F3"/>
    <w:rsid w:val="00C31D4A"/>
    <w:rsid w:val="00C32D20"/>
    <w:rsid w:val="00C338A3"/>
    <w:rsid w:val="00C3402E"/>
    <w:rsid w:val="00C346AF"/>
    <w:rsid w:val="00C36EDE"/>
    <w:rsid w:val="00C36EE1"/>
    <w:rsid w:val="00C400AF"/>
    <w:rsid w:val="00C4011A"/>
    <w:rsid w:val="00C403B6"/>
    <w:rsid w:val="00C41A74"/>
    <w:rsid w:val="00C42173"/>
    <w:rsid w:val="00C431B3"/>
    <w:rsid w:val="00C43324"/>
    <w:rsid w:val="00C4344F"/>
    <w:rsid w:val="00C45499"/>
    <w:rsid w:val="00C45A66"/>
    <w:rsid w:val="00C45B0E"/>
    <w:rsid w:val="00C4637A"/>
    <w:rsid w:val="00C469BA"/>
    <w:rsid w:val="00C4794B"/>
    <w:rsid w:val="00C47ED4"/>
    <w:rsid w:val="00C47F38"/>
    <w:rsid w:val="00C5001B"/>
    <w:rsid w:val="00C50416"/>
    <w:rsid w:val="00C50ADE"/>
    <w:rsid w:val="00C5111A"/>
    <w:rsid w:val="00C535DD"/>
    <w:rsid w:val="00C57060"/>
    <w:rsid w:val="00C6075D"/>
    <w:rsid w:val="00C61A32"/>
    <w:rsid w:val="00C61A4C"/>
    <w:rsid w:val="00C62A2F"/>
    <w:rsid w:val="00C632C5"/>
    <w:rsid w:val="00C63508"/>
    <w:rsid w:val="00C63CB1"/>
    <w:rsid w:val="00C6434C"/>
    <w:rsid w:val="00C64ACB"/>
    <w:rsid w:val="00C6599E"/>
    <w:rsid w:val="00C663C3"/>
    <w:rsid w:val="00C66406"/>
    <w:rsid w:val="00C72A0C"/>
    <w:rsid w:val="00C736C4"/>
    <w:rsid w:val="00C752F8"/>
    <w:rsid w:val="00C76AA4"/>
    <w:rsid w:val="00C76E3C"/>
    <w:rsid w:val="00C77F35"/>
    <w:rsid w:val="00C8006D"/>
    <w:rsid w:val="00C80204"/>
    <w:rsid w:val="00C80331"/>
    <w:rsid w:val="00C81541"/>
    <w:rsid w:val="00C831AA"/>
    <w:rsid w:val="00C83309"/>
    <w:rsid w:val="00C83498"/>
    <w:rsid w:val="00C83AC9"/>
    <w:rsid w:val="00C85144"/>
    <w:rsid w:val="00C8657B"/>
    <w:rsid w:val="00C870BA"/>
    <w:rsid w:val="00C8758A"/>
    <w:rsid w:val="00C8772F"/>
    <w:rsid w:val="00C90B5F"/>
    <w:rsid w:val="00C92693"/>
    <w:rsid w:val="00C92705"/>
    <w:rsid w:val="00C93126"/>
    <w:rsid w:val="00C944C5"/>
    <w:rsid w:val="00C9485C"/>
    <w:rsid w:val="00C94D87"/>
    <w:rsid w:val="00C95AEC"/>
    <w:rsid w:val="00C95BAC"/>
    <w:rsid w:val="00C95EAD"/>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807"/>
    <w:rsid w:val="00CB0ADE"/>
    <w:rsid w:val="00CB1E6A"/>
    <w:rsid w:val="00CB2BB2"/>
    <w:rsid w:val="00CB2D77"/>
    <w:rsid w:val="00CB46D9"/>
    <w:rsid w:val="00CB4B32"/>
    <w:rsid w:val="00CB5ED1"/>
    <w:rsid w:val="00CB799F"/>
    <w:rsid w:val="00CC0742"/>
    <w:rsid w:val="00CC0F76"/>
    <w:rsid w:val="00CC1A81"/>
    <w:rsid w:val="00CC2F0C"/>
    <w:rsid w:val="00CC3748"/>
    <w:rsid w:val="00CC3987"/>
    <w:rsid w:val="00CC4C1A"/>
    <w:rsid w:val="00CC60B5"/>
    <w:rsid w:val="00CC67D6"/>
    <w:rsid w:val="00CC7356"/>
    <w:rsid w:val="00CC7630"/>
    <w:rsid w:val="00CD0506"/>
    <w:rsid w:val="00CD087F"/>
    <w:rsid w:val="00CD0FAA"/>
    <w:rsid w:val="00CD1250"/>
    <w:rsid w:val="00CD202C"/>
    <w:rsid w:val="00CD22E5"/>
    <w:rsid w:val="00CD3F51"/>
    <w:rsid w:val="00CD492B"/>
    <w:rsid w:val="00CD4AF8"/>
    <w:rsid w:val="00CD4F64"/>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F0019"/>
    <w:rsid w:val="00CF005D"/>
    <w:rsid w:val="00CF14D1"/>
    <w:rsid w:val="00CF1AF0"/>
    <w:rsid w:val="00CF1B2E"/>
    <w:rsid w:val="00CF1B39"/>
    <w:rsid w:val="00CF2306"/>
    <w:rsid w:val="00CF42FF"/>
    <w:rsid w:val="00CF5B20"/>
    <w:rsid w:val="00CF7A59"/>
    <w:rsid w:val="00CF7B99"/>
    <w:rsid w:val="00D00E19"/>
    <w:rsid w:val="00D03B79"/>
    <w:rsid w:val="00D04620"/>
    <w:rsid w:val="00D048E3"/>
    <w:rsid w:val="00D058D9"/>
    <w:rsid w:val="00D068FF"/>
    <w:rsid w:val="00D07A2D"/>
    <w:rsid w:val="00D07E10"/>
    <w:rsid w:val="00D07EF3"/>
    <w:rsid w:val="00D11B6D"/>
    <w:rsid w:val="00D12061"/>
    <w:rsid w:val="00D12EB0"/>
    <w:rsid w:val="00D13665"/>
    <w:rsid w:val="00D1385F"/>
    <w:rsid w:val="00D13C3A"/>
    <w:rsid w:val="00D14742"/>
    <w:rsid w:val="00D14EEF"/>
    <w:rsid w:val="00D15490"/>
    <w:rsid w:val="00D1737F"/>
    <w:rsid w:val="00D20D6F"/>
    <w:rsid w:val="00D2118D"/>
    <w:rsid w:val="00D2132A"/>
    <w:rsid w:val="00D21BE9"/>
    <w:rsid w:val="00D21C2A"/>
    <w:rsid w:val="00D250BB"/>
    <w:rsid w:val="00D261DF"/>
    <w:rsid w:val="00D26A76"/>
    <w:rsid w:val="00D27330"/>
    <w:rsid w:val="00D277D6"/>
    <w:rsid w:val="00D277E6"/>
    <w:rsid w:val="00D309CB"/>
    <w:rsid w:val="00D32117"/>
    <w:rsid w:val="00D32AB4"/>
    <w:rsid w:val="00D33167"/>
    <w:rsid w:val="00D331A7"/>
    <w:rsid w:val="00D33899"/>
    <w:rsid w:val="00D36F40"/>
    <w:rsid w:val="00D37816"/>
    <w:rsid w:val="00D37D64"/>
    <w:rsid w:val="00D40476"/>
    <w:rsid w:val="00D408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50A9A"/>
    <w:rsid w:val="00D51943"/>
    <w:rsid w:val="00D51E9A"/>
    <w:rsid w:val="00D521AE"/>
    <w:rsid w:val="00D5262F"/>
    <w:rsid w:val="00D5391C"/>
    <w:rsid w:val="00D56DC0"/>
    <w:rsid w:val="00D571AA"/>
    <w:rsid w:val="00D57723"/>
    <w:rsid w:val="00D57D25"/>
    <w:rsid w:val="00D60BC7"/>
    <w:rsid w:val="00D60C27"/>
    <w:rsid w:val="00D6165D"/>
    <w:rsid w:val="00D61A30"/>
    <w:rsid w:val="00D62817"/>
    <w:rsid w:val="00D638F3"/>
    <w:rsid w:val="00D63DBF"/>
    <w:rsid w:val="00D63F06"/>
    <w:rsid w:val="00D6515F"/>
    <w:rsid w:val="00D6656B"/>
    <w:rsid w:val="00D66CAF"/>
    <w:rsid w:val="00D6718C"/>
    <w:rsid w:val="00D67361"/>
    <w:rsid w:val="00D700A7"/>
    <w:rsid w:val="00D704C1"/>
    <w:rsid w:val="00D70AF7"/>
    <w:rsid w:val="00D73C91"/>
    <w:rsid w:val="00D74AC8"/>
    <w:rsid w:val="00D74E57"/>
    <w:rsid w:val="00D76711"/>
    <w:rsid w:val="00D80565"/>
    <w:rsid w:val="00D80BBA"/>
    <w:rsid w:val="00D80C0C"/>
    <w:rsid w:val="00D80C53"/>
    <w:rsid w:val="00D81E1B"/>
    <w:rsid w:val="00D82F1A"/>
    <w:rsid w:val="00D83203"/>
    <w:rsid w:val="00D836CA"/>
    <w:rsid w:val="00D8474F"/>
    <w:rsid w:val="00D84CEB"/>
    <w:rsid w:val="00D8558E"/>
    <w:rsid w:val="00D862C6"/>
    <w:rsid w:val="00D8723F"/>
    <w:rsid w:val="00D8775D"/>
    <w:rsid w:val="00D9034F"/>
    <w:rsid w:val="00D90703"/>
    <w:rsid w:val="00D912A8"/>
    <w:rsid w:val="00D925AF"/>
    <w:rsid w:val="00D92804"/>
    <w:rsid w:val="00D93C78"/>
    <w:rsid w:val="00D947D5"/>
    <w:rsid w:val="00D94842"/>
    <w:rsid w:val="00D95605"/>
    <w:rsid w:val="00D95C71"/>
    <w:rsid w:val="00D95EBD"/>
    <w:rsid w:val="00D96128"/>
    <w:rsid w:val="00D96306"/>
    <w:rsid w:val="00D96C17"/>
    <w:rsid w:val="00D97B37"/>
    <w:rsid w:val="00DA0ADB"/>
    <w:rsid w:val="00DA113D"/>
    <w:rsid w:val="00DA15A0"/>
    <w:rsid w:val="00DA1BBB"/>
    <w:rsid w:val="00DA2643"/>
    <w:rsid w:val="00DA27B5"/>
    <w:rsid w:val="00DA3094"/>
    <w:rsid w:val="00DA3B9C"/>
    <w:rsid w:val="00DA59BB"/>
    <w:rsid w:val="00DA5CC9"/>
    <w:rsid w:val="00DA7130"/>
    <w:rsid w:val="00DA7442"/>
    <w:rsid w:val="00DA7C01"/>
    <w:rsid w:val="00DB002A"/>
    <w:rsid w:val="00DB01C0"/>
    <w:rsid w:val="00DB0634"/>
    <w:rsid w:val="00DB07A6"/>
    <w:rsid w:val="00DB0811"/>
    <w:rsid w:val="00DB2EB8"/>
    <w:rsid w:val="00DB4CA1"/>
    <w:rsid w:val="00DB5003"/>
    <w:rsid w:val="00DB6254"/>
    <w:rsid w:val="00DB64C6"/>
    <w:rsid w:val="00DC09C1"/>
    <w:rsid w:val="00DC2200"/>
    <w:rsid w:val="00DC2864"/>
    <w:rsid w:val="00DC2C97"/>
    <w:rsid w:val="00DC3292"/>
    <w:rsid w:val="00DC4F36"/>
    <w:rsid w:val="00DC5194"/>
    <w:rsid w:val="00DD0DCD"/>
    <w:rsid w:val="00DD0F7D"/>
    <w:rsid w:val="00DD1751"/>
    <w:rsid w:val="00DD1E41"/>
    <w:rsid w:val="00DD22A8"/>
    <w:rsid w:val="00DD23FD"/>
    <w:rsid w:val="00DD2E07"/>
    <w:rsid w:val="00DD48D2"/>
    <w:rsid w:val="00DD5487"/>
    <w:rsid w:val="00DD5AF0"/>
    <w:rsid w:val="00DD5E9D"/>
    <w:rsid w:val="00DD6E2A"/>
    <w:rsid w:val="00DD7BEF"/>
    <w:rsid w:val="00DE0712"/>
    <w:rsid w:val="00DE0DEF"/>
    <w:rsid w:val="00DE18D1"/>
    <w:rsid w:val="00DE21CA"/>
    <w:rsid w:val="00DE3C86"/>
    <w:rsid w:val="00DE501C"/>
    <w:rsid w:val="00DE59AF"/>
    <w:rsid w:val="00DE6907"/>
    <w:rsid w:val="00DE6B42"/>
    <w:rsid w:val="00DE70CB"/>
    <w:rsid w:val="00DE7BA4"/>
    <w:rsid w:val="00DE7E6C"/>
    <w:rsid w:val="00DF0754"/>
    <w:rsid w:val="00DF12B5"/>
    <w:rsid w:val="00DF1D98"/>
    <w:rsid w:val="00DF28E6"/>
    <w:rsid w:val="00DF29E7"/>
    <w:rsid w:val="00DF36E6"/>
    <w:rsid w:val="00DF4FEC"/>
    <w:rsid w:val="00DF5FA4"/>
    <w:rsid w:val="00DF6625"/>
    <w:rsid w:val="00DF7239"/>
    <w:rsid w:val="00DF7A16"/>
    <w:rsid w:val="00DF7F9B"/>
    <w:rsid w:val="00E002DA"/>
    <w:rsid w:val="00E00A4F"/>
    <w:rsid w:val="00E00EB1"/>
    <w:rsid w:val="00E03226"/>
    <w:rsid w:val="00E0375D"/>
    <w:rsid w:val="00E03D56"/>
    <w:rsid w:val="00E04D09"/>
    <w:rsid w:val="00E052C5"/>
    <w:rsid w:val="00E0539D"/>
    <w:rsid w:val="00E06C04"/>
    <w:rsid w:val="00E071EE"/>
    <w:rsid w:val="00E10D96"/>
    <w:rsid w:val="00E111F4"/>
    <w:rsid w:val="00E12AC1"/>
    <w:rsid w:val="00E13A01"/>
    <w:rsid w:val="00E1460A"/>
    <w:rsid w:val="00E14C74"/>
    <w:rsid w:val="00E15079"/>
    <w:rsid w:val="00E1562C"/>
    <w:rsid w:val="00E15AD0"/>
    <w:rsid w:val="00E15F71"/>
    <w:rsid w:val="00E161BA"/>
    <w:rsid w:val="00E179D9"/>
    <w:rsid w:val="00E20A33"/>
    <w:rsid w:val="00E20C1B"/>
    <w:rsid w:val="00E21B0E"/>
    <w:rsid w:val="00E222A9"/>
    <w:rsid w:val="00E22B81"/>
    <w:rsid w:val="00E2379A"/>
    <w:rsid w:val="00E23B6B"/>
    <w:rsid w:val="00E23DF7"/>
    <w:rsid w:val="00E2446F"/>
    <w:rsid w:val="00E24BBB"/>
    <w:rsid w:val="00E25FCC"/>
    <w:rsid w:val="00E266E3"/>
    <w:rsid w:val="00E26789"/>
    <w:rsid w:val="00E26C39"/>
    <w:rsid w:val="00E276AD"/>
    <w:rsid w:val="00E305DA"/>
    <w:rsid w:val="00E3074C"/>
    <w:rsid w:val="00E3387D"/>
    <w:rsid w:val="00E34C11"/>
    <w:rsid w:val="00E34FF5"/>
    <w:rsid w:val="00E3646F"/>
    <w:rsid w:val="00E3666B"/>
    <w:rsid w:val="00E37BCF"/>
    <w:rsid w:val="00E407F6"/>
    <w:rsid w:val="00E40B02"/>
    <w:rsid w:val="00E41135"/>
    <w:rsid w:val="00E41374"/>
    <w:rsid w:val="00E4210F"/>
    <w:rsid w:val="00E43580"/>
    <w:rsid w:val="00E435BC"/>
    <w:rsid w:val="00E438ED"/>
    <w:rsid w:val="00E440E5"/>
    <w:rsid w:val="00E4439E"/>
    <w:rsid w:val="00E447C0"/>
    <w:rsid w:val="00E45BC4"/>
    <w:rsid w:val="00E4668C"/>
    <w:rsid w:val="00E46709"/>
    <w:rsid w:val="00E47953"/>
    <w:rsid w:val="00E47CD4"/>
    <w:rsid w:val="00E5248D"/>
    <w:rsid w:val="00E533AB"/>
    <w:rsid w:val="00E538F3"/>
    <w:rsid w:val="00E554ED"/>
    <w:rsid w:val="00E559E0"/>
    <w:rsid w:val="00E55B10"/>
    <w:rsid w:val="00E55FBD"/>
    <w:rsid w:val="00E563E5"/>
    <w:rsid w:val="00E56F8D"/>
    <w:rsid w:val="00E57627"/>
    <w:rsid w:val="00E57929"/>
    <w:rsid w:val="00E6034A"/>
    <w:rsid w:val="00E60AC0"/>
    <w:rsid w:val="00E61424"/>
    <w:rsid w:val="00E61B89"/>
    <w:rsid w:val="00E61D89"/>
    <w:rsid w:val="00E62014"/>
    <w:rsid w:val="00E62AE5"/>
    <w:rsid w:val="00E63321"/>
    <w:rsid w:val="00E63D54"/>
    <w:rsid w:val="00E65301"/>
    <w:rsid w:val="00E65307"/>
    <w:rsid w:val="00E655EB"/>
    <w:rsid w:val="00E658AF"/>
    <w:rsid w:val="00E659A2"/>
    <w:rsid w:val="00E65E44"/>
    <w:rsid w:val="00E667E7"/>
    <w:rsid w:val="00E66B9E"/>
    <w:rsid w:val="00E67E00"/>
    <w:rsid w:val="00E70EE2"/>
    <w:rsid w:val="00E712B2"/>
    <w:rsid w:val="00E721F0"/>
    <w:rsid w:val="00E7298D"/>
    <w:rsid w:val="00E74513"/>
    <w:rsid w:val="00E7549A"/>
    <w:rsid w:val="00E75D14"/>
    <w:rsid w:val="00E75FF8"/>
    <w:rsid w:val="00E760C0"/>
    <w:rsid w:val="00E766E4"/>
    <w:rsid w:val="00E76A20"/>
    <w:rsid w:val="00E77F64"/>
    <w:rsid w:val="00E80B06"/>
    <w:rsid w:val="00E81434"/>
    <w:rsid w:val="00E81473"/>
    <w:rsid w:val="00E81F5F"/>
    <w:rsid w:val="00E8269F"/>
    <w:rsid w:val="00E838CA"/>
    <w:rsid w:val="00E83B8F"/>
    <w:rsid w:val="00E84D8E"/>
    <w:rsid w:val="00E85644"/>
    <w:rsid w:val="00E86489"/>
    <w:rsid w:val="00E86576"/>
    <w:rsid w:val="00E87524"/>
    <w:rsid w:val="00E901AC"/>
    <w:rsid w:val="00E91F40"/>
    <w:rsid w:val="00E925E5"/>
    <w:rsid w:val="00E94DC1"/>
    <w:rsid w:val="00E9563B"/>
    <w:rsid w:val="00E9569F"/>
    <w:rsid w:val="00E97362"/>
    <w:rsid w:val="00E97C80"/>
    <w:rsid w:val="00E97CA0"/>
    <w:rsid w:val="00EA0348"/>
    <w:rsid w:val="00EA15A2"/>
    <w:rsid w:val="00EA1813"/>
    <w:rsid w:val="00EA19B2"/>
    <w:rsid w:val="00EA1ACE"/>
    <w:rsid w:val="00EA2B2A"/>
    <w:rsid w:val="00EA3062"/>
    <w:rsid w:val="00EA3BFC"/>
    <w:rsid w:val="00EA3D30"/>
    <w:rsid w:val="00EA3E64"/>
    <w:rsid w:val="00EA4537"/>
    <w:rsid w:val="00EA51CE"/>
    <w:rsid w:val="00EA5BA9"/>
    <w:rsid w:val="00EA60A0"/>
    <w:rsid w:val="00EA63A1"/>
    <w:rsid w:val="00EA64B0"/>
    <w:rsid w:val="00EA64BD"/>
    <w:rsid w:val="00EA6D45"/>
    <w:rsid w:val="00EB0639"/>
    <w:rsid w:val="00EB06EA"/>
    <w:rsid w:val="00EB0B22"/>
    <w:rsid w:val="00EB202A"/>
    <w:rsid w:val="00EB2256"/>
    <w:rsid w:val="00EB57A1"/>
    <w:rsid w:val="00EB5B50"/>
    <w:rsid w:val="00EB5FB2"/>
    <w:rsid w:val="00EB7F58"/>
    <w:rsid w:val="00EC05F1"/>
    <w:rsid w:val="00EC0ACF"/>
    <w:rsid w:val="00EC0B61"/>
    <w:rsid w:val="00EC0BDB"/>
    <w:rsid w:val="00EC1FC4"/>
    <w:rsid w:val="00EC4258"/>
    <w:rsid w:val="00EC4475"/>
    <w:rsid w:val="00EC5C39"/>
    <w:rsid w:val="00EC5F8F"/>
    <w:rsid w:val="00EC62BC"/>
    <w:rsid w:val="00EC63CC"/>
    <w:rsid w:val="00EC64AF"/>
    <w:rsid w:val="00EC64E1"/>
    <w:rsid w:val="00EC657C"/>
    <w:rsid w:val="00EC757F"/>
    <w:rsid w:val="00EC76F9"/>
    <w:rsid w:val="00EC7CB9"/>
    <w:rsid w:val="00EC7DEE"/>
    <w:rsid w:val="00ED0CFA"/>
    <w:rsid w:val="00ED1DAA"/>
    <w:rsid w:val="00ED2210"/>
    <w:rsid w:val="00ED2871"/>
    <w:rsid w:val="00ED36AB"/>
    <w:rsid w:val="00ED3C72"/>
    <w:rsid w:val="00ED50FA"/>
    <w:rsid w:val="00ED5BD0"/>
    <w:rsid w:val="00ED64A4"/>
    <w:rsid w:val="00ED6BC8"/>
    <w:rsid w:val="00ED7E6E"/>
    <w:rsid w:val="00EE0CA4"/>
    <w:rsid w:val="00EE0D66"/>
    <w:rsid w:val="00EE13C2"/>
    <w:rsid w:val="00EE1FFA"/>
    <w:rsid w:val="00EE30D7"/>
    <w:rsid w:val="00EE394C"/>
    <w:rsid w:val="00EE3AF8"/>
    <w:rsid w:val="00EE4F67"/>
    <w:rsid w:val="00EE554D"/>
    <w:rsid w:val="00EE5790"/>
    <w:rsid w:val="00EE5A1F"/>
    <w:rsid w:val="00EE5AA8"/>
    <w:rsid w:val="00EE5B28"/>
    <w:rsid w:val="00EE656D"/>
    <w:rsid w:val="00EE65F8"/>
    <w:rsid w:val="00EE7000"/>
    <w:rsid w:val="00EE747A"/>
    <w:rsid w:val="00EE7B95"/>
    <w:rsid w:val="00EE7C02"/>
    <w:rsid w:val="00EF0BBB"/>
    <w:rsid w:val="00EF17AD"/>
    <w:rsid w:val="00EF1A85"/>
    <w:rsid w:val="00EF1B96"/>
    <w:rsid w:val="00EF1D89"/>
    <w:rsid w:val="00EF1F36"/>
    <w:rsid w:val="00EF395D"/>
    <w:rsid w:val="00EF39E8"/>
    <w:rsid w:val="00EF4AD0"/>
    <w:rsid w:val="00EF5D60"/>
    <w:rsid w:val="00EF77F0"/>
    <w:rsid w:val="00F00331"/>
    <w:rsid w:val="00F00607"/>
    <w:rsid w:val="00F00994"/>
    <w:rsid w:val="00F00A5E"/>
    <w:rsid w:val="00F00F55"/>
    <w:rsid w:val="00F02B5E"/>
    <w:rsid w:val="00F03A3E"/>
    <w:rsid w:val="00F0427D"/>
    <w:rsid w:val="00F04396"/>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934"/>
    <w:rsid w:val="00F11CAB"/>
    <w:rsid w:val="00F1244E"/>
    <w:rsid w:val="00F12796"/>
    <w:rsid w:val="00F13D3D"/>
    <w:rsid w:val="00F14DA8"/>
    <w:rsid w:val="00F15003"/>
    <w:rsid w:val="00F152FD"/>
    <w:rsid w:val="00F16D1C"/>
    <w:rsid w:val="00F174FA"/>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754"/>
    <w:rsid w:val="00F27E53"/>
    <w:rsid w:val="00F301C0"/>
    <w:rsid w:val="00F32102"/>
    <w:rsid w:val="00F32130"/>
    <w:rsid w:val="00F3239A"/>
    <w:rsid w:val="00F3298B"/>
    <w:rsid w:val="00F32AEB"/>
    <w:rsid w:val="00F34131"/>
    <w:rsid w:val="00F3428D"/>
    <w:rsid w:val="00F34628"/>
    <w:rsid w:val="00F34ED7"/>
    <w:rsid w:val="00F3601B"/>
    <w:rsid w:val="00F36DF1"/>
    <w:rsid w:val="00F37A3D"/>
    <w:rsid w:val="00F4130E"/>
    <w:rsid w:val="00F42183"/>
    <w:rsid w:val="00F42B03"/>
    <w:rsid w:val="00F43D6E"/>
    <w:rsid w:val="00F4501D"/>
    <w:rsid w:val="00F45087"/>
    <w:rsid w:val="00F459CC"/>
    <w:rsid w:val="00F47F88"/>
    <w:rsid w:val="00F50978"/>
    <w:rsid w:val="00F52307"/>
    <w:rsid w:val="00F53CBD"/>
    <w:rsid w:val="00F5696B"/>
    <w:rsid w:val="00F56A94"/>
    <w:rsid w:val="00F6000A"/>
    <w:rsid w:val="00F61BCC"/>
    <w:rsid w:val="00F6227C"/>
    <w:rsid w:val="00F62E8A"/>
    <w:rsid w:val="00F65B19"/>
    <w:rsid w:val="00F661CD"/>
    <w:rsid w:val="00F6636A"/>
    <w:rsid w:val="00F67A34"/>
    <w:rsid w:val="00F707A5"/>
    <w:rsid w:val="00F70A87"/>
    <w:rsid w:val="00F71A16"/>
    <w:rsid w:val="00F71DF2"/>
    <w:rsid w:val="00F725CA"/>
    <w:rsid w:val="00F740DE"/>
    <w:rsid w:val="00F74766"/>
    <w:rsid w:val="00F74D3B"/>
    <w:rsid w:val="00F74DB7"/>
    <w:rsid w:val="00F755EA"/>
    <w:rsid w:val="00F7561F"/>
    <w:rsid w:val="00F75E50"/>
    <w:rsid w:val="00F761DE"/>
    <w:rsid w:val="00F76878"/>
    <w:rsid w:val="00F76E7C"/>
    <w:rsid w:val="00F77231"/>
    <w:rsid w:val="00F81530"/>
    <w:rsid w:val="00F81D6B"/>
    <w:rsid w:val="00F8288C"/>
    <w:rsid w:val="00F82B31"/>
    <w:rsid w:val="00F82FEF"/>
    <w:rsid w:val="00F8424B"/>
    <w:rsid w:val="00F84313"/>
    <w:rsid w:val="00F8561D"/>
    <w:rsid w:val="00F86D94"/>
    <w:rsid w:val="00F903A2"/>
    <w:rsid w:val="00F904EB"/>
    <w:rsid w:val="00F90BB7"/>
    <w:rsid w:val="00F934CC"/>
    <w:rsid w:val="00F937BC"/>
    <w:rsid w:val="00F944ED"/>
    <w:rsid w:val="00F94646"/>
    <w:rsid w:val="00F946A2"/>
    <w:rsid w:val="00F94812"/>
    <w:rsid w:val="00F95620"/>
    <w:rsid w:val="00F95A94"/>
    <w:rsid w:val="00F95B41"/>
    <w:rsid w:val="00F96117"/>
    <w:rsid w:val="00F96CAC"/>
    <w:rsid w:val="00F97E0B"/>
    <w:rsid w:val="00F97FB4"/>
    <w:rsid w:val="00FA1761"/>
    <w:rsid w:val="00FA2247"/>
    <w:rsid w:val="00FA315A"/>
    <w:rsid w:val="00FA3F4E"/>
    <w:rsid w:val="00FA3F63"/>
    <w:rsid w:val="00FA4709"/>
    <w:rsid w:val="00FA4BC0"/>
    <w:rsid w:val="00FA5C19"/>
    <w:rsid w:val="00FA7A59"/>
    <w:rsid w:val="00FA7EC9"/>
    <w:rsid w:val="00FB01FA"/>
    <w:rsid w:val="00FB028F"/>
    <w:rsid w:val="00FB2FD0"/>
    <w:rsid w:val="00FB30A4"/>
    <w:rsid w:val="00FB31B9"/>
    <w:rsid w:val="00FB49D1"/>
    <w:rsid w:val="00FB4EC7"/>
    <w:rsid w:val="00FB5FFC"/>
    <w:rsid w:val="00FB67F6"/>
    <w:rsid w:val="00FB6857"/>
    <w:rsid w:val="00FB7627"/>
    <w:rsid w:val="00FB7840"/>
    <w:rsid w:val="00FC00BA"/>
    <w:rsid w:val="00FC079A"/>
    <w:rsid w:val="00FC16DC"/>
    <w:rsid w:val="00FC2617"/>
    <w:rsid w:val="00FC2F30"/>
    <w:rsid w:val="00FC32BA"/>
    <w:rsid w:val="00FC3B65"/>
    <w:rsid w:val="00FC41AE"/>
    <w:rsid w:val="00FC5B5D"/>
    <w:rsid w:val="00FC6316"/>
    <w:rsid w:val="00FC66A3"/>
    <w:rsid w:val="00FC7662"/>
    <w:rsid w:val="00FC784A"/>
    <w:rsid w:val="00FD008D"/>
    <w:rsid w:val="00FD04D0"/>
    <w:rsid w:val="00FD0D26"/>
    <w:rsid w:val="00FD151B"/>
    <w:rsid w:val="00FD1FCA"/>
    <w:rsid w:val="00FD28E9"/>
    <w:rsid w:val="00FD2D54"/>
    <w:rsid w:val="00FD32C5"/>
    <w:rsid w:val="00FD5A62"/>
    <w:rsid w:val="00FD5FE1"/>
    <w:rsid w:val="00FE12B5"/>
    <w:rsid w:val="00FE17D2"/>
    <w:rsid w:val="00FE1F1A"/>
    <w:rsid w:val="00FE2D8D"/>
    <w:rsid w:val="00FE2E99"/>
    <w:rsid w:val="00FE2F1F"/>
    <w:rsid w:val="00FE43E8"/>
    <w:rsid w:val="00FE5279"/>
    <w:rsid w:val="00FE5788"/>
    <w:rsid w:val="00FE7A3D"/>
    <w:rsid w:val="00FF1D5F"/>
    <w:rsid w:val="00FF2557"/>
    <w:rsid w:val="00FF33EB"/>
    <w:rsid w:val="00FF4084"/>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0BB23-95F3-458D-AFB7-8630E87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65"/>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9B7B21"/>
    <w:rPr>
      <w:rFonts w:eastAsia="PMingLiU" w:cs="Simplified Arabic"/>
      <w:szCs w:val="22"/>
      <w:lang w:val="en-US" w:eastAsia="ar-SA"/>
    </w:rPr>
  </w:style>
  <w:style w:type="paragraph" w:customStyle="1" w:styleId="Para3">
    <w:name w:val="Para3"/>
    <w:basedOn w:val="Normal"/>
    <w:rsid w:val="002E5E37"/>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customStyle="1" w:styleId="hps">
    <w:name w:val="hps"/>
    <w:rsid w:val="00B3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ecision/mop/default.shtml?id=1335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ch.cbd.int/protocol/cpb_art15_submiss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8/mop-08-dec-12-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2/cop-12-dec-24-a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ch.cbd.int/onlineconferences/forum_ra/discussion.shtml" TargetMode="External"/><Relationship Id="rId2" Type="http://schemas.openxmlformats.org/officeDocument/2006/relationships/hyperlink" Target="https://www.cbd.int/doc/notifications/2017/ntf-2017-035-bs-en.doc" TargetMode="External"/><Relationship Id="rId1" Type="http://schemas.openxmlformats.org/officeDocument/2006/relationships/hyperlink" Target="https://www.cbd.int/doc/meetings/sbstta/sbstta-22/official/sbstta-22-01-ar.pdf" TargetMode="External"/><Relationship Id="rId5" Type="http://schemas.openxmlformats.org/officeDocument/2006/relationships/hyperlink" Target="https://www.cbd.int/doc/decisions/cop-08/cop-08-dec-10-en.pdf" TargetMode="External"/><Relationship Id="rId4" Type="http://schemas.openxmlformats.org/officeDocument/2006/relationships/hyperlink" Target="https://bch.cbd.int/onlineconferences/forum_ra/peer-revi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B31D5-AC75-405C-B3A8-B123B824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1832</Words>
  <Characters>10443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12251</CharactersWithSpaces>
  <SharedDoc>false</SharedDoc>
  <HLinks>
    <vt:vector size="54" baseType="variant">
      <vt:variant>
        <vt:i4>589906</vt:i4>
      </vt:variant>
      <vt:variant>
        <vt:i4>9</vt:i4>
      </vt:variant>
      <vt:variant>
        <vt:i4>0</vt:i4>
      </vt:variant>
      <vt:variant>
        <vt:i4>5</vt:i4>
      </vt:variant>
      <vt:variant>
        <vt:lpwstr>https://www.cbd.int/doc/decisions/cop-12/cop-12-dec-24-ar.pdf</vt:lpwstr>
      </vt:variant>
      <vt:variant>
        <vt:lpwstr/>
      </vt:variant>
      <vt:variant>
        <vt:i4>6815797</vt:i4>
      </vt:variant>
      <vt:variant>
        <vt:i4>6</vt:i4>
      </vt:variant>
      <vt:variant>
        <vt:i4>0</vt:i4>
      </vt:variant>
      <vt:variant>
        <vt:i4>5</vt:i4>
      </vt:variant>
      <vt:variant>
        <vt:lpwstr>https://www.cbd.int/decision/mop/default.shtml?id=13245</vt:lpwstr>
      </vt:variant>
      <vt:variant>
        <vt:lpwstr/>
      </vt:variant>
      <vt:variant>
        <vt:i4>5505029</vt:i4>
      </vt:variant>
      <vt:variant>
        <vt:i4>3</vt:i4>
      </vt:variant>
      <vt:variant>
        <vt:i4>0</vt:i4>
      </vt:variant>
      <vt:variant>
        <vt:i4>5</vt:i4>
      </vt:variant>
      <vt:variant>
        <vt:lpwstr>http://bch.cbd.int/protocol/cpb_art15_submissions</vt:lpwstr>
      </vt:variant>
      <vt:variant>
        <vt:lpwstr/>
      </vt:variant>
      <vt:variant>
        <vt:i4>655444</vt:i4>
      </vt:variant>
      <vt:variant>
        <vt:i4>0</vt:i4>
      </vt:variant>
      <vt:variant>
        <vt:i4>0</vt:i4>
      </vt:variant>
      <vt:variant>
        <vt:i4>5</vt:i4>
      </vt:variant>
      <vt:variant>
        <vt:lpwstr>https://www.cbd.int/doc/decisions/mop-08/mop-08-dec-12-ar.pdf</vt:lpwstr>
      </vt:variant>
      <vt:variant>
        <vt:lpwstr/>
      </vt:variant>
      <vt:variant>
        <vt:i4>131142</vt:i4>
      </vt:variant>
      <vt:variant>
        <vt:i4>12</vt:i4>
      </vt:variant>
      <vt:variant>
        <vt:i4>0</vt:i4>
      </vt:variant>
      <vt:variant>
        <vt:i4>5</vt:i4>
      </vt:variant>
      <vt:variant>
        <vt:lpwstr>https://www.cbd.int/doc/decisions/cop-08/cop-08-dec-10-en.pdf</vt:lpwstr>
      </vt:variant>
      <vt:variant>
        <vt:lpwstr/>
      </vt:variant>
      <vt:variant>
        <vt:i4>6291545</vt:i4>
      </vt:variant>
      <vt:variant>
        <vt:i4>9</vt:i4>
      </vt:variant>
      <vt:variant>
        <vt:i4>0</vt:i4>
      </vt:variant>
      <vt:variant>
        <vt:i4>5</vt:i4>
      </vt:variant>
      <vt:variant>
        <vt:lpwstr>https://bch.cbd.int/onlineconferences/forum_ra/peer-review.shtml</vt:lpwstr>
      </vt:variant>
      <vt:variant>
        <vt:lpwstr/>
      </vt:variant>
      <vt:variant>
        <vt:i4>1900669</vt:i4>
      </vt:variant>
      <vt:variant>
        <vt:i4>6</vt:i4>
      </vt:variant>
      <vt:variant>
        <vt:i4>0</vt:i4>
      </vt:variant>
      <vt:variant>
        <vt:i4>5</vt:i4>
      </vt:variant>
      <vt:variant>
        <vt:lpwstr>https://bch.cbd.int/onlineconferences/forum_ra/discussion.shtml</vt:lpwstr>
      </vt:variant>
      <vt:variant>
        <vt:lpwstr/>
      </vt:variant>
      <vt:variant>
        <vt:i4>4915224</vt:i4>
      </vt:variant>
      <vt:variant>
        <vt:i4>3</vt:i4>
      </vt:variant>
      <vt:variant>
        <vt:i4>0</vt:i4>
      </vt:variant>
      <vt:variant>
        <vt:i4>5</vt:i4>
      </vt:variant>
      <vt:variant>
        <vt:lpwstr>https://www.cbd.int/doc/notifications/2017/ntf-2017-035-bs-en.doc</vt:lpwstr>
      </vt:variant>
      <vt:variant>
        <vt:lpwstr/>
      </vt:variant>
      <vt:variant>
        <vt:i4>2097214</vt:i4>
      </vt:variant>
      <vt:variant>
        <vt:i4>0</vt:i4>
      </vt:variant>
      <vt:variant>
        <vt:i4>0</vt:i4>
      </vt:variant>
      <vt:variant>
        <vt:i4>5</vt:i4>
      </vt:variant>
      <vt:variant>
        <vt:lpwstr>https://www.cbd.int/doc/meetings/sbstta/sbstta-22/official/sbstta-22-01-ar.pdf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CBD/SBSTTA/22/1/Add.1</dc:subject>
  <dc:creator>SCBD</dc:creator>
  <cp:keywords/>
  <cp:lastModifiedBy>Ahmed OSMAN</cp:lastModifiedBy>
  <cp:revision>5</cp:revision>
  <cp:lastPrinted>2018-05-28T14:11:00Z</cp:lastPrinted>
  <dcterms:created xsi:type="dcterms:W3CDTF">2018-04-18T19:54:00Z</dcterms:created>
  <dcterms:modified xsi:type="dcterms:W3CDTF">2018-05-28T14:12:00Z</dcterms:modified>
</cp:coreProperties>
</file>