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000" w:firstRow="0" w:lastRow="0" w:firstColumn="0" w:lastColumn="0" w:noHBand="0" w:noVBand="0"/>
      </w:tblPr>
      <w:tblGrid>
        <w:gridCol w:w="5238"/>
        <w:gridCol w:w="450"/>
        <w:gridCol w:w="4201"/>
      </w:tblGrid>
      <w:tr w:rsidR="004E26C0" w:rsidRPr="004518C7" w14:paraId="10CCBBCE" w14:textId="77777777" w:rsidTr="004E26C0">
        <w:trPr>
          <w:trHeight w:val="1440"/>
        </w:trPr>
        <w:tc>
          <w:tcPr>
            <w:tcW w:w="5238" w:type="dxa"/>
          </w:tcPr>
          <w:p w14:paraId="3C1E90F3" w14:textId="3B239A8D" w:rsidR="004E26C0" w:rsidRPr="004518C7" w:rsidRDefault="004E26C0" w:rsidP="004E26C0">
            <w:pPr>
              <w:spacing w:before="300"/>
              <w:ind w:right="1426"/>
              <w:rPr>
                <w:kern w:val="22"/>
              </w:rPr>
            </w:pPr>
            <w:bookmarkStart w:id="0" w:name="Meeting"/>
            <w:r w:rsidRPr="00B323C3">
              <w:rPr>
                <w:rFonts w:ascii="SimHei" w:eastAsia="SimHei" w:hAnsi="SimHei" w:hint="eastAsia"/>
                <w:b/>
                <w:snapToGrid w:val="0"/>
                <w:kern w:val="22"/>
                <w:sz w:val="44"/>
              </w:rPr>
              <w:t>生物多样性公约</w:t>
            </w:r>
          </w:p>
        </w:tc>
        <w:tc>
          <w:tcPr>
            <w:tcW w:w="450" w:type="dxa"/>
          </w:tcPr>
          <w:p w14:paraId="7BAB7E62" w14:textId="77777777" w:rsidR="004E26C0" w:rsidRPr="004518C7" w:rsidRDefault="004E26C0" w:rsidP="001364F1">
            <w:pPr>
              <w:rPr>
                <w:kern w:val="22"/>
              </w:rPr>
            </w:pPr>
          </w:p>
        </w:tc>
        <w:tc>
          <w:tcPr>
            <w:tcW w:w="4201" w:type="dxa"/>
          </w:tcPr>
          <w:p w14:paraId="7D1C7A12" w14:textId="33A45ED0" w:rsidR="004E26C0" w:rsidRPr="004E26C0" w:rsidRDefault="00AA2F16" w:rsidP="004E26C0">
            <w:pPr>
              <w:adjustRightInd w:val="0"/>
              <w:snapToGrid w:val="0"/>
              <w:spacing w:after="0" w:line="240" w:lineRule="atLeast"/>
              <w:ind w:left="1296"/>
              <w:rPr>
                <w:kern w:val="22"/>
                <w:sz w:val="24"/>
                <w:szCs w:val="24"/>
              </w:rPr>
            </w:pPr>
            <w:sdt>
              <w:sdtPr>
                <w:rPr>
                  <w:rFonts w:hint="eastAsia"/>
                  <w:kern w:val="22"/>
                  <w:sz w:val="24"/>
                  <w:szCs w:val="24"/>
                </w:rPr>
                <w:alias w:val="Subject"/>
                <w:tag w:val=""/>
                <w:id w:val="874587506"/>
                <w:placeholder>
                  <w:docPart w:val="6D11F672E1AC4CA8BEEF77674F53697A"/>
                </w:placeholder>
                <w:dataBinding w:prefixMappings="xmlns:ns0='http://purl.org/dc/elements/1.1/' xmlns:ns1='http://schemas.openxmlformats.org/package/2006/metadata/core-properties' " w:xpath="/ns1:coreProperties[1]/ns0:subject[1]" w:storeItemID="{6C3C8BC8-F283-45AE-878A-BAB7291924A1}"/>
                <w:text/>
              </w:sdtPr>
              <w:sdtEndPr/>
              <w:sdtContent>
                <w:r w:rsidR="004E26C0" w:rsidRPr="004E26C0">
                  <w:rPr>
                    <w:rFonts w:hint="eastAsia"/>
                    <w:kern w:val="22"/>
                    <w:sz w:val="24"/>
                    <w:szCs w:val="24"/>
                  </w:rPr>
                  <w:t>CBD/S</w:t>
                </w:r>
                <w:r w:rsidR="00E158E7">
                  <w:rPr>
                    <w:kern w:val="22"/>
                    <w:sz w:val="24"/>
                    <w:szCs w:val="24"/>
                  </w:rPr>
                  <w:t>BI</w:t>
                </w:r>
                <w:r w:rsidR="004E26C0" w:rsidRPr="004E26C0">
                  <w:rPr>
                    <w:rFonts w:hint="eastAsia"/>
                    <w:kern w:val="22"/>
                    <w:sz w:val="24"/>
                    <w:szCs w:val="24"/>
                  </w:rPr>
                  <w:t>/</w:t>
                </w:r>
                <w:r w:rsidR="00E158E7">
                  <w:rPr>
                    <w:kern w:val="22"/>
                    <w:sz w:val="24"/>
                    <w:szCs w:val="24"/>
                  </w:rPr>
                  <w:t>3</w:t>
                </w:r>
                <w:r w:rsidR="004E26C0" w:rsidRPr="004E26C0">
                  <w:rPr>
                    <w:rFonts w:hint="eastAsia"/>
                    <w:kern w:val="22"/>
                    <w:sz w:val="24"/>
                    <w:szCs w:val="24"/>
                  </w:rPr>
                  <w:t>/</w:t>
                </w:r>
                <w:r w:rsidR="004E26C0">
                  <w:rPr>
                    <w:kern w:val="22"/>
                    <w:sz w:val="24"/>
                    <w:szCs w:val="24"/>
                  </w:rPr>
                  <w:t>CRP.</w:t>
                </w:r>
                <w:r w:rsidR="00D17082">
                  <w:rPr>
                    <w:kern w:val="22"/>
                    <w:sz w:val="24"/>
                    <w:szCs w:val="24"/>
                  </w:rPr>
                  <w:t>7</w:t>
                </w:r>
              </w:sdtContent>
            </w:sdt>
          </w:p>
          <w:p w14:paraId="1B5DFEBD" w14:textId="687BB05F" w:rsidR="004E26C0" w:rsidRPr="004E26C0" w:rsidRDefault="00D17082" w:rsidP="004E26C0">
            <w:pPr>
              <w:adjustRightInd w:val="0"/>
              <w:snapToGrid w:val="0"/>
              <w:spacing w:after="180" w:line="240" w:lineRule="atLeast"/>
              <w:ind w:left="1296"/>
              <w:rPr>
                <w:kern w:val="22"/>
                <w:sz w:val="24"/>
                <w:szCs w:val="24"/>
              </w:rPr>
            </w:pPr>
            <w:r>
              <w:rPr>
                <w:kern w:val="22"/>
                <w:sz w:val="24"/>
                <w:szCs w:val="24"/>
              </w:rPr>
              <w:t>28</w:t>
            </w:r>
            <w:r w:rsidR="004E26C0" w:rsidRPr="004E26C0">
              <w:rPr>
                <w:kern w:val="22"/>
                <w:sz w:val="24"/>
                <w:szCs w:val="24"/>
              </w:rPr>
              <w:t xml:space="preserve"> May 2021</w:t>
            </w:r>
          </w:p>
          <w:p w14:paraId="0C85B576" w14:textId="77E65FB8" w:rsidR="004E26C0" w:rsidRPr="004E26C0" w:rsidRDefault="004E26C0" w:rsidP="004E26C0">
            <w:pPr>
              <w:adjustRightInd w:val="0"/>
              <w:snapToGrid w:val="0"/>
              <w:spacing w:after="0" w:line="240" w:lineRule="atLeast"/>
              <w:ind w:left="1296"/>
              <w:rPr>
                <w:kern w:val="22"/>
                <w:sz w:val="24"/>
                <w:szCs w:val="24"/>
              </w:rPr>
            </w:pPr>
            <w:r w:rsidRPr="004E26C0">
              <w:rPr>
                <w:rFonts w:hint="eastAsia"/>
                <w:kern w:val="22"/>
                <w:sz w:val="24"/>
                <w:szCs w:val="24"/>
              </w:rPr>
              <w:t>C</w:t>
            </w:r>
            <w:r w:rsidR="007E5D4B">
              <w:rPr>
                <w:kern w:val="22"/>
                <w:sz w:val="24"/>
                <w:szCs w:val="24"/>
              </w:rPr>
              <w:t>HINESE</w:t>
            </w:r>
          </w:p>
          <w:p w14:paraId="008F340E" w14:textId="77777777" w:rsidR="004E26C0" w:rsidRPr="004518C7" w:rsidRDefault="004E26C0" w:rsidP="004E26C0">
            <w:pPr>
              <w:adjustRightInd w:val="0"/>
              <w:snapToGrid w:val="0"/>
              <w:spacing w:after="0" w:line="240" w:lineRule="atLeast"/>
              <w:ind w:left="1296"/>
              <w:rPr>
                <w:kern w:val="22"/>
              </w:rPr>
            </w:pPr>
            <w:r w:rsidRPr="004E26C0">
              <w:rPr>
                <w:kern w:val="22"/>
                <w:sz w:val="24"/>
                <w:szCs w:val="24"/>
              </w:rPr>
              <w:t>ORIGINAL: ENGLISH</w:t>
            </w:r>
          </w:p>
        </w:tc>
      </w:tr>
    </w:tbl>
    <w:p w14:paraId="560ADB0A" w14:textId="07FED8BD" w:rsidR="00CA6B87" w:rsidRPr="008E33A9" w:rsidRDefault="00E158E7" w:rsidP="004C61CD">
      <w:pPr>
        <w:pStyle w:val="meetingname"/>
        <w:spacing w:after="0" w:line="240" w:lineRule="auto"/>
        <w:ind w:right="4542"/>
        <w:rPr>
          <w:rFonts w:eastAsia="SimSun"/>
          <w:kern w:val="22"/>
          <w:sz w:val="24"/>
          <w:szCs w:val="24"/>
        </w:rPr>
      </w:pPr>
      <w:r>
        <w:rPr>
          <w:rFonts w:eastAsia="SimSun" w:hint="eastAsia"/>
          <w:sz w:val="24"/>
          <w:szCs w:val="24"/>
          <w:lang w:val="zh-CN"/>
        </w:rPr>
        <w:t>执行问题</w:t>
      </w:r>
      <w:r w:rsidR="00D51069" w:rsidRPr="008E33A9">
        <w:rPr>
          <w:rFonts w:eastAsia="SimSun"/>
          <w:sz w:val="24"/>
          <w:szCs w:val="24"/>
          <w:lang w:val="zh-CN"/>
        </w:rPr>
        <w:t>附属机构</w:t>
      </w:r>
      <w:bookmarkEnd w:id="0"/>
    </w:p>
    <w:p w14:paraId="7981F608" w14:textId="2E354231" w:rsidR="00D51069" w:rsidRPr="008E33A9" w:rsidRDefault="00BC5BDC" w:rsidP="004C61CD">
      <w:pPr>
        <w:spacing w:after="0" w:line="240" w:lineRule="auto"/>
        <w:ind w:right="4542"/>
        <w:rPr>
          <w:snapToGrid w:val="0"/>
          <w:kern w:val="22"/>
          <w:sz w:val="24"/>
          <w:szCs w:val="24"/>
        </w:rPr>
      </w:pPr>
      <w:r w:rsidRPr="008E33A9">
        <w:rPr>
          <w:sz w:val="24"/>
          <w:szCs w:val="24"/>
          <w:lang w:val="zh-CN"/>
        </w:rPr>
        <w:t>第</w:t>
      </w:r>
      <w:r w:rsidR="00E158E7">
        <w:rPr>
          <w:rFonts w:hint="eastAsia"/>
          <w:sz w:val="24"/>
          <w:szCs w:val="24"/>
          <w:lang w:val="zh-CN"/>
        </w:rPr>
        <w:t>三</w:t>
      </w:r>
      <w:r w:rsidRPr="008E33A9">
        <w:rPr>
          <w:sz w:val="24"/>
          <w:szCs w:val="24"/>
          <w:lang w:val="zh-CN"/>
        </w:rPr>
        <w:t>次会议</w:t>
      </w:r>
    </w:p>
    <w:p w14:paraId="09C88439" w14:textId="4D117D83" w:rsidR="00CA6B87" w:rsidRPr="008E33A9" w:rsidRDefault="0090549C" w:rsidP="004C61CD">
      <w:pPr>
        <w:spacing w:after="0" w:line="240" w:lineRule="auto"/>
        <w:ind w:right="4542"/>
        <w:rPr>
          <w:snapToGrid w:val="0"/>
          <w:kern w:val="22"/>
          <w:sz w:val="24"/>
          <w:szCs w:val="24"/>
        </w:rPr>
      </w:pPr>
      <w:r>
        <w:rPr>
          <w:rFonts w:hint="eastAsia"/>
          <w:snapToGrid w:val="0"/>
          <w:kern w:val="22"/>
          <w:sz w:val="24"/>
          <w:szCs w:val="24"/>
        </w:rPr>
        <w:t>2</w:t>
      </w:r>
      <w:r>
        <w:rPr>
          <w:snapToGrid w:val="0"/>
          <w:kern w:val="22"/>
          <w:sz w:val="24"/>
          <w:szCs w:val="24"/>
        </w:rPr>
        <w:t>021</w:t>
      </w:r>
      <w:r>
        <w:rPr>
          <w:rFonts w:hint="eastAsia"/>
          <w:snapToGrid w:val="0"/>
          <w:kern w:val="22"/>
          <w:sz w:val="24"/>
          <w:szCs w:val="24"/>
        </w:rPr>
        <w:t>年</w:t>
      </w:r>
      <w:r>
        <w:rPr>
          <w:rFonts w:hint="eastAsia"/>
          <w:snapToGrid w:val="0"/>
          <w:kern w:val="22"/>
          <w:sz w:val="24"/>
          <w:szCs w:val="24"/>
        </w:rPr>
        <w:t>5</w:t>
      </w:r>
      <w:r>
        <w:rPr>
          <w:rFonts w:hint="eastAsia"/>
          <w:snapToGrid w:val="0"/>
          <w:kern w:val="22"/>
          <w:sz w:val="24"/>
          <w:szCs w:val="24"/>
        </w:rPr>
        <w:t>月</w:t>
      </w:r>
      <w:r w:rsidR="00E158E7">
        <w:rPr>
          <w:rFonts w:hint="eastAsia"/>
          <w:snapToGrid w:val="0"/>
          <w:kern w:val="22"/>
          <w:sz w:val="24"/>
          <w:szCs w:val="24"/>
        </w:rPr>
        <w:t>1</w:t>
      </w:r>
      <w:r w:rsidR="00E158E7">
        <w:rPr>
          <w:snapToGrid w:val="0"/>
          <w:kern w:val="22"/>
          <w:sz w:val="24"/>
          <w:szCs w:val="24"/>
        </w:rPr>
        <w:t>6</w:t>
      </w:r>
      <w:r>
        <w:rPr>
          <w:rFonts w:hint="eastAsia"/>
          <w:snapToGrid w:val="0"/>
          <w:kern w:val="22"/>
          <w:sz w:val="24"/>
          <w:szCs w:val="24"/>
        </w:rPr>
        <w:t>日至</w:t>
      </w:r>
      <w:r>
        <w:rPr>
          <w:rFonts w:hint="eastAsia"/>
          <w:snapToGrid w:val="0"/>
          <w:kern w:val="22"/>
          <w:sz w:val="24"/>
          <w:szCs w:val="24"/>
        </w:rPr>
        <w:t>6</w:t>
      </w:r>
      <w:r>
        <w:rPr>
          <w:rFonts w:hint="eastAsia"/>
          <w:snapToGrid w:val="0"/>
          <w:kern w:val="22"/>
          <w:sz w:val="24"/>
          <w:szCs w:val="24"/>
        </w:rPr>
        <w:t>月</w:t>
      </w:r>
      <w:r w:rsidR="00E158E7">
        <w:rPr>
          <w:rFonts w:hint="eastAsia"/>
          <w:snapToGrid w:val="0"/>
          <w:kern w:val="22"/>
          <w:sz w:val="24"/>
          <w:szCs w:val="24"/>
        </w:rPr>
        <w:t>1</w:t>
      </w:r>
      <w:r w:rsidR="00E158E7">
        <w:rPr>
          <w:snapToGrid w:val="0"/>
          <w:kern w:val="22"/>
          <w:sz w:val="24"/>
          <w:szCs w:val="24"/>
        </w:rPr>
        <w:t>3</w:t>
      </w:r>
      <w:r>
        <w:rPr>
          <w:rFonts w:hint="eastAsia"/>
          <w:snapToGrid w:val="0"/>
          <w:kern w:val="22"/>
          <w:sz w:val="24"/>
          <w:szCs w:val="24"/>
        </w:rPr>
        <w:t>日，在线</w:t>
      </w:r>
    </w:p>
    <w:p w14:paraId="58D81E51" w14:textId="3B77E92A" w:rsidR="000C37B2" w:rsidRPr="00D17082" w:rsidRDefault="000C37B2" w:rsidP="00F35D4B">
      <w:pPr>
        <w:spacing w:line="240" w:lineRule="auto"/>
        <w:ind w:right="4540"/>
        <w:rPr>
          <w:snapToGrid w:val="0"/>
          <w:kern w:val="22"/>
          <w:sz w:val="24"/>
          <w:szCs w:val="24"/>
        </w:rPr>
      </w:pPr>
      <w:r w:rsidRPr="008E33A9">
        <w:rPr>
          <w:sz w:val="24"/>
          <w:szCs w:val="24"/>
          <w:lang w:val="zh-CN"/>
        </w:rPr>
        <w:t>议程</w:t>
      </w:r>
      <w:r w:rsidR="00593B23" w:rsidRPr="008E33A9">
        <w:rPr>
          <w:rFonts w:hint="eastAsia"/>
          <w:sz w:val="24"/>
          <w:szCs w:val="24"/>
          <w:lang w:val="zh-CN"/>
        </w:rPr>
        <w:t>项目</w:t>
      </w:r>
      <w:r w:rsidR="00D17082">
        <w:rPr>
          <w:sz w:val="24"/>
          <w:szCs w:val="24"/>
        </w:rPr>
        <w:t>6</w:t>
      </w:r>
    </w:p>
    <w:p w14:paraId="53A9DC78" w14:textId="64C28115" w:rsidR="004A12C3" w:rsidRPr="00CE75F6" w:rsidRDefault="00D17082" w:rsidP="00E95BBB">
      <w:pPr>
        <w:keepNext/>
        <w:spacing w:before="240" w:line="240" w:lineRule="auto"/>
        <w:jc w:val="center"/>
        <w:rPr>
          <w:rFonts w:eastAsia="SimHei"/>
          <w:b/>
          <w:caps/>
          <w:kern w:val="22"/>
          <w:sz w:val="28"/>
          <w:szCs w:val="28"/>
        </w:rPr>
      </w:pPr>
      <w:r>
        <w:rPr>
          <w:rFonts w:eastAsia="SimHei" w:hint="eastAsia"/>
          <w:kern w:val="22"/>
          <w:sz w:val="28"/>
          <w:szCs w:val="28"/>
          <w:lang w:val="en-GB"/>
        </w:rPr>
        <w:t>财务机制</w:t>
      </w:r>
      <w:r w:rsidR="00F759F8" w:rsidRPr="00CE75F6">
        <w:rPr>
          <w:rFonts w:eastAsia="SimHei" w:hint="eastAsia"/>
          <w:b/>
          <w:caps/>
          <w:snapToGrid w:val="0"/>
          <w:kern w:val="22"/>
          <w:sz w:val="28"/>
          <w:szCs w:val="28"/>
        </w:rPr>
        <w:t xml:space="preserve"> </w:t>
      </w:r>
    </w:p>
    <w:p w14:paraId="15FAD7D2" w14:textId="014C7C9D" w:rsidR="003526C4" w:rsidRPr="00D17082" w:rsidRDefault="0090549C" w:rsidP="00F61957">
      <w:pPr>
        <w:pStyle w:val="Style1"/>
        <w:spacing w:before="240" w:line="240" w:lineRule="auto"/>
        <w:outlineLvl w:val="9"/>
        <w:rPr>
          <w:rFonts w:ascii="KaiTi" w:hAnsi="KaiTi"/>
          <w:i w:val="0"/>
          <w:sz w:val="24"/>
          <w:szCs w:val="24"/>
          <w:lang w:val="zh-CN"/>
        </w:rPr>
      </w:pPr>
      <w:r w:rsidRPr="00D17082">
        <w:rPr>
          <w:rFonts w:ascii="KaiTi" w:hAnsi="KaiTi" w:hint="eastAsia"/>
          <w:i w:val="0"/>
          <w:sz w:val="24"/>
          <w:szCs w:val="24"/>
          <w:lang w:val="zh-CN"/>
        </w:rPr>
        <w:t>主席提交的建议草案</w:t>
      </w:r>
    </w:p>
    <w:p w14:paraId="0A8137ED" w14:textId="14DEF8B8" w:rsidR="0009799C" w:rsidRDefault="0009799C" w:rsidP="00E814DA">
      <w:pPr>
        <w:spacing w:before="120"/>
        <w:jc w:val="center"/>
        <w:rPr>
          <w:rFonts w:ascii="SimSun" w:hAnsi="SimSun"/>
          <w:bCs/>
          <w:snapToGrid w:val="0"/>
          <w:kern w:val="22"/>
          <w:szCs w:val="22"/>
        </w:rPr>
      </w:pPr>
    </w:p>
    <w:p w14:paraId="3469DAA3" w14:textId="77777777" w:rsidR="001E1D83" w:rsidRPr="00E20D23" w:rsidRDefault="001E1D83" w:rsidP="00E20D23">
      <w:pPr>
        <w:pStyle w:val="Para1"/>
        <w:numPr>
          <w:ilvl w:val="0"/>
          <w:numId w:val="0"/>
        </w:numPr>
        <w:suppressLineNumbers/>
        <w:suppressAutoHyphens/>
        <w:kinsoku w:val="0"/>
        <w:overflowPunct w:val="0"/>
        <w:autoSpaceDE w:val="0"/>
        <w:autoSpaceDN w:val="0"/>
        <w:adjustRightInd w:val="0"/>
        <w:snapToGrid w:val="0"/>
        <w:spacing w:line="240" w:lineRule="atLeast"/>
        <w:ind w:firstLine="490"/>
        <w:rPr>
          <w:kern w:val="22"/>
          <w:sz w:val="24"/>
          <w:szCs w:val="24"/>
        </w:rPr>
      </w:pPr>
      <w:bookmarkStart w:id="1" w:name="_Hlk72229414"/>
      <w:r w:rsidRPr="00E20D23">
        <w:rPr>
          <w:rFonts w:eastAsia="KaiTi"/>
          <w:kern w:val="22"/>
          <w:sz w:val="24"/>
          <w:szCs w:val="24"/>
        </w:rPr>
        <w:t>执行问题附属机构</w:t>
      </w:r>
      <w:r w:rsidRPr="00E20D23">
        <w:rPr>
          <w:kern w:val="22"/>
          <w:sz w:val="24"/>
          <w:szCs w:val="24"/>
        </w:rPr>
        <w:t>，</w:t>
      </w:r>
    </w:p>
    <w:bookmarkEnd w:id="1"/>
    <w:p w14:paraId="5BF569EB" w14:textId="30097986" w:rsidR="001E1D83" w:rsidRPr="00E20D23" w:rsidRDefault="001E1D83" w:rsidP="00E20D23">
      <w:pPr>
        <w:pStyle w:val="Para1"/>
        <w:numPr>
          <w:ilvl w:val="0"/>
          <w:numId w:val="41"/>
        </w:numPr>
        <w:suppressLineNumbers/>
        <w:suppressAutoHyphens/>
        <w:adjustRightInd w:val="0"/>
        <w:snapToGrid w:val="0"/>
        <w:spacing w:line="240" w:lineRule="atLeast"/>
        <w:ind w:left="0" w:firstLine="490"/>
        <w:rPr>
          <w:kern w:val="22"/>
          <w:sz w:val="24"/>
          <w:szCs w:val="24"/>
        </w:rPr>
      </w:pPr>
      <w:r w:rsidRPr="00E20D23">
        <w:rPr>
          <w:rFonts w:eastAsia="KaiTi"/>
          <w:kern w:val="22"/>
          <w:sz w:val="24"/>
          <w:szCs w:val="24"/>
        </w:rPr>
        <w:t>赞赏地注意到</w:t>
      </w:r>
      <w:r w:rsidRPr="00E20D23">
        <w:rPr>
          <w:kern w:val="22"/>
          <w:sz w:val="24"/>
          <w:szCs w:val="24"/>
        </w:rPr>
        <w:t>全球环境基金理事会提交缔约方大会第十五届会议的初步报告</w:t>
      </w:r>
      <w:bookmarkStart w:id="2" w:name="_Ref73108374"/>
      <w:r w:rsidRPr="00E20D23">
        <w:rPr>
          <w:kern w:val="22"/>
          <w:sz w:val="24"/>
          <w:szCs w:val="24"/>
        </w:rPr>
        <w:t>；</w:t>
      </w:r>
      <w:r w:rsidRPr="00E20D23">
        <w:rPr>
          <w:rStyle w:val="FootnoteReference"/>
          <w:kern w:val="22"/>
          <w:szCs w:val="24"/>
        </w:rPr>
        <w:footnoteReference w:id="2"/>
      </w:r>
      <w:bookmarkEnd w:id="2"/>
    </w:p>
    <w:p w14:paraId="70ED39E1" w14:textId="3884C5E8" w:rsidR="001E1D83" w:rsidRPr="00E20D23" w:rsidRDefault="00E20D23" w:rsidP="00E20D23">
      <w:pPr>
        <w:pStyle w:val="Para1"/>
        <w:numPr>
          <w:ilvl w:val="0"/>
          <w:numId w:val="41"/>
        </w:numPr>
        <w:suppressLineNumbers/>
        <w:suppressAutoHyphens/>
        <w:adjustRightInd w:val="0"/>
        <w:snapToGrid w:val="0"/>
        <w:spacing w:line="240" w:lineRule="atLeast"/>
        <w:ind w:left="0" w:firstLine="490"/>
        <w:rPr>
          <w:kern w:val="22"/>
          <w:sz w:val="24"/>
          <w:szCs w:val="24"/>
        </w:rPr>
      </w:pPr>
      <w:r>
        <w:rPr>
          <w:rFonts w:eastAsia="KaiTi" w:hint="eastAsia"/>
          <w:bCs/>
          <w:kern w:val="22"/>
          <w:sz w:val="24"/>
          <w:szCs w:val="24"/>
        </w:rPr>
        <w:t>又</w:t>
      </w:r>
      <w:r w:rsidR="001E1D83" w:rsidRPr="00E20D23">
        <w:rPr>
          <w:rFonts w:eastAsia="KaiTi"/>
          <w:bCs/>
          <w:kern w:val="22"/>
          <w:sz w:val="24"/>
          <w:szCs w:val="24"/>
        </w:rPr>
        <w:t>赞赏地注意到</w:t>
      </w:r>
      <w:r w:rsidR="001E1D83" w:rsidRPr="00E20D23">
        <w:rPr>
          <w:bCs/>
          <w:kern w:val="22"/>
          <w:sz w:val="24"/>
          <w:szCs w:val="24"/>
        </w:rPr>
        <w:t>《养护野生动物移栖物种公约》、</w:t>
      </w:r>
      <w:r w:rsidR="001E1D83" w:rsidRPr="00E20D23">
        <w:rPr>
          <w:rStyle w:val="FootnoteReference"/>
          <w:bCs/>
          <w:kern w:val="22"/>
          <w:szCs w:val="24"/>
        </w:rPr>
        <w:footnoteReference w:id="3"/>
      </w:r>
      <w:r w:rsidR="001E1D83" w:rsidRPr="00E20D23">
        <w:rPr>
          <w:bCs/>
          <w:kern w:val="22"/>
          <w:sz w:val="24"/>
          <w:szCs w:val="24"/>
        </w:rPr>
        <w:t>《关于特别是作为水禽栖息地的国际重要湿地公约》</w:t>
      </w:r>
      <w:r w:rsidR="001E1D83" w:rsidRPr="00E20D23">
        <w:rPr>
          <w:rStyle w:val="FootnoteReference"/>
          <w:bCs/>
          <w:kern w:val="22"/>
          <w:szCs w:val="24"/>
        </w:rPr>
        <w:footnoteReference w:id="4"/>
      </w:r>
      <w:r>
        <w:rPr>
          <w:rFonts w:hint="eastAsia"/>
          <w:bCs/>
          <w:kern w:val="22"/>
          <w:sz w:val="24"/>
          <w:szCs w:val="24"/>
        </w:rPr>
        <w:t xml:space="preserve"> </w:t>
      </w:r>
      <w:r w:rsidR="001E1D83" w:rsidRPr="00E20D23">
        <w:rPr>
          <w:bCs/>
          <w:kern w:val="22"/>
          <w:sz w:val="24"/>
          <w:szCs w:val="24"/>
        </w:rPr>
        <w:t>和《粮食和农业植物遗传资源国际条约》</w:t>
      </w:r>
      <w:r w:rsidR="001E1D83" w:rsidRPr="00E20D23">
        <w:rPr>
          <w:rStyle w:val="FootnoteReference"/>
          <w:bCs/>
          <w:kern w:val="22"/>
          <w:szCs w:val="24"/>
        </w:rPr>
        <w:footnoteReference w:id="5"/>
      </w:r>
      <w:r>
        <w:rPr>
          <w:bCs/>
          <w:kern w:val="22"/>
          <w:sz w:val="24"/>
          <w:szCs w:val="24"/>
        </w:rPr>
        <w:t xml:space="preserve"> </w:t>
      </w:r>
      <w:r w:rsidR="001E1D83" w:rsidRPr="00E20D23">
        <w:rPr>
          <w:bCs/>
          <w:kern w:val="22"/>
          <w:sz w:val="24"/>
          <w:szCs w:val="24"/>
        </w:rPr>
        <w:t>理事机构编写的战略指导，供缔约方大会第十五届会议审议；</w:t>
      </w:r>
    </w:p>
    <w:p w14:paraId="57D260F3" w14:textId="33570798" w:rsidR="001E1D83" w:rsidRPr="00E20D23" w:rsidRDefault="001E1D83" w:rsidP="00E20D23">
      <w:pPr>
        <w:pStyle w:val="Para1"/>
        <w:numPr>
          <w:ilvl w:val="0"/>
          <w:numId w:val="41"/>
        </w:numPr>
        <w:suppressLineNumbers/>
        <w:suppressAutoHyphens/>
        <w:adjustRightInd w:val="0"/>
        <w:snapToGrid w:val="0"/>
        <w:spacing w:line="240" w:lineRule="atLeast"/>
        <w:ind w:left="0" w:firstLine="490"/>
        <w:rPr>
          <w:kern w:val="22"/>
          <w:sz w:val="24"/>
          <w:szCs w:val="24"/>
        </w:rPr>
      </w:pPr>
      <w:r w:rsidRPr="00E20D23">
        <w:rPr>
          <w:rFonts w:eastAsia="KaiTi"/>
          <w:kern w:val="22"/>
          <w:sz w:val="24"/>
          <w:szCs w:val="24"/>
        </w:rPr>
        <w:t>确认</w:t>
      </w:r>
      <w:r w:rsidRPr="00E20D23">
        <w:rPr>
          <w:kern w:val="22"/>
          <w:sz w:val="24"/>
          <w:szCs w:val="24"/>
        </w:rPr>
        <w:t>关于对全球环境基金第八次增资期间</w:t>
      </w:r>
      <w:r w:rsidR="00814959">
        <w:rPr>
          <w:rFonts w:hint="eastAsia"/>
          <w:kern w:val="22"/>
          <w:sz w:val="24"/>
          <w:szCs w:val="24"/>
        </w:rPr>
        <w:t>（</w:t>
      </w:r>
      <w:r w:rsidRPr="00E20D23">
        <w:rPr>
          <w:kern w:val="22"/>
          <w:sz w:val="24"/>
          <w:szCs w:val="24"/>
        </w:rPr>
        <w:t>2022</w:t>
      </w:r>
      <w:r w:rsidRPr="00E20D23">
        <w:rPr>
          <w:kern w:val="22"/>
          <w:sz w:val="24"/>
          <w:szCs w:val="24"/>
        </w:rPr>
        <w:t>年</w:t>
      </w:r>
      <w:r w:rsidRPr="00E20D23">
        <w:rPr>
          <w:kern w:val="22"/>
          <w:sz w:val="24"/>
          <w:szCs w:val="24"/>
        </w:rPr>
        <w:t>7</w:t>
      </w:r>
      <w:r w:rsidRPr="00E20D23">
        <w:rPr>
          <w:kern w:val="22"/>
          <w:sz w:val="24"/>
          <w:szCs w:val="24"/>
        </w:rPr>
        <w:t>月至</w:t>
      </w:r>
      <w:r w:rsidRPr="00E20D23">
        <w:rPr>
          <w:kern w:val="22"/>
          <w:sz w:val="24"/>
          <w:szCs w:val="24"/>
        </w:rPr>
        <w:t>2026</w:t>
      </w:r>
      <w:r w:rsidRPr="00E20D23">
        <w:rPr>
          <w:kern w:val="22"/>
          <w:sz w:val="24"/>
          <w:szCs w:val="24"/>
        </w:rPr>
        <w:t>年</w:t>
      </w:r>
      <w:r w:rsidRPr="00E20D23">
        <w:rPr>
          <w:kern w:val="22"/>
          <w:sz w:val="24"/>
          <w:szCs w:val="24"/>
        </w:rPr>
        <w:t>6</w:t>
      </w:r>
      <w:r w:rsidRPr="00E20D23">
        <w:rPr>
          <w:kern w:val="22"/>
          <w:sz w:val="24"/>
          <w:szCs w:val="24"/>
        </w:rPr>
        <w:t>月</w:t>
      </w:r>
      <w:r w:rsidR="00814959">
        <w:rPr>
          <w:rFonts w:hint="eastAsia"/>
          <w:kern w:val="22"/>
          <w:sz w:val="24"/>
          <w:szCs w:val="24"/>
        </w:rPr>
        <w:t>）</w:t>
      </w:r>
      <w:r w:rsidRPr="00E20D23">
        <w:rPr>
          <w:kern w:val="22"/>
          <w:sz w:val="24"/>
          <w:szCs w:val="24"/>
        </w:rPr>
        <w:t>执行《公约》及其议定书所需资金和可用资金进行全面评估的临时报告</w:t>
      </w:r>
      <w:r w:rsidRPr="00E20D23">
        <w:rPr>
          <w:kern w:val="22"/>
          <w:sz w:val="24"/>
          <w:szCs w:val="24"/>
        </w:rPr>
        <w:t>,</w:t>
      </w:r>
      <w:r w:rsidRPr="00E20D23">
        <w:rPr>
          <w:rStyle w:val="FootnoteReference"/>
          <w:bCs/>
          <w:kern w:val="22"/>
          <w:szCs w:val="24"/>
        </w:rPr>
        <w:footnoteReference w:id="6"/>
      </w:r>
      <w:r w:rsidRPr="00E20D23">
        <w:rPr>
          <w:kern w:val="22"/>
          <w:sz w:val="24"/>
          <w:szCs w:val="24"/>
        </w:rPr>
        <w:t xml:space="preserve"> </w:t>
      </w:r>
      <w:r w:rsidRPr="00E20D23">
        <w:rPr>
          <w:kern w:val="22"/>
          <w:sz w:val="24"/>
          <w:szCs w:val="24"/>
        </w:rPr>
        <w:t>但有一项谅解，即临时报告所依据的是从全球环境基金少数受援国获取的有限数据；</w:t>
      </w:r>
    </w:p>
    <w:p w14:paraId="3CDE3FFD" w14:textId="07D39F3B" w:rsidR="001E1D83" w:rsidRPr="00E20D23" w:rsidRDefault="001E1D83" w:rsidP="00E20D23">
      <w:pPr>
        <w:pStyle w:val="Para1"/>
        <w:numPr>
          <w:ilvl w:val="0"/>
          <w:numId w:val="41"/>
        </w:numPr>
        <w:suppressLineNumbers/>
        <w:suppressAutoHyphens/>
        <w:adjustRightInd w:val="0"/>
        <w:snapToGrid w:val="0"/>
        <w:spacing w:line="240" w:lineRule="atLeast"/>
        <w:ind w:left="0" w:firstLine="490"/>
        <w:rPr>
          <w:kern w:val="22"/>
          <w:sz w:val="24"/>
          <w:szCs w:val="24"/>
        </w:rPr>
      </w:pPr>
      <w:r w:rsidRPr="00E20D23">
        <w:rPr>
          <w:rFonts w:eastAsia="KaiTi"/>
          <w:kern w:val="22"/>
          <w:sz w:val="24"/>
          <w:szCs w:val="24"/>
        </w:rPr>
        <w:t>建议</w:t>
      </w:r>
      <w:r w:rsidRPr="00E20D23">
        <w:rPr>
          <w:kern w:val="22"/>
          <w:sz w:val="24"/>
          <w:szCs w:val="24"/>
        </w:rPr>
        <w:t>缔约方大会第十五届会议通过一项</w:t>
      </w:r>
      <w:r w:rsidR="00814959">
        <w:rPr>
          <w:rFonts w:hint="eastAsia"/>
          <w:kern w:val="22"/>
          <w:sz w:val="24"/>
          <w:szCs w:val="24"/>
        </w:rPr>
        <w:t>内容</w:t>
      </w:r>
      <w:r w:rsidRPr="00E20D23">
        <w:rPr>
          <w:kern w:val="22"/>
          <w:sz w:val="24"/>
          <w:szCs w:val="24"/>
        </w:rPr>
        <w:t>大致如下的决定：</w:t>
      </w:r>
      <w:r w:rsidRPr="00E20D23">
        <w:rPr>
          <w:kern w:val="22"/>
          <w:sz w:val="24"/>
          <w:szCs w:val="24"/>
          <w:vertAlign w:val="superscript"/>
        </w:rPr>
        <w:footnoteReference w:id="7"/>
      </w:r>
    </w:p>
    <w:p w14:paraId="3549B476" w14:textId="77777777" w:rsidR="001E1D83" w:rsidRPr="00E20D23" w:rsidRDefault="001E1D83" w:rsidP="00E20D23">
      <w:pPr>
        <w:suppressLineNumbers/>
        <w:suppressAutoHyphens/>
        <w:adjustRightInd w:val="0"/>
        <w:snapToGrid w:val="0"/>
        <w:spacing w:before="120" w:line="240" w:lineRule="atLeast"/>
        <w:ind w:left="490" w:firstLine="490"/>
        <w:rPr>
          <w:snapToGrid w:val="0"/>
          <w:kern w:val="22"/>
          <w:sz w:val="24"/>
          <w:szCs w:val="24"/>
        </w:rPr>
      </w:pPr>
      <w:r w:rsidRPr="00E20D23">
        <w:rPr>
          <w:rFonts w:eastAsia="KaiTi"/>
          <w:snapToGrid w:val="0"/>
          <w:kern w:val="22"/>
          <w:sz w:val="24"/>
          <w:szCs w:val="24"/>
        </w:rPr>
        <w:t>缔约方大会</w:t>
      </w:r>
      <w:r w:rsidRPr="00E20D23">
        <w:rPr>
          <w:snapToGrid w:val="0"/>
          <w:kern w:val="22"/>
          <w:sz w:val="24"/>
          <w:szCs w:val="24"/>
        </w:rPr>
        <w:t>，</w:t>
      </w:r>
    </w:p>
    <w:p w14:paraId="679CEDC1" w14:textId="77777777"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回顾</w:t>
      </w:r>
      <w:r w:rsidRPr="00E20D23">
        <w:rPr>
          <w:kern w:val="22"/>
          <w:sz w:val="24"/>
          <w:szCs w:val="24"/>
        </w:rPr>
        <w:t>《公约》第</w:t>
      </w:r>
      <w:r w:rsidRPr="00E20D23">
        <w:rPr>
          <w:kern w:val="22"/>
          <w:sz w:val="24"/>
          <w:szCs w:val="24"/>
        </w:rPr>
        <w:t>21</w:t>
      </w:r>
      <w:r w:rsidRPr="00E20D23">
        <w:rPr>
          <w:kern w:val="22"/>
          <w:sz w:val="24"/>
          <w:szCs w:val="24"/>
        </w:rPr>
        <w:t>条第</w:t>
      </w:r>
      <w:r w:rsidRPr="00E20D23">
        <w:rPr>
          <w:kern w:val="22"/>
          <w:sz w:val="24"/>
          <w:szCs w:val="24"/>
        </w:rPr>
        <w:t>3</w:t>
      </w:r>
      <w:r w:rsidRPr="00E20D23">
        <w:rPr>
          <w:kern w:val="22"/>
          <w:sz w:val="24"/>
          <w:szCs w:val="24"/>
        </w:rPr>
        <w:t>款，其中规定缔约方大会应审查财务机制的有效性；</w:t>
      </w:r>
    </w:p>
    <w:p w14:paraId="0A59EB9E" w14:textId="77777777"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重申</w:t>
      </w:r>
      <w:r w:rsidRPr="00E20D23">
        <w:rPr>
          <w:kern w:val="22"/>
          <w:sz w:val="24"/>
          <w:szCs w:val="24"/>
        </w:rPr>
        <w:t>缔约方大会第</w:t>
      </w:r>
      <w:r w:rsidRPr="00E20D23">
        <w:rPr>
          <w:kern w:val="22"/>
          <w:sz w:val="24"/>
          <w:szCs w:val="24"/>
        </w:rPr>
        <w:t>III/8</w:t>
      </w:r>
      <w:r w:rsidRPr="00E20D23">
        <w:rPr>
          <w:kern w:val="22"/>
          <w:sz w:val="24"/>
          <w:szCs w:val="24"/>
        </w:rPr>
        <w:t>号决定所载的与全球环境基金理事会在谅解备忘录中承诺定期审查财务机制在执行《公约》方面的有效性，</w:t>
      </w:r>
    </w:p>
    <w:p w14:paraId="36B0D275" w14:textId="451AA002"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又重申</w:t>
      </w:r>
      <w:r w:rsidRPr="00E20D23">
        <w:rPr>
          <w:kern w:val="22"/>
          <w:sz w:val="24"/>
          <w:szCs w:val="24"/>
        </w:rPr>
        <w:t>关于四年度财务机制成效审查安排的第</w:t>
      </w:r>
      <w:r w:rsidRPr="00E20D23">
        <w:rPr>
          <w:kern w:val="22"/>
          <w:sz w:val="24"/>
          <w:szCs w:val="24"/>
        </w:rPr>
        <w:t>XI/5</w:t>
      </w:r>
      <w:r w:rsidRPr="00E20D23">
        <w:rPr>
          <w:kern w:val="22"/>
          <w:sz w:val="24"/>
          <w:szCs w:val="24"/>
        </w:rPr>
        <w:t>号决定第</w:t>
      </w:r>
      <w:r w:rsidRPr="00E20D23">
        <w:rPr>
          <w:kern w:val="22"/>
          <w:sz w:val="24"/>
          <w:szCs w:val="24"/>
        </w:rPr>
        <w:t>7</w:t>
      </w:r>
      <w:r w:rsidRPr="00E20D23">
        <w:rPr>
          <w:kern w:val="22"/>
          <w:sz w:val="24"/>
          <w:szCs w:val="24"/>
        </w:rPr>
        <w:t>段，</w:t>
      </w:r>
    </w:p>
    <w:p w14:paraId="3886A5FA" w14:textId="7C28E534"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回顾</w:t>
      </w:r>
      <w:r w:rsidRPr="00E20D23">
        <w:rPr>
          <w:kern w:val="22"/>
          <w:sz w:val="24"/>
          <w:szCs w:val="24"/>
        </w:rPr>
        <w:t>第</w:t>
      </w:r>
      <w:r w:rsidRPr="00E20D23">
        <w:rPr>
          <w:kern w:val="22"/>
          <w:sz w:val="24"/>
          <w:szCs w:val="24"/>
        </w:rPr>
        <w:t>14/23</w:t>
      </w:r>
      <w:r w:rsidRPr="00E20D23">
        <w:rPr>
          <w:kern w:val="22"/>
          <w:sz w:val="24"/>
          <w:szCs w:val="24"/>
        </w:rPr>
        <w:t>号决定第</w:t>
      </w:r>
      <w:r w:rsidRPr="00E20D23">
        <w:rPr>
          <w:kern w:val="22"/>
          <w:sz w:val="24"/>
          <w:szCs w:val="24"/>
        </w:rPr>
        <w:t>13</w:t>
      </w:r>
      <w:r w:rsidRPr="00E20D23">
        <w:rPr>
          <w:kern w:val="22"/>
          <w:sz w:val="24"/>
          <w:szCs w:val="24"/>
        </w:rPr>
        <w:t>段，其中涉及财务机制成效第六次审查的任务范围，供缔约方大会第十五届会议审议</w:t>
      </w:r>
      <w:r w:rsidRPr="00E20D23">
        <w:rPr>
          <w:kern w:val="22"/>
          <w:sz w:val="24"/>
          <w:szCs w:val="24"/>
        </w:rPr>
        <w:t xml:space="preserve"> </w:t>
      </w:r>
      <w:r w:rsidRPr="00E20D23">
        <w:rPr>
          <w:kern w:val="22"/>
          <w:sz w:val="24"/>
          <w:szCs w:val="24"/>
        </w:rPr>
        <w:t>，</w:t>
      </w:r>
    </w:p>
    <w:p w14:paraId="209A28A3" w14:textId="59156BDA"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kern w:val="22"/>
          <w:sz w:val="24"/>
          <w:szCs w:val="24"/>
        </w:rPr>
      </w:pPr>
      <w:r w:rsidRPr="00E20D23">
        <w:rPr>
          <w:rFonts w:eastAsia="KaiTi"/>
          <w:kern w:val="22"/>
          <w:sz w:val="24"/>
          <w:szCs w:val="24"/>
        </w:rPr>
        <w:t>重申</w:t>
      </w:r>
      <w:r w:rsidRPr="00E20D23">
        <w:rPr>
          <w:kern w:val="22"/>
          <w:sz w:val="24"/>
          <w:szCs w:val="24"/>
        </w:rPr>
        <w:t>审查财政机制在执行《公约》及其《议定书》、战略和方案方面的成效的重要性，</w:t>
      </w:r>
    </w:p>
    <w:p w14:paraId="5515AD43" w14:textId="5B6398FF"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kern w:val="22"/>
          <w:sz w:val="24"/>
          <w:szCs w:val="24"/>
        </w:rPr>
        <w:lastRenderedPageBreak/>
        <w:t>[1.</w:t>
      </w:r>
      <w:r w:rsidRPr="00E20D23">
        <w:rPr>
          <w:kern w:val="22"/>
          <w:sz w:val="24"/>
          <w:szCs w:val="24"/>
        </w:rPr>
        <w:tab/>
      </w:r>
      <w:r w:rsidR="00E20D23">
        <w:rPr>
          <w:kern w:val="22"/>
          <w:sz w:val="24"/>
          <w:szCs w:val="24"/>
        </w:rPr>
        <w:t xml:space="preserve"> </w:t>
      </w:r>
      <w:r w:rsidRPr="00E20D23">
        <w:rPr>
          <w:rFonts w:eastAsia="KaiTi"/>
          <w:kern w:val="22"/>
          <w:sz w:val="24"/>
          <w:szCs w:val="24"/>
        </w:rPr>
        <w:t>欢迎</w:t>
      </w:r>
      <w:r w:rsidRPr="00E20D23">
        <w:rPr>
          <w:kern w:val="22"/>
          <w:sz w:val="24"/>
          <w:szCs w:val="24"/>
        </w:rPr>
        <w:t>{X}</w:t>
      </w:r>
      <w:r w:rsidRPr="00E20D23">
        <w:rPr>
          <w:kern w:val="22"/>
          <w:sz w:val="24"/>
          <w:szCs w:val="24"/>
        </w:rPr>
        <w:t>号文件所载的全环基金理事会提交缔约方大会第十五届会议的报告；</w:t>
      </w:r>
      <w:r w:rsidRPr="00E20D23">
        <w:rPr>
          <w:kern w:val="22"/>
          <w:sz w:val="24"/>
          <w:szCs w:val="24"/>
          <w:vertAlign w:val="superscript"/>
        </w:rPr>
        <w:fldChar w:fldCharType="begin"/>
      </w:r>
      <w:r w:rsidRPr="00E20D23">
        <w:rPr>
          <w:kern w:val="22"/>
          <w:sz w:val="24"/>
          <w:szCs w:val="24"/>
          <w:vertAlign w:val="superscript"/>
        </w:rPr>
        <w:instrText xml:space="preserve"> NOTEREF _Ref73108374 \h  \* MERGEFORMAT </w:instrText>
      </w:r>
      <w:r w:rsidRPr="00E20D23">
        <w:rPr>
          <w:kern w:val="22"/>
          <w:sz w:val="24"/>
          <w:szCs w:val="24"/>
          <w:vertAlign w:val="superscript"/>
        </w:rPr>
      </w:r>
      <w:r w:rsidRPr="00E20D23">
        <w:rPr>
          <w:kern w:val="22"/>
          <w:sz w:val="24"/>
          <w:szCs w:val="24"/>
          <w:vertAlign w:val="superscript"/>
        </w:rPr>
        <w:fldChar w:fldCharType="separate"/>
      </w:r>
      <w:r w:rsidRPr="00E20D23">
        <w:rPr>
          <w:kern w:val="22"/>
          <w:sz w:val="24"/>
          <w:szCs w:val="24"/>
          <w:vertAlign w:val="superscript"/>
        </w:rPr>
        <w:t>1</w:t>
      </w:r>
      <w:r w:rsidRPr="00E20D23">
        <w:rPr>
          <w:kern w:val="22"/>
          <w:sz w:val="24"/>
          <w:szCs w:val="24"/>
          <w:vertAlign w:val="superscript"/>
        </w:rPr>
        <w:fldChar w:fldCharType="end"/>
      </w:r>
      <w:r w:rsidRPr="00E20D23">
        <w:rPr>
          <w:kern w:val="22"/>
          <w:sz w:val="24"/>
          <w:szCs w:val="24"/>
        </w:rPr>
        <w:t>]</w:t>
      </w:r>
    </w:p>
    <w:p w14:paraId="3BA4B816" w14:textId="03F13FAF"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bCs/>
          <w:kern w:val="22"/>
          <w:sz w:val="24"/>
          <w:szCs w:val="24"/>
        </w:rPr>
        <w:t>[</w:t>
      </w:r>
      <w:r w:rsidRPr="00E20D23">
        <w:rPr>
          <w:kern w:val="22"/>
          <w:sz w:val="24"/>
          <w:szCs w:val="24"/>
        </w:rPr>
        <w:t>2.</w:t>
      </w:r>
      <w:r w:rsidRPr="00E20D23">
        <w:rPr>
          <w:kern w:val="22"/>
          <w:sz w:val="24"/>
          <w:szCs w:val="24"/>
        </w:rPr>
        <w:tab/>
      </w:r>
      <w:r w:rsidRPr="00E20D23">
        <w:rPr>
          <w:rFonts w:eastAsia="KaiTi"/>
          <w:kern w:val="22"/>
          <w:sz w:val="24"/>
          <w:szCs w:val="24"/>
        </w:rPr>
        <w:t>表示注意到</w:t>
      </w:r>
      <w:r w:rsidRPr="00E20D23">
        <w:rPr>
          <w:kern w:val="22"/>
          <w:sz w:val="24"/>
          <w:szCs w:val="24"/>
        </w:rPr>
        <w:t>与</w:t>
      </w:r>
      <w:r w:rsidRPr="00E20D23">
        <w:rPr>
          <w:kern w:val="22"/>
          <w:sz w:val="24"/>
          <w:szCs w:val="24"/>
        </w:rPr>
        <w:t>2020</w:t>
      </w:r>
      <w:r w:rsidRPr="00E20D23">
        <w:rPr>
          <w:kern w:val="22"/>
          <w:sz w:val="24"/>
          <w:szCs w:val="24"/>
        </w:rPr>
        <w:t>后全球生物多样性框架草案、</w:t>
      </w:r>
      <w:r w:rsidRPr="00E20D23">
        <w:rPr>
          <w:kern w:val="22"/>
          <w:sz w:val="24"/>
          <w:szCs w:val="24"/>
        </w:rPr>
        <w:t>{Y}</w:t>
      </w:r>
      <w:r w:rsidRPr="00E20D23">
        <w:rPr>
          <w:kern w:val="22"/>
          <w:sz w:val="24"/>
          <w:szCs w:val="24"/>
        </w:rPr>
        <w:t>号文件和本决定附件一提供的摘要保持一致，对全环基金第八次增资期间执行《公约》及其议定书所需供资和可用供资进行</w:t>
      </w:r>
      <w:r w:rsidRPr="00E20D23">
        <w:rPr>
          <w:bCs/>
          <w:kern w:val="22"/>
          <w:sz w:val="24"/>
          <w:szCs w:val="24"/>
        </w:rPr>
        <w:t>[</w:t>
      </w:r>
      <w:r w:rsidRPr="00E20D23">
        <w:rPr>
          <w:kern w:val="22"/>
          <w:sz w:val="24"/>
          <w:szCs w:val="24"/>
        </w:rPr>
        <w:t>注重实际</w:t>
      </w:r>
      <w:r w:rsidRPr="00E20D23">
        <w:rPr>
          <w:bCs/>
          <w:kern w:val="22"/>
          <w:sz w:val="24"/>
          <w:szCs w:val="24"/>
        </w:rPr>
        <w:t>]</w:t>
      </w:r>
      <w:r w:rsidRPr="00E20D23">
        <w:rPr>
          <w:kern w:val="22"/>
          <w:sz w:val="24"/>
          <w:szCs w:val="24"/>
        </w:rPr>
        <w:t>评估的</w:t>
      </w:r>
      <w:r w:rsidRPr="00E20D23">
        <w:rPr>
          <w:bCs/>
          <w:kern w:val="22"/>
          <w:sz w:val="24"/>
          <w:szCs w:val="24"/>
        </w:rPr>
        <w:t>[</w:t>
      </w:r>
      <w:r w:rsidRPr="00E20D23">
        <w:rPr>
          <w:kern w:val="22"/>
          <w:sz w:val="24"/>
          <w:szCs w:val="24"/>
        </w:rPr>
        <w:t>重要性</w:t>
      </w:r>
      <w:r w:rsidRPr="00E20D23">
        <w:rPr>
          <w:bCs/>
          <w:kern w:val="22"/>
          <w:sz w:val="24"/>
          <w:szCs w:val="24"/>
        </w:rPr>
        <w:t>]</w:t>
      </w:r>
      <w:r w:rsidRPr="00E20D23">
        <w:rPr>
          <w:kern w:val="22"/>
          <w:sz w:val="24"/>
          <w:szCs w:val="24"/>
        </w:rPr>
        <w:t>；</w:t>
      </w:r>
      <w:r w:rsidRPr="00E20D23">
        <w:rPr>
          <w:rStyle w:val="FootnoteReference"/>
          <w:kern w:val="22"/>
          <w:szCs w:val="24"/>
        </w:rPr>
        <w:footnoteReference w:id="8"/>
      </w:r>
      <w:r w:rsidRPr="00E20D23">
        <w:rPr>
          <w:kern w:val="22"/>
          <w:sz w:val="24"/>
          <w:szCs w:val="24"/>
        </w:rPr>
        <w:t>]</w:t>
      </w:r>
    </w:p>
    <w:p w14:paraId="3936E82D" w14:textId="4919554F"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bCs/>
          <w:kern w:val="22"/>
          <w:sz w:val="24"/>
          <w:szCs w:val="24"/>
        </w:rPr>
        <w:t>[</w:t>
      </w:r>
      <w:r w:rsidRPr="00E20D23">
        <w:rPr>
          <w:kern w:val="22"/>
          <w:sz w:val="24"/>
          <w:szCs w:val="24"/>
        </w:rPr>
        <w:t>3.</w:t>
      </w:r>
      <w:r w:rsidRPr="00E20D23">
        <w:rPr>
          <w:kern w:val="22"/>
          <w:sz w:val="24"/>
          <w:szCs w:val="24"/>
        </w:rPr>
        <w:tab/>
      </w:r>
      <w:r w:rsidRPr="00E20D23">
        <w:rPr>
          <w:rFonts w:eastAsia="KaiTi"/>
          <w:kern w:val="22"/>
          <w:sz w:val="24"/>
          <w:szCs w:val="24"/>
        </w:rPr>
        <w:t>通过</w:t>
      </w:r>
      <w:r w:rsidRPr="00E20D23">
        <w:rPr>
          <w:kern w:val="22"/>
          <w:sz w:val="24"/>
          <w:szCs w:val="24"/>
        </w:rPr>
        <w:t>全环基金信托基金第八次增资期间（</w:t>
      </w:r>
      <w:r w:rsidRPr="00E20D23">
        <w:rPr>
          <w:kern w:val="22"/>
          <w:sz w:val="24"/>
          <w:szCs w:val="24"/>
        </w:rPr>
        <w:t>2022</w:t>
      </w:r>
      <w:r w:rsidRPr="00E20D23">
        <w:rPr>
          <w:kern w:val="22"/>
          <w:sz w:val="24"/>
          <w:szCs w:val="24"/>
        </w:rPr>
        <w:t>年</w:t>
      </w:r>
      <w:r w:rsidRPr="00E20D23">
        <w:rPr>
          <w:kern w:val="22"/>
          <w:sz w:val="24"/>
          <w:szCs w:val="24"/>
        </w:rPr>
        <w:t>7</w:t>
      </w:r>
      <w:r w:rsidRPr="00E20D23">
        <w:rPr>
          <w:kern w:val="22"/>
          <w:sz w:val="24"/>
          <w:szCs w:val="24"/>
        </w:rPr>
        <w:t>月至</w:t>
      </w:r>
      <w:r w:rsidRPr="00E20D23">
        <w:rPr>
          <w:kern w:val="22"/>
          <w:sz w:val="24"/>
          <w:szCs w:val="24"/>
        </w:rPr>
        <w:t>2026</w:t>
      </w:r>
      <w:r w:rsidRPr="00E20D23">
        <w:rPr>
          <w:kern w:val="22"/>
          <w:sz w:val="24"/>
          <w:szCs w:val="24"/>
        </w:rPr>
        <w:t>年</w:t>
      </w:r>
      <w:r w:rsidRPr="00E20D23">
        <w:rPr>
          <w:kern w:val="22"/>
          <w:sz w:val="24"/>
          <w:szCs w:val="24"/>
        </w:rPr>
        <w:t>6</w:t>
      </w:r>
      <w:r w:rsidRPr="00E20D23">
        <w:rPr>
          <w:kern w:val="22"/>
          <w:sz w:val="24"/>
          <w:szCs w:val="24"/>
        </w:rPr>
        <w:t>月）注重成果的四年期方案优先事项框架，该框架与本决定附件二所载的</w:t>
      </w:r>
      <w:r w:rsidRPr="00E20D23">
        <w:rPr>
          <w:kern w:val="22"/>
          <w:sz w:val="24"/>
          <w:szCs w:val="24"/>
        </w:rPr>
        <w:t>2020</w:t>
      </w:r>
      <w:r w:rsidRPr="00E20D23">
        <w:rPr>
          <w:kern w:val="22"/>
          <w:sz w:val="24"/>
          <w:szCs w:val="24"/>
        </w:rPr>
        <w:t>后全球生物多样性框架草案保持一致；</w:t>
      </w:r>
      <w:r w:rsidRPr="00E20D23">
        <w:rPr>
          <w:rStyle w:val="FootnoteReference"/>
          <w:kern w:val="22"/>
          <w:szCs w:val="24"/>
        </w:rPr>
        <w:footnoteReference w:id="9"/>
      </w:r>
      <w:r w:rsidRPr="00E20D23">
        <w:rPr>
          <w:kern w:val="22"/>
          <w:sz w:val="24"/>
          <w:szCs w:val="24"/>
        </w:rPr>
        <w:t>]</w:t>
      </w:r>
    </w:p>
    <w:p w14:paraId="0A75EB6E" w14:textId="6D22897D"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bCs/>
          <w:kern w:val="22"/>
          <w:sz w:val="24"/>
          <w:szCs w:val="24"/>
        </w:rPr>
        <w:t>[</w:t>
      </w:r>
      <w:r w:rsidRPr="00E20D23">
        <w:rPr>
          <w:kern w:val="22"/>
          <w:sz w:val="24"/>
          <w:szCs w:val="24"/>
        </w:rPr>
        <w:t>4.</w:t>
      </w:r>
      <w:r w:rsidRPr="00E20D23">
        <w:rPr>
          <w:kern w:val="22"/>
          <w:sz w:val="24"/>
          <w:szCs w:val="24"/>
        </w:rPr>
        <w:tab/>
      </w:r>
      <w:r w:rsidR="00E20D23" w:rsidRPr="00E20D23">
        <w:rPr>
          <w:rFonts w:eastAsia="KaiTi" w:hint="eastAsia"/>
          <w:kern w:val="22"/>
          <w:sz w:val="24"/>
          <w:szCs w:val="24"/>
        </w:rPr>
        <w:t>又</w:t>
      </w:r>
      <w:r w:rsidRPr="00E20D23">
        <w:rPr>
          <w:rFonts w:eastAsia="KaiTi"/>
          <w:kern w:val="22"/>
          <w:sz w:val="24"/>
          <w:szCs w:val="24"/>
        </w:rPr>
        <w:t>通过</w:t>
      </w:r>
      <w:r w:rsidRPr="00E20D23">
        <w:rPr>
          <w:kern w:val="22"/>
          <w:sz w:val="24"/>
          <w:szCs w:val="24"/>
        </w:rPr>
        <w:t>本决定附件三所载财务机制的补充指导；</w:t>
      </w:r>
      <w:r w:rsidRPr="00E20D23">
        <w:rPr>
          <w:rStyle w:val="FootnoteReference"/>
          <w:kern w:val="22"/>
          <w:szCs w:val="24"/>
        </w:rPr>
        <w:footnoteReference w:id="10"/>
      </w:r>
      <w:r w:rsidRPr="00E20D23">
        <w:rPr>
          <w:bCs/>
          <w:kern w:val="22"/>
          <w:sz w:val="24"/>
          <w:szCs w:val="24"/>
        </w:rPr>
        <w:t>]</w:t>
      </w:r>
    </w:p>
    <w:p w14:paraId="68D58FB5" w14:textId="6CF8023E" w:rsidR="001E1D83" w:rsidRPr="00E20D23" w:rsidRDefault="001E1D83" w:rsidP="00E20D23">
      <w:pPr>
        <w:pStyle w:val="Para1"/>
        <w:numPr>
          <w:ilvl w:val="0"/>
          <w:numId w:val="0"/>
        </w:numPr>
        <w:suppressLineNumbers/>
        <w:suppressAutoHyphens/>
        <w:adjustRightInd w:val="0"/>
        <w:snapToGrid w:val="0"/>
        <w:spacing w:line="240" w:lineRule="atLeast"/>
        <w:ind w:left="490" w:firstLine="490"/>
        <w:rPr>
          <w:b/>
          <w:kern w:val="22"/>
          <w:sz w:val="24"/>
          <w:szCs w:val="24"/>
        </w:rPr>
      </w:pPr>
      <w:r w:rsidRPr="00E20D23">
        <w:rPr>
          <w:kern w:val="22"/>
          <w:sz w:val="24"/>
          <w:szCs w:val="24"/>
        </w:rPr>
        <w:t>[5.</w:t>
      </w:r>
      <w:r w:rsidRPr="00E20D23">
        <w:rPr>
          <w:kern w:val="22"/>
          <w:sz w:val="24"/>
          <w:szCs w:val="24"/>
        </w:rPr>
        <w:tab/>
      </w:r>
      <w:r w:rsidR="00E20D23" w:rsidRPr="00E20D23">
        <w:rPr>
          <w:rFonts w:eastAsia="KaiTi" w:hint="eastAsia"/>
          <w:kern w:val="22"/>
          <w:sz w:val="24"/>
          <w:szCs w:val="24"/>
        </w:rPr>
        <w:t>还</w:t>
      </w:r>
      <w:r w:rsidRPr="00E20D23">
        <w:rPr>
          <w:rFonts w:eastAsia="KaiTi"/>
          <w:kern w:val="22"/>
          <w:sz w:val="24"/>
          <w:szCs w:val="24"/>
        </w:rPr>
        <w:t>通过</w:t>
      </w:r>
      <w:r w:rsidRPr="00E20D23">
        <w:rPr>
          <w:kern w:val="22"/>
          <w:sz w:val="24"/>
          <w:szCs w:val="24"/>
        </w:rPr>
        <w:t>四年度财务机制成效第六次审查的任务范围，并请执行秘书确保及时编写关于四年度财务机制成效第六次审查的报告，供缔约方大会第十六届会议审议。</w:t>
      </w:r>
      <w:r w:rsidRPr="00E20D23">
        <w:rPr>
          <w:kern w:val="22"/>
          <w:sz w:val="24"/>
          <w:szCs w:val="24"/>
        </w:rPr>
        <w:t>]</w:t>
      </w:r>
    </w:p>
    <w:p w14:paraId="46B8BBF4" w14:textId="77777777" w:rsidR="00601449" w:rsidRDefault="00601449" w:rsidP="00E20D23">
      <w:pPr>
        <w:adjustRightInd w:val="0"/>
        <w:snapToGrid w:val="0"/>
        <w:spacing w:before="120" w:line="240" w:lineRule="atLeast"/>
        <w:jc w:val="center"/>
        <w:rPr>
          <w:rFonts w:eastAsia="KaiTi"/>
          <w:iCs/>
          <w:sz w:val="24"/>
          <w:szCs w:val="24"/>
          <w:lang w:val="en-GB"/>
        </w:rPr>
      </w:pPr>
    </w:p>
    <w:p w14:paraId="6E9BC7DA" w14:textId="70A36077" w:rsidR="001E1D83" w:rsidRPr="00E20D23" w:rsidRDefault="001E1D83" w:rsidP="00E20D23">
      <w:pPr>
        <w:adjustRightInd w:val="0"/>
        <w:snapToGrid w:val="0"/>
        <w:spacing w:before="120" w:line="240" w:lineRule="atLeast"/>
        <w:jc w:val="center"/>
        <w:rPr>
          <w:rFonts w:eastAsia="KaiTi"/>
          <w:i/>
          <w:sz w:val="24"/>
          <w:szCs w:val="24"/>
          <w:lang w:val="en-GB"/>
        </w:rPr>
      </w:pPr>
      <w:r w:rsidRPr="00E20D23">
        <w:rPr>
          <w:rFonts w:eastAsia="KaiTi"/>
          <w:iCs/>
          <w:sz w:val="24"/>
          <w:szCs w:val="24"/>
          <w:lang w:val="en-GB"/>
        </w:rPr>
        <w:t>附件</w:t>
      </w:r>
    </w:p>
    <w:p w14:paraId="694EE23D" w14:textId="77777777" w:rsidR="001E1D83" w:rsidRPr="00E20D23" w:rsidRDefault="001E1D83" w:rsidP="00E20D23">
      <w:pPr>
        <w:adjustRightInd w:val="0"/>
        <w:snapToGrid w:val="0"/>
        <w:spacing w:before="120" w:line="240" w:lineRule="atLeast"/>
        <w:jc w:val="center"/>
        <w:rPr>
          <w:sz w:val="24"/>
          <w:szCs w:val="24"/>
          <w:lang w:val="en-GB"/>
        </w:rPr>
      </w:pPr>
      <w:r w:rsidRPr="00E20D23">
        <w:rPr>
          <w:b/>
          <w:sz w:val="24"/>
          <w:szCs w:val="24"/>
          <w:lang w:val="en-GB"/>
        </w:rPr>
        <w:t>财务机制成效第六次审查的任务范围</w:t>
      </w:r>
    </w:p>
    <w:p w14:paraId="124A3BAB" w14:textId="77777777" w:rsidR="001E1D83" w:rsidRPr="00E20D23" w:rsidRDefault="001E1D83" w:rsidP="00E20D23">
      <w:pPr>
        <w:adjustRightInd w:val="0"/>
        <w:snapToGrid w:val="0"/>
        <w:spacing w:before="120" w:line="240" w:lineRule="atLeast"/>
        <w:rPr>
          <w:b/>
          <w:sz w:val="24"/>
          <w:szCs w:val="24"/>
          <w:lang w:val="en-GB"/>
        </w:rPr>
      </w:pPr>
      <w:r w:rsidRPr="00E20D23">
        <w:rPr>
          <w:b/>
          <w:sz w:val="24"/>
          <w:szCs w:val="24"/>
          <w:lang w:val="en-GB"/>
        </w:rPr>
        <w:t>目标</w:t>
      </w:r>
      <w:r w:rsidRPr="00E20D23">
        <w:rPr>
          <w:b/>
          <w:sz w:val="24"/>
          <w:szCs w:val="24"/>
          <w:lang w:val="en-GB"/>
        </w:rPr>
        <w:t xml:space="preserve"> </w:t>
      </w:r>
    </w:p>
    <w:p w14:paraId="44DFCC1D" w14:textId="77777777" w:rsidR="001E1D83" w:rsidRPr="00E20D23" w:rsidRDefault="001E1D83" w:rsidP="00E20D23">
      <w:pPr>
        <w:adjustRightInd w:val="0"/>
        <w:snapToGrid w:val="0"/>
        <w:spacing w:before="120" w:line="240" w:lineRule="atLeast"/>
        <w:rPr>
          <w:sz w:val="24"/>
          <w:szCs w:val="24"/>
          <w:lang w:val="en-GB"/>
        </w:rPr>
      </w:pPr>
      <w:r w:rsidRPr="00E20D23">
        <w:rPr>
          <w:sz w:val="24"/>
          <w:szCs w:val="24"/>
          <w:lang w:val="en-GB"/>
        </w:rPr>
        <w:t>1.</w:t>
      </w:r>
      <w:r w:rsidRPr="00E20D23">
        <w:rPr>
          <w:sz w:val="24"/>
          <w:szCs w:val="24"/>
          <w:lang w:val="en-GB"/>
        </w:rPr>
        <w:tab/>
      </w:r>
      <w:r w:rsidRPr="00E20D23">
        <w:rPr>
          <w:sz w:val="24"/>
          <w:szCs w:val="24"/>
          <w:lang w:val="en-CA"/>
        </w:rPr>
        <w:t>根据《公约》第</w:t>
      </w:r>
      <w:r w:rsidRPr="00E20D23">
        <w:rPr>
          <w:sz w:val="24"/>
          <w:szCs w:val="24"/>
          <w:lang w:val="en-CA"/>
        </w:rPr>
        <w:t>21</w:t>
      </w:r>
      <w:r w:rsidRPr="00E20D23">
        <w:rPr>
          <w:sz w:val="24"/>
          <w:szCs w:val="24"/>
          <w:lang w:val="en-CA"/>
        </w:rPr>
        <w:t>条第</w:t>
      </w:r>
      <w:r w:rsidRPr="00E20D23">
        <w:rPr>
          <w:sz w:val="24"/>
          <w:szCs w:val="24"/>
          <w:lang w:val="en-CA"/>
        </w:rPr>
        <w:t>3</w:t>
      </w:r>
      <w:r w:rsidRPr="00E20D23">
        <w:rPr>
          <w:sz w:val="24"/>
          <w:szCs w:val="24"/>
          <w:lang w:val="en-CA"/>
        </w:rPr>
        <w:t>款，并借鉴过去五次审查的经验，缔约方大会第十六届会议将对财务机制成效进行第六次审查，并在必要时采取适当行动提高该机制的成效。为此，成效将包括：</w:t>
      </w:r>
    </w:p>
    <w:p w14:paraId="58A648D4" w14:textId="77777777" w:rsidR="001E1D83" w:rsidRPr="00E20D23" w:rsidRDefault="001E1D83" w:rsidP="00E20D23">
      <w:pPr>
        <w:adjustRightInd w:val="0"/>
        <w:snapToGrid w:val="0"/>
        <w:spacing w:before="120" w:line="240" w:lineRule="atLeast"/>
        <w:ind w:firstLine="490"/>
        <w:rPr>
          <w:sz w:val="24"/>
          <w:szCs w:val="24"/>
        </w:rPr>
      </w:pPr>
      <w:r w:rsidRPr="00E20D23">
        <w:rPr>
          <w:sz w:val="24"/>
          <w:szCs w:val="24"/>
          <w:lang w:val="en-GB"/>
        </w:rPr>
        <w:t>(a)</w:t>
      </w:r>
      <w:r w:rsidRPr="00E20D23">
        <w:rPr>
          <w:sz w:val="24"/>
          <w:szCs w:val="24"/>
          <w:lang w:val="en-GB"/>
        </w:rPr>
        <w:tab/>
      </w:r>
      <w:r w:rsidRPr="00E20D23">
        <w:rPr>
          <w:sz w:val="24"/>
          <w:szCs w:val="24"/>
          <w:lang w:val="en-GB"/>
        </w:rPr>
        <w:t>全球环境基金（</w:t>
      </w:r>
      <w:r w:rsidRPr="00E20D23">
        <w:rPr>
          <w:sz w:val="24"/>
          <w:szCs w:val="24"/>
          <w:lang w:val="en-CA"/>
        </w:rPr>
        <w:t>全环基金）作为运行财务机制的体制结构，其活动是否符合缔约方大会的指导意见；</w:t>
      </w:r>
    </w:p>
    <w:p w14:paraId="7E44D41D" w14:textId="77777777" w:rsidR="001E1D83" w:rsidRPr="00E20D23" w:rsidRDefault="001E1D83" w:rsidP="00E20D23">
      <w:pPr>
        <w:adjustRightInd w:val="0"/>
        <w:snapToGrid w:val="0"/>
        <w:spacing w:before="120" w:line="240" w:lineRule="atLeast"/>
        <w:ind w:firstLine="490"/>
        <w:rPr>
          <w:sz w:val="24"/>
          <w:szCs w:val="24"/>
          <w:lang w:val="en-GB"/>
        </w:rPr>
      </w:pPr>
      <w:r w:rsidRPr="00E20D23">
        <w:rPr>
          <w:sz w:val="24"/>
          <w:szCs w:val="24"/>
          <w:lang w:val="en-GB"/>
        </w:rPr>
        <w:t>(b)</w:t>
      </w:r>
      <w:r w:rsidRPr="00E20D23">
        <w:rPr>
          <w:sz w:val="24"/>
          <w:szCs w:val="24"/>
          <w:lang w:val="en-GB"/>
        </w:rPr>
        <w:tab/>
      </w:r>
      <w:r w:rsidRPr="00E20D23">
        <w:rPr>
          <w:sz w:val="24"/>
          <w:szCs w:val="24"/>
          <w:lang w:val="en-CA"/>
        </w:rPr>
        <w:t>财务机制以多大的成效提供和调动了资金，用以使发展中国家缔约方</w:t>
      </w:r>
      <w:r w:rsidRPr="00E20D23">
        <w:rPr>
          <w:sz w:val="24"/>
          <w:szCs w:val="24"/>
          <w:lang w:val="en-CA"/>
        </w:rPr>
        <w:t xml:space="preserve"> [[</w:t>
      </w:r>
      <w:r w:rsidRPr="00E20D23">
        <w:rPr>
          <w:sz w:val="24"/>
          <w:szCs w:val="24"/>
          <w:lang w:val="en-CA"/>
        </w:rPr>
        <w:t>，特别是最不发达国家缔约方和小岛屿发展中国家缔约方</w:t>
      </w:r>
      <w:r w:rsidRPr="00E20D23">
        <w:rPr>
          <w:sz w:val="24"/>
          <w:szCs w:val="24"/>
          <w:lang w:val="en-CA"/>
        </w:rPr>
        <w:t>[</w:t>
      </w:r>
      <w:r w:rsidRPr="00E20D23">
        <w:rPr>
          <w:sz w:val="24"/>
          <w:szCs w:val="24"/>
          <w:lang w:val="en-CA"/>
        </w:rPr>
        <w:t>以及经济转型缔约方</w:t>
      </w:r>
      <w:r w:rsidRPr="00E20D23">
        <w:rPr>
          <w:sz w:val="24"/>
          <w:szCs w:val="24"/>
          <w:lang w:val="en-CA"/>
        </w:rPr>
        <w:t>]]</w:t>
      </w:r>
      <w:r w:rsidRPr="00E20D23">
        <w:rPr>
          <w:sz w:val="24"/>
          <w:szCs w:val="24"/>
          <w:lang w:val="en-CA"/>
        </w:rPr>
        <w:t>能够得到为其商定的全部增支费用，用于采取措施，履行《生物多样性公约》及其议定书规定的义务，并从其规定中受益，在这方面要考虑到资金的可预见性、充足性和及时流动；</w:t>
      </w:r>
    </w:p>
    <w:p w14:paraId="318A5A57" w14:textId="535163DD" w:rsidR="001E1D83" w:rsidRPr="00E20D23" w:rsidRDefault="001E1D83" w:rsidP="00E20D23">
      <w:pPr>
        <w:adjustRightInd w:val="0"/>
        <w:snapToGrid w:val="0"/>
        <w:spacing w:before="120" w:line="240" w:lineRule="atLeast"/>
        <w:ind w:firstLine="490"/>
        <w:rPr>
          <w:sz w:val="24"/>
          <w:szCs w:val="24"/>
          <w:lang w:val="en-CA"/>
        </w:rPr>
      </w:pPr>
      <w:r w:rsidRPr="00E20D23">
        <w:rPr>
          <w:sz w:val="24"/>
          <w:szCs w:val="24"/>
          <w:lang w:val="en-GB"/>
        </w:rPr>
        <w:t>(c)</w:t>
      </w:r>
      <w:r w:rsidRPr="00E20D23">
        <w:rPr>
          <w:sz w:val="24"/>
          <w:szCs w:val="24"/>
          <w:lang w:val="en-GB"/>
        </w:rPr>
        <w:tab/>
        <w:t>[</w:t>
      </w:r>
      <w:r w:rsidRPr="00E20D23">
        <w:rPr>
          <w:sz w:val="24"/>
          <w:szCs w:val="24"/>
          <w:lang w:val="en-CA"/>
        </w:rPr>
        <w:t>调动各种来源的资金用以支持各国执行《公约》及其议定书</w:t>
      </w:r>
      <w:r w:rsidRPr="00E20D23">
        <w:rPr>
          <w:sz w:val="24"/>
          <w:szCs w:val="24"/>
          <w:lang w:val="en-CA"/>
        </w:rPr>
        <w:t>[</w:t>
      </w:r>
      <w:r w:rsidRPr="00E20D23">
        <w:rPr>
          <w:sz w:val="24"/>
          <w:szCs w:val="24"/>
          <w:lang w:val="en-CA"/>
        </w:rPr>
        <w:t>，包括国家生物多样性战略和行动计划以及国家财务计划</w:t>
      </w:r>
      <w:r w:rsidRPr="00E20D23">
        <w:rPr>
          <w:sz w:val="24"/>
          <w:szCs w:val="24"/>
          <w:lang w:val="en-CA"/>
        </w:rPr>
        <w:t>]</w:t>
      </w:r>
      <w:r w:rsidRPr="00E20D23">
        <w:rPr>
          <w:sz w:val="24"/>
          <w:szCs w:val="24"/>
          <w:lang w:val="en-CA"/>
        </w:rPr>
        <w:t>的成效</w:t>
      </w:r>
      <w:r w:rsidRPr="00E20D23">
        <w:rPr>
          <w:sz w:val="24"/>
          <w:szCs w:val="24"/>
          <w:lang w:val="en-CA"/>
        </w:rPr>
        <w:t>]</w:t>
      </w:r>
      <w:r w:rsidRPr="00E20D23">
        <w:rPr>
          <w:sz w:val="24"/>
          <w:szCs w:val="24"/>
          <w:lang w:val="en-CA"/>
        </w:rPr>
        <w:t>。财务机制以多高的效率提供和调动了资金，并酌情根据缔约方大会的指导对其资助的活动进行监督、监测和评价；</w:t>
      </w:r>
    </w:p>
    <w:p w14:paraId="23B8948C" w14:textId="2CFCA001" w:rsidR="001E1D83" w:rsidRPr="00E20D23" w:rsidRDefault="001E1D83" w:rsidP="00E20D23">
      <w:pPr>
        <w:adjustRightInd w:val="0"/>
        <w:snapToGrid w:val="0"/>
        <w:spacing w:before="120" w:line="240" w:lineRule="atLeast"/>
        <w:ind w:firstLine="490"/>
        <w:rPr>
          <w:sz w:val="24"/>
          <w:szCs w:val="24"/>
          <w:lang w:val="en-CA"/>
        </w:rPr>
      </w:pPr>
      <w:r w:rsidRPr="00E20D23">
        <w:rPr>
          <w:sz w:val="24"/>
          <w:szCs w:val="24"/>
          <w:lang w:val="en-GB"/>
        </w:rPr>
        <w:t>(d)</w:t>
      </w:r>
      <w:r w:rsidRPr="00E20D23">
        <w:rPr>
          <w:sz w:val="24"/>
          <w:szCs w:val="24"/>
          <w:lang w:val="en-GB"/>
        </w:rPr>
        <w:tab/>
      </w:r>
      <w:r w:rsidRPr="00E20D23">
        <w:rPr>
          <w:sz w:val="24"/>
          <w:szCs w:val="24"/>
          <w:lang w:val="en-CA"/>
        </w:rPr>
        <w:t>促进和加强国家执行措施以实现全球生物多样性目标和具体目标的成效，包括与议定书有关的目标和具体目标的成效；</w:t>
      </w:r>
    </w:p>
    <w:p w14:paraId="7B2789A2" w14:textId="77777777" w:rsidR="001E1D83" w:rsidRPr="00E20D23" w:rsidRDefault="001E1D83" w:rsidP="00E20D23">
      <w:pPr>
        <w:adjustRightInd w:val="0"/>
        <w:snapToGrid w:val="0"/>
        <w:spacing w:before="120" w:line="240" w:lineRule="atLeast"/>
        <w:ind w:firstLine="490"/>
        <w:rPr>
          <w:sz w:val="24"/>
          <w:szCs w:val="24"/>
        </w:rPr>
      </w:pPr>
      <w:r w:rsidRPr="00E20D23">
        <w:rPr>
          <w:sz w:val="24"/>
          <w:szCs w:val="24"/>
          <w:lang w:val="en-CA"/>
        </w:rPr>
        <w:lastRenderedPageBreak/>
        <w:t>(d)</w:t>
      </w:r>
      <w:r w:rsidRPr="00E20D23">
        <w:rPr>
          <w:sz w:val="24"/>
          <w:szCs w:val="24"/>
          <w:lang w:val="en-CA"/>
        </w:rPr>
        <w:t>之二</w:t>
      </w:r>
      <w:r w:rsidRPr="00E20D23">
        <w:rPr>
          <w:sz w:val="24"/>
          <w:szCs w:val="24"/>
          <w:lang w:val="en-CA"/>
        </w:rPr>
        <w:tab/>
      </w:r>
      <w:r w:rsidRPr="00E20D23">
        <w:rPr>
          <w:sz w:val="24"/>
          <w:szCs w:val="24"/>
          <w:lang w:val="en-CA"/>
        </w:rPr>
        <w:t>全球环境基金资助的活动在考虑到缔约方大会提供的指导，执行《公约》和实现其三项目标，以及在适用情况下执行《公约》各议定书方面的效率和成效；</w:t>
      </w:r>
    </w:p>
    <w:p w14:paraId="36D816B2" w14:textId="77777777" w:rsidR="001E1D83" w:rsidRPr="00E20D23" w:rsidRDefault="001E1D83" w:rsidP="00E20D23">
      <w:pPr>
        <w:adjustRightInd w:val="0"/>
        <w:snapToGrid w:val="0"/>
        <w:spacing w:before="120" w:line="240" w:lineRule="atLeast"/>
        <w:ind w:firstLine="490"/>
        <w:rPr>
          <w:sz w:val="24"/>
          <w:szCs w:val="24"/>
          <w:lang w:val="en-GB"/>
        </w:rPr>
      </w:pPr>
      <w:r w:rsidRPr="00E20D23">
        <w:rPr>
          <w:sz w:val="24"/>
          <w:szCs w:val="24"/>
          <w:lang w:val="en-GB"/>
        </w:rPr>
        <w:t>(e)</w:t>
      </w:r>
      <w:r w:rsidRPr="00E20D23">
        <w:rPr>
          <w:sz w:val="24"/>
          <w:szCs w:val="24"/>
          <w:lang w:val="en-GB"/>
        </w:rPr>
        <w:tab/>
        <w:t>[</w:t>
      </w:r>
      <w:r w:rsidRPr="00E20D23">
        <w:rPr>
          <w:sz w:val="24"/>
          <w:szCs w:val="24"/>
          <w:lang w:val="en-CA"/>
        </w:rPr>
        <w:t>在国际生物多样性筹资中发挥主导作用的成效；</w:t>
      </w:r>
      <w:r w:rsidRPr="00E20D23">
        <w:rPr>
          <w:sz w:val="24"/>
          <w:szCs w:val="24"/>
          <w:lang w:val="en-CA"/>
        </w:rPr>
        <w:t>]</w:t>
      </w:r>
    </w:p>
    <w:p w14:paraId="1AEB7479" w14:textId="3D92B041" w:rsidR="001E1D83" w:rsidRPr="00E20D23" w:rsidRDefault="001E1D83" w:rsidP="00E20D23">
      <w:pPr>
        <w:adjustRightInd w:val="0"/>
        <w:snapToGrid w:val="0"/>
        <w:spacing w:before="120" w:line="240" w:lineRule="atLeast"/>
        <w:ind w:firstLine="490"/>
        <w:rPr>
          <w:sz w:val="24"/>
          <w:szCs w:val="24"/>
        </w:rPr>
      </w:pPr>
      <w:r w:rsidRPr="00E20D23">
        <w:rPr>
          <w:sz w:val="24"/>
          <w:szCs w:val="24"/>
          <w:lang w:val="en-GB"/>
        </w:rPr>
        <w:t>(f)</w:t>
      </w:r>
      <w:r w:rsidRPr="00E20D23">
        <w:rPr>
          <w:sz w:val="24"/>
          <w:szCs w:val="24"/>
          <w:lang w:val="en-GB"/>
        </w:rPr>
        <w:tab/>
      </w:r>
      <w:r w:rsidRPr="00E20D23">
        <w:rPr>
          <w:sz w:val="24"/>
          <w:szCs w:val="24"/>
          <w:lang w:val="en-CA"/>
        </w:rPr>
        <w:t>支持落实有助于实现《公约》及其议定书各项目标的</w:t>
      </w:r>
      <w:r w:rsidRPr="00E20D23">
        <w:rPr>
          <w:sz w:val="24"/>
          <w:szCs w:val="24"/>
          <w:lang w:val="en-CA"/>
        </w:rPr>
        <w:t>[</w:t>
      </w:r>
      <w:r w:rsidRPr="00E20D23">
        <w:rPr>
          <w:sz w:val="24"/>
          <w:szCs w:val="24"/>
          <w:lang w:val="en-CA"/>
        </w:rPr>
        <w:t>相关</w:t>
      </w:r>
      <w:r w:rsidRPr="00E20D23">
        <w:rPr>
          <w:sz w:val="24"/>
          <w:szCs w:val="24"/>
          <w:lang w:val="en-CA"/>
        </w:rPr>
        <w:t>]</w:t>
      </w:r>
      <w:r w:rsidRPr="00E20D23">
        <w:rPr>
          <w:sz w:val="24"/>
          <w:szCs w:val="24"/>
          <w:lang w:val="en-CA"/>
        </w:rPr>
        <w:t>可持续发展目标方面的效率和成效；</w:t>
      </w:r>
    </w:p>
    <w:p w14:paraId="55DFF636" w14:textId="77777777" w:rsidR="001E1D83" w:rsidRPr="00E20D23" w:rsidRDefault="001E1D83" w:rsidP="00E20D23">
      <w:pPr>
        <w:adjustRightInd w:val="0"/>
        <w:snapToGrid w:val="0"/>
        <w:spacing w:before="120" w:line="240" w:lineRule="atLeast"/>
        <w:ind w:firstLine="490"/>
        <w:rPr>
          <w:sz w:val="24"/>
          <w:szCs w:val="24"/>
          <w:lang w:val="en-CA"/>
        </w:rPr>
      </w:pPr>
      <w:r w:rsidRPr="00E20D23">
        <w:rPr>
          <w:sz w:val="24"/>
          <w:szCs w:val="24"/>
          <w:lang w:val="en-GB"/>
        </w:rPr>
        <w:t>(g)</w:t>
      </w:r>
      <w:r w:rsidRPr="00E20D23">
        <w:rPr>
          <w:sz w:val="24"/>
          <w:szCs w:val="24"/>
          <w:lang w:val="en-GB"/>
        </w:rPr>
        <w:tab/>
      </w:r>
      <w:r w:rsidRPr="00E20D23">
        <w:rPr>
          <w:sz w:val="24"/>
          <w:szCs w:val="24"/>
          <w:lang w:val="en-CA"/>
        </w:rPr>
        <w:t>为方案部署资源的进程和程序的效率和成效。</w:t>
      </w:r>
    </w:p>
    <w:p w14:paraId="0BF54E90" w14:textId="77777777" w:rsidR="001E1D83" w:rsidRPr="00E20D23" w:rsidRDefault="001E1D83" w:rsidP="00E20D23">
      <w:pPr>
        <w:adjustRightInd w:val="0"/>
        <w:snapToGrid w:val="0"/>
        <w:spacing w:before="120" w:line="240" w:lineRule="atLeast"/>
        <w:ind w:firstLine="490"/>
        <w:rPr>
          <w:sz w:val="24"/>
          <w:szCs w:val="24"/>
          <w:lang w:val="en-GB"/>
        </w:rPr>
      </w:pPr>
      <w:r w:rsidRPr="00E20D23">
        <w:rPr>
          <w:sz w:val="24"/>
          <w:szCs w:val="24"/>
          <w:lang w:val="en-CA"/>
        </w:rPr>
        <w:t>(h)</w:t>
      </w:r>
      <w:r w:rsidRPr="00E20D23">
        <w:rPr>
          <w:sz w:val="24"/>
          <w:szCs w:val="24"/>
          <w:lang w:val="en-CA"/>
        </w:rPr>
        <w:tab/>
      </w:r>
      <w:r w:rsidRPr="00E20D23">
        <w:rPr>
          <w:sz w:val="24"/>
          <w:szCs w:val="24"/>
          <w:lang w:val="en-CA"/>
        </w:rPr>
        <w:t>在与其他有关多边环境协定的执行工作协同增效，在与这些协定各自的任务规定保持一致的情况下支持实现《公约》及其议定书各项目标方面的成效和效率。</w:t>
      </w:r>
    </w:p>
    <w:p w14:paraId="5CD38EBA" w14:textId="77777777" w:rsidR="001E1D83" w:rsidRPr="00E20D23" w:rsidRDefault="001E1D83" w:rsidP="00E20D23">
      <w:pPr>
        <w:adjustRightInd w:val="0"/>
        <w:snapToGrid w:val="0"/>
        <w:spacing w:before="120" w:line="240" w:lineRule="atLeast"/>
        <w:rPr>
          <w:sz w:val="24"/>
          <w:szCs w:val="24"/>
          <w:lang w:val="en-GB"/>
        </w:rPr>
      </w:pPr>
      <w:r w:rsidRPr="00E20D23">
        <w:rPr>
          <w:b/>
          <w:sz w:val="24"/>
          <w:szCs w:val="24"/>
          <w:lang w:val="en-GB"/>
        </w:rPr>
        <w:t>方法</w:t>
      </w:r>
    </w:p>
    <w:p w14:paraId="3B175A0D" w14:textId="77777777" w:rsidR="001E1D83" w:rsidRPr="00E20D23" w:rsidRDefault="001E1D83" w:rsidP="00E20D23">
      <w:pPr>
        <w:adjustRightInd w:val="0"/>
        <w:snapToGrid w:val="0"/>
        <w:spacing w:before="120" w:line="240" w:lineRule="atLeast"/>
        <w:rPr>
          <w:sz w:val="24"/>
          <w:szCs w:val="24"/>
        </w:rPr>
      </w:pPr>
      <w:r w:rsidRPr="00E20D23">
        <w:rPr>
          <w:sz w:val="24"/>
          <w:szCs w:val="24"/>
          <w:lang w:val="en-GB"/>
        </w:rPr>
        <w:t>2.</w:t>
      </w:r>
      <w:r w:rsidRPr="00E20D23">
        <w:rPr>
          <w:sz w:val="24"/>
          <w:szCs w:val="24"/>
          <w:lang w:val="en-GB"/>
        </w:rPr>
        <w:tab/>
      </w:r>
      <w:r w:rsidRPr="00E20D23">
        <w:rPr>
          <w:sz w:val="24"/>
          <w:szCs w:val="24"/>
          <w:lang w:val="en-CA"/>
        </w:rPr>
        <w:t>审查将涵盖作为财务机制运行的体制结构的所有活动，特别是</w:t>
      </w:r>
      <w:r w:rsidRPr="00E20D23">
        <w:rPr>
          <w:sz w:val="24"/>
          <w:szCs w:val="24"/>
          <w:lang w:val="en-CA"/>
        </w:rPr>
        <w:t>2017</w:t>
      </w:r>
      <w:r w:rsidRPr="00E20D23">
        <w:rPr>
          <w:sz w:val="24"/>
          <w:szCs w:val="24"/>
          <w:lang w:val="en-CA"/>
        </w:rPr>
        <w:t>年</w:t>
      </w:r>
      <w:r w:rsidRPr="00E20D23">
        <w:rPr>
          <w:sz w:val="24"/>
          <w:szCs w:val="24"/>
          <w:lang w:val="en-CA"/>
        </w:rPr>
        <w:t>7</w:t>
      </w:r>
      <w:r w:rsidRPr="00E20D23">
        <w:rPr>
          <w:sz w:val="24"/>
          <w:szCs w:val="24"/>
          <w:lang w:val="en-CA"/>
        </w:rPr>
        <w:t>月</w:t>
      </w:r>
      <w:r w:rsidRPr="00E20D23">
        <w:rPr>
          <w:sz w:val="24"/>
          <w:szCs w:val="24"/>
          <w:lang w:val="en-CA"/>
        </w:rPr>
        <w:t>1</w:t>
      </w:r>
      <w:r w:rsidRPr="00E20D23">
        <w:rPr>
          <w:sz w:val="24"/>
          <w:szCs w:val="24"/>
          <w:lang w:val="en-CA"/>
        </w:rPr>
        <w:t>日至</w:t>
      </w:r>
      <w:r w:rsidRPr="00E20D23">
        <w:rPr>
          <w:sz w:val="24"/>
          <w:szCs w:val="24"/>
          <w:lang w:val="en-CA"/>
        </w:rPr>
        <w:t>2022</w:t>
      </w:r>
      <w:r w:rsidRPr="00E20D23">
        <w:rPr>
          <w:sz w:val="24"/>
          <w:szCs w:val="24"/>
          <w:lang w:val="en-CA"/>
        </w:rPr>
        <w:t>年</w:t>
      </w:r>
      <w:r w:rsidRPr="00E20D23">
        <w:rPr>
          <w:sz w:val="24"/>
          <w:szCs w:val="24"/>
          <w:lang w:val="en-CA"/>
        </w:rPr>
        <w:t>6</w:t>
      </w:r>
      <w:r w:rsidRPr="00E20D23">
        <w:rPr>
          <w:sz w:val="24"/>
          <w:szCs w:val="24"/>
          <w:lang w:val="en-CA"/>
        </w:rPr>
        <w:t>月</w:t>
      </w:r>
      <w:r w:rsidRPr="00E20D23">
        <w:rPr>
          <w:sz w:val="24"/>
          <w:szCs w:val="24"/>
          <w:lang w:val="en-CA"/>
        </w:rPr>
        <w:t>30</w:t>
      </w:r>
      <w:r w:rsidRPr="00E20D23">
        <w:rPr>
          <w:sz w:val="24"/>
          <w:szCs w:val="24"/>
          <w:lang w:val="en-CA"/>
        </w:rPr>
        <w:t>日期间的活动。</w:t>
      </w:r>
    </w:p>
    <w:p w14:paraId="09E66E75" w14:textId="77777777" w:rsidR="001E1D83" w:rsidRPr="00E20D23" w:rsidRDefault="001E1D83" w:rsidP="00E20D23">
      <w:pPr>
        <w:adjustRightInd w:val="0"/>
        <w:snapToGrid w:val="0"/>
        <w:spacing w:before="120" w:line="240" w:lineRule="atLeast"/>
        <w:rPr>
          <w:sz w:val="24"/>
          <w:szCs w:val="24"/>
          <w:lang w:val="en-GB"/>
        </w:rPr>
      </w:pPr>
      <w:r w:rsidRPr="00E20D23">
        <w:rPr>
          <w:sz w:val="24"/>
          <w:szCs w:val="24"/>
          <w:lang w:val="en-GB"/>
        </w:rPr>
        <w:t>3.</w:t>
      </w:r>
      <w:r w:rsidRPr="00E20D23">
        <w:rPr>
          <w:sz w:val="24"/>
          <w:szCs w:val="24"/>
          <w:lang w:val="en-GB"/>
        </w:rPr>
        <w:tab/>
      </w:r>
      <w:r w:rsidRPr="00E20D23">
        <w:rPr>
          <w:sz w:val="24"/>
          <w:szCs w:val="24"/>
          <w:lang w:val="en-GB"/>
        </w:rPr>
        <w:t>除其他外，</w:t>
      </w:r>
      <w:r w:rsidRPr="00E20D23">
        <w:rPr>
          <w:sz w:val="24"/>
          <w:szCs w:val="24"/>
          <w:lang w:val="en-CA"/>
        </w:rPr>
        <w:t>审查应利用以下信息来源：</w:t>
      </w:r>
    </w:p>
    <w:p w14:paraId="682827CA" w14:textId="77777777" w:rsidR="001E1D83" w:rsidRPr="00E20D23" w:rsidRDefault="001E1D83" w:rsidP="00E20D23">
      <w:pPr>
        <w:adjustRightInd w:val="0"/>
        <w:snapToGrid w:val="0"/>
        <w:spacing w:before="120" w:line="240" w:lineRule="atLeast"/>
        <w:ind w:firstLine="490"/>
        <w:rPr>
          <w:sz w:val="24"/>
          <w:szCs w:val="24"/>
          <w:lang w:val="en-CA"/>
        </w:rPr>
      </w:pPr>
      <w:r w:rsidRPr="00E20D23">
        <w:rPr>
          <w:sz w:val="24"/>
          <w:szCs w:val="24"/>
          <w:lang w:val="en-CA"/>
        </w:rPr>
        <w:t>(a)</w:t>
      </w:r>
      <w:r w:rsidRPr="00E20D23">
        <w:rPr>
          <w:sz w:val="24"/>
          <w:szCs w:val="24"/>
          <w:lang w:val="en-CA"/>
        </w:rPr>
        <w:tab/>
      </w:r>
      <w:r w:rsidRPr="00E20D23">
        <w:rPr>
          <w:sz w:val="24"/>
          <w:szCs w:val="24"/>
          <w:lang w:val="en-CA"/>
        </w:rPr>
        <w:t>全环基金编写的报告，包括其提交缔约方大会的报告；</w:t>
      </w:r>
    </w:p>
    <w:p w14:paraId="678B4D71" w14:textId="77777777" w:rsidR="001E1D83" w:rsidRPr="00E20D23" w:rsidRDefault="001E1D83" w:rsidP="00E20D23">
      <w:pPr>
        <w:adjustRightInd w:val="0"/>
        <w:snapToGrid w:val="0"/>
        <w:spacing w:before="120" w:line="240" w:lineRule="atLeast"/>
        <w:ind w:firstLine="490"/>
        <w:rPr>
          <w:sz w:val="24"/>
          <w:szCs w:val="24"/>
          <w:lang w:val="en-CA"/>
        </w:rPr>
      </w:pPr>
      <w:r w:rsidRPr="00E20D23">
        <w:rPr>
          <w:sz w:val="24"/>
          <w:szCs w:val="24"/>
          <w:lang w:val="en-CA"/>
        </w:rPr>
        <w:t>(b)</w:t>
      </w:r>
      <w:r w:rsidRPr="00E20D23">
        <w:rPr>
          <w:sz w:val="24"/>
          <w:szCs w:val="24"/>
          <w:lang w:val="en-CA"/>
        </w:rPr>
        <w:tab/>
      </w:r>
      <w:r w:rsidRPr="00E20D23">
        <w:rPr>
          <w:sz w:val="24"/>
          <w:szCs w:val="24"/>
          <w:lang w:val="en-CA"/>
        </w:rPr>
        <w:t>全环基金独立评价办公室关于全环基金生物多样性活动的报告，包括第七次全面研究报告，以及全环基金各机构和其他伙伴的相关评估，包括与全环基金项目有关的最新审计报告和管理层所做答复；</w:t>
      </w:r>
    </w:p>
    <w:p w14:paraId="6626D8D1" w14:textId="77777777" w:rsidR="001E1D83" w:rsidRPr="00E20D23" w:rsidRDefault="001E1D83" w:rsidP="00E20D23">
      <w:pPr>
        <w:adjustRightInd w:val="0"/>
        <w:snapToGrid w:val="0"/>
        <w:spacing w:before="120" w:line="240" w:lineRule="atLeast"/>
        <w:ind w:firstLine="490"/>
        <w:rPr>
          <w:sz w:val="24"/>
          <w:szCs w:val="24"/>
          <w:lang w:val="en-CA"/>
        </w:rPr>
      </w:pPr>
      <w:r w:rsidRPr="00E20D23">
        <w:rPr>
          <w:sz w:val="24"/>
          <w:szCs w:val="24"/>
          <w:lang w:val="en-CA"/>
        </w:rPr>
        <w:t>(c)</w:t>
      </w:r>
      <w:r w:rsidRPr="00E20D23">
        <w:rPr>
          <w:sz w:val="24"/>
          <w:szCs w:val="24"/>
          <w:lang w:val="en-CA"/>
        </w:rPr>
        <w:tab/>
      </w:r>
      <w:r w:rsidRPr="00E20D23">
        <w:rPr>
          <w:sz w:val="24"/>
          <w:szCs w:val="24"/>
          <w:lang w:val="en-CA"/>
        </w:rPr>
        <w:t>缔约方通过国家报告和其他提交材料、对调查和访谈的回应提供的关于财务机制的信息；</w:t>
      </w:r>
    </w:p>
    <w:p w14:paraId="7B58B1EC" w14:textId="77777777" w:rsidR="001E1D83" w:rsidRPr="00E20D23" w:rsidRDefault="001E1D83" w:rsidP="00E20D23">
      <w:pPr>
        <w:adjustRightInd w:val="0"/>
        <w:snapToGrid w:val="0"/>
        <w:spacing w:before="120" w:line="240" w:lineRule="atLeast"/>
        <w:ind w:firstLine="490"/>
        <w:rPr>
          <w:sz w:val="24"/>
          <w:szCs w:val="24"/>
          <w:lang w:val="en-CA"/>
        </w:rPr>
      </w:pPr>
      <w:r w:rsidRPr="00E20D23">
        <w:rPr>
          <w:sz w:val="24"/>
          <w:szCs w:val="24"/>
          <w:lang w:val="en-CA"/>
        </w:rPr>
        <w:t>(d)</w:t>
      </w:r>
      <w:r w:rsidRPr="00E20D23">
        <w:rPr>
          <w:sz w:val="24"/>
          <w:szCs w:val="24"/>
          <w:lang w:val="en-CA"/>
        </w:rPr>
        <w:tab/>
      </w:r>
      <w:r w:rsidRPr="00E20D23">
        <w:rPr>
          <w:sz w:val="24"/>
          <w:szCs w:val="24"/>
          <w:lang w:val="en-CA"/>
        </w:rPr>
        <w:t>土著人民和地方社区、妇女和青年以及与全环基金所资助项目的其他相关利益攸关方提供的信息。</w:t>
      </w:r>
    </w:p>
    <w:p w14:paraId="125A1FBF" w14:textId="77777777" w:rsidR="00D56FF7" w:rsidRPr="009F3697" w:rsidRDefault="00D56FF7" w:rsidP="00D56FF7">
      <w:pPr>
        <w:pStyle w:val="Para1"/>
        <w:keepNext/>
        <w:numPr>
          <w:ilvl w:val="0"/>
          <w:numId w:val="0"/>
        </w:numPr>
        <w:suppressLineNumbers/>
        <w:suppressAutoHyphens/>
        <w:adjustRightInd w:val="0"/>
        <w:snapToGrid w:val="0"/>
        <w:rPr>
          <w:rFonts w:asciiTheme="majorBidi" w:hAnsiTheme="majorBidi"/>
          <w:b/>
          <w:kern w:val="22"/>
          <w:sz w:val="24"/>
          <w:szCs w:val="20"/>
        </w:rPr>
      </w:pPr>
      <w:r>
        <w:rPr>
          <w:rFonts w:asciiTheme="majorBidi" w:hAnsiTheme="majorBidi" w:hint="eastAsia"/>
          <w:b/>
          <w:kern w:val="22"/>
          <w:sz w:val="24"/>
          <w:szCs w:val="20"/>
        </w:rPr>
        <w:t>标准</w:t>
      </w:r>
    </w:p>
    <w:p w14:paraId="2680A9CC" w14:textId="77777777" w:rsidR="00D56FF7" w:rsidRPr="009F3697" w:rsidRDefault="00D56FF7" w:rsidP="00D56FF7">
      <w:pPr>
        <w:pStyle w:val="Para1"/>
        <w:numPr>
          <w:ilvl w:val="0"/>
          <w:numId w:val="42"/>
        </w:numPr>
        <w:suppressLineNumbers/>
        <w:suppressAutoHyphens/>
        <w:adjustRightInd w:val="0"/>
        <w:snapToGrid w:val="0"/>
        <w:spacing w:line="240" w:lineRule="auto"/>
        <w:ind w:left="0" w:firstLine="0"/>
        <w:rPr>
          <w:rFonts w:asciiTheme="majorBidi" w:hAnsiTheme="majorBidi" w:cstheme="majorBidi"/>
          <w:kern w:val="22"/>
          <w:sz w:val="24"/>
          <w:szCs w:val="24"/>
        </w:rPr>
      </w:pPr>
      <w:r>
        <w:rPr>
          <w:rFonts w:ascii="SimSun" w:hAnsi="SimSun" w:cs="SimSun" w:hint="eastAsia"/>
          <w:kern w:val="22"/>
          <w:sz w:val="24"/>
          <w:szCs w:val="20"/>
        </w:rPr>
        <w:t>在评估财务机制的效力和效率时，应主要考虑：</w:t>
      </w:r>
    </w:p>
    <w:p w14:paraId="30FEAE8F" w14:textId="77777777" w:rsidR="00D56FF7" w:rsidRPr="005E16DA" w:rsidRDefault="00D56FF7" w:rsidP="00D56FF7">
      <w:pPr>
        <w:pStyle w:val="Para1"/>
        <w:numPr>
          <w:ilvl w:val="1"/>
          <w:numId w:val="42"/>
        </w:numPr>
        <w:suppressLineNumbers/>
        <w:suppressAutoHyphens/>
        <w:adjustRightInd w:val="0"/>
        <w:snapToGrid w:val="0"/>
        <w:spacing w:line="240" w:lineRule="auto"/>
        <w:ind w:left="0" w:firstLine="720"/>
        <w:rPr>
          <w:rFonts w:asciiTheme="majorBidi" w:hAnsiTheme="majorBidi" w:cstheme="majorBidi"/>
          <w:kern w:val="22"/>
          <w:sz w:val="24"/>
          <w:szCs w:val="24"/>
        </w:rPr>
      </w:pPr>
      <w:r w:rsidRPr="005E16DA">
        <w:rPr>
          <w:rFonts w:ascii="SimSun" w:hAnsi="SimSun" w:cs="SimSun" w:hint="eastAsia"/>
          <w:kern w:val="22"/>
          <w:sz w:val="24"/>
          <w:szCs w:val="24"/>
        </w:rPr>
        <w:t>全环基金根据缔约方大会的指导</w:t>
      </w:r>
      <w:r>
        <w:rPr>
          <w:rFonts w:ascii="SimSun" w:hAnsi="SimSun" w:cs="SimSun" w:hint="eastAsia"/>
          <w:kern w:val="22"/>
          <w:sz w:val="24"/>
          <w:szCs w:val="24"/>
        </w:rPr>
        <w:t>意见</w:t>
      </w:r>
      <w:r w:rsidRPr="005E16DA">
        <w:rPr>
          <w:rFonts w:ascii="SimSun" w:hAnsi="SimSun" w:cs="SimSun" w:hint="eastAsia"/>
          <w:kern w:val="22"/>
          <w:sz w:val="24"/>
          <w:szCs w:val="24"/>
        </w:rPr>
        <w:t>采取的行动</w:t>
      </w:r>
      <w:r>
        <w:rPr>
          <w:rFonts w:ascii="SimSun" w:hAnsi="SimSun" w:cs="SimSun" w:hint="eastAsia"/>
          <w:kern w:val="22"/>
          <w:sz w:val="24"/>
          <w:szCs w:val="24"/>
        </w:rPr>
        <w:t>；</w:t>
      </w:r>
    </w:p>
    <w:p w14:paraId="357B6750" w14:textId="160C2332" w:rsidR="00D56FF7" w:rsidRPr="00B6047F" w:rsidRDefault="00D56FF7" w:rsidP="00D56FF7">
      <w:pPr>
        <w:pStyle w:val="Para1"/>
        <w:numPr>
          <w:ilvl w:val="1"/>
          <w:numId w:val="42"/>
        </w:numPr>
        <w:suppressLineNumbers/>
        <w:suppressAutoHyphens/>
        <w:adjustRightInd w:val="0"/>
        <w:snapToGrid w:val="0"/>
        <w:spacing w:line="240" w:lineRule="auto"/>
        <w:ind w:left="0" w:firstLine="720"/>
        <w:rPr>
          <w:rFonts w:asciiTheme="majorBidi" w:hAnsiTheme="majorBidi" w:cstheme="majorBidi"/>
          <w:kern w:val="22"/>
          <w:sz w:val="24"/>
          <w:szCs w:val="24"/>
        </w:rPr>
      </w:pPr>
      <w:r w:rsidRPr="00B6047F">
        <w:rPr>
          <w:rFonts w:ascii="SimSun" w:hAnsi="SimSun" w:cs="SimSun" w:hint="eastAsia"/>
          <w:kern w:val="22"/>
          <w:sz w:val="24"/>
          <w:szCs w:val="24"/>
        </w:rPr>
        <w:t>[遵守全环基金政策的</w:t>
      </w:r>
      <w:r w:rsidRPr="00B6047F">
        <w:rPr>
          <w:rFonts w:ascii="SimSun" w:hAnsi="SimSun" w:cs="SimSun"/>
          <w:kern w:val="22"/>
          <w:sz w:val="24"/>
          <w:szCs w:val="24"/>
        </w:rPr>
        <w:t>]</w:t>
      </w:r>
      <w:r w:rsidRPr="00B6047F">
        <w:rPr>
          <w:rFonts w:ascii="SimSun" w:hAnsi="SimSun" w:cs="SimSun" w:hint="eastAsia"/>
          <w:kern w:val="22"/>
          <w:sz w:val="24"/>
          <w:szCs w:val="24"/>
        </w:rPr>
        <w:t>符合资格的国家接收[及时、充足和可预测的</w:t>
      </w:r>
      <w:r w:rsidRPr="00B6047F">
        <w:rPr>
          <w:rFonts w:ascii="SimSun" w:hAnsi="SimSun" w:cs="SimSun"/>
          <w:kern w:val="22"/>
          <w:sz w:val="24"/>
          <w:szCs w:val="24"/>
        </w:rPr>
        <w:t>]</w:t>
      </w:r>
      <w:r w:rsidRPr="00B6047F">
        <w:rPr>
          <w:rFonts w:ascii="SimSun" w:hAnsi="SimSun" w:cs="SimSun" w:hint="eastAsia"/>
          <w:kern w:val="22"/>
          <w:sz w:val="24"/>
          <w:szCs w:val="24"/>
        </w:rPr>
        <w:t>资金以支付[它们的</w:t>
      </w:r>
      <w:r w:rsidRPr="00B6047F">
        <w:rPr>
          <w:rFonts w:ascii="SimSun" w:hAnsi="SimSun" w:cs="SimSun"/>
          <w:kern w:val="22"/>
          <w:sz w:val="24"/>
          <w:szCs w:val="24"/>
        </w:rPr>
        <w:t>]</w:t>
      </w:r>
      <w:r w:rsidRPr="00B6047F">
        <w:rPr>
          <w:rFonts w:ascii="SimSun" w:hAnsi="SimSun" w:cs="SimSun" w:hint="eastAsia"/>
          <w:kern w:val="22"/>
          <w:sz w:val="24"/>
          <w:szCs w:val="24"/>
        </w:rPr>
        <w:t>实施各项措施的[全部</w:t>
      </w:r>
      <w:r w:rsidRPr="00B6047F">
        <w:rPr>
          <w:rFonts w:ascii="SimSun" w:hAnsi="SimSun" w:cs="SimSun"/>
          <w:kern w:val="22"/>
          <w:sz w:val="24"/>
          <w:szCs w:val="24"/>
        </w:rPr>
        <w:t>] 商定增量成本</w:t>
      </w:r>
      <w:r w:rsidRPr="00B6047F">
        <w:rPr>
          <w:rFonts w:hint="eastAsia"/>
          <w:kern w:val="22"/>
          <w:sz w:val="24"/>
          <w:szCs w:val="24"/>
        </w:rPr>
        <w:t>的程度，这些措施是为了履行《公约》及其议定书规定的义务，</w:t>
      </w:r>
      <w:r w:rsidRPr="00B6047F">
        <w:rPr>
          <w:rFonts w:hint="eastAsia"/>
          <w:kern w:val="22"/>
          <w:sz w:val="24"/>
          <w:szCs w:val="24"/>
        </w:rPr>
        <w:t>[</w:t>
      </w:r>
      <w:r w:rsidRPr="00B6047F">
        <w:rPr>
          <w:rFonts w:hint="eastAsia"/>
          <w:kern w:val="22"/>
          <w:sz w:val="24"/>
          <w:szCs w:val="24"/>
        </w:rPr>
        <w:t>和</w:t>
      </w:r>
      <w:r w:rsidRPr="00B6047F">
        <w:rPr>
          <w:rFonts w:hint="eastAsia"/>
          <w:kern w:val="22"/>
          <w:sz w:val="24"/>
          <w:szCs w:val="24"/>
        </w:rPr>
        <w:t>/</w:t>
      </w:r>
      <w:r w:rsidRPr="00B6047F">
        <w:rPr>
          <w:rFonts w:hint="eastAsia"/>
          <w:kern w:val="22"/>
          <w:sz w:val="24"/>
          <w:szCs w:val="24"/>
        </w:rPr>
        <w:t>或</w:t>
      </w:r>
      <w:r w:rsidRPr="00B6047F">
        <w:rPr>
          <w:kern w:val="22"/>
          <w:sz w:val="24"/>
          <w:szCs w:val="24"/>
        </w:rPr>
        <w:t>]</w:t>
      </w:r>
      <w:r w:rsidRPr="00B6047F">
        <w:rPr>
          <w:rFonts w:hint="eastAsia"/>
          <w:kern w:val="22"/>
          <w:sz w:val="24"/>
          <w:szCs w:val="24"/>
        </w:rPr>
        <w:t>产生全球</w:t>
      </w:r>
      <w:r>
        <w:rPr>
          <w:rFonts w:hint="eastAsia"/>
          <w:kern w:val="22"/>
          <w:sz w:val="24"/>
          <w:szCs w:val="24"/>
        </w:rPr>
        <w:t>性</w:t>
      </w:r>
      <w:r w:rsidRPr="00B6047F">
        <w:rPr>
          <w:rFonts w:hint="eastAsia"/>
          <w:kern w:val="22"/>
          <w:sz w:val="24"/>
          <w:szCs w:val="24"/>
        </w:rPr>
        <w:t>环境惠益；</w:t>
      </w:r>
      <w:r w:rsidRPr="009F3697">
        <w:rPr>
          <w:rStyle w:val="FootnoteReference"/>
          <w:rFonts w:asciiTheme="majorBidi" w:hAnsiTheme="majorBidi" w:cstheme="majorBidi"/>
          <w:kern w:val="22"/>
          <w:szCs w:val="24"/>
        </w:rPr>
        <w:footnoteReference w:id="11"/>
      </w:r>
    </w:p>
    <w:p w14:paraId="5A3726DA" w14:textId="6AAF0363" w:rsidR="00D56FF7" w:rsidRPr="00175136" w:rsidRDefault="00D56FF7" w:rsidP="00D56FF7">
      <w:pPr>
        <w:pStyle w:val="Para1"/>
        <w:numPr>
          <w:ilvl w:val="1"/>
          <w:numId w:val="42"/>
        </w:numPr>
        <w:suppressLineNumbers/>
        <w:suppressAutoHyphens/>
        <w:adjustRightInd w:val="0"/>
        <w:snapToGrid w:val="0"/>
        <w:spacing w:line="240" w:lineRule="auto"/>
        <w:ind w:left="0" w:firstLine="720"/>
        <w:rPr>
          <w:rFonts w:asciiTheme="majorBidi" w:hAnsiTheme="majorBidi"/>
          <w:kern w:val="22"/>
          <w:sz w:val="24"/>
          <w:szCs w:val="20"/>
        </w:rPr>
      </w:pPr>
      <w:r w:rsidRPr="00175136">
        <w:rPr>
          <w:rFonts w:asciiTheme="majorBidi" w:hAnsiTheme="majorBidi" w:cstheme="majorBidi"/>
          <w:kern w:val="22"/>
          <w:sz w:val="24"/>
          <w:szCs w:val="24"/>
        </w:rPr>
        <w:t>[</w:t>
      </w:r>
      <w:r>
        <w:rPr>
          <w:rFonts w:ascii="SimSun" w:hAnsi="SimSun" w:cs="SimSun" w:hint="eastAsia"/>
          <w:kern w:val="22"/>
          <w:sz w:val="24"/>
          <w:szCs w:val="24"/>
        </w:rPr>
        <w:t>缔约方关于提供全环基金资金的[成果和</w:t>
      </w:r>
      <w:r>
        <w:rPr>
          <w:rFonts w:ascii="SimSun" w:hAnsi="SimSun" w:cs="SimSun"/>
          <w:kern w:val="22"/>
          <w:sz w:val="24"/>
          <w:szCs w:val="24"/>
        </w:rPr>
        <w:t>]</w:t>
      </w:r>
      <w:r>
        <w:rPr>
          <w:rFonts w:ascii="SimSun" w:hAnsi="SimSun" w:cs="SimSun" w:hint="eastAsia"/>
          <w:kern w:val="22"/>
          <w:sz w:val="24"/>
          <w:szCs w:val="24"/>
        </w:rPr>
        <w:t>绩效和条件的看法，包括获取模式的效力和效率以及使用这些模式所需要的职权和能力</w:t>
      </w:r>
      <w:r w:rsidRPr="00175136">
        <w:rPr>
          <w:rFonts w:asciiTheme="majorBidi" w:hAnsiTheme="majorBidi" w:cstheme="majorBidi"/>
          <w:kern w:val="22"/>
          <w:sz w:val="24"/>
          <w:szCs w:val="24"/>
        </w:rPr>
        <w:t>]</w:t>
      </w:r>
      <w:r>
        <w:rPr>
          <w:rFonts w:ascii="SimSun" w:hAnsi="SimSun" w:cs="SimSun" w:hint="eastAsia"/>
          <w:kern w:val="22"/>
          <w:sz w:val="24"/>
          <w:szCs w:val="24"/>
        </w:rPr>
        <w:t>；</w:t>
      </w:r>
    </w:p>
    <w:p w14:paraId="10DA5B48" w14:textId="77777777" w:rsidR="00D56FF7" w:rsidRPr="009F3697" w:rsidRDefault="00D56FF7" w:rsidP="00D56FF7">
      <w:pPr>
        <w:pStyle w:val="Para1"/>
        <w:numPr>
          <w:ilvl w:val="1"/>
          <w:numId w:val="42"/>
        </w:numPr>
        <w:suppressLineNumbers/>
        <w:suppressAutoHyphens/>
        <w:adjustRightInd w:val="0"/>
        <w:snapToGrid w:val="0"/>
        <w:spacing w:line="240" w:lineRule="auto"/>
        <w:ind w:left="0" w:firstLine="720"/>
        <w:rPr>
          <w:rFonts w:asciiTheme="majorBidi" w:hAnsiTheme="majorBidi"/>
          <w:kern w:val="22"/>
          <w:sz w:val="24"/>
          <w:szCs w:val="20"/>
        </w:rPr>
      </w:pPr>
      <w:r>
        <w:rPr>
          <w:rFonts w:ascii="SimSun" w:hAnsi="SimSun" w:cs="SimSun" w:hint="eastAsia"/>
          <w:kern w:val="22"/>
          <w:sz w:val="24"/>
          <w:szCs w:val="20"/>
        </w:rPr>
        <w:t>已从财务机制收到财政支助以实施全球生物多样性长期目标和行动目标（包括与《公约》的各项议定书的长期目标和行动目标）的受援国的百分比；</w:t>
      </w:r>
    </w:p>
    <w:p w14:paraId="23EC83B8" w14:textId="77777777" w:rsidR="00D56FF7" w:rsidRPr="009F3697" w:rsidRDefault="00D56FF7" w:rsidP="00D56FF7">
      <w:pPr>
        <w:pStyle w:val="Para1"/>
        <w:numPr>
          <w:ilvl w:val="0"/>
          <w:numId w:val="0"/>
        </w:numPr>
        <w:suppressLineNumbers/>
        <w:suppressAutoHyphens/>
        <w:adjustRightInd w:val="0"/>
        <w:snapToGrid w:val="0"/>
        <w:spacing w:before="0"/>
        <w:ind w:firstLine="720"/>
        <w:rPr>
          <w:rFonts w:asciiTheme="majorBidi" w:hAnsiTheme="majorBidi"/>
          <w:kern w:val="22"/>
          <w:sz w:val="24"/>
          <w:szCs w:val="20"/>
        </w:rPr>
      </w:pPr>
      <w:r w:rsidRPr="009F3697">
        <w:rPr>
          <w:rFonts w:asciiTheme="majorBidi" w:hAnsiTheme="majorBidi" w:cstheme="majorBidi"/>
          <w:kern w:val="22"/>
          <w:sz w:val="24"/>
          <w:szCs w:val="24"/>
        </w:rPr>
        <w:t>[(</w:t>
      </w:r>
      <w:r w:rsidRPr="009F3697">
        <w:rPr>
          <w:rFonts w:asciiTheme="majorBidi" w:hAnsiTheme="majorBidi"/>
          <w:kern w:val="22"/>
          <w:sz w:val="24"/>
          <w:szCs w:val="20"/>
        </w:rPr>
        <w:t>e)</w:t>
      </w:r>
      <w:r w:rsidRPr="009F3697">
        <w:rPr>
          <w:rFonts w:asciiTheme="majorBidi" w:hAnsiTheme="majorBidi"/>
          <w:kern w:val="22"/>
          <w:sz w:val="24"/>
          <w:szCs w:val="20"/>
        </w:rPr>
        <w:tab/>
      </w:r>
      <w:r>
        <w:rPr>
          <w:rFonts w:ascii="SimSun" w:hAnsi="SimSun" w:cs="SimSun" w:hint="eastAsia"/>
          <w:kern w:val="22"/>
          <w:sz w:val="24"/>
          <w:szCs w:val="20"/>
        </w:rPr>
        <w:t>受财务机制资助的全球生物多样性长期目标和行动目标的百分比；</w:t>
      </w:r>
      <w:r w:rsidRPr="009F3697">
        <w:rPr>
          <w:rFonts w:asciiTheme="majorBidi" w:hAnsiTheme="majorBidi" w:cstheme="majorBidi"/>
          <w:kern w:val="22"/>
          <w:sz w:val="24"/>
          <w:szCs w:val="24"/>
        </w:rPr>
        <w:t>]</w:t>
      </w:r>
    </w:p>
    <w:p w14:paraId="4385E3EA" w14:textId="77777777" w:rsidR="00D56FF7" w:rsidRPr="009F3697" w:rsidRDefault="00D56FF7" w:rsidP="00D56FF7">
      <w:pPr>
        <w:pStyle w:val="Para1"/>
        <w:numPr>
          <w:ilvl w:val="0"/>
          <w:numId w:val="0"/>
        </w:numPr>
        <w:suppressLineNumbers/>
        <w:suppressAutoHyphens/>
        <w:adjustRightInd w:val="0"/>
        <w:snapToGrid w:val="0"/>
        <w:spacing w:before="0"/>
        <w:ind w:firstLine="720"/>
        <w:rPr>
          <w:rFonts w:asciiTheme="majorBidi" w:hAnsiTheme="majorBidi"/>
          <w:kern w:val="22"/>
          <w:sz w:val="24"/>
          <w:szCs w:val="20"/>
        </w:rPr>
      </w:pPr>
      <w:r w:rsidRPr="009F3697">
        <w:rPr>
          <w:rFonts w:asciiTheme="majorBidi" w:hAnsiTheme="majorBidi" w:cstheme="majorBidi"/>
          <w:kern w:val="22"/>
          <w:sz w:val="24"/>
          <w:szCs w:val="24"/>
        </w:rPr>
        <w:t>[(</w:t>
      </w:r>
      <w:r w:rsidRPr="009F3697">
        <w:rPr>
          <w:rFonts w:asciiTheme="majorBidi" w:hAnsiTheme="majorBidi"/>
          <w:kern w:val="22"/>
          <w:sz w:val="24"/>
          <w:szCs w:val="20"/>
        </w:rPr>
        <w:t>f)</w:t>
      </w:r>
      <w:r w:rsidRPr="009F3697">
        <w:rPr>
          <w:rFonts w:asciiTheme="majorBidi" w:hAnsiTheme="majorBidi"/>
          <w:kern w:val="22"/>
          <w:sz w:val="24"/>
          <w:szCs w:val="20"/>
        </w:rPr>
        <w:tab/>
      </w:r>
      <w:r>
        <w:rPr>
          <w:rFonts w:ascii="SimSun" w:hAnsi="SimSun" w:cs="SimSun" w:hint="eastAsia"/>
          <w:kern w:val="22"/>
          <w:sz w:val="24"/>
          <w:szCs w:val="20"/>
        </w:rPr>
        <w:t>通过[国际生物多样性融资的</w:t>
      </w:r>
      <w:r>
        <w:rPr>
          <w:rFonts w:ascii="SimSun" w:hAnsi="SimSun" w:cs="SimSun"/>
          <w:kern w:val="22"/>
          <w:sz w:val="24"/>
          <w:szCs w:val="20"/>
        </w:rPr>
        <w:t>]</w:t>
      </w:r>
      <w:r>
        <w:rPr>
          <w:rFonts w:ascii="SimSun" w:hAnsi="SimSun" w:cs="SimSun" w:hint="eastAsia"/>
          <w:kern w:val="22"/>
          <w:sz w:val="24"/>
          <w:szCs w:val="20"/>
        </w:rPr>
        <w:t>财务机制的生物多样性资金的百分比；</w:t>
      </w:r>
      <w:r w:rsidRPr="009F3697">
        <w:rPr>
          <w:rFonts w:asciiTheme="majorBidi" w:hAnsiTheme="majorBidi" w:cstheme="majorBidi"/>
          <w:kern w:val="22"/>
          <w:sz w:val="24"/>
          <w:szCs w:val="24"/>
        </w:rPr>
        <w:t>]</w:t>
      </w:r>
    </w:p>
    <w:p w14:paraId="02855916" w14:textId="77777777" w:rsidR="00D56FF7" w:rsidRPr="009E187B" w:rsidRDefault="00D56FF7" w:rsidP="00D56FF7">
      <w:pPr>
        <w:pStyle w:val="Para1"/>
        <w:numPr>
          <w:ilvl w:val="0"/>
          <w:numId w:val="0"/>
        </w:numPr>
        <w:suppressLineNumbers/>
        <w:suppressAutoHyphens/>
        <w:adjustRightInd w:val="0"/>
        <w:snapToGrid w:val="0"/>
        <w:spacing w:before="0"/>
        <w:ind w:firstLine="720"/>
        <w:rPr>
          <w:rFonts w:ascii="SimSun" w:hAnsi="SimSun" w:cs="SimSun"/>
          <w:kern w:val="22"/>
          <w:sz w:val="24"/>
          <w:szCs w:val="20"/>
        </w:rPr>
      </w:pPr>
      <w:r w:rsidRPr="009F3697">
        <w:rPr>
          <w:rFonts w:asciiTheme="majorBidi" w:hAnsiTheme="majorBidi"/>
          <w:kern w:val="22"/>
          <w:sz w:val="24"/>
          <w:szCs w:val="20"/>
        </w:rPr>
        <w:lastRenderedPageBreak/>
        <w:t>(g)</w:t>
      </w:r>
      <w:r w:rsidRPr="009F3697">
        <w:rPr>
          <w:rFonts w:asciiTheme="majorBidi" w:hAnsiTheme="majorBidi" w:cstheme="majorBidi"/>
          <w:kern w:val="22"/>
          <w:sz w:val="24"/>
          <w:szCs w:val="24"/>
        </w:rPr>
        <w:t xml:space="preserve"> </w:t>
      </w:r>
      <w:r>
        <w:rPr>
          <w:rFonts w:asciiTheme="majorBidi" w:hAnsiTheme="majorBidi" w:cstheme="majorBidi"/>
          <w:kern w:val="22"/>
          <w:sz w:val="24"/>
          <w:szCs w:val="24"/>
        </w:rPr>
        <w:tab/>
      </w:r>
      <w:r>
        <w:rPr>
          <w:rFonts w:ascii="SimSun" w:hAnsi="SimSun" w:cs="SimSun" w:hint="eastAsia"/>
          <w:kern w:val="22"/>
          <w:sz w:val="24"/>
          <w:szCs w:val="20"/>
        </w:rPr>
        <w:t>财务机制批准的生物多样性领域中的共同融资[以及非赠款融资</w:t>
      </w:r>
      <w:r>
        <w:rPr>
          <w:rFonts w:ascii="SimSun" w:hAnsi="SimSun" w:cs="SimSun"/>
          <w:kern w:val="22"/>
          <w:sz w:val="24"/>
          <w:szCs w:val="20"/>
        </w:rPr>
        <w:t>]</w:t>
      </w:r>
      <w:r>
        <w:rPr>
          <w:rFonts w:ascii="SimSun" w:hAnsi="SimSun" w:cs="SimSun" w:hint="eastAsia"/>
          <w:kern w:val="22"/>
          <w:sz w:val="24"/>
          <w:szCs w:val="20"/>
        </w:rPr>
        <w:t>的趋势；</w:t>
      </w:r>
    </w:p>
    <w:p w14:paraId="50B742A2" w14:textId="1F2A9D80" w:rsidR="00D56FF7" w:rsidRPr="009F3697" w:rsidRDefault="00D56FF7" w:rsidP="00D56FF7">
      <w:pPr>
        <w:pStyle w:val="Para1"/>
        <w:numPr>
          <w:ilvl w:val="0"/>
          <w:numId w:val="0"/>
        </w:numPr>
        <w:suppressLineNumbers/>
        <w:suppressAutoHyphens/>
        <w:adjustRightInd w:val="0"/>
        <w:snapToGrid w:val="0"/>
        <w:spacing w:before="0"/>
        <w:ind w:firstLine="720"/>
        <w:rPr>
          <w:rFonts w:asciiTheme="majorBidi" w:hAnsiTheme="majorBidi"/>
          <w:kern w:val="22"/>
          <w:sz w:val="24"/>
          <w:szCs w:val="20"/>
        </w:rPr>
      </w:pPr>
      <w:r w:rsidRPr="009F3697">
        <w:rPr>
          <w:rFonts w:asciiTheme="majorBidi" w:hAnsiTheme="majorBidi" w:cstheme="majorBidi"/>
          <w:kern w:val="22"/>
          <w:sz w:val="24"/>
          <w:szCs w:val="24"/>
        </w:rPr>
        <w:t>[(</w:t>
      </w:r>
      <w:r w:rsidRPr="009F3697">
        <w:rPr>
          <w:rFonts w:asciiTheme="majorBidi" w:hAnsiTheme="majorBidi"/>
          <w:kern w:val="22"/>
          <w:sz w:val="24"/>
          <w:szCs w:val="20"/>
        </w:rPr>
        <w:t>h)</w:t>
      </w:r>
      <w:r w:rsidRPr="009F3697">
        <w:rPr>
          <w:rFonts w:asciiTheme="majorBidi" w:hAnsiTheme="majorBidi"/>
          <w:kern w:val="22"/>
          <w:sz w:val="24"/>
          <w:szCs w:val="20"/>
        </w:rPr>
        <w:tab/>
      </w:r>
      <w:r>
        <w:rPr>
          <w:rFonts w:ascii="SimSun" w:hAnsi="SimSun" w:cs="SimSun" w:hint="eastAsia"/>
          <w:kern w:val="22"/>
          <w:sz w:val="24"/>
          <w:szCs w:val="20"/>
        </w:rPr>
        <w:t>资助属于财务机制下的全球、区域和次区域生物多样性项目的趋势；</w:t>
      </w:r>
      <w:r w:rsidR="003209B9">
        <w:rPr>
          <w:rFonts w:ascii="SimSun" w:hAnsi="SimSun" w:cs="SimSun" w:hint="eastAsia"/>
          <w:kern w:val="22"/>
          <w:sz w:val="24"/>
          <w:szCs w:val="20"/>
        </w:rPr>
        <w:t>]</w:t>
      </w:r>
    </w:p>
    <w:p w14:paraId="2184300D" w14:textId="77777777" w:rsidR="00D56FF7" w:rsidRPr="009F3697" w:rsidRDefault="00D56FF7" w:rsidP="00D56FF7">
      <w:pPr>
        <w:pStyle w:val="Para1"/>
        <w:numPr>
          <w:ilvl w:val="0"/>
          <w:numId w:val="0"/>
        </w:numPr>
        <w:suppressLineNumbers/>
        <w:suppressAutoHyphens/>
        <w:adjustRightInd w:val="0"/>
        <w:snapToGrid w:val="0"/>
        <w:spacing w:before="0"/>
        <w:ind w:firstLine="720"/>
        <w:rPr>
          <w:rFonts w:asciiTheme="majorBidi" w:hAnsiTheme="majorBidi"/>
          <w:kern w:val="22"/>
          <w:sz w:val="24"/>
          <w:szCs w:val="20"/>
        </w:rPr>
      </w:pPr>
      <w:r w:rsidRPr="009F3697">
        <w:rPr>
          <w:rFonts w:asciiTheme="majorBidi" w:hAnsiTheme="majorBidi" w:cstheme="majorBidi"/>
          <w:kern w:val="22"/>
          <w:sz w:val="24"/>
          <w:szCs w:val="24"/>
        </w:rPr>
        <w:t>[(</w:t>
      </w:r>
      <w:r w:rsidRPr="009F3697">
        <w:rPr>
          <w:rFonts w:asciiTheme="majorBidi" w:hAnsiTheme="majorBidi"/>
          <w:kern w:val="22"/>
          <w:sz w:val="24"/>
          <w:szCs w:val="20"/>
        </w:rPr>
        <w:t>i)</w:t>
      </w:r>
      <w:r w:rsidRPr="009F3697">
        <w:rPr>
          <w:rFonts w:asciiTheme="majorBidi" w:hAnsiTheme="majorBidi"/>
          <w:kern w:val="22"/>
          <w:sz w:val="24"/>
          <w:szCs w:val="20"/>
        </w:rPr>
        <w:tab/>
      </w:r>
      <w:r>
        <w:rPr>
          <w:rFonts w:ascii="SimSun" w:hAnsi="SimSun" w:cs="SimSun" w:hint="eastAsia"/>
          <w:kern w:val="22"/>
          <w:sz w:val="24"/>
          <w:szCs w:val="20"/>
        </w:rPr>
        <w:t>项目</w:t>
      </w:r>
      <w:r w:rsidRPr="009F3697">
        <w:rPr>
          <w:rFonts w:asciiTheme="majorBidi" w:hAnsiTheme="majorBidi" w:cstheme="majorBidi"/>
          <w:kern w:val="22"/>
          <w:sz w:val="24"/>
          <w:szCs w:val="24"/>
        </w:rPr>
        <w:t>[/</w:t>
      </w:r>
      <w:r>
        <w:rPr>
          <w:rFonts w:ascii="SimSun" w:hAnsi="SimSun" w:cs="SimSun" w:hint="eastAsia"/>
          <w:kern w:val="22"/>
          <w:sz w:val="24"/>
          <w:szCs w:val="24"/>
        </w:rPr>
        <w:t>方案</w:t>
      </w:r>
      <w:r w:rsidRPr="009F3697">
        <w:rPr>
          <w:rFonts w:asciiTheme="majorBidi" w:hAnsiTheme="majorBidi" w:cstheme="majorBidi"/>
          <w:kern w:val="22"/>
          <w:sz w:val="24"/>
          <w:szCs w:val="24"/>
        </w:rPr>
        <w:t>]</w:t>
      </w:r>
      <w:r>
        <w:rPr>
          <w:rFonts w:ascii="SimSun" w:hAnsi="SimSun" w:cs="SimSun" w:hint="eastAsia"/>
          <w:kern w:val="22"/>
          <w:sz w:val="24"/>
          <w:szCs w:val="24"/>
        </w:rPr>
        <w:t>融资趋势，同时考虑到已指定由全环基金运行其财务机制的各公约之间的协同作用</w:t>
      </w:r>
      <w:r w:rsidRPr="009F3697">
        <w:rPr>
          <w:rFonts w:asciiTheme="majorBidi" w:hAnsiTheme="majorBidi"/>
          <w:kern w:val="22"/>
          <w:sz w:val="24"/>
          <w:szCs w:val="20"/>
        </w:rPr>
        <w:t xml:space="preserve"> </w:t>
      </w:r>
      <w:r>
        <w:rPr>
          <w:rFonts w:ascii="SimSun" w:hAnsi="SimSun" w:cs="SimSun" w:hint="eastAsia"/>
          <w:kern w:val="22"/>
          <w:sz w:val="24"/>
          <w:szCs w:val="20"/>
        </w:rPr>
        <w:t>；</w:t>
      </w:r>
      <w:r w:rsidRPr="009F3697">
        <w:rPr>
          <w:rFonts w:asciiTheme="majorBidi" w:hAnsiTheme="majorBidi" w:cstheme="majorBidi"/>
          <w:kern w:val="22"/>
          <w:sz w:val="24"/>
          <w:szCs w:val="24"/>
        </w:rPr>
        <w:t>]</w:t>
      </w:r>
    </w:p>
    <w:p w14:paraId="67341C1E" w14:textId="6D43EFA1" w:rsidR="00D56FF7" w:rsidRPr="004F5463" w:rsidRDefault="00D56FF7" w:rsidP="00D56FF7">
      <w:pPr>
        <w:pStyle w:val="Para1"/>
        <w:numPr>
          <w:ilvl w:val="0"/>
          <w:numId w:val="0"/>
        </w:numPr>
        <w:suppressLineNumbers/>
        <w:suppressAutoHyphens/>
        <w:adjustRightInd w:val="0"/>
        <w:snapToGrid w:val="0"/>
        <w:spacing w:before="0"/>
        <w:ind w:firstLine="720"/>
        <w:rPr>
          <w:rFonts w:ascii="SimSun" w:hAnsi="SimSun" w:cs="SimSun"/>
          <w:kern w:val="22"/>
          <w:sz w:val="24"/>
          <w:szCs w:val="20"/>
        </w:rPr>
      </w:pPr>
      <w:r w:rsidRPr="009F3697">
        <w:rPr>
          <w:rFonts w:asciiTheme="majorBidi" w:hAnsiTheme="majorBidi"/>
          <w:kern w:val="22"/>
          <w:sz w:val="24"/>
          <w:szCs w:val="20"/>
        </w:rPr>
        <w:t>(j)</w:t>
      </w:r>
      <w:r w:rsidRPr="009F3697">
        <w:rPr>
          <w:rFonts w:asciiTheme="majorBidi" w:hAnsiTheme="majorBidi"/>
          <w:kern w:val="22"/>
          <w:sz w:val="24"/>
          <w:szCs w:val="20"/>
        </w:rPr>
        <w:tab/>
      </w:r>
      <w:r w:rsidR="003209B9">
        <w:rPr>
          <w:rFonts w:asciiTheme="majorBidi" w:hAnsiTheme="majorBidi"/>
          <w:kern w:val="22"/>
          <w:sz w:val="24"/>
          <w:szCs w:val="20"/>
        </w:rPr>
        <w:tab/>
      </w:r>
      <w:r>
        <w:rPr>
          <w:rFonts w:ascii="SimSun" w:hAnsi="SimSun" w:cs="SimSun" w:hint="eastAsia"/>
          <w:kern w:val="22"/>
          <w:sz w:val="24"/>
          <w:szCs w:val="20"/>
        </w:rPr>
        <w:t>针对生物多样性相关公约和协定的项目融资趋势，同时考虑到它们</w:t>
      </w:r>
      <w:r w:rsidRPr="009F3697">
        <w:rPr>
          <w:rFonts w:asciiTheme="majorBidi" w:hAnsiTheme="majorBidi"/>
          <w:kern w:val="22"/>
          <w:sz w:val="24"/>
          <w:szCs w:val="20"/>
        </w:rPr>
        <w:t xml:space="preserve"> </w:t>
      </w:r>
      <w:r w:rsidRPr="009F3697">
        <w:rPr>
          <w:rFonts w:asciiTheme="majorBidi" w:hAnsiTheme="majorBidi" w:cstheme="majorBidi"/>
          <w:kern w:val="22"/>
          <w:sz w:val="24"/>
          <w:szCs w:val="24"/>
        </w:rPr>
        <w:t>[/</w:t>
      </w:r>
      <w:r>
        <w:rPr>
          <w:rFonts w:ascii="SimSun" w:hAnsi="SimSun" w:cs="SimSun" w:hint="eastAsia"/>
          <w:kern w:val="22"/>
          <w:sz w:val="24"/>
          <w:szCs w:val="24"/>
        </w:rPr>
        <w:t>全环基金和其他财务机制</w:t>
      </w:r>
      <w:r w:rsidRPr="009F3697">
        <w:rPr>
          <w:rFonts w:asciiTheme="majorBidi" w:hAnsiTheme="majorBidi" w:cstheme="majorBidi"/>
          <w:kern w:val="22"/>
          <w:sz w:val="24"/>
          <w:szCs w:val="24"/>
        </w:rPr>
        <w:t>]</w:t>
      </w:r>
      <w:r>
        <w:rPr>
          <w:rFonts w:ascii="SimSun" w:hAnsi="SimSun" w:cs="SimSun" w:hint="eastAsia"/>
          <w:kern w:val="22"/>
          <w:sz w:val="24"/>
          <w:szCs w:val="24"/>
        </w:rPr>
        <w:t>之间的协同作用；</w:t>
      </w:r>
    </w:p>
    <w:p w14:paraId="552789FB" w14:textId="712C92FF" w:rsidR="00D56FF7" w:rsidRPr="004F5463" w:rsidRDefault="00D56FF7" w:rsidP="00D56FF7">
      <w:pPr>
        <w:pStyle w:val="Para1"/>
        <w:numPr>
          <w:ilvl w:val="0"/>
          <w:numId w:val="0"/>
        </w:numPr>
        <w:suppressLineNumbers/>
        <w:suppressAutoHyphens/>
        <w:adjustRightInd w:val="0"/>
        <w:snapToGrid w:val="0"/>
        <w:spacing w:before="0"/>
        <w:ind w:firstLine="720"/>
        <w:rPr>
          <w:rFonts w:ascii="SimSun" w:hAnsi="SimSun" w:cs="SimSun"/>
          <w:kern w:val="22"/>
          <w:sz w:val="24"/>
          <w:szCs w:val="20"/>
        </w:rPr>
      </w:pPr>
      <w:r w:rsidRPr="009F3697">
        <w:rPr>
          <w:rFonts w:asciiTheme="majorBidi" w:hAnsiTheme="majorBidi"/>
          <w:kern w:val="22"/>
          <w:sz w:val="24"/>
          <w:szCs w:val="20"/>
        </w:rPr>
        <w:t>(k)</w:t>
      </w:r>
      <w:r w:rsidRPr="009F3697">
        <w:rPr>
          <w:rFonts w:asciiTheme="majorBidi" w:hAnsiTheme="majorBidi"/>
          <w:kern w:val="22"/>
          <w:sz w:val="24"/>
          <w:szCs w:val="20"/>
        </w:rPr>
        <w:tab/>
      </w:r>
      <w:r w:rsidRPr="004F5463">
        <w:rPr>
          <w:rFonts w:ascii="SimSun" w:hAnsi="SimSun" w:cs="SimSun"/>
          <w:kern w:val="22"/>
          <w:sz w:val="24"/>
        </w:rPr>
        <w:t>项目制定和资源支付时限的趋势</w:t>
      </w:r>
      <w:r>
        <w:rPr>
          <w:rFonts w:ascii="SimSun" w:hAnsi="SimSun" w:cs="SimSun" w:hint="eastAsia"/>
          <w:kern w:val="22"/>
          <w:sz w:val="24"/>
        </w:rPr>
        <w:t>，</w:t>
      </w:r>
      <w:r w:rsidRPr="009F3697">
        <w:rPr>
          <w:rFonts w:asciiTheme="majorBidi" w:hAnsiTheme="majorBidi" w:cstheme="majorBidi"/>
          <w:kern w:val="22"/>
          <w:sz w:val="24"/>
          <w:szCs w:val="24"/>
        </w:rPr>
        <w:t>[</w:t>
      </w:r>
      <w:r>
        <w:rPr>
          <w:rFonts w:ascii="SimSun" w:hAnsi="SimSun" w:cs="SimSun" w:hint="eastAsia"/>
          <w:kern w:val="22"/>
          <w:sz w:val="24"/>
          <w:szCs w:val="24"/>
        </w:rPr>
        <w:t>包括概念说明到第一次支付的时间</w:t>
      </w:r>
      <w:r w:rsidRPr="009F3697">
        <w:rPr>
          <w:rFonts w:asciiTheme="majorBidi" w:hAnsiTheme="majorBidi" w:cstheme="majorBidi"/>
          <w:kern w:val="22"/>
          <w:sz w:val="24"/>
          <w:szCs w:val="24"/>
        </w:rPr>
        <w:t>]</w:t>
      </w:r>
      <w:r>
        <w:rPr>
          <w:rFonts w:ascii="SimSun" w:hAnsi="SimSun" w:cs="SimSun" w:hint="eastAsia"/>
          <w:kern w:val="22"/>
          <w:sz w:val="24"/>
          <w:szCs w:val="24"/>
        </w:rPr>
        <w:t>；</w:t>
      </w:r>
    </w:p>
    <w:p w14:paraId="68E54F47" w14:textId="624CECCC" w:rsidR="00D56FF7" w:rsidRPr="009F3697" w:rsidRDefault="00D56FF7" w:rsidP="00D56FF7">
      <w:pPr>
        <w:pStyle w:val="Para1"/>
        <w:numPr>
          <w:ilvl w:val="0"/>
          <w:numId w:val="0"/>
        </w:numPr>
        <w:suppressLineNumbers/>
        <w:suppressAutoHyphens/>
        <w:adjustRightInd w:val="0"/>
        <w:snapToGrid w:val="0"/>
        <w:spacing w:before="0"/>
        <w:ind w:firstLine="720"/>
        <w:rPr>
          <w:rFonts w:asciiTheme="majorBidi" w:hAnsiTheme="majorBidi" w:cstheme="majorBidi"/>
          <w:kern w:val="22"/>
          <w:sz w:val="24"/>
          <w:szCs w:val="24"/>
        </w:rPr>
      </w:pPr>
      <w:r w:rsidRPr="009F3697">
        <w:rPr>
          <w:rFonts w:asciiTheme="majorBidi" w:hAnsiTheme="majorBidi" w:cstheme="majorBidi"/>
          <w:kern w:val="22"/>
          <w:sz w:val="24"/>
          <w:szCs w:val="24"/>
        </w:rPr>
        <w:t>(l)</w:t>
      </w:r>
      <w:r w:rsidR="003209B9">
        <w:rPr>
          <w:rFonts w:asciiTheme="majorBidi" w:hAnsiTheme="majorBidi" w:cstheme="majorBidi"/>
          <w:kern w:val="22"/>
          <w:sz w:val="24"/>
          <w:szCs w:val="24"/>
        </w:rPr>
        <w:tab/>
      </w:r>
      <w:r w:rsidRPr="009F3697">
        <w:rPr>
          <w:rFonts w:asciiTheme="majorBidi" w:hAnsiTheme="majorBidi" w:cstheme="majorBidi"/>
          <w:kern w:val="22"/>
          <w:sz w:val="24"/>
          <w:szCs w:val="24"/>
        </w:rPr>
        <w:tab/>
      </w:r>
      <w:r>
        <w:rPr>
          <w:rFonts w:ascii="SimSun" w:hAnsi="SimSun" w:cs="SimSun" w:hint="eastAsia"/>
          <w:kern w:val="22"/>
          <w:sz w:val="24"/>
          <w:szCs w:val="24"/>
        </w:rPr>
        <w:t>针对[对于]土著人民和地方社区、妇女和青年[具有积极影响的</w:t>
      </w:r>
      <w:r>
        <w:rPr>
          <w:rFonts w:ascii="SimSun" w:hAnsi="SimSun" w:cs="SimSun"/>
          <w:kern w:val="22"/>
          <w:sz w:val="24"/>
          <w:szCs w:val="24"/>
        </w:rPr>
        <w:t>]</w:t>
      </w:r>
      <w:r>
        <w:rPr>
          <w:rFonts w:ascii="SimSun" w:hAnsi="SimSun" w:cs="SimSun" w:hint="eastAsia"/>
          <w:kern w:val="22"/>
          <w:sz w:val="24"/>
          <w:szCs w:val="24"/>
        </w:rPr>
        <w:t>项目融资的趋势；</w:t>
      </w:r>
    </w:p>
    <w:p w14:paraId="401F429D" w14:textId="6470297C" w:rsidR="00D56FF7" w:rsidRDefault="00D56FF7" w:rsidP="00D56FF7">
      <w:pPr>
        <w:pStyle w:val="Para1"/>
        <w:numPr>
          <w:ilvl w:val="0"/>
          <w:numId w:val="0"/>
        </w:numPr>
        <w:suppressLineNumbers/>
        <w:suppressAutoHyphens/>
        <w:adjustRightInd w:val="0"/>
        <w:snapToGrid w:val="0"/>
        <w:spacing w:before="0"/>
        <w:ind w:firstLine="720"/>
        <w:rPr>
          <w:rFonts w:asciiTheme="majorBidi" w:hAnsiTheme="majorBidi" w:cstheme="majorBidi"/>
          <w:kern w:val="22"/>
          <w:sz w:val="24"/>
          <w:szCs w:val="24"/>
        </w:rPr>
      </w:pPr>
      <w:r w:rsidRPr="009F3697">
        <w:rPr>
          <w:rFonts w:asciiTheme="majorBidi" w:hAnsiTheme="majorBidi" w:cstheme="majorBidi"/>
          <w:kern w:val="22"/>
          <w:sz w:val="24"/>
          <w:szCs w:val="24"/>
        </w:rPr>
        <w:t>(m)</w:t>
      </w:r>
      <w:r w:rsidRPr="009F3697">
        <w:rPr>
          <w:rFonts w:asciiTheme="majorBidi" w:hAnsiTheme="majorBidi" w:cstheme="majorBidi"/>
          <w:kern w:val="22"/>
          <w:sz w:val="24"/>
          <w:szCs w:val="24"/>
        </w:rPr>
        <w:tab/>
        <w:t>[</w:t>
      </w:r>
      <w:r>
        <w:rPr>
          <w:rFonts w:ascii="SimSun" w:hAnsi="SimSun" w:cs="SimSun" w:hint="eastAsia"/>
          <w:kern w:val="22"/>
          <w:sz w:val="24"/>
          <w:szCs w:val="24"/>
        </w:rPr>
        <w:t>提高认识以及让缔约方和利益攸关方能够获得全环基金融资的能力建设活动数量的趋势</w:t>
      </w:r>
      <w:r w:rsidRPr="009F3697">
        <w:rPr>
          <w:rFonts w:asciiTheme="majorBidi" w:hAnsiTheme="majorBidi" w:cstheme="majorBidi"/>
          <w:kern w:val="22"/>
          <w:sz w:val="24"/>
          <w:szCs w:val="24"/>
        </w:rPr>
        <w:t>]</w:t>
      </w:r>
      <w:r>
        <w:rPr>
          <w:rFonts w:ascii="SimSun" w:hAnsi="SimSun" w:cs="SimSun" w:hint="eastAsia"/>
          <w:kern w:val="22"/>
          <w:sz w:val="24"/>
          <w:szCs w:val="24"/>
        </w:rPr>
        <w:t>，</w:t>
      </w:r>
      <w:r w:rsidRPr="009F3697">
        <w:rPr>
          <w:rFonts w:asciiTheme="majorBidi" w:hAnsiTheme="majorBidi" w:cstheme="majorBidi"/>
          <w:kern w:val="22"/>
          <w:sz w:val="24"/>
          <w:szCs w:val="24"/>
        </w:rPr>
        <w:t>[</w:t>
      </w:r>
      <w:r>
        <w:rPr>
          <w:rFonts w:ascii="SimSun" w:hAnsi="SimSun" w:cs="SimSun" w:hint="eastAsia"/>
          <w:kern w:val="22"/>
          <w:sz w:val="24"/>
          <w:szCs w:val="24"/>
        </w:rPr>
        <w:t>包括</w:t>
      </w:r>
      <w:r w:rsidRPr="00D84760">
        <w:rPr>
          <w:rFonts w:ascii="SimSun" w:hAnsi="SimSun" w:cs="SimSun"/>
          <w:kern w:val="22"/>
          <w:sz w:val="24"/>
          <w:szCs w:val="24"/>
        </w:rPr>
        <w:t>为《公约》及其议定书</w:t>
      </w:r>
      <w:r>
        <w:rPr>
          <w:rFonts w:ascii="SimSun" w:hAnsi="SimSun" w:cs="SimSun" w:hint="eastAsia"/>
          <w:kern w:val="22"/>
          <w:sz w:val="24"/>
          <w:szCs w:val="24"/>
        </w:rPr>
        <w:t>的</w:t>
      </w:r>
      <w:r w:rsidRPr="00D84760">
        <w:rPr>
          <w:rFonts w:ascii="SimSun" w:hAnsi="SimSun" w:cs="SimSun"/>
          <w:kern w:val="22"/>
          <w:sz w:val="24"/>
          <w:szCs w:val="24"/>
        </w:rPr>
        <w:t>缔约方和利益攸关方组织的关于财务机制的宣传活动；</w:t>
      </w:r>
      <w:r w:rsidRPr="009F3697">
        <w:rPr>
          <w:rFonts w:asciiTheme="majorBidi" w:hAnsiTheme="majorBidi" w:cstheme="majorBidi"/>
          <w:kern w:val="22"/>
          <w:sz w:val="24"/>
          <w:szCs w:val="24"/>
        </w:rPr>
        <w:t>]</w:t>
      </w:r>
    </w:p>
    <w:p w14:paraId="0A4B697D" w14:textId="77777777" w:rsidR="00D56FF7" w:rsidRDefault="00D56FF7" w:rsidP="00D56FF7">
      <w:pPr>
        <w:pStyle w:val="Para1"/>
        <w:numPr>
          <w:ilvl w:val="0"/>
          <w:numId w:val="0"/>
        </w:numPr>
        <w:suppressLineNumbers/>
        <w:suppressAutoHyphens/>
        <w:adjustRightInd w:val="0"/>
        <w:snapToGrid w:val="0"/>
        <w:spacing w:before="0"/>
        <w:ind w:firstLine="720"/>
        <w:rPr>
          <w:rFonts w:asciiTheme="majorBidi" w:hAnsiTheme="majorBidi" w:cstheme="majorBidi"/>
          <w:kern w:val="22"/>
          <w:sz w:val="24"/>
          <w:szCs w:val="24"/>
        </w:rPr>
      </w:pPr>
      <w:r w:rsidRPr="009F3697">
        <w:rPr>
          <w:rFonts w:asciiTheme="majorBidi" w:hAnsiTheme="majorBidi" w:cstheme="majorBidi"/>
          <w:kern w:val="22"/>
          <w:sz w:val="24"/>
          <w:szCs w:val="24"/>
        </w:rPr>
        <w:t>(n)</w:t>
      </w:r>
      <w:r w:rsidRPr="009F3697">
        <w:rPr>
          <w:rFonts w:asciiTheme="majorBidi" w:hAnsiTheme="majorBidi" w:cstheme="majorBidi"/>
          <w:kern w:val="22"/>
          <w:sz w:val="24"/>
          <w:szCs w:val="24"/>
        </w:rPr>
        <w:tab/>
        <w:t>[</w:t>
      </w:r>
      <w:r>
        <w:rPr>
          <w:rFonts w:ascii="SimSun" w:hAnsi="SimSun" w:cs="SimSun" w:hint="eastAsia"/>
          <w:kern w:val="22"/>
          <w:sz w:val="24"/>
          <w:szCs w:val="24"/>
        </w:rPr>
        <w:t>导致高持续性或持久性比率的项目融资的趋势，以及通过全环基金所资助生物多样性方案编制实现的成果相较于全环基金通过其方案编制所规划的预期成果的趋势；</w:t>
      </w:r>
      <w:r w:rsidRPr="009F3697">
        <w:rPr>
          <w:rFonts w:asciiTheme="majorBidi" w:hAnsiTheme="majorBidi" w:cstheme="majorBidi"/>
          <w:kern w:val="22"/>
          <w:sz w:val="24"/>
          <w:szCs w:val="24"/>
        </w:rPr>
        <w:t>]</w:t>
      </w:r>
    </w:p>
    <w:p w14:paraId="0A1A9BD5" w14:textId="77777777" w:rsidR="00D56FF7" w:rsidRPr="009F3697" w:rsidRDefault="00D56FF7" w:rsidP="00D56FF7">
      <w:pPr>
        <w:pStyle w:val="Para1"/>
        <w:keepNext/>
        <w:numPr>
          <w:ilvl w:val="0"/>
          <w:numId w:val="0"/>
        </w:numPr>
        <w:suppressLineNumbers/>
        <w:suppressAutoHyphens/>
        <w:adjustRightInd w:val="0"/>
        <w:snapToGrid w:val="0"/>
        <w:rPr>
          <w:rFonts w:asciiTheme="majorBidi" w:hAnsiTheme="majorBidi"/>
          <w:kern w:val="22"/>
          <w:sz w:val="24"/>
          <w:szCs w:val="20"/>
        </w:rPr>
      </w:pPr>
      <w:r>
        <w:rPr>
          <w:rFonts w:ascii="SimSun" w:hAnsi="SimSun" w:cs="SimSun" w:hint="eastAsia"/>
          <w:b/>
          <w:kern w:val="22"/>
          <w:sz w:val="24"/>
          <w:szCs w:val="20"/>
        </w:rPr>
        <w:t>执行程序</w:t>
      </w:r>
    </w:p>
    <w:p w14:paraId="39D8EF6E" w14:textId="77777777" w:rsidR="00D56FF7" w:rsidRPr="00F53ABA" w:rsidRDefault="00D56FF7" w:rsidP="00D56FF7">
      <w:pPr>
        <w:pStyle w:val="Para1"/>
        <w:numPr>
          <w:ilvl w:val="0"/>
          <w:numId w:val="42"/>
        </w:numPr>
        <w:suppressLineNumbers/>
        <w:suppressAutoHyphens/>
        <w:adjustRightInd w:val="0"/>
        <w:snapToGrid w:val="0"/>
        <w:spacing w:line="240" w:lineRule="auto"/>
        <w:ind w:left="0" w:firstLine="0"/>
        <w:rPr>
          <w:rFonts w:ascii="SimSun" w:hAnsi="SimSun" w:cs="SimSun"/>
          <w:kern w:val="22"/>
          <w:sz w:val="24"/>
          <w:szCs w:val="20"/>
        </w:rPr>
      </w:pPr>
      <w:r>
        <w:rPr>
          <w:rFonts w:ascii="SimSun" w:hAnsi="SimSun" w:cs="SimSun" w:hint="eastAsia"/>
          <w:kern w:val="22"/>
          <w:sz w:val="24"/>
          <w:szCs w:val="20"/>
        </w:rPr>
        <w:t>根据缔约方的授权，并与缔约方大会主席团协商，执行秘书将</w:t>
      </w:r>
      <w:r w:rsidRPr="009F3697">
        <w:rPr>
          <w:rFonts w:asciiTheme="majorBidi" w:hAnsiTheme="majorBidi" w:cstheme="majorBidi"/>
          <w:kern w:val="22"/>
          <w:sz w:val="24"/>
          <w:szCs w:val="24"/>
        </w:rPr>
        <w:t>[</w:t>
      </w:r>
      <w:r>
        <w:rPr>
          <w:rFonts w:ascii="SimSun" w:hAnsi="SimSun" w:cs="SimSun" w:hint="eastAsia"/>
          <w:kern w:val="22"/>
          <w:sz w:val="24"/>
          <w:szCs w:val="24"/>
        </w:rPr>
        <w:t>在资源允许的情况下，</w:t>
      </w:r>
      <w:r w:rsidRPr="009F3697">
        <w:rPr>
          <w:rFonts w:asciiTheme="majorBidi" w:hAnsiTheme="majorBidi" w:cstheme="majorBidi"/>
          <w:kern w:val="22"/>
          <w:sz w:val="24"/>
          <w:szCs w:val="24"/>
        </w:rPr>
        <w:t>]</w:t>
      </w:r>
      <w:r w:rsidRPr="009F3697">
        <w:rPr>
          <w:rFonts w:asciiTheme="majorBidi" w:hAnsiTheme="majorBidi"/>
          <w:kern w:val="22"/>
          <w:sz w:val="24"/>
          <w:szCs w:val="20"/>
        </w:rPr>
        <w:t xml:space="preserve"> </w:t>
      </w:r>
      <w:r w:rsidRPr="00F53ABA">
        <w:rPr>
          <w:rFonts w:ascii="SimSun" w:hAnsi="SimSun" w:cs="SimSun" w:hint="eastAsia"/>
          <w:kern w:val="22"/>
          <w:sz w:val="24"/>
          <w:szCs w:val="20"/>
        </w:rPr>
        <w:t>聘请一名经验丰富的独立评价人员</w:t>
      </w:r>
      <w:r>
        <w:rPr>
          <w:rFonts w:ascii="SimSun" w:hAnsi="SimSun" w:cs="SimSun" w:hint="eastAsia"/>
          <w:kern w:val="22"/>
          <w:sz w:val="24"/>
          <w:szCs w:val="20"/>
        </w:rPr>
        <w:t>，</w:t>
      </w:r>
      <w:r w:rsidRPr="00F53ABA">
        <w:rPr>
          <w:rFonts w:ascii="SimSun" w:hAnsi="SimSun" w:cs="SimSun" w:hint="eastAsia"/>
          <w:kern w:val="22"/>
          <w:sz w:val="24"/>
          <w:szCs w:val="20"/>
        </w:rPr>
        <w:t>根据上述目标、方法和标准进行审查。</w:t>
      </w:r>
    </w:p>
    <w:p w14:paraId="52661984" w14:textId="77777777" w:rsidR="00D56FF7" w:rsidRPr="00F53ABA" w:rsidRDefault="00D56FF7" w:rsidP="00D56FF7">
      <w:pPr>
        <w:pStyle w:val="Para1"/>
        <w:numPr>
          <w:ilvl w:val="0"/>
          <w:numId w:val="42"/>
        </w:numPr>
        <w:suppressLineNumbers/>
        <w:suppressAutoHyphens/>
        <w:adjustRightInd w:val="0"/>
        <w:snapToGrid w:val="0"/>
        <w:spacing w:line="240" w:lineRule="auto"/>
        <w:ind w:left="0" w:firstLine="0"/>
        <w:rPr>
          <w:rFonts w:asciiTheme="majorBidi" w:hAnsiTheme="majorBidi"/>
          <w:kern w:val="22"/>
          <w:sz w:val="24"/>
          <w:szCs w:val="28"/>
        </w:rPr>
      </w:pPr>
      <w:r w:rsidRPr="00F53ABA">
        <w:rPr>
          <w:rFonts w:ascii="SimSun" w:hAnsi="SimSun" w:cs="SimSun" w:hint="eastAsia"/>
          <w:kern w:val="22"/>
          <w:sz w:val="24"/>
          <w:szCs w:val="28"/>
        </w:rPr>
        <w:t>评价人员将根据需要进行案头研究、问卷调查、访谈和实地访问，必要时将与全环基金及其独立评价办公室合作以开展审查工作，并对收到的信息进行汇编和综合。</w:t>
      </w:r>
    </w:p>
    <w:p w14:paraId="31EDAC87" w14:textId="77777777" w:rsidR="00D56FF7" w:rsidRPr="00F53ABA" w:rsidRDefault="00D56FF7" w:rsidP="00D56FF7">
      <w:pPr>
        <w:pStyle w:val="Para1"/>
        <w:numPr>
          <w:ilvl w:val="0"/>
          <w:numId w:val="42"/>
        </w:numPr>
        <w:suppressLineNumbers/>
        <w:suppressAutoHyphens/>
        <w:adjustRightInd w:val="0"/>
        <w:snapToGrid w:val="0"/>
        <w:spacing w:line="240" w:lineRule="auto"/>
        <w:ind w:left="0" w:firstLine="0"/>
        <w:rPr>
          <w:kern w:val="22"/>
          <w:sz w:val="24"/>
          <w:szCs w:val="20"/>
        </w:rPr>
      </w:pPr>
      <w:r w:rsidRPr="00F53ABA">
        <w:rPr>
          <w:kern w:val="22"/>
          <w:sz w:val="24"/>
          <w:szCs w:val="20"/>
        </w:rPr>
        <w:t>评价人员的综合报告草案和建议将提交全环基金审查和评论。此类评论</w:t>
      </w:r>
      <w:r>
        <w:rPr>
          <w:rFonts w:hint="eastAsia"/>
          <w:kern w:val="22"/>
          <w:sz w:val="24"/>
          <w:szCs w:val="20"/>
        </w:rPr>
        <w:t>将</w:t>
      </w:r>
      <w:r w:rsidRPr="00F53ABA">
        <w:rPr>
          <w:kern w:val="22"/>
          <w:sz w:val="24"/>
          <w:szCs w:val="20"/>
        </w:rPr>
        <w:t>列入文件中并按来源来确定。</w:t>
      </w:r>
    </w:p>
    <w:p w14:paraId="06008D24" w14:textId="77777777" w:rsidR="00D56FF7" w:rsidRPr="00F53ABA" w:rsidRDefault="00D56FF7" w:rsidP="00D56FF7">
      <w:pPr>
        <w:pStyle w:val="Para1"/>
        <w:numPr>
          <w:ilvl w:val="0"/>
          <w:numId w:val="42"/>
        </w:numPr>
        <w:suppressLineNumbers/>
        <w:suppressAutoHyphens/>
        <w:adjustRightInd w:val="0"/>
        <w:snapToGrid w:val="0"/>
        <w:spacing w:line="240" w:lineRule="auto"/>
        <w:ind w:left="0" w:firstLine="0"/>
        <w:rPr>
          <w:kern w:val="22"/>
          <w:sz w:val="24"/>
          <w:szCs w:val="20"/>
        </w:rPr>
      </w:pPr>
      <w:r w:rsidRPr="00F53ABA">
        <w:rPr>
          <w:kern w:val="22"/>
          <w:sz w:val="24"/>
          <w:szCs w:val="20"/>
        </w:rPr>
        <w:t>执行秘书</w:t>
      </w:r>
      <w:r>
        <w:rPr>
          <w:rFonts w:hint="eastAsia"/>
          <w:kern w:val="22"/>
          <w:sz w:val="24"/>
          <w:szCs w:val="20"/>
        </w:rPr>
        <w:t>将</w:t>
      </w:r>
      <w:r w:rsidRPr="00F53ABA">
        <w:rPr>
          <w:kern w:val="22"/>
          <w:sz w:val="24"/>
          <w:szCs w:val="20"/>
        </w:rPr>
        <w:t>根据独立评价人员的综合报告和建议，</w:t>
      </w:r>
      <w:r>
        <w:rPr>
          <w:rFonts w:hint="eastAsia"/>
          <w:kern w:val="22"/>
          <w:sz w:val="24"/>
          <w:szCs w:val="20"/>
        </w:rPr>
        <w:t>经与</w:t>
      </w:r>
      <w:r w:rsidRPr="00F53ABA">
        <w:rPr>
          <w:kern w:val="22"/>
          <w:sz w:val="24"/>
          <w:szCs w:val="20"/>
        </w:rPr>
        <w:t>全环基金协商，</w:t>
      </w:r>
      <w:r>
        <w:rPr>
          <w:rFonts w:hint="eastAsia"/>
          <w:kern w:val="22"/>
          <w:sz w:val="24"/>
          <w:szCs w:val="20"/>
        </w:rPr>
        <w:t>编制</w:t>
      </w:r>
      <w:r w:rsidRPr="00F53ABA">
        <w:rPr>
          <w:kern w:val="22"/>
          <w:sz w:val="24"/>
          <w:szCs w:val="20"/>
        </w:rPr>
        <w:t>一份关于财务机制第六次审查的决定草案，包括必要时提高该机制成效的具体行动建议，供执行问题附属机构第四次会议审议，以便向缔约方大会第十六届会议提出建议。</w:t>
      </w:r>
    </w:p>
    <w:p w14:paraId="5E33463D" w14:textId="77777777" w:rsidR="00D56FF7" w:rsidRPr="00A313DF" w:rsidRDefault="00D56FF7" w:rsidP="00D56FF7">
      <w:pPr>
        <w:pStyle w:val="Para1"/>
        <w:numPr>
          <w:ilvl w:val="0"/>
          <w:numId w:val="42"/>
        </w:numPr>
        <w:suppressLineNumbers/>
        <w:suppressAutoHyphens/>
        <w:adjustRightInd w:val="0"/>
        <w:snapToGrid w:val="0"/>
        <w:spacing w:line="240" w:lineRule="auto"/>
        <w:ind w:left="0" w:firstLine="0"/>
        <w:rPr>
          <w:kern w:val="22"/>
          <w:sz w:val="24"/>
          <w:szCs w:val="20"/>
        </w:rPr>
      </w:pPr>
      <w:r w:rsidRPr="00A313DF">
        <w:rPr>
          <w:kern w:val="22"/>
          <w:sz w:val="24"/>
          <w:szCs w:val="20"/>
        </w:rPr>
        <w:t>执行秘书</w:t>
      </w:r>
      <w:r w:rsidRPr="00A313DF">
        <w:rPr>
          <w:rFonts w:hint="eastAsia"/>
          <w:kern w:val="22"/>
          <w:sz w:val="24"/>
          <w:szCs w:val="20"/>
        </w:rPr>
        <w:t>将</w:t>
      </w:r>
      <w:r w:rsidRPr="00A313DF">
        <w:rPr>
          <w:kern w:val="22"/>
          <w:sz w:val="24"/>
          <w:szCs w:val="20"/>
        </w:rPr>
        <w:t>至迟在</w:t>
      </w:r>
      <w:r w:rsidRPr="00A313DF">
        <w:rPr>
          <w:rFonts w:hint="eastAsia"/>
          <w:kern w:val="22"/>
          <w:sz w:val="24"/>
          <w:szCs w:val="20"/>
        </w:rPr>
        <w:t>执行问题附属机构第四次会议之前三个月</w:t>
      </w:r>
      <w:r w:rsidRPr="00A313DF">
        <w:rPr>
          <w:kern w:val="22"/>
          <w:sz w:val="24"/>
          <w:szCs w:val="20"/>
        </w:rPr>
        <w:t>向缔约方提交所有相关文件</w:t>
      </w:r>
      <w:r w:rsidRPr="00A313DF">
        <w:rPr>
          <w:rFonts w:hint="eastAsia"/>
          <w:kern w:val="22"/>
          <w:sz w:val="24"/>
          <w:szCs w:val="20"/>
        </w:rPr>
        <w:t>，以供缔约方大会第十六届会议审议</w:t>
      </w:r>
      <w:r w:rsidRPr="00A313DF">
        <w:rPr>
          <w:kern w:val="22"/>
          <w:sz w:val="24"/>
          <w:szCs w:val="20"/>
        </w:rPr>
        <w:t>。</w:t>
      </w:r>
    </w:p>
    <w:p w14:paraId="652D1E92" w14:textId="5744EE92" w:rsidR="00E814DA" w:rsidRPr="001D3211" w:rsidRDefault="00E814DA" w:rsidP="00E814DA">
      <w:pPr>
        <w:spacing w:before="120"/>
        <w:jc w:val="center"/>
        <w:rPr>
          <w:rFonts w:ascii="SimSun" w:hAnsi="SimSun"/>
          <w:kern w:val="22"/>
        </w:rPr>
      </w:pPr>
      <w:r w:rsidRPr="008E33A9">
        <w:rPr>
          <w:rFonts w:ascii="SimSun" w:hAnsi="SimSun"/>
          <w:bCs/>
          <w:snapToGrid w:val="0"/>
          <w:kern w:val="22"/>
          <w:szCs w:val="22"/>
        </w:rPr>
        <w:t>__________</w:t>
      </w:r>
    </w:p>
    <w:p w14:paraId="0EFAA9DF" w14:textId="77777777" w:rsidR="00E814DA" w:rsidRPr="00556021" w:rsidRDefault="00E814DA" w:rsidP="00E814DA">
      <w:pPr>
        <w:keepNext/>
        <w:spacing w:before="240"/>
        <w:jc w:val="center"/>
        <w:outlineLvl w:val="2"/>
        <w:rPr>
          <w:rFonts w:ascii="SimSun" w:hAnsi="SimSun"/>
          <w:kern w:val="22"/>
        </w:rPr>
      </w:pPr>
    </w:p>
    <w:sectPr w:rsidR="00E814DA" w:rsidRPr="00556021" w:rsidSect="002A520B">
      <w:headerReference w:type="even" r:id="rId9"/>
      <w:headerReference w:type="default" r:id="rId10"/>
      <w:pgSz w:w="12240" w:h="15840" w:code="1"/>
      <w:pgMar w:top="567" w:right="1440" w:bottom="1140" w:left="1440"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93ACE" w14:textId="77777777" w:rsidR="00AA2F16" w:rsidRDefault="00AA2F16">
      <w:r>
        <w:separator/>
      </w:r>
    </w:p>
  </w:endnote>
  <w:endnote w:type="continuationSeparator" w:id="0">
    <w:p w14:paraId="6450BB12" w14:textId="77777777" w:rsidR="00AA2F16" w:rsidRDefault="00AA2F16">
      <w:r>
        <w:continuationSeparator/>
      </w:r>
    </w:p>
  </w:endnote>
  <w:endnote w:type="continuationNotice" w:id="1">
    <w:p w14:paraId="22B895DE" w14:textId="77777777" w:rsidR="00AA2F16" w:rsidRDefault="00AA2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072F" w14:textId="77777777" w:rsidR="00AA2F16" w:rsidRDefault="00AA2F16" w:rsidP="009A1362">
      <w:pPr>
        <w:spacing w:after="0" w:line="240" w:lineRule="auto"/>
      </w:pPr>
      <w:r>
        <w:separator/>
      </w:r>
    </w:p>
  </w:footnote>
  <w:footnote w:type="continuationSeparator" w:id="0">
    <w:p w14:paraId="30A2BB51" w14:textId="77777777" w:rsidR="00AA2F16" w:rsidRDefault="00AA2F16">
      <w:r>
        <w:continuationSeparator/>
      </w:r>
    </w:p>
  </w:footnote>
  <w:footnote w:type="continuationNotice" w:id="1">
    <w:p w14:paraId="7D3A1029" w14:textId="77777777" w:rsidR="00AA2F16" w:rsidRDefault="00AA2F16"/>
  </w:footnote>
  <w:footnote w:id="2">
    <w:p w14:paraId="63F70E29" w14:textId="5C904EF5" w:rsidR="001E1D83" w:rsidRPr="00814959" w:rsidRDefault="001E1D83" w:rsidP="00814959">
      <w:pPr>
        <w:pStyle w:val="FootnoteText"/>
        <w:suppressLineNumbers/>
        <w:suppressAutoHyphens/>
        <w:kinsoku w:val="0"/>
        <w:overflowPunct w:val="0"/>
        <w:autoSpaceDE w:val="0"/>
        <w:autoSpaceDN w:val="0"/>
        <w:adjustRightInd w:val="0"/>
        <w:snapToGrid w:val="0"/>
        <w:spacing w:before="60" w:line="240" w:lineRule="auto"/>
        <w:ind w:left="144" w:firstLine="0"/>
        <w:rPr>
          <w:rFonts w:ascii="Times New Roman" w:hAnsi="Times New Roman"/>
          <w:kern w:val="18"/>
          <w:lang w:eastAsia="zh-CN"/>
        </w:rPr>
      </w:pPr>
      <w:r w:rsidRPr="00814959">
        <w:rPr>
          <w:rStyle w:val="FootnoteReference"/>
          <w:kern w:val="18"/>
          <w:sz w:val="20"/>
        </w:rPr>
        <w:footnoteRef/>
      </w:r>
      <w:r w:rsidRPr="00814959">
        <w:rPr>
          <w:rFonts w:ascii="Times New Roman" w:hAnsi="Times New Roman"/>
          <w:kern w:val="18"/>
          <w:lang w:eastAsia="zh-CN"/>
        </w:rPr>
        <w:t xml:space="preserve"> </w:t>
      </w:r>
      <w:r w:rsidR="00814959" w:rsidRPr="00814959">
        <w:rPr>
          <w:rFonts w:ascii="Times New Roman" w:hAnsi="Times New Roman"/>
          <w:kern w:val="18"/>
          <w:lang w:eastAsia="zh-CN"/>
        </w:rPr>
        <w:t xml:space="preserve"> </w:t>
      </w:r>
      <w:r w:rsidRPr="00814959">
        <w:rPr>
          <w:rFonts w:ascii="Times New Roman" w:hAnsi="Times New Roman"/>
          <w:kern w:val="18"/>
          <w:lang w:eastAsia="zh-CN"/>
        </w:rPr>
        <w:t>CBD/SBI/3/6/Add.1</w:t>
      </w:r>
      <w:r w:rsidRPr="00814959">
        <w:rPr>
          <w:rFonts w:ascii="Times New Roman" w:hAnsi="Times New Roman"/>
          <w:kern w:val="18"/>
          <w:lang w:eastAsia="zh-CN"/>
        </w:rPr>
        <w:t>。</w:t>
      </w:r>
    </w:p>
  </w:footnote>
  <w:footnote w:id="3">
    <w:p w14:paraId="17E71AF5" w14:textId="77777777" w:rsidR="001E1D83" w:rsidRPr="00814959" w:rsidRDefault="001E1D83" w:rsidP="00814959">
      <w:pPr>
        <w:pStyle w:val="FootnoteText"/>
        <w:suppressLineNumbers/>
        <w:suppressAutoHyphens/>
        <w:kinsoku w:val="0"/>
        <w:overflowPunct w:val="0"/>
        <w:autoSpaceDE w:val="0"/>
        <w:autoSpaceDN w:val="0"/>
        <w:adjustRightInd w:val="0"/>
        <w:snapToGrid w:val="0"/>
        <w:spacing w:before="60" w:line="240" w:lineRule="auto"/>
        <w:ind w:left="144" w:firstLine="0"/>
        <w:rPr>
          <w:rFonts w:ascii="Times New Roman" w:hAnsi="Times New Roman"/>
          <w:kern w:val="18"/>
          <w:lang w:eastAsia="zh-CN"/>
        </w:rPr>
      </w:pPr>
      <w:r w:rsidRPr="00814959">
        <w:rPr>
          <w:rStyle w:val="FootnoteReference"/>
          <w:kern w:val="18"/>
          <w:sz w:val="20"/>
        </w:rPr>
        <w:footnoteRef/>
      </w:r>
      <w:r w:rsidRPr="00814959">
        <w:rPr>
          <w:rFonts w:ascii="Times New Roman" w:hAnsi="Times New Roman"/>
          <w:kern w:val="18"/>
          <w:lang w:eastAsia="zh-CN"/>
        </w:rPr>
        <w:t xml:space="preserve">  </w:t>
      </w:r>
      <w:r w:rsidRPr="00814959">
        <w:rPr>
          <w:rFonts w:ascii="Times New Roman" w:hAnsi="Times New Roman"/>
          <w:kern w:val="18"/>
          <w:lang w:eastAsia="zh-CN"/>
        </w:rPr>
        <w:t>联合国《条约汇编》，第</w:t>
      </w:r>
      <w:r w:rsidRPr="00814959">
        <w:rPr>
          <w:rFonts w:ascii="Times New Roman" w:hAnsi="Times New Roman"/>
          <w:kern w:val="18"/>
          <w:lang w:eastAsia="zh-CN"/>
        </w:rPr>
        <w:t>1651</w:t>
      </w:r>
      <w:r w:rsidRPr="00814959">
        <w:rPr>
          <w:rFonts w:ascii="Times New Roman" w:hAnsi="Times New Roman"/>
          <w:kern w:val="18"/>
          <w:lang w:eastAsia="zh-CN"/>
        </w:rPr>
        <w:t>卷，第</w:t>
      </w:r>
      <w:r w:rsidRPr="00814959">
        <w:rPr>
          <w:rFonts w:ascii="Times New Roman" w:hAnsi="Times New Roman"/>
          <w:kern w:val="18"/>
          <w:lang w:eastAsia="zh-CN"/>
        </w:rPr>
        <w:t>28395</w:t>
      </w:r>
      <w:r w:rsidRPr="00814959">
        <w:rPr>
          <w:rFonts w:ascii="Times New Roman" w:hAnsi="Times New Roman"/>
          <w:kern w:val="18"/>
          <w:lang w:eastAsia="zh-CN"/>
        </w:rPr>
        <w:t>号。</w:t>
      </w:r>
    </w:p>
  </w:footnote>
  <w:footnote w:id="4">
    <w:p w14:paraId="1801D73D" w14:textId="77777777" w:rsidR="001E1D83" w:rsidRPr="00814959" w:rsidRDefault="001E1D83" w:rsidP="00814959">
      <w:pPr>
        <w:pStyle w:val="FootnoteText"/>
        <w:suppressLineNumbers/>
        <w:suppressAutoHyphens/>
        <w:kinsoku w:val="0"/>
        <w:overflowPunct w:val="0"/>
        <w:autoSpaceDE w:val="0"/>
        <w:autoSpaceDN w:val="0"/>
        <w:adjustRightInd w:val="0"/>
        <w:snapToGrid w:val="0"/>
        <w:spacing w:before="60" w:line="240" w:lineRule="auto"/>
        <w:ind w:left="144" w:firstLine="0"/>
        <w:rPr>
          <w:rFonts w:ascii="Times New Roman" w:hAnsi="Times New Roman"/>
          <w:kern w:val="18"/>
          <w:lang w:eastAsia="zh-CN"/>
        </w:rPr>
      </w:pPr>
      <w:r w:rsidRPr="00814959">
        <w:rPr>
          <w:rStyle w:val="FootnoteReference"/>
          <w:kern w:val="18"/>
          <w:sz w:val="20"/>
        </w:rPr>
        <w:footnoteRef/>
      </w:r>
      <w:r w:rsidRPr="00814959">
        <w:rPr>
          <w:rFonts w:ascii="Times New Roman" w:hAnsi="Times New Roman"/>
          <w:kern w:val="18"/>
          <w:lang w:eastAsia="zh-CN"/>
        </w:rPr>
        <w:t xml:space="preserve">  </w:t>
      </w:r>
      <w:r w:rsidRPr="00814959">
        <w:rPr>
          <w:rFonts w:ascii="Times New Roman" w:hAnsi="Times New Roman"/>
          <w:kern w:val="18"/>
          <w:lang w:eastAsia="zh-CN"/>
        </w:rPr>
        <w:t>同上，第</w:t>
      </w:r>
      <w:r w:rsidRPr="00814959">
        <w:rPr>
          <w:rFonts w:ascii="Times New Roman" w:hAnsi="Times New Roman"/>
          <w:kern w:val="18"/>
          <w:lang w:eastAsia="zh-CN"/>
        </w:rPr>
        <w:t>996</w:t>
      </w:r>
      <w:r w:rsidRPr="00814959">
        <w:rPr>
          <w:rFonts w:ascii="Times New Roman" w:hAnsi="Times New Roman"/>
          <w:kern w:val="18"/>
          <w:lang w:eastAsia="zh-CN"/>
        </w:rPr>
        <w:t>卷，第</w:t>
      </w:r>
      <w:r w:rsidRPr="00814959">
        <w:rPr>
          <w:rFonts w:ascii="Times New Roman" w:hAnsi="Times New Roman"/>
          <w:kern w:val="18"/>
          <w:lang w:eastAsia="zh-CN"/>
        </w:rPr>
        <w:t>14583</w:t>
      </w:r>
      <w:r w:rsidRPr="00814959">
        <w:rPr>
          <w:rFonts w:ascii="Times New Roman" w:hAnsi="Times New Roman"/>
          <w:kern w:val="18"/>
          <w:lang w:eastAsia="zh-CN"/>
        </w:rPr>
        <w:t>号。</w:t>
      </w:r>
    </w:p>
  </w:footnote>
  <w:footnote w:id="5">
    <w:p w14:paraId="19AAF569" w14:textId="77777777" w:rsidR="001E1D83" w:rsidRPr="00814959" w:rsidRDefault="001E1D83" w:rsidP="00814959">
      <w:pPr>
        <w:pStyle w:val="FootnoteText"/>
        <w:suppressLineNumbers/>
        <w:suppressAutoHyphens/>
        <w:kinsoku w:val="0"/>
        <w:overflowPunct w:val="0"/>
        <w:autoSpaceDE w:val="0"/>
        <w:autoSpaceDN w:val="0"/>
        <w:adjustRightInd w:val="0"/>
        <w:snapToGrid w:val="0"/>
        <w:spacing w:before="60" w:line="240" w:lineRule="auto"/>
        <w:ind w:left="144" w:firstLine="0"/>
        <w:rPr>
          <w:rFonts w:ascii="Times New Roman" w:hAnsi="Times New Roman"/>
          <w:kern w:val="18"/>
          <w:lang w:eastAsia="zh-CN"/>
        </w:rPr>
      </w:pPr>
      <w:r w:rsidRPr="00814959">
        <w:rPr>
          <w:rStyle w:val="FootnoteReference"/>
          <w:kern w:val="18"/>
          <w:sz w:val="20"/>
        </w:rPr>
        <w:footnoteRef/>
      </w:r>
      <w:r w:rsidRPr="00814959">
        <w:rPr>
          <w:rFonts w:ascii="Times New Roman" w:hAnsi="Times New Roman"/>
          <w:kern w:val="18"/>
          <w:lang w:eastAsia="zh-CN"/>
        </w:rPr>
        <w:t xml:space="preserve">  </w:t>
      </w:r>
      <w:r w:rsidRPr="00814959">
        <w:rPr>
          <w:rFonts w:ascii="Times New Roman" w:hAnsi="Times New Roman"/>
          <w:kern w:val="18"/>
          <w:lang w:eastAsia="zh-CN"/>
        </w:rPr>
        <w:t>同上，第</w:t>
      </w:r>
      <w:r w:rsidRPr="00814959">
        <w:rPr>
          <w:rFonts w:ascii="Times New Roman" w:hAnsi="Times New Roman"/>
          <w:kern w:val="18"/>
          <w:lang w:eastAsia="zh-CN"/>
        </w:rPr>
        <w:t>2400</w:t>
      </w:r>
      <w:r w:rsidRPr="00814959">
        <w:rPr>
          <w:rFonts w:ascii="Times New Roman" w:hAnsi="Times New Roman"/>
          <w:kern w:val="18"/>
          <w:lang w:eastAsia="zh-CN"/>
        </w:rPr>
        <w:t>卷，第</w:t>
      </w:r>
      <w:r w:rsidRPr="00814959">
        <w:rPr>
          <w:rFonts w:ascii="Times New Roman" w:hAnsi="Times New Roman"/>
          <w:kern w:val="18"/>
          <w:lang w:eastAsia="zh-CN"/>
        </w:rPr>
        <w:t>43345</w:t>
      </w:r>
      <w:r w:rsidRPr="00814959">
        <w:rPr>
          <w:rFonts w:ascii="Times New Roman" w:hAnsi="Times New Roman"/>
          <w:kern w:val="18"/>
          <w:lang w:eastAsia="zh-CN"/>
        </w:rPr>
        <w:t>号。</w:t>
      </w:r>
    </w:p>
  </w:footnote>
  <w:footnote w:id="6">
    <w:p w14:paraId="4E95841A" w14:textId="2731F382" w:rsidR="001E1D83" w:rsidRPr="00814959" w:rsidRDefault="001E1D83" w:rsidP="00814959">
      <w:pPr>
        <w:pStyle w:val="FootnoteText"/>
        <w:suppressLineNumbers/>
        <w:suppressAutoHyphens/>
        <w:kinsoku w:val="0"/>
        <w:overflowPunct w:val="0"/>
        <w:autoSpaceDE w:val="0"/>
        <w:autoSpaceDN w:val="0"/>
        <w:adjustRightInd w:val="0"/>
        <w:snapToGrid w:val="0"/>
        <w:spacing w:before="60" w:line="240" w:lineRule="auto"/>
        <w:ind w:left="144" w:firstLine="0"/>
        <w:rPr>
          <w:rFonts w:ascii="Times New Roman" w:hAnsi="Times New Roman"/>
          <w:kern w:val="18"/>
          <w:lang w:val="en-CA" w:eastAsia="zh-CN"/>
        </w:rPr>
      </w:pPr>
      <w:r w:rsidRPr="00814959">
        <w:rPr>
          <w:rStyle w:val="FootnoteReference"/>
          <w:kern w:val="18"/>
          <w:sz w:val="20"/>
        </w:rPr>
        <w:footnoteRef/>
      </w:r>
      <w:r w:rsidRPr="00814959">
        <w:rPr>
          <w:rFonts w:ascii="Times New Roman" w:hAnsi="Times New Roman"/>
          <w:kern w:val="18"/>
          <w:lang w:eastAsia="zh-CN"/>
        </w:rPr>
        <w:t xml:space="preserve"> </w:t>
      </w:r>
      <w:r w:rsidR="00814959" w:rsidRPr="00814959">
        <w:rPr>
          <w:rFonts w:ascii="Times New Roman" w:hAnsi="Times New Roman"/>
          <w:kern w:val="18"/>
          <w:lang w:eastAsia="zh-CN"/>
        </w:rPr>
        <w:t xml:space="preserve"> </w:t>
      </w:r>
      <w:r w:rsidRPr="00814959">
        <w:rPr>
          <w:rFonts w:ascii="Times New Roman" w:hAnsi="Times New Roman"/>
          <w:kern w:val="18"/>
          <w:lang w:eastAsia="zh-CN"/>
        </w:rPr>
        <w:t>CBD/SBI/3/INF/24 (</w:t>
      </w:r>
      <w:r w:rsidRPr="00814959">
        <w:rPr>
          <w:rFonts w:ascii="Times New Roman" w:hAnsi="Times New Roman"/>
          <w:kern w:val="18"/>
          <w:lang w:eastAsia="zh-CN"/>
        </w:rPr>
        <w:t>执行摘要载于</w:t>
      </w:r>
      <w:r w:rsidRPr="00814959">
        <w:rPr>
          <w:rFonts w:ascii="Times New Roman" w:hAnsi="Times New Roman"/>
          <w:kern w:val="18"/>
          <w:lang w:eastAsia="zh-CN"/>
        </w:rPr>
        <w:t>CBD/SBI/3/6/Add.2)</w:t>
      </w:r>
      <w:r w:rsidRPr="00814959">
        <w:rPr>
          <w:rFonts w:ascii="Times New Roman" w:hAnsi="Times New Roman"/>
          <w:kern w:val="18"/>
          <w:lang w:eastAsia="zh-CN"/>
        </w:rPr>
        <w:t>。</w:t>
      </w:r>
    </w:p>
  </w:footnote>
  <w:footnote w:id="7">
    <w:p w14:paraId="58F9B3CF" w14:textId="33142BFE" w:rsidR="001E1D83" w:rsidRPr="003A3D19" w:rsidRDefault="001E1D83" w:rsidP="00814959">
      <w:pPr>
        <w:keepLines/>
        <w:suppressLineNumbers/>
        <w:suppressAutoHyphens/>
        <w:kinsoku w:val="0"/>
        <w:overflowPunct w:val="0"/>
        <w:autoSpaceDE w:val="0"/>
        <w:autoSpaceDN w:val="0"/>
        <w:adjustRightInd w:val="0"/>
        <w:snapToGrid w:val="0"/>
        <w:spacing w:before="60" w:after="0" w:line="240" w:lineRule="auto"/>
        <w:ind w:left="144"/>
        <w:jc w:val="left"/>
        <w:rPr>
          <w:kern w:val="18"/>
          <w:sz w:val="18"/>
          <w:szCs w:val="18"/>
        </w:rPr>
      </w:pPr>
      <w:r w:rsidRPr="00814959">
        <w:rPr>
          <w:rStyle w:val="FootnoteReference"/>
          <w:kern w:val="18"/>
          <w:sz w:val="20"/>
          <w:szCs w:val="20"/>
        </w:rPr>
        <w:footnoteRef/>
      </w:r>
      <w:r w:rsidRPr="00814959">
        <w:rPr>
          <w:kern w:val="18"/>
          <w:sz w:val="20"/>
          <w:szCs w:val="20"/>
        </w:rPr>
        <w:t xml:space="preserve"> </w:t>
      </w:r>
      <w:r w:rsidR="00814959" w:rsidRPr="00814959">
        <w:rPr>
          <w:kern w:val="18"/>
          <w:sz w:val="20"/>
          <w:szCs w:val="20"/>
        </w:rPr>
        <w:t xml:space="preserve"> </w:t>
      </w:r>
      <w:r w:rsidRPr="00814959">
        <w:rPr>
          <w:kern w:val="18"/>
          <w:sz w:val="20"/>
          <w:szCs w:val="20"/>
        </w:rPr>
        <w:t>铭记决定草案的其他内容将在缔约方大会第十五届会议之前拟定。</w:t>
      </w:r>
    </w:p>
  </w:footnote>
  <w:footnote w:id="8">
    <w:p w14:paraId="7E73E848" w14:textId="2C2B205E" w:rsidR="001E1D83" w:rsidRPr="00601449" w:rsidRDefault="001E1D83" w:rsidP="00601449">
      <w:pPr>
        <w:pStyle w:val="FootnoteText"/>
        <w:suppressLineNumbers/>
        <w:suppressAutoHyphens/>
        <w:kinsoku w:val="0"/>
        <w:overflowPunct w:val="0"/>
        <w:autoSpaceDE w:val="0"/>
        <w:autoSpaceDN w:val="0"/>
        <w:adjustRightInd w:val="0"/>
        <w:snapToGrid w:val="0"/>
        <w:spacing w:before="60" w:line="240" w:lineRule="auto"/>
        <w:ind w:left="0" w:firstLine="0"/>
        <w:rPr>
          <w:rFonts w:ascii="Times New Roman" w:hAnsi="Times New Roman"/>
          <w:kern w:val="18"/>
          <w:lang w:eastAsia="zh-CN"/>
        </w:rPr>
      </w:pPr>
      <w:r w:rsidRPr="00601449">
        <w:rPr>
          <w:rStyle w:val="FootnoteReference"/>
          <w:kern w:val="18"/>
          <w:sz w:val="20"/>
        </w:rPr>
        <w:footnoteRef/>
      </w:r>
      <w:r w:rsidRPr="00601449">
        <w:rPr>
          <w:rFonts w:ascii="Times New Roman" w:hAnsi="Times New Roman"/>
          <w:kern w:val="18"/>
          <w:lang w:eastAsia="zh-CN"/>
        </w:rPr>
        <w:t xml:space="preserve">  </w:t>
      </w:r>
      <w:r w:rsidRPr="00601449">
        <w:rPr>
          <w:rFonts w:ascii="Times New Roman" w:hAnsi="Times New Roman"/>
          <w:kern w:val="18"/>
          <w:lang w:eastAsia="zh-CN"/>
        </w:rPr>
        <w:t>有待专家组和执行秘书完成对全球环境基金第八次增资期间执行《公约》及其</w:t>
      </w:r>
      <w:r w:rsidR="003209B9">
        <w:rPr>
          <w:rFonts w:ascii="Times New Roman" w:hAnsi="Times New Roman"/>
          <w:kern w:val="18"/>
          <w:lang w:eastAsia="zh-CN"/>
        </w:rPr>
        <w:t>议定书</w:t>
      </w:r>
      <w:r w:rsidRPr="00601449">
        <w:rPr>
          <w:rFonts w:ascii="Times New Roman" w:hAnsi="Times New Roman"/>
          <w:kern w:val="18"/>
          <w:lang w:eastAsia="zh-CN"/>
        </w:rPr>
        <w:t>所需资金和可用资金的评估。</w:t>
      </w:r>
    </w:p>
  </w:footnote>
  <w:footnote w:id="9">
    <w:p w14:paraId="3FA31B6D" w14:textId="4DE54C0D" w:rsidR="001E1D83" w:rsidRPr="00601449" w:rsidRDefault="001E1D83" w:rsidP="00601449">
      <w:pPr>
        <w:pStyle w:val="FootnoteText"/>
        <w:suppressLineNumbers/>
        <w:suppressAutoHyphens/>
        <w:kinsoku w:val="0"/>
        <w:overflowPunct w:val="0"/>
        <w:autoSpaceDE w:val="0"/>
        <w:autoSpaceDN w:val="0"/>
        <w:adjustRightInd w:val="0"/>
        <w:snapToGrid w:val="0"/>
        <w:spacing w:before="60" w:line="240" w:lineRule="auto"/>
        <w:ind w:left="0" w:firstLine="0"/>
        <w:rPr>
          <w:rFonts w:ascii="Times New Roman" w:hAnsi="Times New Roman"/>
          <w:kern w:val="18"/>
          <w:lang w:eastAsia="zh-CN"/>
        </w:rPr>
      </w:pPr>
      <w:r w:rsidRPr="00601449">
        <w:rPr>
          <w:rStyle w:val="FootnoteReference"/>
          <w:kern w:val="18"/>
          <w:sz w:val="20"/>
        </w:rPr>
        <w:footnoteRef/>
      </w:r>
      <w:r w:rsidRPr="00601449">
        <w:rPr>
          <w:rFonts w:ascii="Times New Roman" w:hAnsi="Times New Roman"/>
          <w:kern w:val="18"/>
          <w:lang w:eastAsia="zh-CN"/>
        </w:rPr>
        <w:t xml:space="preserve">  </w:t>
      </w:r>
      <w:r w:rsidRPr="00601449">
        <w:rPr>
          <w:rFonts w:ascii="Times New Roman" w:hAnsi="Times New Roman"/>
          <w:kern w:val="18"/>
          <w:lang w:eastAsia="zh-CN"/>
        </w:rPr>
        <w:t>有待缔约方大会根据执行秘书编写的草案最终确定全球环境基金信托基金第八次增资期</w:t>
      </w:r>
      <w:r w:rsidR="00601449">
        <w:rPr>
          <w:rFonts w:ascii="Times New Roman" w:hAnsi="Times New Roman" w:hint="eastAsia"/>
          <w:kern w:val="18"/>
          <w:lang w:eastAsia="zh-CN"/>
        </w:rPr>
        <w:t>（</w:t>
      </w:r>
      <w:r w:rsidRPr="00601449">
        <w:rPr>
          <w:rFonts w:ascii="Times New Roman" w:hAnsi="Times New Roman"/>
          <w:kern w:val="18"/>
          <w:lang w:eastAsia="zh-CN"/>
        </w:rPr>
        <w:t>2022</w:t>
      </w:r>
      <w:r w:rsidRPr="00601449">
        <w:rPr>
          <w:rFonts w:ascii="Times New Roman" w:hAnsi="Times New Roman"/>
          <w:kern w:val="18"/>
          <w:lang w:eastAsia="zh-CN"/>
        </w:rPr>
        <w:t>年</w:t>
      </w:r>
      <w:r w:rsidRPr="00601449">
        <w:rPr>
          <w:rFonts w:ascii="Times New Roman" w:hAnsi="Times New Roman"/>
          <w:kern w:val="18"/>
          <w:lang w:eastAsia="zh-CN"/>
        </w:rPr>
        <w:t>7</w:t>
      </w:r>
      <w:r w:rsidRPr="00601449">
        <w:rPr>
          <w:rFonts w:ascii="Times New Roman" w:hAnsi="Times New Roman"/>
          <w:kern w:val="18"/>
          <w:lang w:eastAsia="zh-CN"/>
        </w:rPr>
        <w:t>月至</w:t>
      </w:r>
      <w:r w:rsidRPr="00601449">
        <w:rPr>
          <w:rFonts w:ascii="Times New Roman" w:hAnsi="Times New Roman"/>
          <w:kern w:val="18"/>
          <w:lang w:eastAsia="zh-CN"/>
        </w:rPr>
        <w:t>2026</w:t>
      </w:r>
      <w:r w:rsidRPr="00601449">
        <w:rPr>
          <w:rFonts w:ascii="Times New Roman" w:hAnsi="Times New Roman"/>
          <w:kern w:val="18"/>
          <w:lang w:eastAsia="zh-CN"/>
        </w:rPr>
        <w:t>年</w:t>
      </w:r>
      <w:r w:rsidRPr="00601449">
        <w:rPr>
          <w:rFonts w:ascii="Times New Roman" w:hAnsi="Times New Roman"/>
          <w:kern w:val="18"/>
          <w:lang w:eastAsia="zh-CN"/>
        </w:rPr>
        <w:t>6</w:t>
      </w:r>
      <w:r w:rsidRPr="00601449">
        <w:rPr>
          <w:rFonts w:ascii="Times New Roman" w:hAnsi="Times New Roman"/>
          <w:kern w:val="18"/>
          <w:lang w:eastAsia="zh-CN"/>
        </w:rPr>
        <w:t>月</w:t>
      </w:r>
      <w:r w:rsidR="00601449">
        <w:rPr>
          <w:rFonts w:ascii="Times New Roman" w:hAnsi="Times New Roman" w:hint="eastAsia"/>
          <w:kern w:val="18"/>
          <w:lang w:eastAsia="zh-CN"/>
        </w:rPr>
        <w:t>）</w:t>
      </w:r>
      <w:r w:rsidRPr="00601449">
        <w:rPr>
          <w:rFonts w:ascii="Times New Roman" w:hAnsi="Times New Roman"/>
          <w:kern w:val="18"/>
          <w:lang w:eastAsia="zh-CN"/>
        </w:rPr>
        <w:t>注重成果的四年期方案优先事项框架。</w:t>
      </w:r>
    </w:p>
  </w:footnote>
  <w:footnote w:id="10">
    <w:p w14:paraId="6F5FF571" w14:textId="77777777" w:rsidR="001E1D83" w:rsidRPr="003A3D19" w:rsidRDefault="001E1D83" w:rsidP="00601449">
      <w:pPr>
        <w:pStyle w:val="FootnoteText"/>
        <w:suppressLineNumbers/>
        <w:suppressAutoHyphens/>
        <w:kinsoku w:val="0"/>
        <w:overflowPunct w:val="0"/>
        <w:autoSpaceDE w:val="0"/>
        <w:autoSpaceDN w:val="0"/>
        <w:adjustRightInd w:val="0"/>
        <w:snapToGrid w:val="0"/>
        <w:spacing w:before="60" w:line="240" w:lineRule="auto"/>
        <w:ind w:left="0" w:firstLine="0"/>
        <w:rPr>
          <w:kern w:val="18"/>
          <w:szCs w:val="18"/>
          <w:lang w:eastAsia="zh-CN"/>
        </w:rPr>
      </w:pPr>
      <w:r w:rsidRPr="00601449">
        <w:rPr>
          <w:rStyle w:val="FootnoteReference"/>
          <w:kern w:val="18"/>
          <w:sz w:val="20"/>
        </w:rPr>
        <w:footnoteRef/>
      </w:r>
      <w:r w:rsidRPr="00601449">
        <w:rPr>
          <w:rFonts w:ascii="Times New Roman" w:hAnsi="Times New Roman"/>
          <w:kern w:val="18"/>
          <w:lang w:eastAsia="zh-CN"/>
        </w:rPr>
        <w:t xml:space="preserve">  </w:t>
      </w:r>
      <w:r w:rsidRPr="00601449">
        <w:rPr>
          <w:rFonts w:ascii="Times New Roman" w:hAnsi="Times New Roman"/>
          <w:kern w:val="18"/>
          <w:lang w:eastAsia="zh-CN"/>
        </w:rPr>
        <w:t>缔约方大会以及</w:t>
      </w:r>
      <w:r w:rsidRPr="00601449">
        <w:rPr>
          <w:rFonts w:ascii="Times New Roman" w:hAnsi="Times New Roman"/>
          <w:color w:val="000000"/>
          <w:lang w:eastAsia="zh-CN"/>
        </w:rPr>
        <w:t>作为卡塔赫纳议定书缔约方会议</w:t>
      </w:r>
      <w:r w:rsidRPr="00601449">
        <w:rPr>
          <w:rFonts w:ascii="Times New Roman" w:hAnsi="Times New Roman"/>
          <w:kern w:val="18"/>
          <w:lang w:eastAsia="zh-CN"/>
        </w:rPr>
        <w:t>和名古屋议定书缔约方会议的缔约方大会将制定补充指导。</w:t>
      </w:r>
    </w:p>
  </w:footnote>
  <w:footnote w:id="11">
    <w:p w14:paraId="42BEF5E0" w14:textId="77777777" w:rsidR="00D56FF7" w:rsidRPr="00D56FF7" w:rsidRDefault="00D56FF7" w:rsidP="00D56FF7">
      <w:pPr>
        <w:pStyle w:val="FootnoteText"/>
        <w:suppressLineNumbers/>
        <w:suppressAutoHyphens/>
        <w:kinsoku w:val="0"/>
        <w:overflowPunct w:val="0"/>
        <w:autoSpaceDE w:val="0"/>
        <w:autoSpaceDN w:val="0"/>
        <w:ind w:left="0" w:firstLine="0"/>
        <w:rPr>
          <w:rFonts w:ascii="Times New Roman" w:hAnsi="Times New Roman"/>
          <w:kern w:val="18"/>
          <w:lang w:eastAsia="zh-CN"/>
        </w:rPr>
      </w:pPr>
      <w:r w:rsidRPr="00D56FF7">
        <w:rPr>
          <w:rStyle w:val="FootnoteReference"/>
          <w:kern w:val="18"/>
          <w:sz w:val="20"/>
        </w:rPr>
        <w:footnoteRef/>
      </w:r>
      <w:r w:rsidRPr="00D56FF7">
        <w:rPr>
          <w:rFonts w:ascii="Times New Roman" w:hAnsi="Times New Roman"/>
          <w:kern w:val="18"/>
          <w:lang w:eastAsia="zh-CN"/>
        </w:rPr>
        <w:t xml:space="preserve"> </w:t>
      </w:r>
      <w:r w:rsidRPr="00D56FF7">
        <w:rPr>
          <w:rFonts w:ascii="Times New Roman" w:hAnsi="Times New Roman"/>
          <w:lang w:eastAsia="zh-CN"/>
        </w:rPr>
        <w:t>《</w:t>
      </w:r>
      <w:r w:rsidRPr="00D56FF7">
        <w:rPr>
          <w:rFonts w:ascii="Times New Roman" w:hAnsi="Times New Roman"/>
          <w:color w:val="000000"/>
          <w:lang w:eastAsia="zh-CN"/>
        </w:rPr>
        <w:t>改组后全球环境基金通则</w:t>
      </w:r>
      <w:r w:rsidRPr="00D56FF7">
        <w:rPr>
          <w:rFonts w:ascii="Times New Roman" w:hAnsi="Times New Roman"/>
          <w:lang w:eastAsia="zh-CN"/>
        </w:rPr>
        <w:t>》，</w:t>
      </w:r>
      <w:r w:rsidRPr="00D56FF7">
        <w:rPr>
          <w:rFonts w:ascii="Times New Roman" w:hAnsi="Times New Roman"/>
          <w:lang w:eastAsia="zh-CN"/>
        </w:rPr>
        <w:t>2019</w:t>
      </w:r>
      <w:r w:rsidRPr="00D56FF7">
        <w:rPr>
          <w:rFonts w:ascii="Times New Roman" w:hAnsi="Times New Roman"/>
          <w:lang w:eastAsia="zh-CN"/>
        </w:rPr>
        <w:t>年</w:t>
      </w:r>
      <w:r w:rsidRPr="00D56FF7">
        <w:rPr>
          <w:rFonts w:ascii="Times New Roman" w:hAnsi="Times New Roman"/>
          <w:lang w:eastAsia="zh-CN"/>
        </w:rPr>
        <w:t>11</w:t>
      </w:r>
      <w:r w:rsidRPr="00D56FF7">
        <w:rPr>
          <w:rFonts w:ascii="Times New Roman" w:hAnsi="Times New Roman"/>
          <w:lang w:eastAsia="zh-CN"/>
        </w:rPr>
        <w:t>月。</w:t>
      </w:r>
      <w:hyperlink r:id="rId1" w:history="1">
        <w:r w:rsidRPr="00D56FF7">
          <w:rPr>
            <w:rStyle w:val="Hyperlink"/>
            <w:rFonts w:ascii="Times New Roman" w:hAnsi="Times New Roman"/>
            <w:kern w:val="18"/>
          </w:rPr>
          <w:t>http://www.thegef.org/publications/instrument-establishment-restructured-gef-2019</w:t>
        </w:r>
      </w:hyperlink>
      <w:r w:rsidRPr="00D56FF7">
        <w:rPr>
          <w:rFonts w:ascii="Times New Roman" w:hAnsi="Times New Roman"/>
          <w:kern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55B3" w14:textId="72D61A5C"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sz w:val="24"/>
        <w:szCs w:val="22"/>
      </w:rPr>
      <w:t>CBD/SB</w:t>
    </w:r>
    <w:r w:rsidR="00E20D23">
      <w:rPr>
        <w:sz w:val="24"/>
        <w:szCs w:val="22"/>
      </w:rPr>
      <w:t>I</w:t>
    </w:r>
    <w:r w:rsidRPr="00356FD8">
      <w:rPr>
        <w:sz w:val="24"/>
        <w:szCs w:val="22"/>
      </w:rPr>
      <w:t>/</w:t>
    </w:r>
    <w:r w:rsidR="00E20D23">
      <w:rPr>
        <w:sz w:val="24"/>
        <w:szCs w:val="22"/>
      </w:rPr>
      <w:t>3</w:t>
    </w:r>
    <w:r w:rsidRPr="00356FD8">
      <w:rPr>
        <w:sz w:val="24"/>
        <w:szCs w:val="22"/>
      </w:rPr>
      <w:t>/</w:t>
    </w:r>
    <w:r w:rsidR="00E8625D">
      <w:rPr>
        <w:sz w:val="24"/>
        <w:szCs w:val="22"/>
      </w:rPr>
      <w:t>CRP.</w:t>
    </w:r>
    <w:r w:rsidR="00E20D23">
      <w:rPr>
        <w:sz w:val="24"/>
        <w:szCs w:val="22"/>
      </w:rPr>
      <w:t>7</w:t>
    </w:r>
  </w:p>
  <w:p w14:paraId="2E036C26" w14:textId="3DC9ADE4" w:rsidR="00436397" w:rsidRPr="00356FD8" w:rsidRDefault="00436397" w:rsidP="00EB5724">
    <w:pPr>
      <w:pStyle w:val="Header"/>
      <w:tabs>
        <w:tab w:val="clear" w:pos="4320"/>
        <w:tab w:val="clear" w:pos="8640"/>
      </w:tabs>
      <w:spacing w:after="0" w:line="240" w:lineRule="auto"/>
      <w:jc w:val="lef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20</w:t>
    </w:r>
    <w:r w:rsidRPr="00356FD8">
      <w:rPr>
        <w:kern w:val="22"/>
        <w:sz w:val="24"/>
        <w:szCs w:val="22"/>
      </w:rPr>
      <w:fldChar w:fldCharType="end"/>
    </w:r>
  </w:p>
  <w:p w14:paraId="5458C984" w14:textId="77777777" w:rsidR="00436397" w:rsidRPr="00EB5724" w:rsidRDefault="00436397" w:rsidP="00EB5724">
    <w:pPr>
      <w:pStyle w:val="Header"/>
      <w:tabs>
        <w:tab w:val="clear" w:pos="4320"/>
        <w:tab w:val="clear" w:pos="8640"/>
      </w:tabs>
      <w:spacing w:after="0" w:line="240" w:lineRule="auto"/>
      <w:jc w:val="left"/>
      <w:rPr>
        <w:kern w:val="22"/>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75B2" w14:textId="79EE2B21"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sz w:val="24"/>
        <w:szCs w:val="22"/>
      </w:rPr>
      <w:t>CBD/SB</w:t>
    </w:r>
    <w:r w:rsidR="00E20D23">
      <w:rPr>
        <w:rFonts w:asciiTheme="minorEastAsia" w:eastAsiaTheme="minorEastAsia" w:hAnsiTheme="minorEastAsia" w:hint="eastAsia"/>
        <w:sz w:val="24"/>
        <w:szCs w:val="22"/>
      </w:rPr>
      <w:t>I</w:t>
    </w:r>
    <w:r w:rsidRPr="00356FD8">
      <w:rPr>
        <w:sz w:val="24"/>
        <w:szCs w:val="22"/>
      </w:rPr>
      <w:t>/</w:t>
    </w:r>
    <w:r w:rsidR="00E20D23">
      <w:rPr>
        <w:sz w:val="24"/>
        <w:szCs w:val="22"/>
      </w:rPr>
      <w:t>3</w:t>
    </w:r>
    <w:r w:rsidRPr="00356FD8">
      <w:rPr>
        <w:sz w:val="24"/>
        <w:szCs w:val="22"/>
      </w:rPr>
      <w:t>/</w:t>
    </w:r>
    <w:r w:rsidR="00E20D23">
      <w:rPr>
        <w:sz w:val="24"/>
        <w:szCs w:val="22"/>
      </w:rPr>
      <w:t>CRP.7</w:t>
    </w:r>
  </w:p>
  <w:p w14:paraId="7354DF0A" w14:textId="70270353" w:rsidR="00436397" w:rsidRPr="00356FD8" w:rsidRDefault="00436397" w:rsidP="00EB5724">
    <w:pPr>
      <w:pStyle w:val="Header"/>
      <w:tabs>
        <w:tab w:val="clear" w:pos="4320"/>
        <w:tab w:val="clear" w:pos="8640"/>
      </w:tabs>
      <w:spacing w:after="0" w:line="240" w:lineRule="auto"/>
      <w:jc w:val="right"/>
      <w:rPr>
        <w:kern w:val="22"/>
        <w:sz w:val="24"/>
        <w:szCs w:val="22"/>
      </w:rPr>
    </w:pPr>
    <w:r w:rsidRPr="00356FD8">
      <w:rPr>
        <w:kern w:val="22"/>
        <w:sz w:val="24"/>
        <w:szCs w:val="22"/>
      </w:rPr>
      <w:t xml:space="preserve">Page </w:t>
    </w:r>
    <w:r w:rsidRPr="00356FD8">
      <w:rPr>
        <w:kern w:val="22"/>
        <w:sz w:val="24"/>
        <w:szCs w:val="22"/>
      </w:rPr>
      <w:fldChar w:fldCharType="begin"/>
    </w:r>
    <w:r w:rsidRPr="00356FD8">
      <w:rPr>
        <w:kern w:val="22"/>
        <w:sz w:val="24"/>
        <w:szCs w:val="22"/>
      </w:rPr>
      <w:instrText xml:space="preserve"> PAGE   \* MERGEFORMAT </w:instrText>
    </w:r>
    <w:r w:rsidRPr="00356FD8">
      <w:rPr>
        <w:kern w:val="22"/>
        <w:sz w:val="24"/>
        <w:szCs w:val="22"/>
      </w:rPr>
      <w:fldChar w:fldCharType="separate"/>
    </w:r>
    <w:r w:rsidR="00F759F8">
      <w:rPr>
        <w:kern w:val="22"/>
        <w:sz w:val="24"/>
        <w:szCs w:val="22"/>
      </w:rPr>
      <w:t>21</w:t>
    </w:r>
    <w:r w:rsidRPr="00356FD8">
      <w:rPr>
        <w:kern w:val="22"/>
        <w:sz w:val="24"/>
        <w:szCs w:val="22"/>
      </w:rPr>
      <w:fldChar w:fldCharType="end"/>
    </w:r>
  </w:p>
  <w:p w14:paraId="19FD7760" w14:textId="77777777" w:rsidR="00436397" w:rsidRPr="00EB5724" w:rsidRDefault="00436397" w:rsidP="00EB5724">
    <w:pPr>
      <w:pStyle w:val="Header"/>
      <w:tabs>
        <w:tab w:val="clear" w:pos="4320"/>
        <w:tab w:val="clear" w:pos="8640"/>
      </w:tabs>
      <w:spacing w:after="0" w:line="240" w:lineRule="auto"/>
      <w:jc w:val="right"/>
      <w:rPr>
        <w:kern w:val="22"/>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959"/>
    <w:multiLevelType w:val="hybridMultilevel"/>
    <w:tmpl w:val="848EBBD4"/>
    <w:lvl w:ilvl="0" w:tplc="D436A82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85A20B9"/>
    <w:multiLevelType w:val="hybridMultilevel"/>
    <w:tmpl w:val="566AA34C"/>
    <w:lvl w:ilvl="0" w:tplc="B540FF8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5B0A3E"/>
    <w:multiLevelType w:val="hybridMultilevel"/>
    <w:tmpl w:val="CC36D158"/>
    <w:lvl w:ilvl="0" w:tplc="BA5AC640">
      <w:start w:val="1"/>
      <w:numFmt w:val="lowerRoman"/>
      <w:lvlText w:val="(%1)"/>
      <w:lvlJc w:val="left"/>
      <w:pPr>
        <w:ind w:left="720" w:hanging="360"/>
      </w:pPr>
      <w:rPr>
        <w:rFonts w:hint="default"/>
        <w:b w:val="0"/>
        <w:bCs w:val="0"/>
        <w:lang w:val="en-G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64DD3"/>
    <w:multiLevelType w:val="hybridMultilevel"/>
    <w:tmpl w:val="79ECCD10"/>
    <w:lvl w:ilvl="0" w:tplc="E9CA7C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D465CA"/>
    <w:multiLevelType w:val="hybridMultilevel"/>
    <w:tmpl w:val="C8D04F78"/>
    <w:lvl w:ilvl="0" w:tplc="45E0016A">
      <w:start w:val="4"/>
      <w:numFmt w:val="decimal"/>
      <w:lvlText w:val="%1."/>
      <w:lvlJc w:val="left"/>
      <w:pPr>
        <w:ind w:left="720" w:hanging="360"/>
      </w:pPr>
      <w:rPr>
        <w:rFonts w:ascii="Times New Roman" w:hAnsi="Times New Roman" w:cs="Times New Roman" w:hint="default"/>
      </w:rPr>
    </w:lvl>
    <w:lvl w:ilvl="1" w:tplc="6A2A62B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9085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417FD"/>
    <w:multiLevelType w:val="hybridMultilevel"/>
    <w:tmpl w:val="8DA0A1FC"/>
    <w:lvl w:ilvl="0" w:tplc="CCE0521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285B07"/>
    <w:multiLevelType w:val="hybridMultilevel"/>
    <w:tmpl w:val="B448B6BE"/>
    <w:lvl w:ilvl="0" w:tplc="0CDA4970">
      <w:start w:val="4"/>
      <w:numFmt w:val="lowerLetter"/>
      <w:lvlText w:val="（%1）"/>
      <w:lvlJc w:val="left"/>
      <w:pPr>
        <w:ind w:left="1440" w:hanging="720"/>
      </w:pPr>
      <w:rPr>
        <w:rFonts w:hint="eastAsia"/>
        <w:color w:val="auto"/>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C660067"/>
    <w:multiLevelType w:val="hybridMultilevel"/>
    <w:tmpl w:val="620E1662"/>
    <w:lvl w:ilvl="0" w:tplc="1FC63770">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F11A0"/>
    <w:multiLevelType w:val="hybridMultilevel"/>
    <w:tmpl w:val="3FBC6BF6"/>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75B2AEE"/>
    <w:multiLevelType w:val="hybridMultilevel"/>
    <w:tmpl w:val="88C46E4E"/>
    <w:lvl w:ilvl="0" w:tplc="C08899B0">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B583C58"/>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BA23ECC"/>
    <w:multiLevelType w:val="hybridMultilevel"/>
    <w:tmpl w:val="B9184D5C"/>
    <w:lvl w:ilvl="0" w:tplc="21AE84CA">
      <w:start w:val="1"/>
      <w:numFmt w:val="lowerRoman"/>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C12079"/>
    <w:multiLevelType w:val="hybridMultilevel"/>
    <w:tmpl w:val="F3C46120"/>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E3E464E0">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7" w15:restartNumberingAfterBreak="0">
    <w:nsid w:val="4E0442B4"/>
    <w:multiLevelType w:val="multilevel"/>
    <w:tmpl w:val="CB866A8A"/>
    <w:lvl w:ilvl="0">
      <w:start w:val="8"/>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69F5C64"/>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9" w15:restartNumberingAfterBreak="0">
    <w:nsid w:val="588830F3"/>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0" w15:restartNumberingAfterBreak="0">
    <w:nsid w:val="5A2E6AC8"/>
    <w:multiLevelType w:val="hybridMultilevel"/>
    <w:tmpl w:val="123839EA"/>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4F3280DC">
      <w:start w:val="1"/>
      <w:numFmt w:val="decimal"/>
      <w:lvlText w:val="%4."/>
      <w:lvlJc w:val="left"/>
      <w:pPr>
        <w:ind w:left="2520" w:hanging="360"/>
      </w:pPr>
      <w:rPr>
        <w:b w:val="0"/>
        <w:bCs w:val="0"/>
      </w:r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1" w15:restartNumberingAfterBreak="0">
    <w:nsid w:val="5A73340A"/>
    <w:multiLevelType w:val="hybridMultilevel"/>
    <w:tmpl w:val="9DCC4798"/>
    <w:lvl w:ilvl="0" w:tplc="2536EFE6">
      <w:start w:val="1"/>
      <w:numFmt w:val="lowerLetter"/>
      <w:lvlText w:val="（%1）"/>
      <w:lvlJc w:val="left"/>
      <w:pPr>
        <w:ind w:left="735" w:hanging="360"/>
      </w:pPr>
      <w:rPr>
        <w:rFonts w:ascii="Times New Roman" w:hAnsi="Times New Roman" w:cs="Times New Roman"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5C4161DA"/>
    <w:multiLevelType w:val="hybridMultilevel"/>
    <w:tmpl w:val="877890A0"/>
    <w:lvl w:ilvl="0" w:tplc="D2581B4E">
      <w:start w:val="1"/>
      <w:numFmt w:val="lowerLetter"/>
      <w:lvlText w:val="（%1）"/>
      <w:lvlJc w:val="left"/>
      <w:pPr>
        <w:ind w:left="1460" w:hanging="720"/>
      </w:pPr>
      <w:rPr>
        <w:rFonts w:ascii="SimSun" w:eastAsia="SimSun" w:hAnsi="SimSun" w:cs="Times New Roman"/>
        <w:color w:val="auto"/>
      </w:rPr>
    </w:lvl>
    <w:lvl w:ilvl="1" w:tplc="04090019" w:tentative="1">
      <w:start w:val="1"/>
      <w:numFmt w:val="lowerLetter"/>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lowerLetter"/>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lowerLetter"/>
      <w:lvlText w:val="%8)"/>
      <w:lvlJc w:val="left"/>
      <w:pPr>
        <w:ind w:left="4580" w:hanging="480"/>
      </w:pPr>
    </w:lvl>
    <w:lvl w:ilvl="8" w:tplc="0409001B" w:tentative="1">
      <w:start w:val="1"/>
      <w:numFmt w:val="lowerRoman"/>
      <w:lvlText w:val="%9."/>
      <w:lvlJc w:val="right"/>
      <w:pPr>
        <w:ind w:left="5060" w:hanging="480"/>
      </w:pPr>
    </w:lvl>
  </w:abstractNum>
  <w:abstractNum w:abstractNumId="23" w15:restartNumberingAfterBreak="0">
    <w:nsid w:val="5EA65A37"/>
    <w:multiLevelType w:val="hybridMultilevel"/>
    <w:tmpl w:val="068EC766"/>
    <w:lvl w:ilvl="0" w:tplc="226E457E">
      <w:start w:val="1"/>
      <w:numFmt w:val="decimal"/>
      <w:lvlText w:val="%1."/>
      <w:lvlJc w:val="left"/>
      <w:pPr>
        <w:ind w:left="720" w:hanging="360"/>
      </w:pPr>
      <w:rPr>
        <w:b w:val="0"/>
        <w:i w:val="0"/>
        <w:sz w:val="24"/>
        <w:szCs w:val="24"/>
      </w:rPr>
    </w:lvl>
    <w:lvl w:ilvl="1" w:tplc="CE588550">
      <w:start w:val="1"/>
      <w:numFmt w:val="lowerLetter"/>
      <w:lvlText w:val="(%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C8AAA006">
      <w:start w:val="1"/>
      <w:numFmt w:val="upperLetter"/>
      <w:lvlText w:val="%3."/>
      <w:lvlJc w:val="left"/>
      <w:pPr>
        <w:ind w:left="3960" w:hanging="720"/>
      </w:pPr>
      <w:rPr>
        <w:rFonts w:hint="default"/>
      </w:rPr>
    </w:lvl>
    <w:lvl w:ilvl="3" w:tplc="0409000F" w:tentative="1">
      <w:start w:val="1"/>
      <w:numFmt w:val="decimal"/>
      <w:lvlText w:val="%4."/>
      <w:lvlJc w:val="left"/>
      <w:pPr>
        <w:ind w:left="414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5EB20DA8"/>
    <w:multiLevelType w:val="hybridMultilevel"/>
    <w:tmpl w:val="345E44F2"/>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579C6FDA">
      <w:start w:val="1"/>
      <w:numFmt w:val="lowerLetter"/>
      <w:lvlText w:val="（%5）"/>
      <w:lvlJc w:val="left"/>
      <w:pPr>
        <w:ind w:left="3240" w:hanging="360"/>
      </w:pPr>
      <w:rPr>
        <w:rFonts w:hint="default"/>
      </w:r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15:restartNumberingAfterBreak="0">
    <w:nsid w:val="63B859E9"/>
    <w:multiLevelType w:val="hybridMultilevel"/>
    <w:tmpl w:val="2DCE8958"/>
    <w:lvl w:ilvl="0" w:tplc="8C1443FA">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6242DF1"/>
    <w:multiLevelType w:val="hybridMultilevel"/>
    <w:tmpl w:val="200CC826"/>
    <w:lvl w:ilvl="0" w:tplc="D302A88C">
      <w:start w:val="1"/>
      <w:numFmt w:val="lowerLetter"/>
      <w:lvlText w:val="（%1）"/>
      <w:lvlJc w:val="left"/>
      <w:pPr>
        <w:ind w:left="1440" w:hanging="720"/>
      </w:pPr>
      <w:rPr>
        <w:rFonts w:ascii="SimSun" w:eastAsia="SimSun" w:hAnsi="SimSun" w:cs="Times New Roman"/>
        <w:color w:val="auto"/>
      </w:rPr>
    </w:lvl>
    <w:lvl w:ilvl="1" w:tplc="04090019">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31B2412"/>
    <w:multiLevelType w:val="hybridMultilevel"/>
    <w:tmpl w:val="5A1655A4"/>
    <w:lvl w:ilvl="0" w:tplc="CA40B0DC">
      <w:start w:val="1"/>
      <w:numFmt w:val="decimal"/>
      <w:lvlText w:val="%1."/>
      <w:lvlJc w:val="left"/>
      <w:pPr>
        <w:ind w:left="1632" w:hanging="360"/>
      </w:pPr>
      <w:rPr>
        <w:rFonts w:hint="default"/>
      </w:rPr>
    </w:lvl>
    <w:lvl w:ilvl="1" w:tplc="04090019" w:tentative="1">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28" w15:restartNumberingAfterBreak="0">
    <w:nsid w:val="7EBF4393"/>
    <w:multiLevelType w:val="hybridMultilevel"/>
    <w:tmpl w:val="E6561694"/>
    <w:lvl w:ilvl="0" w:tplc="A7F276BE">
      <w:start w:val="1"/>
      <w:numFmt w:val="decimal"/>
      <w:lvlText w:val="%1."/>
      <w:lvlJc w:val="left"/>
      <w:pPr>
        <w:ind w:left="2880" w:hanging="360"/>
      </w:pPr>
      <w:rPr>
        <w:rFonts w:ascii="Times New Roman" w:eastAsia="Times New Roman" w:hAnsi="Times New Roman" w:cs="Angsana New"/>
        <w:b w:val="0"/>
      </w:rPr>
    </w:lvl>
    <w:lvl w:ilvl="1" w:tplc="C72A3F32">
      <w:start w:val="1"/>
      <w:numFmt w:val="lowerLetter"/>
      <w:lvlText w:val="(%2)"/>
      <w:lvlJc w:val="left"/>
      <w:pPr>
        <w:ind w:left="3513" w:hanging="360"/>
      </w:pPr>
      <w:rPr>
        <w:rFonts w:hint="default"/>
      </w:rPr>
    </w:lvl>
    <w:lvl w:ilvl="2" w:tplc="1009001B">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num w:numId="1">
    <w:abstractNumId w:val="10"/>
  </w:num>
  <w:num w:numId="2">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lvl w:ilvl="1">
        <w:start w:val="1"/>
        <w:numFmt w:val="lowerLetter"/>
        <w:lvlText w:val="(%2)"/>
        <w:lvlJc w:val="left"/>
        <w:pPr>
          <w:tabs>
            <w:tab w:val="num" w:pos="1440"/>
          </w:tabs>
          <w:ind w:left="0" w:firstLine="720"/>
        </w:pPr>
        <w:rPr>
          <w:rFonts w:hint="default"/>
          <w:b w:val="0"/>
          <w:i w:val="0"/>
        </w:rPr>
      </w:lvl>
    </w:lvlOverride>
    <w:lvlOverride w:ilvl="2">
      <w:lvl w:ilvl="2">
        <w:start w:val="1"/>
        <w:numFmt w:val="lowerRoman"/>
        <w:pStyle w:val="Para3"/>
        <w:lvlText w:val="(%3)"/>
        <w:lvlJc w:val="right"/>
        <w:pPr>
          <w:tabs>
            <w:tab w:val="num" w:pos="1440"/>
          </w:tabs>
          <w:ind w:left="1440" w:hanging="360"/>
        </w:pPr>
        <w:rPr>
          <w:rFonts w:hint="default"/>
        </w:rPr>
      </w:lvl>
    </w:lvlOverride>
    <w:lvlOverride w:ilvl="3">
      <w:lvl w:ilvl="3">
        <w:start w:val="1"/>
        <w:numFmt w:val="bullet"/>
        <w:lvlText w:val=""/>
        <w:lvlJc w:val="left"/>
        <w:pPr>
          <w:tabs>
            <w:tab w:val="num" w:pos="2160"/>
          </w:tabs>
          <w:ind w:left="2160" w:hanging="720"/>
        </w:pPr>
        <w:rPr>
          <w:rFonts w:ascii="Symbol" w:hAnsi="Symbol" w:hint="default"/>
          <w:color w:val="auto"/>
          <w:sz w:val="28"/>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vertAlign w:val="baseline"/>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11"/>
  </w:num>
  <w:num w:numId="4">
    <w:abstractNumId w:val="13"/>
  </w:num>
  <w:num w:numId="5">
    <w:abstractNumId w:val="23"/>
    <w:lvlOverride w:ilvl="0">
      <w:lvl w:ilvl="0" w:tplc="226E457E">
        <w:start w:val="1"/>
        <w:numFmt w:val="decimal"/>
        <w:lvlText w:val="%1."/>
        <w:lvlJc w:val="left"/>
        <w:pPr>
          <w:ind w:left="720" w:hanging="360"/>
        </w:pPr>
        <w:rPr>
          <w:b w:val="0"/>
          <w:i w:val="0"/>
        </w:rPr>
      </w:lvl>
    </w:lvlOverride>
    <w:lvlOverride w:ilvl="1">
      <w:lvl w:ilvl="1" w:tplc="CE588550">
        <w:start w:val="1"/>
        <w:numFmt w:val="lowerLetter"/>
        <w:lvlText w:val="%1.%2."/>
        <w:lvlJc w:val="left"/>
        <w:pPr>
          <w:ind w:left="2700" w:hanging="360"/>
        </w:pPr>
        <w:rPr>
          <w:rFonts w:ascii="Times New Roman" w:hAnsi="Times New Roman"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6"/>
    <w:lvlOverride w:ilvl="0">
      <w:lvl w:ilvl="0" w:tplc="CCE0521C">
        <w:start w:val="1"/>
        <w:numFmt w:val="chineseCounting"/>
        <w:lvlText w:val="%1."/>
        <w:lvlJc w:val="left"/>
        <w:pPr>
          <w:ind w:left="1440" w:hanging="720"/>
        </w:pPr>
        <w:rPr>
          <w:rFonts w:ascii="SimHei" w:eastAsia="SimHei" w:hAnsi="SimHei" w:hint="default"/>
        </w:rPr>
      </w:lvl>
    </w:lvlOverride>
  </w:num>
  <w:num w:numId="7">
    <w:abstractNumId w:val="14"/>
    <w:lvlOverride w:ilvl="0">
      <w:lvl w:ilvl="0" w:tplc="8C1443FA">
        <w:start w:val="1"/>
        <w:numFmt w:val="upperLetter"/>
        <w:lvlText w:val="%1."/>
        <w:lvlJc w:val="left"/>
        <w:pPr>
          <w:ind w:left="1440" w:hanging="360"/>
        </w:pPr>
        <w:rPr>
          <w:rFonts w:hint="default"/>
          <w:b/>
        </w:rPr>
      </w:lvl>
    </w:lvlOverride>
  </w:num>
  <w:num w:numId="8">
    <w:abstractNumId w:val="25"/>
    <w:lvlOverride w:ilvl="0">
      <w:lvl w:ilvl="0" w:tplc="8C1443FA">
        <w:start w:val="1"/>
        <w:numFmt w:val="upperLetter"/>
        <w:lvlText w:val="%1."/>
        <w:lvlJc w:val="left"/>
        <w:pPr>
          <w:ind w:left="1440" w:hanging="360"/>
        </w:pPr>
        <w:rPr>
          <w:rFonts w:hint="default"/>
          <w:b/>
        </w:rPr>
      </w:lvl>
    </w:lvlOverride>
  </w:num>
  <w:num w:numId="9">
    <w:abstractNumId w:val="26"/>
  </w:num>
  <w:num w:numId="10">
    <w:abstractNumId w:val="7"/>
  </w:num>
  <w:num w:numId="11">
    <w:abstractNumId w:val="22"/>
  </w:num>
  <w:num w:numId="12">
    <w:abstractNumId w:val="17"/>
    <w:lvlOverride w:ilvl="0">
      <w:startOverride w:val="9"/>
      <w:lvl w:ilvl="0">
        <w:start w:val="9"/>
        <w:numFmt w:val="decimal"/>
        <w:pStyle w:val="Para1"/>
        <w:lvlText w:val=""/>
        <w:lvlJc w:val="left"/>
        <w:pPr>
          <w:ind w:left="0" w:firstLine="0"/>
        </w:pPr>
        <w:rPr>
          <w:rFonts w:ascii="Times New Roman" w:hAnsi="Times New Roman" w:cs="Times New Roman" w:hint="default"/>
          <w:b w:val="0"/>
          <w:i w:val="0"/>
          <w:sz w:val="22"/>
        </w:rPr>
      </w:lvl>
    </w:lvlOverride>
    <w:lvlOverride w:ilvl="1">
      <w:startOverride w:val="1"/>
      <w:lvl w:ilvl="1">
        <w:start w:val="1"/>
        <w:numFmt w:val="decimal"/>
        <w:lvlText w:val=""/>
        <w:lvlJc w:val="left"/>
      </w:lvl>
    </w:lvlOverride>
    <w:lvlOverride w:ilvl="2">
      <w:startOverride w:val="1"/>
      <w:lvl w:ilvl="2">
        <w:start w:val="1"/>
        <w:numFmt w:val="decimal"/>
        <w:pStyle w:val="Para3"/>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1.%2.%3.%4.%5.%6.%7."/>
        <w:lvlJc w:val="left"/>
        <w:pPr>
          <w:tabs>
            <w:tab w:val="num" w:pos="2520"/>
          </w:tabs>
          <w:ind w:left="2520" w:hanging="36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3">
    <w:abstractNumId w:val="2"/>
    <w:lvlOverride w:ilvl="0">
      <w:lvl w:ilvl="0" w:tplc="BA5AC640">
        <w:start w:val="1"/>
        <w:numFmt w:val="chineseCounting"/>
        <w:lvlText w:val="（%1）"/>
        <w:lvlJc w:val="left"/>
        <w:pPr>
          <w:ind w:left="720" w:hanging="360"/>
        </w:pPr>
        <w:rPr>
          <w:b w:val="0"/>
          <w:bCs w:val="0"/>
          <w:lang w:val="en-US"/>
        </w:rPr>
      </w:lvl>
    </w:lvlOverride>
    <w:lvlOverride w:ilvl="1">
      <w:lvl w:ilvl="1" w:tplc="04090003">
        <w:numFmt w:val="decimal"/>
        <w:lvlText w:val=""/>
        <w:lvlJc w:val="left"/>
      </w:lvl>
    </w:lvlOverride>
    <w:lvlOverride w:ilvl="2">
      <w:lvl w:ilvl="2" w:tplc="04090005">
        <w:numFmt w:val="decimal"/>
        <w:lvlText w:val=""/>
        <w:lvlJc w:val="left"/>
      </w:lvl>
    </w:lvlOverride>
    <w:lvlOverride w:ilvl="3">
      <w:lvl w:ilvl="3" w:tplc="04090001">
        <w:numFmt w:val="decimal"/>
        <w:lvlText w:val=""/>
        <w:lvlJc w:val="left"/>
      </w:lvl>
    </w:lvlOverride>
    <w:lvlOverride w:ilvl="4">
      <w:lvl w:ilvl="4" w:tplc="04090003">
        <w:numFmt w:val="decimal"/>
        <w:lvlText w:val=""/>
        <w:lvlJc w:val="left"/>
      </w:lvl>
    </w:lvlOverride>
    <w:lvlOverride w:ilvl="5">
      <w:lvl w:ilvl="5" w:tplc="04090005">
        <w:numFmt w:val="decimal"/>
        <w:lvlText w:val=""/>
        <w:lvlJc w:val="left"/>
      </w:lvl>
    </w:lvlOverride>
    <w:lvlOverride w:ilvl="6">
      <w:lvl w:ilvl="6" w:tplc="04090001">
        <w:numFmt w:val="decimal"/>
        <w:lvlText w:val=""/>
        <w:lvlJc w:val="left"/>
      </w:lvl>
    </w:lvlOverride>
    <w:lvlOverride w:ilvl="7">
      <w:lvl w:ilvl="7" w:tplc="04090003">
        <w:numFmt w:val="decimal"/>
        <w:lvlText w:val=""/>
        <w:lvlJc w:val="left"/>
      </w:lvl>
    </w:lvlOverride>
    <w:lvlOverride w:ilvl="8">
      <w:lvl w:ilvl="8" w:tplc="04090005">
        <w:numFmt w:val="decimal"/>
        <w:lvlText w:val=""/>
        <w:lvlJc w:val="left"/>
      </w:lvl>
    </w:lvlOverride>
  </w:num>
  <w:num w:numId="14">
    <w:abstractNumId w:val="8"/>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5">
    <w:abstractNumId w:val="18"/>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6">
    <w:abstractNumId w:val="5"/>
    <w:lvlOverride w:ilvl="0">
      <w:startOverride w:val="1"/>
      <w:lvl w:ilvl="0" w:tplc="1FC63770">
        <w:start w:val="1"/>
        <w:numFmt w:val="chineseCounting"/>
        <w:lvlText w:val="（%1）"/>
        <w:lvlJc w:val="left"/>
        <w:pPr>
          <w:ind w:left="72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7">
    <w:abstractNumId w:val="19"/>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8">
    <w:abstractNumId w:val="27"/>
    <w:lvlOverride w:ilvl="0">
      <w:startOverride w:val="1"/>
      <w:lvl w:ilvl="0" w:tplc="CA40B0DC">
        <w:start w:val="1"/>
        <w:numFmt w:val="decimal"/>
        <w:lvlText w:val="%1."/>
        <w:lvlJc w:val="left"/>
        <w:pPr>
          <w:ind w:left="1632" w:hanging="360"/>
        </w:p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19">
    <w:abstractNumId w:val="15"/>
    <w:lvlOverride w:ilvl="0">
      <w:startOverride w:val="1"/>
      <w:lvl w:ilvl="0" w:tplc="21AE84CA">
        <w:start w:val="1"/>
        <w:numFmt w:val="chineseCounting"/>
        <w:lvlText w:val="（%1）"/>
        <w:lvlJc w:val="left"/>
        <w:pPr>
          <w:ind w:left="1440" w:hanging="360"/>
        </w:pPr>
        <w:rPr>
          <w:b w:val="0"/>
          <w:bCs w:val="0"/>
        </w:rPr>
      </w:lvl>
    </w:lvlOverride>
    <w:lvlOverride w:ilvl="1">
      <w:startOverride w:val="1"/>
      <w:lvl w:ilvl="1" w:tplc="04090019">
        <w:start w:val="1"/>
        <w:numFmt w:val="decimal"/>
        <w:lvlText w:val=""/>
        <w:lvlJc w:val="left"/>
      </w:lvl>
    </w:lvlOverride>
    <w:lvlOverride w:ilvl="2">
      <w:startOverride w:val="1"/>
      <w:lvl w:ilvl="2" w:tplc="0409001B">
        <w:start w:val="1"/>
        <w:numFmt w:val="decimal"/>
        <w:lvlText w:val=""/>
        <w:lvlJc w:val="left"/>
      </w:lvl>
    </w:lvlOverride>
    <w:lvlOverride w:ilvl="3">
      <w:startOverride w:val="1"/>
      <w:lvl w:ilvl="3" w:tplc="0409000F">
        <w:start w:val="1"/>
        <w:numFmt w:val="decimal"/>
        <w:lvlText w:val=""/>
        <w:lvlJc w:val="left"/>
      </w:lvl>
    </w:lvlOverride>
    <w:lvlOverride w:ilvl="4">
      <w:startOverride w:val="1"/>
      <w:lvl w:ilvl="4" w:tplc="04090019">
        <w:start w:val="1"/>
        <w:numFmt w:val="decimal"/>
        <w:lvlText w:val=""/>
        <w:lvlJc w:val="left"/>
      </w:lvl>
    </w:lvlOverride>
    <w:lvlOverride w:ilvl="5">
      <w:startOverride w:val="1"/>
      <w:lvl w:ilvl="5" w:tplc="0409001B">
        <w:start w:val="1"/>
        <w:numFmt w:val="decimal"/>
        <w:lvlText w:val=""/>
        <w:lvlJc w:val="left"/>
      </w:lvl>
    </w:lvlOverride>
    <w:lvlOverride w:ilvl="6">
      <w:startOverride w:val="1"/>
      <w:lvl w:ilvl="6" w:tplc="0409000F">
        <w:start w:val="1"/>
        <w:numFmt w:val="decimal"/>
        <w:lvlText w:val=""/>
        <w:lvlJc w:val="left"/>
      </w:lvl>
    </w:lvlOverride>
    <w:lvlOverride w:ilvl="7">
      <w:startOverride w:val="1"/>
      <w:lvl w:ilvl="7" w:tplc="04090019">
        <w:start w:val="1"/>
        <w:numFmt w:val="decimal"/>
        <w:lvlText w:val=""/>
        <w:lvlJc w:val="left"/>
      </w:lvl>
    </w:lvlOverride>
    <w:lvlOverride w:ilvl="8">
      <w:startOverride w:val="1"/>
      <w:lvl w:ilvl="8" w:tplc="0409001B">
        <w:start w:val="1"/>
        <w:numFmt w:val="decimal"/>
        <w:lvlText w:val=""/>
        <w:lvlJc w:val="left"/>
      </w:lvl>
    </w:lvlOverride>
  </w:num>
  <w:num w:numId="20">
    <w:abstractNumId w:val="1"/>
  </w:num>
  <w:num w:numId="21">
    <w:abstractNumId w:val="3"/>
  </w:num>
  <w:num w:numId="22">
    <w:abstractNumId w:val="9"/>
  </w:num>
  <w:num w:numId="23">
    <w:abstractNumId w:val="23"/>
  </w:num>
  <w:num w:numId="24">
    <w:abstractNumId w:val="17"/>
  </w:num>
  <w:num w:numId="25">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6">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7">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8">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29">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0">
    <w:abstractNumId w:val="17"/>
    <w:lvlOverride w:ilvl="0">
      <w:lvl w:ilvl="0">
        <w:start w:val="9"/>
        <w:numFmt w:val="decimal"/>
        <w:pStyle w:val="Para1"/>
        <w:lvlText w:val="%1."/>
        <w:lvlJc w:val="left"/>
        <w:pPr>
          <w:tabs>
            <w:tab w:val="num" w:pos="360"/>
          </w:tabs>
          <w:ind w:left="0" w:firstLine="0"/>
        </w:pPr>
        <w:rPr>
          <w:rFonts w:ascii="Times New Roman" w:hAnsi="Times New Roman" w:hint="default"/>
          <w:b w:val="0"/>
          <w:i w:val="0"/>
          <w:sz w:val="24"/>
          <w:szCs w:val="24"/>
        </w:rPr>
      </w:lvl>
    </w:lvlOverride>
  </w:num>
  <w:num w:numId="31">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17"/>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4">
    <w:abstractNumId w:val="17"/>
    <w:lvlOverride w:ilvl="0">
      <w:startOverride w:val="8"/>
      <w:lvl w:ilvl="0">
        <w:start w:val="8"/>
        <w:numFmt w:val="decimal"/>
        <w:pStyle w:val="Para1"/>
        <w:lvlText w:val="%1."/>
        <w:lvlJc w:val="left"/>
        <w:pPr>
          <w:tabs>
            <w:tab w:val="num" w:pos="360"/>
          </w:tabs>
          <w:ind w:left="0" w:firstLine="0"/>
        </w:pPr>
        <w:rPr>
          <w:rFonts w:ascii="Times New Roman" w:hAnsi="Times New Roman" w:hint="default"/>
          <w:b w:val="0"/>
          <w:i w:val="0"/>
          <w:sz w:val="24"/>
          <w:szCs w:val="24"/>
        </w:rPr>
      </w:lvl>
    </w:lvlOverride>
    <w:lvlOverride w:ilvl="1">
      <w:startOverride w:val="1"/>
      <w:lvl w:ilvl="1">
        <w:start w:val="1"/>
        <w:numFmt w:val="lowerLetter"/>
        <w:lvlText w:val="(%2)"/>
        <w:lvlJc w:val="left"/>
        <w:pPr>
          <w:tabs>
            <w:tab w:val="num" w:pos="1440"/>
          </w:tabs>
          <w:ind w:left="0" w:firstLine="720"/>
        </w:pPr>
        <w:rPr>
          <w:rFonts w:hint="default"/>
          <w:b w:val="0"/>
          <w:i w:val="0"/>
        </w:rPr>
      </w:lvl>
    </w:lvlOverride>
    <w:lvlOverride w:ilvl="2">
      <w:startOverride w:val="1"/>
      <w:lvl w:ilvl="2">
        <w:start w:val="1"/>
        <w:numFmt w:val="lowerRoman"/>
        <w:pStyle w:val="Para3"/>
        <w:lvlText w:val="(%3)"/>
        <w:lvlJc w:val="right"/>
        <w:pPr>
          <w:tabs>
            <w:tab w:val="num" w:pos="1440"/>
          </w:tabs>
          <w:ind w:left="1440" w:hanging="360"/>
        </w:pPr>
        <w:rPr>
          <w:rFonts w:hint="default"/>
        </w:rPr>
      </w:lvl>
    </w:lvlOverride>
    <w:lvlOverride w:ilvl="3">
      <w:startOverride w:val="1"/>
      <w:lvl w:ilvl="3">
        <w:start w:val="1"/>
        <w:numFmt w:val="bullet"/>
        <w:lvlText w:val=""/>
        <w:lvlJc w:val="left"/>
        <w:pPr>
          <w:tabs>
            <w:tab w:val="num" w:pos="2160"/>
          </w:tabs>
          <w:ind w:left="2160" w:hanging="720"/>
        </w:pPr>
        <w:rPr>
          <w:rFonts w:ascii="Symbol" w:hAnsi="Symbol" w:hint="default"/>
          <w:color w:val="auto"/>
          <w:sz w:val="28"/>
        </w:rPr>
      </w:lvl>
    </w:lvlOverride>
    <w:lvlOverride w:ilvl="4">
      <w:startOverride w:val="1"/>
      <w:lvl w:ilvl="4">
        <w:start w:val="1"/>
        <w:numFmt w:val="lowerLetter"/>
        <w:lvlText w:val="(%5)"/>
        <w:lvlJc w:val="left"/>
        <w:pPr>
          <w:tabs>
            <w:tab w:val="num" w:pos="1800"/>
          </w:tabs>
          <w:ind w:left="1800" w:hanging="360"/>
        </w:pPr>
        <w:rPr>
          <w:rFonts w:hint="default"/>
        </w:rPr>
      </w:lvl>
    </w:lvlOverride>
    <w:lvlOverride w:ilvl="5">
      <w:startOverride w:val="1"/>
      <w:lvl w:ilvl="5">
        <w:start w:val="1"/>
        <w:numFmt w:val="lowerRoman"/>
        <w:lvlText w:val="(%6)"/>
        <w:lvlJc w:val="left"/>
        <w:pPr>
          <w:tabs>
            <w:tab w:val="num" w:pos="2160"/>
          </w:tabs>
          <w:ind w:left="2160" w:hanging="360"/>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35">
    <w:abstractNumId w:val="28"/>
  </w:num>
  <w:num w:numId="36">
    <w:abstractNumId w:val="12"/>
  </w:num>
  <w:num w:numId="3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21"/>
  </w:num>
  <w:num w:numId="40">
    <w:abstractNumId w:val="24"/>
  </w:num>
  <w:num w:numId="41">
    <w:abstractNumId w:val="0"/>
  </w:num>
  <w:num w:numId="42">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49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B3B"/>
    <w:rsid w:val="000013EE"/>
    <w:rsid w:val="00001E9B"/>
    <w:rsid w:val="00002720"/>
    <w:rsid w:val="00005867"/>
    <w:rsid w:val="00005F5E"/>
    <w:rsid w:val="0000643C"/>
    <w:rsid w:val="00010705"/>
    <w:rsid w:val="00011DAB"/>
    <w:rsid w:val="00013557"/>
    <w:rsid w:val="00013678"/>
    <w:rsid w:val="00017152"/>
    <w:rsid w:val="00020935"/>
    <w:rsid w:val="00020D62"/>
    <w:rsid w:val="000219AC"/>
    <w:rsid w:val="00026865"/>
    <w:rsid w:val="00031982"/>
    <w:rsid w:val="00031D24"/>
    <w:rsid w:val="000370ED"/>
    <w:rsid w:val="00037873"/>
    <w:rsid w:val="00041911"/>
    <w:rsid w:val="0004373B"/>
    <w:rsid w:val="00043EDC"/>
    <w:rsid w:val="0004575E"/>
    <w:rsid w:val="00045D2F"/>
    <w:rsid w:val="00045DE7"/>
    <w:rsid w:val="00051B7B"/>
    <w:rsid w:val="00054381"/>
    <w:rsid w:val="0005661D"/>
    <w:rsid w:val="000572CF"/>
    <w:rsid w:val="00057868"/>
    <w:rsid w:val="000610D0"/>
    <w:rsid w:val="00062CA7"/>
    <w:rsid w:val="000637EE"/>
    <w:rsid w:val="00065960"/>
    <w:rsid w:val="000664CC"/>
    <w:rsid w:val="000711E1"/>
    <w:rsid w:val="00071DD2"/>
    <w:rsid w:val="00073708"/>
    <w:rsid w:val="000742D2"/>
    <w:rsid w:val="0008364D"/>
    <w:rsid w:val="000875A9"/>
    <w:rsid w:val="0009121B"/>
    <w:rsid w:val="00091E31"/>
    <w:rsid w:val="000923EB"/>
    <w:rsid w:val="00093B8D"/>
    <w:rsid w:val="0009799C"/>
    <w:rsid w:val="000A0A84"/>
    <w:rsid w:val="000A317B"/>
    <w:rsid w:val="000B0595"/>
    <w:rsid w:val="000B0A66"/>
    <w:rsid w:val="000B2618"/>
    <w:rsid w:val="000B4DAB"/>
    <w:rsid w:val="000B603F"/>
    <w:rsid w:val="000B6C3F"/>
    <w:rsid w:val="000C0469"/>
    <w:rsid w:val="000C11C9"/>
    <w:rsid w:val="000C2F4E"/>
    <w:rsid w:val="000C33F6"/>
    <w:rsid w:val="000C37B2"/>
    <w:rsid w:val="000C39EC"/>
    <w:rsid w:val="000C5EBE"/>
    <w:rsid w:val="000D146A"/>
    <w:rsid w:val="000D4559"/>
    <w:rsid w:val="000E12D5"/>
    <w:rsid w:val="000E1D2D"/>
    <w:rsid w:val="000E235D"/>
    <w:rsid w:val="000E4188"/>
    <w:rsid w:val="000E637D"/>
    <w:rsid w:val="000E7C13"/>
    <w:rsid w:val="000E7E6A"/>
    <w:rsid w:val="000F0404"/>
    <w:rsid w:val="000F21A8"/>
    <w:rsid w:val="000F344A"/>
    <w:rsid w:val="000F367E"/>
    <w:rsid w:val="000F3AD4"/>
    <w:rsid w:val="000F4EFE"/>
    <w:rsid w:val="000F63AB"/>
    <w:rsid w:val="000F75F9"/>
    <w:rsid w:val="00103B8D"/>
    <w:rsid w:val="00104F98"/>
    <w:rsid w:val="0010557A"/>
    <w:rsid w:val="00107B25"/>
    <w:rsid w:val="00115171"/>
    <w:rsid w:val="001212DD"/>
    <w:rsid w:val="0012214B"/>
    <w:rsid w:val="00123D43"/>
    <w:rsid w:val="00124011"/>
    <w:rsid w:val="00130A14"/>
    <w:rsid w:val="00131311"/>
    <w:rsid w:val="00132089"/>
    <w:rsid w:val="00132818"/>
    <w:rsid w:val="00132E09"/>
    <w:rsid w:val="0013612B"/>
    <w:rsid w:val="00137A56"/>
    <w:rsid w:val="00141318"/>
    <w:rsid w:val="00143B01"/>
    <w:rsid w:val="00144B62"/>
    <w:rsid w:val="00144B80"/>
    <w:rsid w:val="00144EAF"/>
    <w:rsid w:val="00145190"/>
    <w:rsid w:val="001452ED"/>
    <w:rsid w:val="001560BA"/>
    <w:rsid w:val="00156AC5"/>
    <w:rsid w:val="00157A67"/>
    <w:rsid w:val="00165018"/>
    <w:rsid w:val="00166367"/>
    <w:rsid w:val="00166B3B"/>
    <w:rsid w:val="00170595"/>
    <w:rsid w:val="00170B17"/>
    <w:rsid w:val="0017211E"/>
    <w:rsid w:val="0017301A"/>
    <w:rsid w:val="00183FC9"/>
    <w:rsid w:val="001843FE"/>
    <w:rsid w:val="00187A77"/>
    <w:rsid w:val="00190430"/>
    <w:rsid w:val="001904CF"/>
    <w:rsid w:val="001920A1"/>
    <w:rsid w:val="00192566"/>
    <w:rsid w:val="00192A92"/>
    <w:rsid w:val="00192E06"/>
    <w:rsid w:val="001940F2"/>
    <w:rsid w:val="0019465C"/>
    <w:rsid w:val="00195A61"/>
    <w:rsid w:val="00196F64"/>
    <w:rsid w:val="001A01B3"/>
    <w:rsid w:val="001A1966"/>
    <w:rsid w:val="001A25C3"/>
    <w:rsid w:val="001A5072"/>
    <w:rsid w:val="001B0AC8"/>
    <w:rsid w:val="001B0D84"/>
    <w:rsid w:val="001B121D"/>
    <w:rsid w:val="001B3B34"/>
    <w:rsid w:val="001B4575"/>
    <w:rsid w:val="001B6AF8"/>
    <w:rsid w:val="001C2B68"/>
    <w:rsid w:val="001C4286"/>
    <w:rsid w:val="001C4520"/>
    <w:rsid w:val="001C461F"/>
    <w:rsid w:val="001C6EAC"/>
    <w:rsid w:val="001D0B88"/>
    <w:rsid w:val="001D1241"/>
    <w:rsid w:val="001D2356"/>
    <w:rsid w:val="001D25CE"/>
    <w:rsid w:val="001D42AE"/>
    <w:rsid w:val="001E0516"/>
    <w:rsid w:val="001E1A32"/>
    <w:rsid w:val="001E1D83"/>
    <w:rsid w:val="001E2919"/>
    <w:rsid w:val="001E2952"/>
    <w:rsid w:val="001E2CBD"/>
    <w:rsid w:val="001E5725"/>
    <w:rsid w:val="001E58ED"/>
    <w:rsid w:val="001E5986"/>
    <w:rsid w:val="001E75B3"/>
    <w:rsid w:val="001F08AB"/>
    <w:rsid w:val="001F42B1"/>
    <w:rsid w:val="001F6379"/>
    <w:rsid w:val="00200073"/>
    <w:rsid w:val="002002C9"/>
    <w:rsid w:val="002013A3"/>
    <w:rsid w:val="00204415"/>
    <w:rsid w:val="00204C75"/>
    <w:rsid w:val="00206672"/>
    <w:rsid w:val="00210CFC"/>
    <w:rsid w:val="00216B17"/>
    <w:rsid w:val="0022093C"/>
    <w:rsid w:val="00224221"/>
    <w:rsid w:val="00224535"/>
    <w:rsid w:val="00224AE7"/>
    <w:rsid w:val="00224B92"/>
    <w:rsid w:val="002253AB"/>
    <w:rsid w:val="00227E68"/>
    <w:rsid w:val="0023063F"/>
    <w:rsid w:val="00230B10"/>
    <w:rsid w:val="00232F0A"/>
    <w:rsid w:val="00233DFA"/>
    <w:rsid w:val="002357E1"/>
    <w:rsid w:val="002376DE"/>
    <w:rsid w:val="00241AB0"/>
    <w:rsid w:val="00243B3D"/>
    <w:rsid w:val="00246201"/>
    <w:rsid w:val="00247C90"/>
    <w:rsid w:val="00252897"/>
    <w:rsid w:val="00255836"/>
    <w:rsid w:val="00257555"/>
    <w:rsid w:val="002606BE"/>
    <w:rsid w:val="002609D0"/>
    <w:rsid w:val="002630FC"/>
    <w:rsid w:val="002649B3"/>
    <w:rsid w:val="00270C4B"/>
    <w:rsid w:val="002717A1"/>
    <w:rsid w:val="00271E07"/>
    <w:rsid w:val="00274AAE"/>
    <w:rsid w:val="00275FB2"/>
    <w:rsid w:val="00277B37"/>
    <w:rsid w:val="0028075B"/>
    <w:rsid w:val="00280855"/>
    <w:rsid w:val="0028094F"/>
    <w:rsid w:val="00282143"/>
    <w:rsid w:val="00284FC0"/>
    <w:rsid w:val="0028591A"/>
    <w:rsid w:val="00286FF8"/>
    <w:rsid w:val="00292D45"/>
    <w:rsid w:val="002957DF"/>
    <w:rsid w:val="002A0738"/>
    <w:rsid w:val="002A09E2"/>
    <w:rsid w:val="002A2773"/>
    <w:rsid w:val="002A29AA"/>
    <w:rsid w:val="002A46DC"/>
    <w:rsid w:val="002A520B"/>
    <w:rsid w:val="002A7DA1"/>
    <w:rsid w:val="002B0942"/>
    <w:rsid w:val="002B484E"/>
    <w:rsid w:val="002C48C8"/>
    <w:rsid w:val="002C4DA3"/>
    <w:rsid w:val="002C6375"/>
    <w:rsid w:val="002D3D45"/>
    <w:rsid w:val="002D7FCB"/>
    <w:rsid w:val="002E0017"/>
    <w:rsid w:val="002E0A6D"/>
    <w:rsid w:val="002E2463"/>
    <w:rsid w:val="002E723A"/>
    <w:rsid w:val="002F6791"/>
    <w:rsid w:val="003043FA"/>
    <w:rsid w:val="00307084"/>
    <w:rsid w:val="003070D6"/>
    <w:rsid w:val="00310F24"/>
    <w:rsid w:val="00311F28"/>
    <w:rsid w:val="0031440C"/>
    <w:rsid w:val="0031643A"/>
    <w:rsid w:val="003168D7"/>
    <w:rsid w:val="00320374"/>
    <w:rsid w:val="003209B9"/>
    <w:rsid w:val="003210FF"/>
    <w:rsid w:val="003244F8"/>
    <w:rsid w:val="00325DE3"/>
    <w:rsid w:val="003316B1"/>
    <w:rsid w:val="00332106"/>
    <w:rsid w:val="003342B8"/>
    <w:rsid w:val="00334FF2"/>
    <w:rsid w:val="00335F0D"/>
    <w:rsid w:val="00336766"/>
    <w:rsid w:val="00337817"/>
    <w:rsid w:val="00340B27"/>
    <w:rsid w:val="00341304"/>
    <w:rsid w:val="00343C42"/>
    <w:rsid w:val="00344622"/>
    <w:rsid w:val="003464F8"/>
    <w:rsid w:val="00350CD0"/>
    <w:rsid w:val="00351A78"/>
    <w:rsid w:val="00351BC1"/>
    <w:rsid w:val="003526C4"/>
    <w:rsid w:val="003569A3"/>
    <w:rsid w:val="00356FD8"/>
    <w:rsid w:val="00361998"/>
    <w:rsid w:val="0036711F"/>
    <w:rsid w:val="00373684"/>
    <w:rsid w:val="00374DC6"/>
    <w:rsid w:val="00381D56"/>
    <w:rsid w:val="00383BC0"/>
    <w:rsid w:val="003843F6"/>
    <w:rsid w:val="0039037F"/>
    <w:rsid w:val="00390DB9"/>
    <w:rsid w:val="00391523"/>
    <w:rsid w:val="00391E04"/>
    <w:rsid w:val="00392FA8"/>
    <w:rsid w:val="003960BD"/>
    <w:rsid w:val="00397D91"/>
    <w:rsid w:val="003A0475"/>
    <w:rsid w:val="003A1AF9"/>
    <w:rsid w:val="003A2A75"/>
    <w:rsid w:val="003A6B6D"/>
    <w:rsid w:val="003A7680"/>
    <w:rsid w:val="003A79C4"/>
    <w:rsid w:val="003B0CDF"/>
    <w:rsid w:val="003B10B9"/>
    <w:rsid w:val="003B1D9C"/>
    <w:rsid w:val="003B1F31"/>
    <w:rsid w:val="003B27E3"/>
    <w:rsid w:val="003B3DE7"/>
    <w:rsid w:val="003B433F"/>
    <w:rsid w:val="003C113F"/>
    <w:rsid w:val="003C1635"/>
    <w:rsid w:val="003C3BD9"/>
    <w:rsid w:val="003C417E"/>
    <w:rsid w:val="003C4859"/>
    <w:rsid w:val="003C4AF1"/>
    <w:rsid w:val="003D4408"/>
    <w:rsid w:val="003E2C7D"/>
    <w:rsid w:val="003E2DAE"/>
    <w:rsid w:val="003E483C"/>
    <w:rsid w:val="003E5934"/>
    <w:rsid w:val="003F0312"/>
    <w:rsid w:val="003F28AB"/>
    <w:rsid w:val="003F2D3B"/>
    <w:rsid w:val="003F2D9C"/>
    <w:rsid w:val="003F37FD"/>
    <w:rsid w:val="003F671F"/>
    <w:rsid w:val="003F6E44"/>
    <w:rsid w:val="003F7445"/>
    <w:rsid w:val="00401836"/>
    <w:rsid w:val="004018D8"/>
    <w:rsid w:val="004054C0"/>
    <w:rsid w:val="004054D4"/>
    <w:rsid w:val="00406BC6"/>
    <w:rsid w:val="00406DF9"/>
    <w:rsid w:val="00407174"/>
    <w:rsid w:val="004078FA"/>
    <w:rsid w:val="004103D0"/>
    <w:rsid w:val="00410798"/>
    <w:rsid w:val="0041108D"/>
    <w:rsid w:val="004157B3"/>
    <w:rsid w:val="00415CA0"/>
    <w:rsid w:val="004169BA"/>
    <w:rsid w:val="00416C32"/>
    <w:rsid w:val="00420503"/>
    <w:rsid w:val="00426A20"/>
    <w:rsid w:val="00434B3B"/>
    <w:rsid w:val="00434E9A"/>
    <w:rsid w:val="00435B76"/>
    <w:rsid w:val="00436397"/>
    <w:rsid w:val="004420C1"/>
    <w:rsid w:val="0044396B"/>
    <w:rsid w:val="00444161"/>
    <w:rsid w:val="0044424E"/>
    <w:rsid w:val="004458A6"/>
    <w:rsid w:val="00445FCF"/>
    <w:rsid w:val="00446236"/>
    <w:rsid w:val="00447127"/>
    <w:rsid w:val="00451271"/>
    <w:rsid w:val="004543E6"/>
    <w:rsid w:val="0045772C"/>
    <w:rsid w:val="00466441"/>
    <w:rsid w:val="00471224"/>
    <w:rsid w:val="00471EB0"/>
    <w:rsid w:val="00472421"/>
    <w:rsid w:val="00473E34"/>
    <w:rsid w:val="00476892"/>
    <w:rsid w:val="00477CCB"/>
    <w:rsid w:val="0048022E"/>
    <w:rsid w:val="00481D54"/>
    <w:rsid w:val="00482C33"/>
    <w:rsid w:val="0048315A"/>
    <w:rsid w:val="0048339E"/>
    <w:rsid w:val="00486312"/>
    <w:rsid w:val="00492C38"/>
    <w:rsid w:val="0049391A"/>
    <w:rsid w:val="00497427"/>
    <w:rsid w:val="004A04EA"/>
    <w:rsid w:val="004A12C3"/>
    <w:rsid w:val="004A1649"/>
    <w:rsid w:val="004A21AA"/>
    <w:rsid w:val="004A22C3"/>
    <w:rsid w:val="004A4F6C"/>
    <w:rsid w:val="004A4FA3"/>
    <w:rsid w:val="004A6ACC"/>
    <w:rsid w:val="004B597A"/>
    <w:rsid w:val="004B7E31"/>
    <w:rsid w:val="004C16E7"/>
    <w:rsid w:val="004C18F4"/>
    <w:rsid w:val="004C2E54"/>
    <w:rsid w:val="004C31E6"/>
    <w:rsid w:val="004C4DB6"/>
    <w:rsid w:val="004C61CD"/>
    <w:rsid w:val="004C7088"/>
    <w:rsid w:val="004D19C1"/>
    <w:rsid w:val="004D5CBE"/>
    <w:rsid w:val="004E26C0"/>
    <w:rsid w:val="004E3F33"/>
    <w:rsid w:val="004E586D"/>
    <w:rsid w:val="004F03A9"/>
    <w:rsid w:val="004F22A5"/>
    <w:rsid w:val="004F318E"/>
    <w:rsid w:val="004F5E7A"/>
    <w:rsid w:val="00500530"/>
    <w:rsid w:val="0050277B"/>
    <w:rsid w:val="005032C9"/>
    <w:rsid w:val="0050453C"/>
    <w:rsid w:val="00504604"/>
    <w:rsid w:val="00514A4B"/>
    <w:rsid w:val="00515EDC"/>
    <w:rsid w:val="005166F5"/>
    <w:rsid w:val="00516848"/>
    <w:rsid w:val="00516C26"/>
    <w:rsid w:val="0051703A"/>
    <w:rsid w:val="00523764"/>
    <w:rsid w:val="0052519F"/>
    <w:rsid w:val="00530692"/>
    <w:rsid w:val="005317B5"/>
    <w:rsid w:val="00533B9F"/>
    <w:rsid w:val="005421E3"/>
    <w:rsid w:val="00542A21"/>
    <w:rsid w:val="00543AA8"/>
    <w:rsid w:val="005440A6"/>
    <w:rsid w:val="00550572"/>
    <w:rsid w:val="00553685"/>
    <w:rsid w:val="00554A5F"/>
    <w:rsid w:val="00557993"/>
    <w:rsid w:val="00562D4E"/>
    <w:rsid w:val="00563086"/>
    <w:rsid w:val="00565E31"/>
    <w:rsid w:val="00566CD9"/>
    <w:rsid w:val="005703B4"/>
    <w:rsid w:val="00573244"/>
    <w:rsid w:val="00573EF3"/>
    <w:rsid w:val="00575717"/>
    <w:rsid w:val="00580C5C"/>
    <w:rsid w:val="005871CE"/>
    <w:rsid w:val="005878C2"/>
    <w:rsid w:val="00593B23"/>
    <w:rsid w:val="005955D2"/>
    <w:rsid w:val="00595BF6"/>
    <w:rsid w:val="00595E02"/>
    <w:rsid w:val="00596B95"/>
    <w:rsid w:val="005A260D"/>
    <w:rsid w:val="005A4284"/>
    <w:rsid w:val="005A42E5"/>
    <w:rsid w:val="005A5F96"/>
    <w:rsid w:val="005A6D19"/>
    <w:rsid w:val="005B25DD"/>
    <w:rsid w:val="005B2C17"/>
    <w:rsid w:val="005B2CEA"/>
    <w:rsid w:val="005B4A5E"/>
    <w:rsid w:val="005B4B67"/>
    <w:rsid w:val="005B57A2"/>
    <w:rsid w:val="005C391E"/>
    <w:rsid w:val="005C3A0B"/>
    <w:rsid w:val="005C3E49"/>
    <w:rsid w:val="005C52C5"/>
    <w:rsid w:val="005C7010"/>
    <w:rsid w:val="005D02BB"/>
    <w:rsid w:val="005D139C"/>
    <w:rsid w:val="005D2EDF"/>
    <w:rsid w:val="005D4442"/>
    <w:rsid w:val="005D4D0F"/>
    <w:rsid w:val="005E0489"/>
    <w:rsid w:val="005F47C3"/>
    <w:rsid w:val="005F4C74"/>
    <w:rsid w:val="005F4F31"/>
    <w:rsid w:val="005F7864"/>
    <w:rsid w:val="00600EC4"/>
    <w:rsid w:val="00601449"/>
    <w:rsid w:val="00602362"/>
    <w:rsid w:val="00602824"/>
    <w:rsid w:val="0060521B"/>
    <w:rsid w:val="006100CF"/>
    <w:rsid w:val="00614353"/>
    <w:rsid w:val="006175EB"/>
    <w:rsid w:val="006232D9"/>
    <w:rsid w:val="006260D5"/>
    <w:rsid w:val="00626C70"/>
    <w:rsid w:val="00627D89"/>
    <w:rsid w:val="00633308"/>
    <w:rsid w:val="00633F6A"/>
    <w:rsid w:val="006340A9"/>
    <w:rsid w:val="006357E1"/>
    <w:rsid w:val="006375F6"/>
    <w:rsid w:val="00644192"/>
    <w:rsid w:val="00646C8D"/>
    <w:rsid w:val="006507F2"/>
    <w:rsid w:val="00654F5C"/>
    <w:rsid w:val="00655B89"/>
    <w:rsid w:val="00662A84"/>
    <w:rsid w:val="00663E25"/>
    <w:rsid w:val="0066684C"/>
    <w:rsid w:val="006675B3"/>
    <w:rsid w:val="006744A3"/>
    <w:rsid w:val="00677812"/>
    <w:rsid w:val="00677DD4"/>
    <w:rsid w:val="006815F8"/>
    <w:rsid w:val="00681725"/>
    <w:rsid w:val="006819C8"/>
    <w:rsid w:val="00683109"/>
    <w:rsid w:val="00683593"/>
    <w:rsid w:val="00690847"/>
    <w:rsid w:val="0069413A"/>
    <w:rsid w:val="00696FA8"/>
    <w:rsid w:val="00697192"/>
    <w:rsid w:val="006A140B"/>
    <w:rsid w:val="006A5C3F"/>
    <w:rsid w:val="006A7F7E"/>
    <w:rsid w:val="006B074E"/>
    <w:rsid w:val="006B2BD5"/>
    <w:rsid w:val="006B2F37"/>
    <w:rsid w:val="006C0C1D"/>
    <w:rsid w:val="006D0CFD"/>
    <w:rsid w:val="006D0E3D"/>
    <w:rsid w:val="006D1596"/>
    <w:rsid w:val="006D3D19"/>
    <w:rsid w:val="006E114E"/>
    <w:rsid w:val="006E1D79"/>
    <w:rsid w:val="006F0398"/>
    <w:rsid w:val="006F0F2D"/>
    <w:rsid w:val="006F202C"/>
    <w:rsid w:val="006F284C"/>
    <w:rsid w:val="006F36E5"/>
    <w:rsid w:val="006F581C"/>
    <w:rsid w:val="006F61E8"/>
    <w:rsid w:val="006F6769"/>
    <w:rsid w:val="006F7227"/>
    <w:rsid w:val="006F7552"/>
    <w:rsid w:val="006F7969"/>
    <w:rsid w:val="006F7AD9"/>
    <w:rsid w:val="007007CD"/>
    <w:rsid w:val="007009E4"/>
    <w:rsid w:val="00702366"/>
    <w:rsid w:val="00702FD4"/>
    <w:rsid w:val="00703BC0"/>
    <w:rsid w:val="00706ABD"/>
    <w:rsid w:val="007076B0"/>
    <w:rsid w:val="00707844"/>
    <w:rsid w:val="00711A04"/>
    <w:rsid w:val="007136B3"/>
    <w:rsid w:val="007140C7"/>
    <w:rsid w:val="00714ABF"/>
    <w:rsid w:val="00716326"/>
    <w:rsid w:val="007163BC"/>
    <w:rsid w:val="00716B38"/>
    <w:rsid w:val="00722009"/>
    <w:rsid w:val="0072552F"/>
    <w:rsid w:val="00730AE3"/>
    <w:rsid w:val="00734AB0"/>
    <w:rsid w:val="00736BC2"/>
    <w:rsid w:val="00750FA9"/>
    <w:rsid w:val="00752987"/>
    <w:rsid w:val="007533F6"/>
    <w:rsid w:val="007542BD"/>
    <w:rsid w:val="007579CE"/>
    <w:rsid w:val="00760C27"/>
    <w:rsid w:val="00761D97"/>
    <w:rsid w:val="007655CF"/>
    <w:rsid w:val="00766F3C"/>
    <w:rsid w:val="0076758D"/>
    <w:rsid w:val="00767B7C"/>
    <w:rsid w:val="00767DCB"/>
    <w:rsid w:val="00771F17"/>
    <w:rsid w:val="007720A8"/>
    <w:rsid w:val="007739DB"/>
    <w:rsid w:val="00775FE8"/>
    <w:rsid w:val="00783339"/>
    <w:rsid w:val="00784386"/>
    <w:rsid w:val="0079325E"/>
    <w:rsid w:val="0079490C"/>
    <w:rsid w:val="00796443"/>
    <w:rsid w:val="00797CF0"/>
    <w:rsid w:val="007A550E"/>
    <w:rsid w:val="007A5546"/>
    <w:rsid w:val="007A5B09"/>
    <w:rsid w:val="007A6C74"/>
    <w:rsid w:val="007A72A5"/>
    <w:rsid w:val="007B1587"/>
    <w:rsid w:val="007B7D93"/>
    <w:rsid w:val="007C179E"/>
    <w:rsid w:val="007C1A4D"/>
    <w:rsid w:val="007C1BD6"/>
    <w:rsid w:val="007C34FD"/>
    <w:rsid w:val="007C47A2"/>
    <w:rsid w:val="007C5285"/>
    <w:rsid w:val="007C633B"/>
    <w:rsid w:val="007D12B7"/>
    <w:rsid w:val="007D1797"/>
    <w:rsid w:val="007D1B3E"/>
    <w:rsid w:val="007D3182"/>
    <w:rsid w:val="007D34AD"/>
    <w:rsid w:val="007D6697"/>
    <w:rsid w:val="007D6CF2"/>
    <w:rsid w:val="007D7138"/>
    <w:rsid w:val="007D73FC"/>
    <w:rsid w:val="007E048A"/>
    <w:rsid w:val="007E0C53"/>
    <w:rsid w:val="007E2ADE"/>
    <w:rsid w:val="007E53A2"/>
    <w:rsid w:val="007E5D4B"/>
    <w:rsid w:val="007E6238"/>
    <w:rsid w:val="007E656E"/>
    <w:rsid w:val="007F022A"/>
    <w:rsid w:val="007F0E04"/>
    <w:rsid w:val="007F77CD"/>
    <w:rsid w:val="008003E3"/>
    <w:rsid w:val="008014AD"/>
    <w:rsid w:val="00803872"/>
    <w:rsid w:val="00806ACF"/>
    <w:rsid w:val="00814290"/>
    <w:rsid w:val="00814959"/>
    <w:rsid w:val="0081602A"/>
    <w:rsid w:val="00816E3A"/>
    <w:rsid w:val="008246DC"/>
    <w:rsid w:val="00825524"/>
    <w:rsid w:val="00825A04"/>
    <w:rsid w:val="008274ED"/>
    <w:rsid w:val="00830293"/>
    <w:rsid w:val="0083211E"/>
    <w:rsid w:val="00832272"/>
    <w:rsid w:val="008338EB"/>
    <w:rsid w:val="00834BEC"/>
    <w:rsid w:val="008415DF"/>
    <w:rsid w:val="00843B6A"/>
    <w:rsid w:val="00843DB6"/>
    <w:rsid w:val="00844831"/>
    <w:rsid w:val="008505E9"/>
    <w:rsid w:val="00851F75"/>
    <w:rsid w:val="00853C19"/>
    <w:rsid w:val="00863ED9"/>
    <w:rsid w:val="0086619D"/>
    <w:rsid w:val="00867E87"/>
    <w:rsid w:val="00870D40"/>
    <w:rsid w:val="00870F6D"/>
    <w:rsid w:val="008716C9"/>
    <w:rsid w:val="008804F5"/>
    <w:rsid w:val="00881ED4"/>
    <w:rsid w:val="00884F3F"/>
    <w:rsid w:val="0088622C"/>
    <w:rsid w:val="008875F8"/>
    <w:rsid w:val="0089066C"/>
    <w:rsid w:val="0089439E"/>
    <w:rsid w:val="008944D3"/>
    <w:rsid w:val="00895B29"/>
    <w:rsid w:val="008A0D41"/>
    <w:rsid w:val="008A1F21"/>
    <w:rsid w:val="008A4044"/>
    <w:rsid w:val="008A4D26"/>
    <w:rsid w:val="008A693A"/>
    <w:rsid w:val="008B1B1A"/>
    <w:rsid w:val="008B2A12"/>
    <w:rsid w:val="008B3E81"/>
    <w:rsid w:val="008B5CF0"/>
    <w:rsid w:val="008C013C"/>
    <w:rsid w:val="008C1E35"/>
    <w:rsid w:val="008C5E8E"/>
    <w:rsid w:val="008C615D"/>
    <w:rsid w:val="008C6F8C"/>
    <w:rsid w:val="008D1D4B"/>
    <w:rsid w:val="008D240A"/>
    <w:rsid w:val="008D368A"/>
    <w:rsid w:val="008D5AA2"/>
    <w:rsid w:val="008D5C03"/>
    <w:rsid w:val="008E33A9"/>
    <w:rsid w:val="008E3C06"/>
    <w:rsid w:val="008E55BF"/>
    <w:rsid w:val="008E56D5"/>
    <w:rsid w:val="008E5F84"/>
    <w:rsid w:val="008E7500"/>
    <w:rsid w:val="008F077B"/>
    <w:rsid w:val="008F335F"/>
    <w:rsid w:val="008F3D91"/>
    <w:rsid w:val="008F6CC7"/>
    <w:rsid w:val="008F71BE"/>
    <w:rsid w:val="00900C97"/>
    <w:rsid w:val="0090179E"/>
    <w:rsid w:val="009043B7"/>
    <w:rsid w:val="00904AC8"/>
    <w:rsid w:val="0090549C"/>
    <w:rsid w:val="009067F8"/>
    <w:rsid w:val="00910836"/>
    <w:rsid w:val="00915BFA"/>
    <w:rsid w:val="0092128A"/>
    <w:rsid w:val="00922EAD"/>
    <w:rsid w:val="00923203"/>
    <w:rsid w:val="00926BA4"/>
    <w:rsid w:val="009275D4"/>
    <w:rsid w:val="0092794B"/>
    <w:rsid w:val="00942FA3"/>
    <w:rsid w:val="00944CBD"/>
    <w:rsid w:val="009507C0"/>
    <w:rsid w:val="00953856"/>
    <w:rsid w:val="009554D5"/>
    <w:rsid w:val="00955A9A"/>
    <w:rsid w:val="00955B3F"/>
    <w:rsid w:val="00962552"/>
    <w:rsid w:val="009643F2"/>
    <w:rsid w:val="00973608"/>
    <w:rsid w:val="0097536F"/>
    <w:rsid w:val="0097761E"/>
    <w:rsid w:val="00984116"/>
    <w:rsid w:val="00987EDC"/>
    <w:rsid w:val="00991CCB"/>
    <w:rsid w:val="009933D3"/>
    <w:rsid w:val="009948C3"/>
    <w:rsid w:val="00994E63"/>
    <w:rsid w:val="009979C9"/>
    <w:rsid w:val="009A1362"/>
    <w:rsid w:val="009A1FDE"/>
    <w:rsid w:val="009A24F5"/>
    <w:rsid w:val="009A4ED6"/>
    <w:rsid w:val="009A6574"/>
    <w:rsid w:val="009B02CB"/>
    <w:rsid w:val="009B0BFD"/>
    <w:rsid w:val="009B0E43"/>
    <w:rsid w:val="009B23C9"/>
    <w:rsid w:val="009B4447"/>
    <w:rsid w:val="009B5E1D"/>
    <w:rsid w:val="009B76F7"/>
    <w:rsid w:val="009C11EB"/>
    <w:rsid w:val="009C1510"/>
    <w:rsid w:val="009D0EF6"/>
    <w:rsid w:val="009D10F1"/>
    <w:rsid w:val="009D2853"/>
    <w:rsid w:val="009D2F92"/>
    <w:rsid w:val="009D3FEF"/>
    <w:rsid w:val="009D59AB"/>
    <w:rsid w:val="009E000A"/>
    <w:rsid w:val="009E03C9"/>
    <w:rsid w:val="009E1159"/>
    <w:rsid w:val="009E2B79"/>
    <w:rsid w:val="009E2FB1"/>
    <w:rsid w:val="009E4226"/>
    <w:rsid w:val="009E4284"/>
    <w:rsid w:val="009F02AC"/>
    <w:rsid w:val="009F16AD"/>
    <w:rsid w:val="009F396B"/>
    <w:rsid w:val="00A01E70"/>
    <w:rsid w:val="00A037C2"/>
    <w:rsid w:val="00A03DDF"/>
    <w:rsid w:val="00A07623"/>
    <w:rsid w:val="00A10051"/>
    <w:rsid w:val="00A1125D"/>
    <w:rsid w:val="00A124D0"/>
    <w:rsid w:val="00A127A0"/>
    <w:rsid w:val="00A14C2D"/>
    <w:rsid w:val="00A16267"/>
    <w:rsid w:val="00A20F36"/>
    <w:rsid w:val="00A221E7"/>
    <w:rsid w:val="00A23BEE"/>
    <w:rsid w:val="00A306E7"/>
    <w:rsid w:val="00A30DAD"/>
    <w:rsid w:val="00A35C45"/>
    <w:rsid w:val="00A35D77"/>
    <w:rsid w:val="00A40BBC"/>
    <w:rsid w:val="00A40F2F"/>
    <w:rsid w:val="00A427A6"/>
    <w:rsid w:val="00A42EFD"/>
    <w:rsid w:val="00A44094"/>
    <w:rsid w:val="00A450E6"/>
    <w:rsid w:val="00A45C7A"/>
    <w:rsid w:val="00A47018"/>
    <w:rsid w:val="00A50BA1"/>
    <w:rsid w:val="00A511ED"/>
    <w:rsid w:val="00A52A47"/>
    <w:rsid w:val="00A561CE"/>
    <w:rsid w:val="00A63CAC"/>
    <w:rsid w:val="00A64784"/>
    <w:rsid w:val="00A675E3"/>
    <w:rsid w:val="00A73784"/>
    <w:rsid w:val="00A75B7F"/>
    <w:rsid w:val="00A7642E"/>
    <w:rsid w:val="00A856B3"/>
    <w:rsid w:val="00A86726"/>
    <w:rsid w:val="00A90F3A"/>
    <w:rsid w:val="00A914C1"/>
    <w:rsid w:val="00A91BDF"/>
    <w:rsid w:val="00A942AB"/>
    <w:rsid w:val="00A97126"/>
    <w:rsid w:val="00AA014E"/>
    <w:rsid w:val="00AA08CC"/>
    <w:rsid w:val="00AA1D4D"/>
    <w:rsid w:val="00AA2F16"/>
    <w:rsid w:val="00AA4C1F"/>
    <w:rsid w:val="00AB309E"/>
    <w:rsid w:val="00AB3646"/>
    <w:rsid w:val="00AB45CF"/>
    <w:rsid w:val="00AB65A5"/>
    <w:rsid w:val="00AB7075"/>
    <w:rsid w:val="00AC1E69"/>
    <w:rsid w:val="00AC2249"/>
    <w:rsid w:val="00AC6A4A"/>
    <w:rsid w:val="00AC756F"/>
    <w:rsid w:val="00AD1432"/>
    <w:rsid w:val="00AD1935"/>
    <w:rsid w:val="00AD3D90"/>
    <w:rsid w:val="00AE04A4"/>
    <w:rsid w:val="00AE392C"/>
    <w:rsid w:val="00AE581C"/>
    <w:rsid w:val="00AE5C45"/>
    <w:rsid w:val="00AE64AD"/>
    <w:rsid w:val="00AE6B9E"/>
    <w:rsid w:val="00AE75F3"/>
    <w:rsid w:val="00AF0234"/>
    <w:rsid w:val="00AF5873"/>
    <w:rsid w:val="00AF75FD"/>
    <w:rsid w:val="00B03192"/>
    <w:rsid w:val="00B04E6C"/>
    <w:rsid w:val="00B05542"/>
    <w:rsid w:val="00B06399"/>
    <w:rsid w:val="00B06A66"/>
    <w:rsid w:val="00B12E58"/>
    <w:rsid w:val="00B12ED9"/>
    <w:rsid w:val="00B16EE9"/>
    <w:rsid w:val="00B17122"/>
    <w:rsid w:val="00B212C3"/>
    <w:rsid w:val="00B21B70"/>
    <w:rsid w:val="00B21F68"/>
    <w:rsid w:val="00B23D3E"/>
    <w:rsid w:val="00B24F57"/>
    <w:rsid w:val="00B271A0"/>
    <w:rsid w:val="00B31342"/>
    <w:rsid w:val="00B3235B"/>
    <w:rsid w:val="00B3299A"/>
    <w:rsid w:val="00B34140"/>
    <w:rsid w:val="00B34A8D"/>
    <w:rsid w:val="00B353EF"/>
    <w:rsid w:val="00B466D8"/>
    <w:rsid w:val="00B5281D"/>
    <w:rsid w:val="00B56B11"/>
    <w:rsid w:val="00B57BA9"/>
    <w:rsid w:val="00B57C6F"/>
    <w:rsid w:val="00B60156"/>
    <w:rsid w:val="00B61E6D"/>
    <w:rsid w:val="00B62F23"/>
    <w:rsid w:val="00B645BE"/>
    <w:rsid w:val="00B674EB"/>
    <w:rsid w:val="00B7140B"/>
    <w:rsid w:val="00B72A0C"/>
    <w:rsid w:val="00B738E5"/>
    <w:rsid w:val="00B745DA"/>
    <w:rsid w:val="00B75591"/>
    <w:rsid w:val="00B77697"/>
    <w:rsid w:val="00B83484"/>
    <w:rsid w:val="00B83DEE"/>
    <w:rsid w:val="00B85D7D"/>
    <w:rsid w:val="00B85F9B"/>
    <w:rsid w:val="00B860E0"/>
    <w:rsid w:val="00B9604D"/>
    <w:rsid w:val="00B97B20"/>
    <w:rsid w:val="00BA1498"/>
    <w:rsid w:val="00BA3233"/>
    <w:rsid w:val="00BA326C"/>
    <w:rsid w:val="00BA4A85"/>
    <w:rsid w:val="00BA59D9"/>
    <w:rsid w:val="00BB1F75"/>
    <w:rsid w:val="00BB6713"/>
    <w:rsid w:val="00BC2BE4"/>
    <w:rsid w:val="00BC515E"/>
    <w:rsid w:val="00BC52CC"/>
    <w:rsid w:val="00BC572A"/>
    <w:rsid w:val="00BC5861"/>
    <w:rsid w:val="00BC5BDC"/>
    <w:rsid w:val="00BC62E8"/>
    <w:rsid w:val="00BD16EA"/>
    <w:rsid w:val="00BD20F4"/>
    <w:rsid w:val="00BD34AD"/>
    <w:rsid w:val="00BD4807"/>
    <w:rsid w:val="00BE09FB"/>
    <w:rsid w:val="00BE0DCB"/>
    <w:rsid w:val="00BE37A4"/>
    <w:rsid w:val="00BE45DE"/>
    <w:rsid w:val="00BE639D"/>
    <w:rsid w:val="00BF5279"/>
    <w:rsid w:val="00BF5C53"/>
    <w:rsid w:val="00BF604D"/>
    <w:rsid w:val="00C05456"/>
    <w:rsid w:val="00C076A9"/>
    <w:rsid w:val="00C12211"/>
    <w:rsid w:val="00C12D21"/>
    <w:rsid w:val="00C1436B"/>
    <w:rsid w:val="00C15BBB"/>
    <w:rsid w:val="00C16064"/>
    <w:rsid w:val="00C20201"/>
    <w:rsid w:val="00C221C8"/>
    <w:rsid w:val="00C31687"/>
    <w:rsid w:val="00C31FC0"/>
    <w:rsid w:val="00C330A6"/>
    <w:rsid w:val="00C35048"/>
    <w:rsid w:val="00C37FF1"/>
    <w:rsid w:val="00C417E0"/>
    <w:rsid w:val="00C4771B"/>
    <w:rsid w:val="00C507CD"/>
    <w:rsid w:val="00C539C8"/>
    <w:rsid w:val="00C54866"/>
    <w:rsid w:val="00C56052"/>
    <w:rsid w:val="00C65342"/>
    <w:rsid w:val="00C659EC"/>
    <w:rsid w:val="00C727E0"/>
    <w:rsid w:val="00C73C34"/>
    <w:rsid w:val="00C73FBD"/>
    <w:rsid w:val="00C7483F"/>
    <w:rsid w:val="00C762A3"/>
    <w:rsid w:val="00C800CD"/>
    <w:rsid w:val="00C8213D"/>
    <w:rsid w:val="00C8580B"/>
    <w:rsid w:val="00C85867"/>
    <w:rsid w:val="00C862DC"/>
    <w:rsid w:val="00C878DC"/>
    <w:rsid w:val="00C9036D"/>
    <w:rsid w:val="00C912FE"/>
    <w:rsid w:val="00C928AB"/>
    <w:rsid w:val="00C937CC"/>
    <w:rsid w:val="00C95819"/>
    <w:rsid w:val="00C9616D"/>
    <w:rsid w:val="00C96D7A"/>
    <w:rsid w:val="00C9730D"/>
    <w:rsid w:val="00C978EB"/>
    <w:rsid w:val="00C97E6C"/>
    <w:rsid w:val="00CA31EB"/>
    <w:rsid w:val="00CA3B00"/>
    <w:rsid w:val="00CA5C1F"/>
    <w:rsid w:val="00CA6B87"/>
    <w:rsid w:val="00CB2C31"/>
    <w:rsid w:val="00CB6137"/>
    <w:rsid w:val="00CB7A8D"/>
    <w:rsid w:val="00CC1B9E"/>
    <w:rsid w:val="00CC2031"/>
    <w:rsid w:val="00CC4568"/>
    <w:rsid w:val="00CD0B2A"/>
    <w:rsid w:val="00CD1171"/>
    <w:rsid w:val="00CD1852"/>
    <w:rsid w:val="00CD4612"/>
    <w:rsid w:val="00CE041E"/>
    <w:rsid w:val="00CE0A4C"/>
    <w:rsid w:val="00CE1C7F"/>
    <w:rsid w:val="00CE3D5B"/>
    <w:rsid w:val="00CE51C3"/>
    <w:rsid w:val="00CE75F6"/>
    <w:rsid w:val="00CF32C0"/>
    <w:rsid w:val="00CF3B46"/>
    <w:rsid w:val="00CF4F69"/>
    <w:rsid w:val="00D00045"/>
    <w:rsid w:val="00D00E4A"/>
    <w:rsid w:val="00D02FE1"/>
    <w:rsid w:val="00D0722D"/>
    <w:rsid w:val="00D10677"/>
    <w:rsid w:val="00D154DB"/>
    <w:rsid w:val="00D16BE9"/>
    <w:rsid w:val="00D17082"/>
    <w:rsid w:val="00D207D6"/>
    <w:rsid w:val="00D20A9C"/>
    <w:rsid w:val="00D228D0"/>
    <w:rsid w:val="00D22AE8"/>
    <w:rsid w:val="00D24A7A"/>
    <w:rsid w:val="00D256F3"/>
    <w:rsid w:val="00D257C8"/>
    <w:rsid w:val="00D25E5F"/>
    <w:rsid w:val="00D25F7F"/>
    <w:rsid w:val="00D27843"/>
    <w:rsid w:val="00D36334"/>
    <w:rsid w:val="00D40D00"/>
    <w:rsid w:val="00D432AD"/>
    <w:rsid w:val="00D44818"/>
    <w:rsid w:val="00D4634E"/>
    <w:rsid w:val="00D47036"/>
    <w:rsid w:val="00D5077D"/>
    <w:rsid w:val="00D51069"/>
    <w:rsid w:val="00D523D3"/>
    <w:rsid w:val="00D53181"/>
    <w:rsid w:val="00D531ED"/>
    <w:rsid w:val="00D5336D"/>
    <w:rsid w:val="00D547BF"/>
    <w:rsid w:val="00D56FF7"/>
    <w:rsid w:val="00D60FF2"/>
    <w:rsid w:val="00D6656A"/>
    <w:rsid w:val="00D6696B"/>
    <w:rsid w:val="00D6696E"/>
    <w:rsid w:val="00D75DE7"/>
    <w:rsid w:val="00D76C2E"/>
    <w:rsid w:val="00D77EC5"/>
    <w:rsid w:val="00D80989"/>
    <w:rsid w:val="00D83E59"/>
    <w:rsid w:val="00D84110"/>
    <w:rsid w:val="00D843E3"/>
    <w:rsid w:val="00D84C99"/>
    <w:rsid w:val="00D86581"/>
    <w:rsid w:val="00D86E76"/>
    <w:rsid w:val="00D93E85"/>
    <w:rsid w:val="00D94350"/>
    <w:rsid w:val="00D9537D"/>
    <w:rsid w:val="00DA44B8"/>
    <w:rsid w:val="00DA5525"/>
    <w:rsid w:val="00DA78A8"/>
    <w:rsid w:val="00DB295E"/>
    <w:rsid w:val="00DB6A2C"/>
    <w:rsid w:val="00DC320A"/>
    <w:rsid w:val="00DC5315"/>
    <w:rsid w:val="00DD130B"/>
    <w:rsid w:val="00DD3428"/>
    <w:rsid w:val="00DD348A"/>
    <w:rsid w:val="00DD5231"/>
    <w:rsid w:val="00DD52CC"/>
    <w:rsid w:val="00DD6010"/>
    <w:rsid w:val="00DE0C78"/>
    <w:rsid w:val="00DE133B"/>
    <w:rsid w:val="00DE308B"/>
    <w:rsid w:val="00DF0982"/>
    <w:rsid w:val="00DF43EC"/>
    <w:rsid w:val="00DF5E37"/>
    <w:rsid w:val="00DF69FE"/>
    <w:rsid w:val="00DF7489"/>
    <w:rsid w:val="00E00772"/>
    <w:rsid w:val="00E00B35"/>
    <w:rsid w:val="00E02C3B"/>
    <w:rsid w:val="00E02E61"/>
    <w:rsid w:val="00E11394"/>
    <w:rsid w:val="00E11723"/>
    <w:rsid w:val="00E13592"/>
    <w:rsid w:val="00E13F7F"/>
    <w:rsid w:val="00E14E45"/>
    <w:rsid w:val="00E158E7"/>
    <w:rsid w:val="00E20D23"/>
    <w:rsid w:val="00E22B51"/>
    <w:rsid w:val="00E22EA8"/>
    <w:rsid w:val="00E23068"/>
    <w:rsid w:val="00E24176"/>
    <w:rsid w:val="00E3120A"/>
    <w:rsid w:val="00E35C97"/>
    <w:rsid w:val="00E362C9"/>
    <w:rsid w:val="00E36E0B"/>
    <w:rsid w:val="00E37A7A"/>
    <w:rsid w:val="00E37D36"/>
    <w:rsid w:val="00E44571"/>
    <w:rsid w:val="00E464F5"/>
    <w:rsid w:val="00E47630"/>
    <w:rsid w:val="00E55B3B"/>
    <w:rsid w:val="00E55E6A"/>
    <w:rsid w:val="00E55E91"/>
    <w:rsid w:val="00E56E08"/>
    <w:rsid w:val="00E57DE3"/>
    <w:rsid w:val="00E57E51"/>
    <w:rsid w:val="00E65724"/>
    <w:rsid w:val="00E65D0F"/>
    <w:rsid w:val="00E7044B"/>
    <w:rsid w:val="00E719DE"/>
    <w:rsid w:val="00E751E6"/>
    <w:rsid w:val="00E75EE9"/>
    <w:rsid w:val="00E76C71"/>
    <w:rsid w:val="00E77BA2"/>
    <w:rsid w:val="00E80F12"/>
    <w:rsid w:val="00E814DA"/>
    <w:rsid w:val="00E844E8"/>
    <w:rsid w:val="00E84847"/>
    <w:rsid w:val="00E861BC"/>
    <w:rsid w:val="00E8625D"/>
    <w:rsid w:val="00E86EDC"/>
    <w:rsid w:val="00E95BBB"/>
    <w:rsid w:val="00E96810"/>
    <w:rsid w:val="00EA23D0"/>
    <w:rsid w:val="00EA2557"/>
    <w:rsid w:val="00EA4BA5"/>
    <w:rsid w:val="00EA69F8"/>
    <w:rsid w:val="00EA7098"/>
    <w:rsid w:val="00EA7525"/>
    <w:rsid w:val="00EB097A"/>
    <w:rsid w:val="00EB1D44"/>
    <w:rsid w:val="00EB2FF8"/>
    <w:rsid w:val="00EB366E"/>
    <w:rsid w:val="00EB5724"/>
    <w:rsid w:val="00EB6EBA"/>
    <w:rsid w:val="00EC0891"/>
    <w:rsid w:val="00EC1BC4"/>
    <w:rsid w:val="00EC232D"/>
    <w:rsid w:val="00EC2720"/>
    <w:rsid w:val="00EC2ECD"/>
    <w:rsid w:val="00EC3B91"/>
    <w:rsid w:val="00EC5FD1"/>
    <w:rsid w:val="00EC60C2"/>
    <w:rsid w:val="00ED2325"/>
    <w:rsid w:val="00ED743E"/>
    <w:rsid w:val="00EE1BDB"/>
    <w:rsid w:val="00EE51DB"/>
    <w:rsid w:val="00EE7871"/>
    <w:rsid w:val="00EE7915"/>
    <w:rsid w:val="00EF65A5"/>
    <w:rsid w:val="00EF6AAF"/>
    <w:rsid w:val="00EF6CE0"/>
    <w:rsid w:val="00EF6F4B"/>
    <w:rsid w:val="00F00905"/>
    <w:rsid w:val="00F02169"/>
    <w:rsid w:val="00F03E95"/>
    <w:rsid w:val="00F043C2"/>
    <w:rsid w:val="00F05D98"/>
    <w:rsid w:val="00F06129"/>
    <w:rsid w:val="00F13863"/>
    <w:rsid w:val="00F13DC0"/>
    <w:rsid w:val="00F14485"/>
    <w:rsid w:val="00F1690C"/>
    <w:rsid w:val="00F16F02"/>
    <w:rsid w:val="00F17852"/>
    <w:rsid w:val="00F22BB2"/>
    <w:rsid w:val="00F23A2C"/>
    <w:rsid w:val="00F2577C"/>
    <w:rsid w:val="00F26504"/>
    <w:rsid w:val="00F26A60"/>
    <w:rsid w:val="00F31355"/>
    <w:rsid w:val="00F342F9"/>
    <w:rsid w:val="00F35D4B"/>
    <w:rsid w:val="00F362FE"/>
    <w:rsid w:val="00F40BCE"/>
    <w:rsid w:val="00F465B6"/>
    <w:rsid w:val="00F46634"/>
    <w:rsid w:val="00F47301"/>
    <w:rsid w:val="00F5040B"/>
    <w:rsid w:val="00F507D4"/>
    <w:rsid w:val="00F52D99"/>
    <w:rsid w:val="00F53787"/>
    <w:rsid w:val="00F55355"/>
    <w:rsid w:val="00F562FE"/>
    <w:rsid w:val="00F574FC"/>
    <w:rsid w:val="00F57A42"/>
    <w:rsid w:val="00F61957"/>
    <w:rsid w:val="00F63685"/>
    <w:rsid w:val="00F64CB9"/>
    <w:rsid w:val="00F67181"/>
    <w:rsid w:val="00F70600"/>
    <w:rsid w:val="00F72E8D"/>
    <w:rsid w:val="00F746E2"/>
    <w:rsid w:val="00F74851"/>
    <w:rsid w:val="00F759F8"/>
    <w:rsid w:val="00F760F1"/>
    <w:rsid w:val="00F77628"/>
    <w:rsid w:val="00F838DD"/>
    <w:rsid w:val="00F862BB"/>
    <w:rsid w:val="00F91F34"/>
    <w:rsid w:val="00F91F4A"/>
    <w:rsid w:val="00F946F4"/>
    <w:rsid w:val="00F953FA"/>
    <w:rsid w:val="00FA0306"/>
    <w:rsid w:val="00FA1118"/>
    <w:rsid w:val="00FA170D"/>
    <w:rsid w:val="00FA20EA"/>
    <w:rsid w:val="00FA34BE"/>
    <w:rsid w:val="00FA4156"/>
    <w:rsid w:val="00FA4766"/>
    <w:rsid w:val="00FA5DC0"/>
    <w:rsid w:val="00FA6B08"/>
    <w:rsid w:val="00FB365E"/>
    <w:rsid w:val="00FB7042"/>
    <w:rsid w:val="00FC3FA4"/>
    <w:rsid w:val="00FC6159"/>
    <w:rsid w:val="00FD061C"/>
    <w:rsid w:val="00FD0B96"/>
    <w:rsid w:val="00FD410E"/>
    <w:rsid w:val="00FD417E"/>
    <w:rsid w:val="00FD6EE8"/>
    <w:rsid w:val="00FE2515"/>
    <w:rsid w:val="00FF165D"/>
    <w:rsid w:val="00FF1BF6"/>
    <w:rsid w:val="00FF218B"/>
    <w:rsid w:val="00FF5003"/>
    <w:rsid w:val="00FF5BB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28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4AD"/>
    <w:pPr>
      <w:spacing w:after="120" w:line="280" w:lineRule="exact"/>
      <w:jc w:val="both"/>
    </w:pPr>
    <w:rPr>
      <w:sz w:val="21"/>
      <w:szCs w:val="10"/>
      <w:lang w:val="en-US" w:eastAsia="zh-CN"/>
    </w:rPr>
  </w:style>
  <w:style w:type="paragraph" w:styleId="Heading1">
    <w:name w:val="heading 1"/>
    <w:basedOn w:val="Normal"/>
    <w:next w:val="Heading2"/>
    <w:link w:val="Heading1Char"/>
    <w:qFormat/>
    <w:pPr>
      <w:keepNext/>
      <w:tabs>
        <w:tab w:val="left" w:pos="720"/>
      </w:tabs>
      <w:spacing w:before="240"/>
      <w:jc w:val="center"/>
      <w:outlineLvl w:val="0"/>
    </w:pPr>
    <w:rPr>
      <w:b/>
      <w:caps/>
    </w:rPr>
  </w:style>
  <w:style w:type="paragraph" w:styleId="Heading2">
    <w:name w:val="heading 2"/>
    <w:basedOn w:val="Normal"/>
    <w:next w:val="Normal"/>
    <w:link w:val="Heading2Char"/>
    <w:qFormat/>
    <w:rsid w:val="00E55B3B"/>
    <w:pPr>
      <w:keepNext/>
      <w:tabs>
        <w:tab w:val="left" w:pos="720"/>
      </w:tabs>
      <w:spacing w:before="120"/>
      <w:jc w:val="center"/>
      <w:outlineLvl w:val="1"/>
    </w:pPr>
    <w:rPr>
      <w:b/>
      <w:bCs/>
      <w:iCs/>
    </w:rPr>
  </w:style>
  <w:style w:type="paragraph" w:styleId="Heading3">
    <w:name w:val="heading 3"/>
    <w:basedOn w:val="Normal"/>
    <w:next w:val="Normal"/>
    <w:qFormat/>
    <w:pPr>
      <w:keepNext/>
      <w:tabs>
        <w:tab w:val="left" w:pos="567"/>
      </w:tabs>
      <w:spacing w:before="120"/>
      <w:jc w:val="center"/>
      <w:outlineLvl w:val="2"/>
    </w:pPr>
    <w:rPr>
      <w:i/>
      <w:iCs/>
    </w:rPr>
  </w:style>
  <w:style w:type="paragraph" w:styleId="Heading4">
    <w:name w:val="heading 4"/>
    <w:basedOn w:val="Normal"/>
    <w:qFormat/>
    <w:pPr>
      <w:keepNext/>
      <w:spacing w:before="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eastAsia="PMingLiU"/>
      <w:noProof/>
      <w:sz w:val="18"/>
    </w:rPr>
  </w:style>
  <w:style w:type="paragraph" w:styleId="Footer">
    <w:name w:val="footer"/>
    <w:basedOn w:val="Normal"/>
    <w:pPr>
      <w:tabs>
        <w:tab w:val="center" w:pos="4320"/>
        <w:tab w:val="right" w:pos="8640"/>
      </w:tabs>
      <w:ind w:firstLine="720"/>
      <w:jc w:val="right"/>
    </w:pPr>
    <w:rPr>
      <w:rFonts w:eastAsia="PMingLiU"/>
      <w:b/>
      <w:noProof/>
      <w:sz w:val="17"/>
    </w:rPr>
  </w:style>
  <w:style w:type="paragraph" w:customStyle="1" w:styleId="Para1">
    <w:name w:val="Para1"/>
    <w:basedOn w:val="Normal"/>
    <w:link w:val="Para1Char"/>
    <w:rsid w:val="00F13DC0"/>
    <w:pPr>
      <w:numPr>
        <w:numId w:val="2"/>
      </w:numPr>
      <w:spacing w:before="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link w:val="FootnoteTextChar"/>
    <w:uiPriority w:val="99"/>
    <w:qFormat/>
    <w:rsid w:val="00AE64AD"/>
    <w:pPr>
      <w:keepLines/>
      <w:spacing w:line="210" w:lineRule="exact"/>
      <w:ind w:left="475" w:hanging="475"/>
    </w:pPr>
    <w:rPr>
      <w:rFonts w:ascii="SimSun" w:hAnsi="SimSun"/>
      <w:noProof/>
      <w:spacing w:val="5"/>
      <w:w w:val="104"/>
      <w:kern w:val="14"/>
    </w:rPr>
  </w:style>
  <w:style w:type="paragraph" w:styleId="BodyText">
    <w:name w:val="Body Text"/>
    <w:basedOn w:val="Normal"/>
    <w:pPr>
      <w:spacing w:before="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rFonts w:ascii="Times New Roman" w:eastAsia="SimSun" w:hAnsi="Times New Roman"/>
      <w:sz w:val="6"/>
    </w:rPr>
  </w:style>
  <w:style w:type="paragraph" w:styleId="CommentText">
    <w:name w:val="annotation text"/>
    <w:basedOn w:val="Normal"/>
    <w:link w:val="CommentTextChar"/>
    <w:semiHidden/>
    <w:pPr>
      <w:spacing w:line="240" w:lineRule="exact"/>
    </w:pPr>
  </w:style>
  <w:style w:type="paragraph" w:styleId="BodyTextIndent">
    <w:name w:val="Body Text Indent"/>
    <w:basedOn w:val="Normal"/>
    <w:pPr>
      <w:spacing w:before="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jc w:val="center"/>
    </w:pPr>
    <w:rPr>
      <w:b/>
      <w:bCs/>
      <w:caps/>
    </w:rPr>
  </w:style>
  <w:style w:type="paragraph" w:customStyle="1" w:styleId="para4">
    <w:name w:val="para4"/>
    <w:basedOn w:val="Normal"/>
    <w:pPr>
      <w:numPr>
        <w:ilvl w:val="3"/>
        <w:numId w:val="4"/>
      </w:numPr>
      <w:overflowPunct w:val="0"/>
      <w:autoSpaceDE w:val="0"/>
      <w:autoSpaceDN w:val="0"/>
      <w:adjustRightInd w:val="0"/>
      <w:spacing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2"/>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uiPriority w:val="39"/>
    <w:semiHidden/>
    <w:pPr>
      <w:spacing w:before="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ind w:left="660"/>
      <w:jc w:val="left"/>
    </w:pPr>
  </w:style>
  <w:style w:type="paragraph" w:styleId="TOC5">
    <w:name w:val="toc 5"/>
    <w:basedOn w:val="Normal"/>
    <w:next w:val="Normal"/>
    <w:autoRedefine/>
    <w:semiHidden/>
    <w:pPr>
      <w:spacing w:before="120"/>
      <w:ind w:left="880"/>
      <w:jc w:val="left"/>
    </w:pPr>
  </w:style>
  <w:style w:type="paragraph" w:styleId="TOC6">
    <w:name w:val="toc 6"/>
    <w:basedOn w:val="Normal"/>
    <w:next w:val="Normal"/>
    <w:autoRedefine/>
    <w:semiHidden/>
    <w:pPr>
      <w:spacing w:before="120"/>
      <w:ind w:left="1100"/>
      <w:jc w:val="left"/>
    </w:pPr>
  </w:style>
  <w:style w:type="paragraph" w:styleId="TOC7">
    <w:name w:val="toc 7"/>
    <w:basedOn w:val="Normal"/>
    <w:next w:val="Normal"/>
    <w:autoRedefine/>
    <w:semiHidden/>
    <w:pPr>
      <w:spacing w:before="120"/>
      <w:ind w:left="1320"/>
      <w:jc w:val="left"/>
    </w:pPr>
  </w:style>
  <w:style w:type="paragraph" w:styleId="TOC8">
    <w:name w:val="toc 8"/>
    <w:basedOn w:val="Normal"/>
    <w:next w:val="Normal"/>
    <w:autoRedefine/>
    <w:semiHidden/>
    <w:pPr>
      <w:spacing w:before="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rFonts w:ascii="Times New Roman" w:eastAsia="SimSun" w:hAnsi="Times New Roman"/>
      <w:color w:val="000000"/>
      <w:spacing w:val="-7"/>
      <w:w w:val="130"/>
      <w:position w:val="-4"/>
      <w:vertAlign w:val="superscript"/>
    </w:rPr>
  </w:style>
  <w:style w:type="paragraph" w:styleId="EndnoteText">
    <w:name w:val="endnote text"/>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AE64AD"/>
    <w:rPr>
      <w:rFonts w:ascii="SimSun" w:hAnsi="SimSun"/>
      <w:noProof/>
      <w:spacing w:val="5"/>
      <w:w w:val="104"/>
      <w:kern w:val="14"/>
    </w:rPr>
  </w:style>
  <w:style w:type="paragraph" w:customStyle="1" w:styleId="decision">
    <w:name w:val="decision"/>
    <w:basedOn w:val="Normal"/>
    <w:qFormat/>
    <w:rsid w:val="00406BC6"/>
    <w:pPr>
      <w:keepNext/>
      <w:spacing w:before="24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eastAsia="en-US"/>
    </w:rPr>
  </w:style>
  <w:style w:type="character" w:styleId="PlaceholderText">
    <w:name w:val="Placeholder Text"/>
    <w:uiPriority w:val="67"/>
    <w:rsid w:val="00073708"/>
    <w:rPr>
      <w:color w:val="808080"/>
    </w:rPr>
  </w:style>
  <w:style w:type="paragraph" w:styleId="ListParagraph">
    <w:name w:val="List Paragraph"/>
    <w:basedOn w:val="Normal"/>
    <w:link w:val="ListParagraphChar"/>
    <w:uiPriority w:val="34"/>
    <w:qFormat/>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paragraph" w:styleId="PlainText">
    <w:name w:val="Plain Text"/>
    <w:basedOn w:val="Normal"/>
    <w:link w:val="PlainTextChar"/>
    <w:uiPriority w:val="99"/>
    <w:unhideWhenUsed/>
    <w:rsid w:val="00AD3D90"/>
    <w:pPr>
      <w:jc w:val="left"/>
    </w:pPr>
    <w:rPr>
      <w:rFonts w:ascii="Calibri" w:eastAsia="Calibri" w:hAnsi="Calibri"/>
      <w:szCs w:val="21"/>
    </w:rPr>
  </w:style>
  <w:style w:type="character" w:customStyle="1" w:styleId="PlainTextChar">
    <w:name w:val="Plain Text Char"/>
    <w:link w:val="PlainText"/>
    <w:uiPriority w:val="99"/>
    <w:rsid w:val="00AD3D90"/>
    <w:rPr>
      <w:rFonts w:ascii="Calibri" w:eastAsia="Calibri" w:hAnsi="Calibri"/>
      <w:sz w:val="22"/>
      <w:szCs w:val="21"/>
      <w:lang w:val="en-US"/>
    </w:rPr>
  </w:style>
  <w:style w:type="paragraph" w:styleId="BodyText2">
    <w:name w:val="Body Text 2"/>
    <w:basedOn w:val="Normal"/>
    <w:link w:val="BodyText2Char"/>
    <w:uiPriority w:val="99"/>
    <w:semiHidden/>
    <w:unhideWhenUsed/>
    <w:rsid w:val="00A561CE"/>
    <w:pPr>
      <w:spacing w:line="480" w:lineRule="auto"/>
    </w:pPr>
  </w:style>
  <w:style w:type="character" w:customStyle="1" w:styleId="BodyText2Char">
    <w:name w:val="Body Text 2 Char"/>
    <w:link w:val="BodyText2"/>
    <w:uiPriority w:val="99"/>
    <w:semiHidden/>
    <w:rsid w:val="00A561CE"/>
    <w:rPr>
      <w:sz w:val="22"/>
      <w:szCs w:val="24"/>
      <w:lang w:val="en-GB"/>
    </w:rPr>
  </w:style>
  <w:style w:type="table" w:styleId="TableGrid">
    <w:name w:val="Table Grid"/>
    <w:basedOn w:val="TableNormal"/>
    <w:uiPriority w:val="59"/>
    <w:rsid w:val="00595E02"/>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9036D"/>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AE64AD"/>
    <w:rPr>
      <w:rFonts w:ascii="Times New Roman" w:eastAsia="SimSun" w:hAnsi="Times New Roman"/>
      <w:caps w:val="0"/>
      <w:smallCaps w:val="0"/>
      <w:strike w:val="0"/>
      <w:dstrike w:val="0"/>
      <w:vanish w:val="0"/>
      <w:sz w:val="24"/>
      <w:u w:val="none"/>
      <w:vertAlign w:val="superscript"/>
    </w:rPr>
  </w:style>
  <w:style w:type="character" w:customStyle="1" w:styleId="Para1Char">
    <w:name w:val="Para1 Char"/>
    <w:link w:val="Para1"/>
    <w:locked/>
    <w:rsid w:val="000C37B2"/>
    <w:rPr>
      <w:snapToGrid w:val="0"/>
      <w:sz w:val="21"/>
      <w:szCs w:val="18"/>
      <w:lang w:val="en-US" w:eastAsia="zh-CN"/>
    </w:rPr>
  </w:style>
  <w:style w:type="character" w:styleId="Emphasis">
    <w:name w:val="Emphasis"/>
    <w:uiPriority w:val="20"/>
    <w:qFormat/>
    <w:rsid w:val="000C37B2"/>
    <w:rPr>
      <w:i/>
      <w:iCs/>
    </w:rPr>
  </w:style>
  <w:style w:type="paragraph" w:customStyle="1" w:styleId="Default">
    <w:name w:val="Default"/>
    <w:rsid w:val="000C37B2"/>
    <w:pPr>
      <w:widowControl w:val="0"/>
      <w:autoSpaceDE w:val="0"/>
      <w:autoSpaceDN w:val="0"/>
      <w:adjustRightInd w:val="0"/>
    </w:pPr>
    <w:rPr>
      <w:rFonts w:eastAsia="Malgun Gothic"/>
      <w:color w:val="000000"/>
      <w:sz w:val="24"/>
      <w:szCs w:val="24"/>
      <w:lang w:val="en-US" w:eastAsia="en-US"/>
    </w:rPr>
  </w:style>
  <w:style w:type="character" w:customStyle="1" w:styleId="ListParagraphChar">
    <w:name w:val="List Paragraph Char"/>
    <w:link w:val="ListParagraph"/>
    <w:uiPriority w:val="34"/>
    <w:rsid w:val="00716326"/>
    <w:rPr>
      <w:sz w:val="22"/>
      <w:szCs w:val="24"/>
      <w:lang w:val="en-GB" w:eastAsia="en-US"/>
    </w:rPr>
  </w:style>
  <w:style w:type="character" w:customStyle="1" w:styleId="StyleFootnoteReferencenumberFootnoteReferenceSuperscript-EF">
    <w:name w:val="Style Footnote ReferencenumberFootnote Reference Superscript-E F..."/>
    <w:rsid w:val="00716326"/>
    <w:rPr>
      <w:rFonts w:ascii="Times New Roman" w:hAnsi="Times New Roman"/>
      <w:sz w:val="22"/>
      <w:u w:val="none"/>
      <w:vertAlign w:val="superscript"/>
    </w:rPr>
  </w:style>
  <w:style w:type="character" w:styleId="Strong">
    <w:name w:val="Strong"/>
    <w:uiPriority w:val="22"/>
    <w:qFormat/>
    <w:rsid w:val="00716326"/>
    <w:rPr>
      <w:b/>
      <w:bCs/>
    </w:rPr>
  </w:style>
  <w:style w:type="character" w:customStyle="1" w:styleId="Heading2Char">
    <w:name w:val="Heading 2 Char"/>
    <w:link w:val="Heading2"/>
    <w:rsid w:val="00A942AB"/>
    <w:rPr>
      <w:b/>
      <w:bCs/>
      <w:iCs/>
      <w:sz w:val="22"/>
      <w:szCs w:val="24"/>
      <w:lang w:val="en-GB" w:eastAsia="en-US"/>
    </w:rPr>
  </w:style>
  <w:style w:type="character" w:customStyle="1" w:styleId="UnresolvedMention1">
    <w:name w:val="Unresolved Mention1"/>
    <w:basedOn w:val="DefaultParagraphFont"/>
    <w:uiPriority w:val="99"/>
    <w:semiHidden/>
    <w:unhideWhenUsed/>
    <w:rsid w:val="00DC320A"/>
    <w:rPr>
      <w:color w:val="605E5C"/>
      <w:shd w:val="clear" w:color="auto" w:fill="E1DFDD"/>
    </w:rPr>
  </w:style>
  <w:style w:type="table" w:customStyle="1" w:styleId="TableGrid2">
    <w:name w:val="Table Grid2"/>
    <w:basedOn w:val="TableNormal"/>
    <w:next w:val="TableGrid"/>
    <w:uiPriority w:val="59"/>
    <w:rsid w:val="00091E31"/>
    <w:rPr>
      <w:rFonts w:ascii="Cambria" w:eastAsia="MS Mincho" w:hAnsi="Cambria"/>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12C3"/>
    <w:rPr>
      <w:b/>
      <w:caps/>
      <w:sz w:val="22"/>
      <w:szCs w:val="24"/>
      <w:lang w:val="en-GB" w:eastAsia="en-US"/>
    </w:rPr>
  </w:style>
  <w:style w:type="character" w:customStyle="1" w:styleId="UnresolvedMention2">
    <w:name w:val="Unresolved Mention2"/>
    <w:basedOn w:val="DefaultParagraphFont"/>
    <w:uiPriority w:val="99"/>
    <w:semiHidden/>
    <w:unhideWhenUsed/>
    <w:rsid w:val="00D53181"/>
    <w:rPr>
      <w:color w:val="605E5C"/>
      <w:shd w:val="clear" w:color="auto" w:fill="E1DFDD"/>
    </w:rPr>
  </w:style>
  <w:style w:type="character" w:customStyle="1" w:styleId="1">
    <w:name w:val="未处理的提及1"/>
    <w:basedOn w:val="DefaultParagraphFont"/>
    <w:uiPriority w:val="99"/>
    <w:semiHidden/>
    <w:unhideWhenUsed/>
    <w:rsid w:val="00206672"/>
    <w:rPr>
      <w:color w:val="605E5C"/>
      <w:shd w:val="clear" w:color="auto" w:fill="E1DFDD"/>
    </w:rPr>
  </w:style>
  <w:style w:type="character" w:customStyle="1" w:styleId="2">
    <w:name w:val="未处理的提及2"/>
    <w:basedOn w:val="DefaultParagraphFont"/>
    <w:uiPriority w:val="99"/>
    <w:rsid w:val="00E00772"/>
    <w:rPr>
      <w:color w:val="605E5C"/>
      <w:shd w:val="clear" w:color="auto" w:fill="E1DFDD"/>
    </w:rPr>
  </w:style>
  <w:style w:type="character" w:customStyle="1" w:styleId="qowt-font6-simsun">
    <w:name w:val="qowt-font6-simsun"/>
    <w:basedOn w:val="DefaultParagraphFont"/>
    <w:rsid w:val="00DE0C78"/>
  </w:style>
  <w:style w:type="character" w:customStyle="1" w:styleId="qowt-font7-simsun">
    <w:name w:val="qowt-font7-simsun"/>
    <w:basedOn w:val="DefaultParagraphFont"/>
    <w:rsid w:val="00257555"/>
  </w:style>
  <w:style w:type="character" w:customStyle="1" w:styleId="qowt-font8-kaiti">
    <w:name w:val="qowt-font8-kaiti"/>
    <w:basedOn w:val="DefaultParagraphFont"/>
    <w:rsid w:val="00275FB2"/>
  </w:style>
  <w:style w:type="character" w:customStyle="1" w:styleId="Para1Char1">
    <w:name w:val="Para1 Char1"/>
    <w:locked/>
    <w:rsid w:val="00CE75F6"/>
    <w:rPr>
      <w:snapToGrid w:val="0"/>
      <w:sz w:val="24"/>
      <w:szCs w:val="18"/>
    </w:rPr>
  </w:style>
  <w:style w:type="character" w:styleId="UnresolvedMention">
    <w:name w:val="Unresolved Mention"/>
    <w:basedOn w:val="DefaultParagraphFont"/>
    <w:uiPriority w:val="99"/>
    <w:semiHidden/>
    <w:unhideWhenUsed/>
    <w:rsid w:val="00FA20EA"/>
    <w:rPr>
      <w:color w:val="605E5C"/>
      <w:shd w:val="clear" w:color="auto" w:fill="E1DFDD"/>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1E1D83"/>
    <w:pPr>
      <w:spacing w:after="160" w:line="240" w:lineRule="exact"/>
      <w:jc w:val="left"/>
    </w:pPr>
    <w:rPr>
      <w:sz w:val="24"/>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223">
      <w:bodyDiv w:val="1"/>
      <w:marLeft w:val="0"/>
      <w:marRight w:val="0"/>
      <w:marTop w:val="0"/>
      <w:marBottom w:val="0"/>
      <w:divBdr>
        <w:top w:val="none" w:sz="0" w:space="0" w:color="auto"/>
        <w:left w:val="none" w:sz="0" w:space="0" w:color="auto"/>
        <w:bottom w:val="none" w:sz="0" w:space="0" w:color="auto"/>
        <w:right w:val="none" w:sz="0" w:space="0" w:color="auto"/>
      </w:divBdr>
    </w:div>
    <w:div w:id="135805531">
      <w:bodyDiv w:val="1"/>
      <w:marLeft w:val="0"/>
      <w:marRight w:val="0"/>
      <w:marTop w:val="0"/>
      <w:marBottom w:val="0"/>
      <w:divBdr>
        <w:top w:val="none" w:sz="0" w:space="0" w:color="auto"/>
        <w:left w:val="none" w:sz="0" w:space="0" w:color="auto"/>
        <w:bottom w:val="none" w:sz="0" w:space="0" w:color="auto"/>
        <w:right w:val="none" w:sz="0" w:space="0" w:color="auto"/>
      </w:divBdr>
    </w:div>
    <w:div w:id="153835685">
      <w:bodyDiv w:val="1"/>
      <w:marLeft w:val="0"/>
      <w:marRight w:val="0"/>
      <w:marTop w:val="0"/>
      <w:marBottom w:val="0"/>
      <w:divBdr>
        <w:top w:val="none" w:sz="0" w:space="0" w:color="auto"/>
        <w:left w:val="none" w:sz="0" w:space="0" w:color="auto"/>
        <w:bottom w:val="none" w:sz="0" w:space="0" w:color="auto"/>
        <w:right w:val="none" w:sz="0" w:space="0" w:color="auto"/>
      </w:divBdr>
    </w:div>
    <w:div w:id="178933207">
      <w:bodyDiv w:val="1"/>
      <w:marLeft w:val="0"/>
      <w:marRight w:val="0"/>
      <w:marTop w:val="0"/>
      <w:marBottom w:val="0"/>
      <w:divBdr>
        <w:top w:val="none" w:sz="0" w:space="0" w:color="auto"/>
        <w:left w:val="none" w:sz="0" w:space="0" w:color="auto"/>
        <w:bottom w:val="none" w:sz="0" w:space="0" w:color="auto"/>
        <w:right w:val="none" w:sz="0" w:space="0" w:color="auto"/>
      </w:divBdr>
    </w:div>
    <w:div w:id="191496624">
      <w:bodyDiv w:val="1"/>
      <w:marLeft w:val="0"/>
      <w:marRight w:val="0"/>
      <w:marTop w:val="0"/>
      <w:marBottom w:val="0"/>
      <w:divBdr>
        <w:top w:val="none" w:sz="0" w:space="0" w:color="auto"/>
        <w:left w:val="none" w:sz="0" w:space="0" w:color="auto"/>
        <w:bottom w:val="none" w:sz="0" w:space="0" w:color="auto"/>
        <w:right w:val="none" w:sz="0" w:space="0" w:color="auto"/>
      </w:divBdr>
    </w:div>
    <w:div w:id="299848022">
      <w:bodyDiv w:val="1"/>
      <w:marLeft w:val="0"/>
      <w:marRight w:val="0"/>
      <w:marTop w:val="0"/>
      <w:marBottom w:val="0"/>
      <w:divBdr>
        <w:top w:val="none" w:sz="0" w:space="0" w:color="auto"/>
        <w:left w:val="none" w:sz="0" w:space="0" w:color="auto"/>
        <w:bottom w:val="none" w:sz="0" w:space="0" w:color="auto"/>
        <w:right w:val="none" w:sz="0" w:space="0" w:color="auto"/>
      </w:divBdr>
    </w:div>
    <w:div w:id="399518567">
      <w:bodyDiv w:val="1"/>
      <w:marLeft w:val="0"/>
      <w:marRight w:val="0"/>
      <w:marTop w:val="0"/>
      <w:marBottom w:val="0"/>
      <w:divBdr>
        <w:top w:val="none" w:sz="0" w:space="0" w:color="auto"/>
        <w:left w:val="none" w:sz="0" w:space="0" w:color="auto"/>
        <w:bottom w:val="none" w:sz="0" w:space="0" w:color="auto"/>
        <w:right w:val="none" w:sz="0" w:space="0" w:color="auto"/>
      </w:divBdr>
    </w:div>
    <w:div w:id="848176962">
      <w:bodyDiv w:val="1"/>
      <w:marLeft w:val="0"/>
      <w:marRight w:val="0"/>
      <w:marTop w:val="0"/>
      <w:marBottom w:val="0"/>
      <w:divBdr>
        <w:top w:val="none" w:sz="0" w:space="0" w:color="auto"/>
        <w:left w:val="none" w:sz="0" w:space="0" w:color="auto"/>
        <w:bottom w:val="none" w:sz="0" w:space="0" w:color="auto"/>
        <w:right w:val="none" w:sz="0" w:space="0" w:color="auto"/>
      </w:divBdr>
    </w:div>
    <w:div w:id="852718996">
      <w:bodyDiv w:val="1"/>
      <w:marLeft w:val="0"/>
      <w:marRight w:val="0"/>
      <w:marTop w:val="0"/>
      <w:marBottom w:val="0"/>
      <w:divBdr>
        <w:top w:val="none" w:sz="0" w:space="0" w:color="auto"/>
        <w:left w:val="none" w:sz="0" w:space="0" w:color="auto"/>
        <w:bottom w:val="none" w:sz="0" w:space="0" w:color="auto"/>
        <w:right w:val="none" w:sz="0" w:space="0" w:color="auto"/>
      </w:divBdr>
    </w:div>
    <w:div w:id="916668427">
      <w:bodyDiv w:val="1"/>
      <w:marLeft w:val="0"/>
      <w:marRight w:val="0"/>
      <w:marTop w:val="0"/>
      <w:marBottom w:val="0"/>
      <w:divBdr>
        <w:top w:val="none" w:sz="0" w:space="0" w:color="auto"/>
        <w:left w:val="none" w:sz="0" w:space="0" w:color="auto"/>
        <w:bottom w:val="none" w:sz="0" w:space="0" w:color="auto"/>
        <w:right w:val="none" w:sz="0" w:space="0" w:color="auto"/>
      </w:divBdr>
    </w:div>
    <w:div w:id="1139110366">
      <w:bodyDiv w:val="1"/>
      <w:marLeft w:val="0"/>
      <w:marRight w:val="0"/>
      <w:marTop w:val="0"/>
      <w:marBottom w:val="0"/>
      <w:divBdr>
        <w:top w:val="none" w:sz="0" w:space="0" w:color="auto"/>
        <w:left w:val="none" w:sz="0" w:space="0" w:color="auto"/>
        <w:bottom w:val="none" w:sz="0" w:space="0" w:color="auto"/>
        <w:right w:val="none" w:sz="0" w:space="0" w:color="auto"/>
      </w:divBdr>
    </w:div>
    <w:div w:id="1160316862">
      <w:bodyDiv w:val="1"/>
      <w:marLeft w:val="0"/>
      <w:marRight w:val="0"/>
      <w:marTop w:val="0"/>
      <w:marBottom w:val="0"/>
      <w:divBdr>
        <w:top w:val="none" w:sz="0" w:space="0" w:color="auto"/>
        <w:left w:val="none" w:sz="0" w:space="0" w:color="auto"/>
        <w:bottom w:val="none" w:sz="0" w:space="0" w:color="auto"/>
        <w:right w:val="none" w:sz="0" w:space="0" w:color="auto"/>
      </w:divBdr>
    </w:div>
    <w:div w:id="1296253608">
      <w:bodyDiv w:val="1"/>
      <w:marLeft w:val="0"/>
      <w:marRight w:val="0"/>
      <w:marTop w:val="0"/>
      <w:marBottom w:val="0"/>
      <w:divBdr>
        <w:top w:val="none" w:sz="0" w:space="0" w:color="auto"/>
        <w:left w:val="none" w:sz="0" w:space="0" w:color="auto"/>
        <w:bottom w:val="none" w:sz="0" w:space="0" w:color="auto"/>
        <w:right w:val="none" w:sz="0" w:space="0" w:color="auto"/>
      </w:divBdr>
    </w:div>
    <w:div w:id="1301958158">
      <w:bodyDiv w:val="1"/>
      <w:marLeft w:val="0"/>
      <w:marRight w:val="0"/>
      <w:marTop w:val="0"/>
      <w:marBottom w:val="0"/>
      <w:divBdr>
        <w:top w:val="none" w:sz="0" w:space="0" w:color="auto"/>
        <w:left w:val="none" w:sz="0" w:space="0" w:color="auto"/>
        <w:bottom w:val="none" w:sz="0" w:space="0" w:color="auto"/>
        <w:right w:val="none" w:sz="0" w:space="0" w:color="auto"/>
      </w:divBdr>
    </w:div>
    <w:div w:id="1638097924">
      <w:bodyDiv w:val="1"/>
      <w:marLeft w:val="0"/>
      <w:marRight w:val="0"/>
      <w:marTop w:val="0"/>
      <w:marBottom w:val="0"/>
      <w:divBdr>
        <w:top w:val="none" w:sz="0" w:space="0" w:color="auto"/>
        <w:left w:val="none" w:sz="0" w:space="0" w:color="auto"/>
        <w:bottom w:val="none" w:sz="0" w:space="0" w:color="auto"/>
        <w:right w:val="none" w:sz="0" w:space="0" w:color="auto"/>
      </w:divBdr>
    </w:div>
    <w:div w:id="1739282090">
      <w:bodyDiv w:val="1"/>
      <w:marLeft w:val="0"/>
      <w:marRight w:val="0"/>
      <w:marTop w:val="0"/>
      <w:marBottom w:val="0"/>
      <w:divBdr>
        <w:top w:val="none" w:sz="0" w:space="0" w:color="auto"/>
        <w:left w:val="none" w:sz="0" w:space="0" w:color="auto"/>
        <w:bottom w:val="none" w:sz="0" w:space="0" w:color="auto"/>
        <w:right w:val="none" w:sz="0" w:space="0" w:color="auto"/>
      </w:divBdr>
    </w:div>
    <w:div w:id="1747342678">
      <w:bodyDiv w:val="1"/>
      <w:marLeft w:val="0"/>
      <w:marRight w:val="0"/>
      <w:marTop w:val="0"/>
      <w:marBottom w:val="0"/>
      <w:divBdr>
        <w:top w:val="none" w:sz="0" w:space="0" w:color="auto"/>
        <w:left w:val="none" w:sz="0" w:space="0" w:color="auto"/>
        <w:bottom w:val="none" w:sz="0" w:space="0" w:color="auto"/>
        <w:right w:val="none" w:sz="0" w:space="0" w:color="auto"/>
      </w:divBdr>
    </w:div>
    <w:div w:id="1800224461">
      <w:bodyDiv w:val="1"/>
      <w:marLeft w:val="0"/>
      <w:marRight w:val="0"/>
      <w:marTop w:val="0"/>
      <w:marBottom w:val="0"/>
      <w:divBdr>
        <w:top w:val="none" w:sz="0" w:space="0" w:color="auto"/>
        <w:left w:val="none" w:sz="0" w:space="0" w:color="auto"/>
        <w:bottom w:val="none" w:sz="0" w:space="0" w:color="auto"/>
        <w:right w:val="none" w:sz="0" w:space="0" w:color="auto"/>
      </w:divBdr>
    </w:div>
    <w:div w:id="1869639335">
      <w:bodyDiv w:val="1"/>
      <w:marLeft w:val="0"/>
      <w:marRight w:val="0"/>
      <w:marTop w:val="0"/>
      <w:marBottom w:val="0"/>
      <w:divBdr>
        <w:top w:val="none" w:sz="0" w:space="0" w:color="auto"/>
        <w:left w:val="none" w:sz="0" w:space="0" w:color="auto"/>
        <w:bottom w:val="none" w:sz="0" w:space="0" w:color="auto"/>
        <w:right w:val="none" w:sz="0" w:space="0" w:color="auto"/>
      </w:divBdr>
    </w:div>
    <w:div w:id="1875844295">
      <w:bodyDiv w:val="1"/>
      <w:marLeft w:val="0"/>
      <w:marRight w:val="0"/>
      <w:marTop w:val="0"/>
      <w:marBottom w:val="0"/>
      <w:divBdr>
        <w:top w:val="none" w:sz="0" w:space="0" w:color="auto"/>
        <w:left w:val="none" w:sz="0" w:space="0" w:color="auto"/>
        <w:bottom w:val="none" w:sz="0" w:space="0" w:color="auto"/>
        <w:right w:val="none" w:sz="0" w:space="0" w:color="auto"/>
      </w:divBdr>
    </w:div>
    <w:div w:id="1968199645">
      <w:bodyDiv w:val="1"/>
      <w:marLeft w:val="0"/>
      <w:marRight w:val="0"/>
      <w:marTop w:val="0"/>
      <w:marBottom w:val="0"/>
      <w:divBdr>
        <w:top w:val="none" w:sz="0" w:space="0" w:color="auto"/>
        <w:left w:val="none" w:sz="0" w:space="0" w:color="auto"/>
        <w:bottom w:val="none" w:sz="0" w:space="0" w:color="auto"/>
        <w:right w:val="none" w:sz="0" w:space="0" w:color="auto"/>
      </w:divBdr>
    </w:div>
    <w:div w:id="2003508935">
      <w:bodyDiv w:val="1"/>
      <w:marLeft w:val="0"/>
      <w:marRight w:val="0"/>
      <w:marTop w:val="0"/>
      <w:marBottom w:val="0"/>
      <w:divBdr>
        <w:top w:val="none" w:sz="0" w:space="0" w:color="auto"/>
        <w:left w:val="none" w:sz="0" w:space="0" w:color="auto"/>
        <w:bottom w:val="none" w:sz="0" w:space="0" w:color="auto"/>
        <w:right w:val="none" w:sz="0" w:space="0" w:color="auto"/>
      </w:divBdr>
    </w:div>
    <w:div w:id="2095857161">
      <w:bodyDiv w:val="1"/>
      <w:marLeft w:val="0"/>
      <w:marRight w:val="0"/>
      <w:marTop w:val="0"/>
      <w:marBottom w:val="0"/>
      <w:divBdr>
        <w:top w:val="none" w:sz="0" w:space="0" w:color="auto"/>
        <w:left w:val="none" w:sz="0" w:space="0" w:color="auto"/>
        <w:bottom w:val="none" w:sz="0" w:space="0" w:color="auto"/>
        <w:right w:val="none" w:sz="0" w:space="0" w:color="auto"/>
      </w:divBdr>
    </w:div>
    <w:div w:id="2127775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thegef.org/publications/instrument-establishment-restructured-gef-201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11F672E1AC4CA8BEEF77674F53697A"/>
        <w:category>
          <w:name w:val="General"/>
          <w:gallery w:val="placeholder"/>
        </w:category>
        <w:types>
          <w:type w:val="bbPlcHdr"/>
        </w:types>
        <w:behaviors>
          <w:behavior w:val="content"/>
        </w:behaviors>
        <w:guid w:val="{71EAE820-6B52-457F-AFC6-CBE2DA6683A4}"/>
      </w:docPartPr>
      <w:docPartBody>
        <w:p w:rsidR="00464310" w:rsidRDefault="008A6010" w:rsidP="008A6010">
          <w:pPr>
            <w:pStyle w:val="6D11F672E1AC4CA8BEEF77674F53697A"/>
          </w:pPr>
          <w:r w:rsidRPr="007935A7">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KaiTi">
    <w:panose1 w:val="0201060906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010"/>
    <w:rsid w:val="002F7E68"/>
    <w:rsid w:val="00464310"/>
    <w:rsid w:val="00577CDE"/>
    <w:rsid w:val="006B3CBF"/>
    <w:rsid w:val="00731394"/>
    <w:rsid w:val="008A6010"/>
    <w:rsid w:val="00BD397A"/>
    <w:rsid w:val="00FA0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A6010"/>
    <w:rPr>
      <w:color w:val="808080"/>
    </w:rPr>
  </w:style>
  <w:style w:type="paragraph" w:customStyle="1" w:styleId="6D11F672E1AC4CA8BEEF77674F53697A">
    <w:name w:val="6D11F672E1AC4CA8BEEF77674F53697A"/>
    <w:rsid w:val="008A60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476193-984E-46AD-90C9-9CACC19E1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海洋和沿海生物多样性</vt:lpstr>
    </vt:vector>
  </TitlesOfParts>
  <Manager/>
  <Company/>
  <LinksUpToDate>false</LinksUpToDate>
  <CharactersWithSpaces>3202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海洋和沿海生物多样性</dc:title>
  <dc:subject>CBD/SBI/3/CRP.7</dc:subject>
  <dc:creator/>
  <cp:keywords>科学、技术和工艺咨询附属机构</cp:keywords>
  <cp:lastModifiedBy/>
  <cp:revision>1</cp:revision>
  <dcterms:created xsi:type="dcterms:W3CDTF">2021-05-29T13:00:00Z</dcterms:created>
  <dcterms:modified xsi:type="dcterms:W3CDTF">2021-05-29T15:02:00Z</dcterms:modified>
  <cp:contentStatus/>
</cp:coreProperties>
</file>