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002A0" w:rsidRPr="00307A90" w14:paraId="38E733FC" w14:textId="77777777" w:rsidTr="000E3DDD">
        <w:trPr>
          <w:trHeight w:val="850"/>
        </w:trPr>
        <w:tc>
          <w:tcPr>
            <w:tcW w:w="975" w:type="dxa"/>
            <w:vAlign w:val="bottom"/>
          </w:tcPr>
          <w:p w14:paraId="6C278219" w14:textId="77777777" w:rsidR="000002A0" w:rsidRPr="00307A90" w:rsidRDefault="000002A0" w:rsidP="000E3DDD">
            <w:pPr>
              <w:pStyle w:val="AASmallLogo"/>
            </w:pPr>
            <w:bookmarkStart w:id="0" w:name="_Toc462934071"/>
            <w:bookmarkStart w:id="1" w:name="_Toc480714127"/>
            <w:bookmarkStart w:id="2" w:name="_Hlk137651738"/>
            <w:r w:rsidRPr="00307A90">
              <w:rPr>
                <w:noProof/>
              </w:rPr>
              <w:drawing>
                <wp:inline distT="0" distB="0" distL="0" distR="0" wp14:anchorId="47D8E77C" wp14:editId="673554B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07A90">
              <w:t xml:space="preserve"> </w:t>
            </w:r>
          </w:p>
          <w:p w14:paraId="42B6ED73" w14:textId="77777777" w:rsidR="000002A0" w:rsidRPr="00307A90" w:rsidRDefault="000002A0" w:rsidP="000E3DDD">
            <w:pPr>
              <w:pStyle w:val="AASmallLogo"/>
            </w:pPr>
          </w:p>
        </w:tc>
        <w:tc>
          <w:tcPr>
            <w:tcW w:w="1434" w:type="dxa"/>
            <w:noWrap/>
            <w:vAlign w:val="bottom"/>
          </w:tcPr>
          <w:p w14:paraId="7EC022A0" w14:textId="77777777" w:rsidR="000002A0" w:rsidRPr="00307A90" w:rsidRDefault="000002A0" w:rsidP="000E3DDD">
            <w:pPr>
              <w:pStyle w:val="AASmallLogo"/>
            </w:pPr>
            <w:r w:rsidRPr="00307A90">
              <w:rPr>
                <w:noProof/>
              </w:rPr>
              <w:drawing>
                <wp:inline distT="0" distB="0" distL="0" distR="0" wp14:anchorId="03FFEB11" wp14:editId="0BE9A4F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Pr="00307A90">
              <w:t xml:space="preserve"> </w:t>
            </w:r>
          </w:p>
          <w:p w14:paraId="2BFD49C4" w14:textId="77777777" w:rsidR="000002A0" w:rsidRPr="00307A90" w:rsidRDefault="000002A0" w:rsidP="000E3DDD">
            <w:pPr>
              <w:pStyle w:val="AASmallLogo"/>
            </w:pPr>
          </w:p>
        </w:tc>
        <w:tc>
          <w:tcPr>
            <w:tcW w:w="8073" w:type="dxa"/>
            <w:vAlign w:val="bottom"/>
          </w:tcPr>
          <w:p w14:paraId="2F039E93" w14:textId="77777777" w:rsidR="000002A0" w:rsidRPr="00307A90" w:rsidRDefault="000002A0" w:rsidP="000E3DDD">
            <w:pPr>
              <w:pStyle w:val="ABSymbol"/>
            </w:pPr>
            <w:r w:rsidRPr="00307A90">
              <w:rPr>
                <w:sz w:val="40"/>
              </w:rPr>
              <w:t>CBD</w:t>
            </w:r>
            <w:r w:rsidRPr="00307A90">
              <w:t>/COP/17/5/Add.1</w:t>
            </w:r>
          </w:p>
        </w:tc>
      </w:tr>
      <w:bookmarkEnd w:id="2"/>
    </w:tbl>
    <w:p w14:paraId="18C2286F" w14:textId="77777777" w:rsidR="000002A0" w:rsidRPr="00307A90" w:rsidRDefault="000002A0" w:rsidP="000002A0">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002A0" w:rsidRPr="00307A90" w14:paraId="64E4A1EA" w14:textId="77777777" w:rsidTr="000E3DDD">
        <w:trPr>
          <w:trHeight w:val="1814"/>
        </w:trPr>
        <w:tc>
          <w:tcPr>
            <w:tcW w:w="7370" w:type="dxa"/>
          </w:tcPr>
          <w:p w14:paraId="6B95F4A7" w14:textId="77777777" w:rsidR="000002A0" w:rsidRPr="00307A90" w:rsidRDefault="000002A0" w:rsidP="000E3DDD">
            <w:pPr>
              <w:pStyle w:val="ACLargeLogo"/>
            </w:pPr>
            <w:r w:rsidRPr="00307A90">
              <w:rPr>
                <w:b/>
                <w:bCs/>
                <w:noProof/>
              </w:rPr>
              <w:drawing>
                <wp:inline distT="0" distB="0" distL="0" distR="0" wp14:anchorId="1D69B37B" wp14:editId="7B1727CF">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Pr="00307A90">
              <w:t xml:space="preserve"> </w:t>
            </w:r>
          </w:p>
          <w:p w14:paraId="72D78BB3" w14:textId="77777777" w:rsidR="000002A0" w:rsidRPr="00307A90" w:rsidRDefault="000002A0" w:rsidP="000E3DDD">
            <w:pPr>
              <w:pStyle w:val="ACLargeLogo"/>
            </w:pPr>
          </w:p>
        </w:tc>
        <w:tc>
          <w:tcPr>
            <w:tcW w:w="3112" w:type="dxa"/>
          </w:tcPr>
          <w:p w14:paraId="5217348F" w14:textId="77777777" w:rsidR="000002A0" w:rsidRPr="00307A90" w:rsidRDefault="000002A0" w:rsidP="000E3DDD">
            <w:pPr>
              <w:pStyle w:val="AEDistrNormal"/>
            </w:pPr>
            <w:proofErr w:type="spellStart"/>
            <w:r w:rsidRPr="00307A90">
              <w:t>Distr</w:t>
            </w:r>
            <w:proofErr w:type="spellEnd"/>
            <w:r w:rsidRPr="00307A90">
              <w:t xml:space="preserve">. </w:t>
            </w:r>
            <w:proofErr w:type="gramStart"/>
            <w:r w:rsidRPr="00307A90">
              <w:t>générale</w:t>
            </w:r>
            <w:proofErr w:type="gramEnd"/>
            <w:r w:rsidRPr="00307A90">
              <w:t xml:space="preserve"> </w:t>
            </w:r>
          </w:p>
          <w:p w14:paraId="5F482664" w14:textId="77777777" w:rsidR="000002A0" w:rsidRPr="00307A90" w:rsidRDefault="000002A0" w:rsidP="000E3DDD">
            <w:pPr>
              <w:pStyle w:val="AEDistrNormal"/>
            </w:pPr>
            <w:r w:rsidRPr="00307A90">
              <w:t>19 août 2026</w:t>
            </w:r>
          </w:p>
          <w:p w14:paraId="6DF5BF5D" w14:textId="77777777" w:rsidR="000002A0" w:rsidRPr="00307A90" w:rsidRDefault="000002A0" w:rsidP="000E3DDD">
            <w:pPr>
              <w:pStyle w:val="AEDistrNormal"/>
            </w:pPr>
            <w:r w:rsidRPr="00307A90">
              <w:t>Français</w:t>
            </w:r>
          </w:p>
          <w:p w14:paraId="07BB485A" w14:textId="77777777" w:rsidR="000002A0" w:rsidRPr="00307A90" w:rsidRDefault="000002A0" w:rsidP="000E3DDD">
            <w:pPr>
              <w:pStyle w:val="AEDistrNormal"/>
            </w:pPr>
            <w:r w:rsidRPr="00307A90">
              <w:t xml:space="preserve">Original : anglais </w:t>
            </w:r>
          </w:p>
          <w:p w14:paraId="36D35806" w14:textId="77777777" w:rsidR="000002A0" w:rsidRPr="00307A90" w:rsidRDefault="000002A0" w:rsidP="000E3DDD">
            <w:pPr>
              <w:pStyle w:val="AEDistrNormal6pt"/>
            </w:pPr>
          </w:p>
        </w:tc>
      </w:tr>
    </w:tbl>
    <w:p w14:paraId="32246FA4" w14:textId="77777777" w:rsidR="000002A0" w:rsidRPr="00307A90" w:rsidRDefault="000002A0" w:rsidP="000002A0">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002A0" w:rsidRPr="00307A90" w14:paraId="5ED6E935" w14:textId="77777777" w:rsidTr="000E3DDD">
        <w:trPr>
          <w:trHeight w:val="57"/>
        </w:trPr>
        <w:tc>
          <w:tcPr>
            <w:tcW w:w="6094" w:type="dxa"/>
          </w:tcPr>
          <w:p w14:paraId="3ADBB40E" w14:textId="77777777" w:rsidR="000002A0" w:rsidRPr="00307A90" w:rsidRDefault="000002A0" w:rsidP="000E3DDD">
            <w:pPr>
              <w:pStyle w:val="AFCorN12Bold"/>
            </w:pPr>
            <w:r w:rsidRPr="00307A90">
              <w:t xml:space="preserve">Conférence des Parties à la </w:t>
            </w:r>
            <w:r w:rsidRPr="00307A90">
              <w:br/>
              <w:t xml:space="preserve">Convention sur la diversité biologique </w:t>
            </w:r>
          </w:p>
          <w:p w14:paraId="19974FE2" w14:textId="77777777" w:rsidR="000002A0" w:rsidRPr="00307A90" w:rsidRDefault="000002A0" w:rsidP="000E3DDD">
            <w:pPr>
              <w:pStyle w:val="AFCorNBold"/>
            </w:pPr>
            <w:r w:rsidRPr="00307A90">
              <w:t xml:space="preserve">Dix-septième réunion </w:t>
            </w:r>
          </w:p>
          <w:p w14:paraId="5CE05FED" w14:textId="77777777" w:rsidR="000002A0" w:rsidRPr="00307A90" w:rsidRDefault="000002A0" w:rsidP="000E3DDD">
            <w:pPr>
              <w:pStyle w:val="AFCorNNormal"/>
            </w:pPr>
            <w:r w:rsidRPr="00307A90">
              <w:t xml:space="preserve">Erevan, </w:t>
            </w:r>
            <w:r w:rsidRPr="00307A90">
              <w:rPr>
                <w:snapToGrid w:val="0"/>
                <w:kern w:val="22"/>
              </w:rPr>
              <w:t>19-30 octobre 2026</w:t>
            </w:r>
            <w:r w:rsidRPr="00307A90">
              <w:t xml:space="preserve"> </w:t>
            </w:r>
          </w:p>
          <w:p w14:paraId="26CCE43C" w14:textId="77777777" w:rsidR="000002A0" w:rsidRPr="00307A90" w:rsidRDefault="000002A0" w:rsidP="000E3DDD">
            <w:pPr>
              <w:pStyle w:val="AFCorNNormal"/>
            </w:pPr>
            <w:r w:rsidRPr="00307A90">
              <w:t>Point 8 b) de l’ordre du jour provisoire</w:t>
            </w:r>
          </w:p>
          <w:p w14:paraId="1D5CA32C" w14:textId="77777777" w:rsidR="000002A0" w:rsidRPr="00307A90" w:rsidRDefault="000002A0" w:rsidP="000E3DDD">
            <w:pPr>
              <w:pStyle w:val="AFCorNNormal"/>
              <w:rPr>
                <w:b/>
                <w:bCs/>
              </w:rPr>
            </w:pPr>
            <w:r w:rsidRPr="00307A90">
              <w:rPr>
                <w:b/>
                <w:bCs/>
              </w:rPr>
              <w:t xml:space="preserve">Mobilisation des ressources et mécanisme </w:t>
            </w:r>
            <w:r w:rsidRPr="00307A90">
              <w:rPr>
                <w:b/>
                <w:bCs/>
              </w:rPr>
              <w:br/>
              <w:t>de financement : mécanisme de financement</w:t>
            </w:r>
          </w:p>
        </w:tc>
        <w:tc>
          <w:tcPr>
            <w:tcW w:w="4388" w:type="dxa"/>
          </w:tcPr>
          <w:p w14:paraId="05EC8C81" w14:textId="77777777" w:rsidR="000002A0" w:rsidRPr="00307A90" w:rsidRDefault="000002A0" w:rsidP="000E3DDD">
            <w:pPr>
              <w:pStyle w:val="CBDNormal"/>
              <w:jc w:val="left"/>
            </w:pPr>
          </w:p>
        </w:tc>
      </w:tr>
    </w:tbl>
    <w:p w14:paraId="75BD86DE" w14:textId="5A2D15F4" w:rsidR="000002A0" w:rsidRPr="00420D6A" w:rsidRDefault="00420D6A" w:rsidP="000002A0">
      <w:pPr>
        <w:pStyle w:val="CBDTitle"/>
        <w:rPr>
          <w:caps/>
        </w:rPr>
      </w:pPr>
      <w:sdt>
        <w:sdtPr>
          <w:alias w:val="Title"/>
          <w:tag w:val=""/>
          <w:id w:val="772832786"/>
          <w:placeholder>
            <w:docPart w:val="CCD62A37FC684224A03B4660BBDB1096"/>
          </w:placeholder>
          <w:dataBinding w:prefixMappings="xmlns:ns0='http://purl.org/dc/elements/1.1/' xmlns:ns1='http://schemas.openxmlformats.org/package/2006/metadata/core-properties' " w:xpath="/ns1:coreProperties[1]/ns0:title[1]" w:storeItemID="{6C3C8BC8-F283-45AE-878A-BAB7291924A1}"/>
          <w:text/>
        </w:sdtPr>
        <w:sdtContent>
          <w:r w:rsidRPr="00420D6A">
            <w:t>Rapport établi par le Conseil du Fonds pour l’environnement mondial en vue de la dix-septième réunion de la Conférence des Parties à la Convention</w:t>
          </w:r>
        </w:sdtContent>
      </w:sdt>
      <w:r w:rsidR="000002A0" w:rsidRPr="00420D6A">
        <w:rPr>
          <w:caps/>
        </w:rPr>
        <w:t xml:space="preserve"> </w:t>
      </w:r>
    </w:p>
    <w:p w14:paraId="02EBF314" w14:textId="77777777" w:rsidR="000002A0" w:rsidRPr="00307A90" w:rsidRDefault="000002A0" w:rsidP="000002A0">
      <w:pPr>
        <w:pStyle w:val="CBDSubTitle"/>
      </w:pPr>
      <w:r w:rsidRPr="00307A90">
        <w:t>Note du secrétariat</w:t>
      </w:r>
    </w:p>
    <w:p w14:paraId="30D906A1" w14:textId="0EE9A394" w:rsidR="000002A0" w:rsidRPr="00307A90" w:rsidRDefault="00420D6A" w:rsidP="000002A0">
      <w:pPr>
        <w:pStyle w:val="CBDNormalNumber"/>
        <w:ind w:left="567"/>
      </w:pPr>
      <w:r>
        <w:t>1.</w:t>
      </w:r>
      <w:r>
        <w:tab/>
      </w:r>
      <w:r w:rsidR="000002A0" w:rsidRPr="00307A90">
        <w:t xml:space="preserve">Conformément au mémorandum d’accord entre la Conférence des Parties à la Convention sur la diversité biologique et le Conseil du Fonds pour l’environnement mondial (FEM) qui figure en annexe de la décision </w:t>
      </w:r>
      <w:hyperlink r:id="rId14" w:history="1">
        <w:r w:rsidR="000002A0" w:rsidRPr="00307A90">
          <w:rPr>
            <w:rStyle w:val="Hyperlink"/>
          </w:rPr>
          <w:t>III/8</w:t>
        </w:r>
      </w:hyperlink>
      <w:r w:rsidR="000002A0" w:rsidRPr="00307A90">
        <w:t xml:space="preserve">, le Conseil établit un rapport qu’il présente à chaque réunion ordinaire de la Conférence des Parties. </w:t>
      </w:r>
      <w:r w:rsidR="000002A0">
        <w:t>A</w:t>
      </w:r>
      <w:r w:rsidR="000002A0" w:rsidRPr="00307A90">
        <w:t xml:space="preserve">u paragraphe 8 e) de la décision </w:t>
      </w:r>
      <w:hyperlink r:id="rId15" w:history="1">
        <w:r w:rsidR="000002A0" w:rsidRPr="00307A90">
          <w:rPr>
            <w:rStyle w:val="Hyperlink"/>
          </w:rPr>
          <w:t>XII/30</w:t>
        </w:r>
      </w:hyperlink>
      <w:r w:rsidR="000002A0" w:rsidRPr="00307A90">
        <w:t xml:space="preserve">, au paragraphes 6, 16, 17, 21, 27 et 35 b) et c) de la décision </w:t>
      </w:r>
      <w:hyperlink r:id="rId16" w:history="1">
        <w:r w:rsidR="000002A0" w:rsidRPr="00307A90">
          <w:rPr>
            <w:rStyle w:val="Hyperlink"/>
          </w:rPr>
          <w:t>16/33</w:t>
        </w:r>
      </w:hyperlink>
      <w:r w:rsidR="000002A0" w:rsidRPr="00307A90">
        <w:t>, ainsi qu’au paragraphe 13 de l’annexe I et aux paragraphes 10 b) et 13 de l’annexe II de la même décision</w:t>
      </w:r>
      <w:r w:rsidR="000002A0" w:rsidRPr="00945923">
        <w:t>, l</w:t>
      </w:r>
      <w:r w:rsidR="000002A0" w:rsidRPr="00307A90">
        <w:t xml:space="preserve">a Conférence des Parties </w:t>
      </w:r>
      <w:r w:rsidR="000002A0">
        <w:t>a adressé au FEM des orientations supplémentaires ayant trait au rapport</w:t>
      </w:r>
      <w:r w:rsidR="000002A0" w:rsidRPr="00307A90">
        <w:t>.</w:t>
      </w:r>
    </w:p>
    <w:p w14:paraId="10E02975" w14:textId="4EFDB088" w:rsidR="000002A0" w:rsidRPr="00307A90" w:rsidRDefault="00420D6A" w:rsidP="000002A0">
      <w:pPr>
        <w:pStyle w:val="CBDNormalNumber"/>
        <w:ind w:left="567"/>
      </w:pPr>
      <w:r>
        <w:t>2.</w:t>
      </w:r>
      <w:r>
        <w:tab/>
      </w:r>
      <w:r w:rsidR="000002A0" w:rsidRPr="00307A90">
        <w:t>L’avant-projet de rapport établi par le Conseil du FEM en vue de la dix-septième r</w:t>
      </w:r>
      <w:r w:rsidR="000002A0">
        <w:t>é</w:t>
      </w:r>
      <w:r w:rsidR="000002A0" w:rsidRPr="00307A90">
        <w:t xml:space="preserve">union de la Conférence des Parties </w:t>
      </w:r>
      <w:r w:rsidR="000002A0">
        <w:t>a été diffusé</w:t>
      </w:r>
      <w:r w:rsidR="000002A0" w:rsidRPr="00307A90">
        <w:t xml:space="preserve"> </w:t>
      </w:r>
      <w:r w:rsidR="000002A0">
        <w:t>à la septième réunion</w:t>
      </w:r>
      <w:r w:rsidR="000002A0" w:rsidRPr="00307A90">
        <w:t xml:space="preserve"> </w:t>
      </w:r>
      <w:r w:rsidR="000002A0">
        <w:t>de l’Organe subsidiaire</w:t>
      </w:r>
      <w:r w:rsidR="000002A0" w:rsidRPr="00307A90">
        <w:t xml:space="preserve"> </w:t>
      </w:r>
      <w:r w:rsidR="000002A0" w:rsidRPr="00FA2D28">
        <w:t>chargé de l’application</w:t>
      </w:r>
      <w:r w:rsidR="000002A0" w:rsidRPr="00307A90">
        <w:t xml:space="preserve">, </w:t>
      </w:r>
      <w:r w:rsidR="000002A0">
        <w:t>qui a examiné le</w:t>
      </w:r>
      <w:r w:rsidR="000002A0" w:rsidRPr="00307A90">
        <w:t xml:space="preserve"> </w:t>
      </w:r>
      <w:r w:rsidR="000002A0">
        <w:t>résumé analytique du document</w:t>
      </w:r>
      <w:r w:rsidR="000002A0" w:rsidRPr="00307A90">
        <w:t xml:space="preserve"> </w:t>
      </w:r>
      <w:r w:rsidR="000002A0">
        <w:t xml:space="preserve">et a </w:t>
      </w:r>
      <w:r w:rsidR="000002A0" w:rsidRPr="00307A90">
        <w:t>adopt</w:t>
      </w:r>
      <w:r w:rsidR="000002A0">
        <w:t>é</w:t>
      </w:r>
      <w:r w:rsidR="000002A0" w:rsidRPr="00307A90">
        <w:t xml:space="preserve"> </w:t>
      </w:r>
      <w:r w:rsidR="000002A0">
        <w:t xml:space="preserve">la </w:t>
      </w:r>
      <w:r w:rsidR="000002A0" w:rsidRPr="00307A90">
        <w:t>recomm</w:t>
      </w:r>
      <w:r w:rsidR="000002A0">
        <w:t>a</w:t>
      </w:r>
      <w:r w:rsidR="000002A0" w:rsidRPr="00307A90">
        <w:t xml:space="preserve">ndation 7/3 </w:t>
      </w:r>
      <w:r w:rsidR="000002A0">
        <w:t>sur le mécanisme de financement</w:t>
      </w:r>
      <w:r w:rsidR="000002A0" w:rsidRPr="00307A90">
        <w:t>.</w:t>
      </w:r>
    </w:p>
    <w:p w14:paraId="02A32541" w14:textId="29BB205F" w:rsidR="000002A0" w:rsidRPr="00307A90" w:rsidRDefault="00420D6A" w:rsidP="000002A0">
      <w:pPr>
        <w:pStyle w:val="CBDNormalNumber"/>
        <w:ind w:left="567"/>
      </w:pPr>
      <w:r>
        <w:rPr>
          <w:snapToGrid w:val="0"/>
        </w:rPr>
        <w:t>3.</w:t>
      </w:r>
      <w:r>
        <w:rPr>
          <w:snapToGrid w:val="0"/>
        </w:rPr>
        <w:tab/>
      </w:r>
      <w:r w:rsidR="000002A0" w:rsidRPr="002F7522">
        <w:rPr>
          <w:snapToGrid w:val="0"/>
        </w:rPr>
        <w:t>Compte tenu de ce qui précède</w:t>
      </w:r>
      <w:r w:rsidR="000002A0" w:rsidRPr="00307A90">
        <w:t xml:space="preserve">, </w:t>
      </w:r>
      <w:r w:rsidR="000002A0">
        <w:t>l</w:t>
      </w:r>
      <w:r w:rsidR="000002A0" w:rsidRPr="00307A90">
        <w:t xml:space="preserve">e </w:t>
      </w:r>
      <w:r w:rsidR="000002A0">
        <w:t>s</w:t>
      </w:r>
      <w:r w:rsidR="000002A0" w:rsidRPr="00307A90">
        <w:t>ecr</w:t>
      </w:r>
      <w:r w:rsidR="000002A0">
        <w:t>é</w:t>
      </w:r>
      <w:r w:rsidR="000002A0" w:rsidRPr="00307A90">
        <w:t xml:space="preserve">tariat </w:t>
      </w:r>
      <w:r w:rsidR="000002A0">
        <w:t>fait distribuer ci-joint</w:t>
      </w:r>
      <w:r w:rsidR="000002A0" w:rsidRPr="00307A90">
        <w:t xml:space="preserve"> </w:t>
      </w:r>
      <w:r w:rsidR="000002A0">
        <w:t>le</w:t>
      </w:r>
      <w:r w:rsidR="000002A0" w:rsidRPr="00307A90">
        <w:t xml:space="preserve"> r</w:t>
      </w:r>
      <w:r w:rsidR="000002A0">
        <w:t>apport que le Conseil du FEM</w:t>
      </w:r>
      <w:r w:rsidR="000002A0" w:rsidRPr="00307A90">
        <w:t xml:space="preserve"> </w:t>
      </w:r>
      <w:r w:rsidR="000002A0">
        <w:t>a établi en vue de la dix-septième réunion de la</w:t>
      </w:r>
      <w:r w:rsidR="000002A0" w:rsidRPr="00307A90">
        <w:t xml:space="preserve"> Conf</w:t>
      </w:r>
      <w:r w:rsidR="000002A0">
        <w:t>é</w:t>
      </w:r>
      <w:r w:rsidR="000002A0" w:rsidRPr="00307A90">
        <w:t xml:space="preserve">rence </w:t>
      </w:r>
      <w:r w:rsidR="000002A0">
        <w:t>des</w:t>
      </w:r>
      <w:r w:rsidR="000002A0" w:rsidRPr="00307A90">
        <w:t xml:space="preserve"> Parties. </w:t>
      </w:r>
      <w:r w:rsidR="000002A0">
        <w:t>Ce</w:t>
      </w:r>
      <w:r w:rsidR="000002A0" w:rsidRPr="00307A90">
        <w:t xml:space="preserve"> r</w:t>
      </w:r>
      <w:r w:rsidR="000002A0">
        <w:t>apport</w:t>
      </w:r>
      <w:r w:rsidR="000002A0" w:rsidRPr="00307A90">
        <w:t xml:space="preserve"> </w:t>
      </w:r>
      <w:r w:rsidR="000002A0">
        <w:t>est reproduit tel qu’il a été reçu par le</w:t>
      </w:r>
      <w:r w:rsidR="000002A0" w:rsidRPr="00307A90">
        <w:t xml:space="preserve"> </w:t>
      </w:r>
      <w:r w:rsidR="000002A0">
        <w:t>s</w:t>
      </w:r>
      <w:r w:rsidR="000002A0" w:rsidRPr="00307A90">
        <w:t>ecr</w:t>
      </w:r>
      <w:r w:rsidR="000002A0">
        <w:t>é</w:t>
      </w:r>
      <w:r w:rsidR="000002A0" w:rsidRPr="00307A90">
        <w:t xml:space="preserve">tariat </w:t>
      </w:r>
      <w:r w:rsidR="000002A0">
        <w:t>en anglais, en espagnol et en français</w:t>
      </w:r>
      <w:r w:rsidR="000002A0" w:rsidRPr="00307A90">
        <w:t xml:space="preserve">, </w:t>
      </w:r>
      <w:r w:rsidR="000002A0">
        <w:t>et a également été traduit en arabe, en chinois et en russe</w:t>
      </w:r>
      <w:r w:rsidR="000002A0" w:rsidRPr="00307A90">
        <w:rPr>
          <w:rStyle w:val="FootnoteReference"/>
          <w:snapToGrid w:val="0"/>
        </w:rPr>
        <w:footnoteReference w:id="2"/>
      </w:r>
      <w:r w:rsidR="000002A0">
        <w:t>.</w:t>
      </w:r>
    </w:p>
    <w:p w14:paraId="01AE53EB" w14:textId="77777777" w:rsidR="00237520" w:rsidRDefault="00237520" w:rsidP="00DF3A5E">
      <w:pPr>
        <w:ind w:left="720"/>
      </w:pPr>
    </w:p>
    <w:p w14:paraId="08B717AF" w14:textId="77777777" w:rsidR="00237520" w:rsidRDefault="00237520" w:rsidP="00DF3A5E">
      <w:pPr>
        <w:ind w:left="720"/>
      </w:pPr>
    </w:p>
    <w:p w14:paraId="49A930CD" w14:textId="77777777" w:rsidR="00237520" w:rsidRDefault="00237520" w:rsidP="00DF3A5E">
      <w:pPr>
        <w:ind w:left="720"/>
        <w:sectPr w:rsidR="00237520" w:rsidSect="00F752A3">
          <w:headerReference w:type="even" r:id="rId17"/>
          <w:headerReference w:type="default" r:id="rId18"/>
          <w:footerReference w:type="even" r:id="rId19"/>
          <w:footerReference w:type="default" r:id="rId20"/>
          <w:headerReference w:type="first" r:id="rId21"/>
          <w:footerReference w:type="first" r:id="rId22"/>
          <w:pgSz w:w="12240" w:h="15840"/>
          <w:pgMar w:top="1134" w:right="1440" w:bottom="1134" w:left="1440" w:header="720" w:footer="0" w:gutter="0"/>
          <w:pgNumType w:fmt="lowerRoman" w:start="1"/>
          <w:cols w:space="720"/>
          <w:titlePg/>
          <w:docGrid w:linePitch="360"/>
        </w:sectPr>
      </w:pPr>
    </w:p>
    <w:p w14:paraId="016BC7A0" w14:textId="77777777" w:rsidR="002A5331" w:rsidRPr="00C67737" w:rsidRDefault="002A5331" w:rsidP="00DF3A5E">
      <w:pPr>
        <w:ind w:left="720"/>
      </w:pPr>
    </w:p>
    <w:p w14:paraId="22DB19E5" w14:textId="44917B5D" w:rsidR="007C09A9" w:rsidRPr="00C67737" w:rsidRDefault="00C24CBE" w:rsidP="00833210">
      <w:pPr>
        <w:ind w:left="720"/>
        <w:jc w:val="center"/>
      </w:pPr>
      <w:r>
        <w:br/>
      </w:r>
      <w:r w:rsidR="00833210" w:rsidRPr="00833210">
        <w:rPr>
          <w:noProof/>
        </w:rPr>
        <w:drawing>
          <wp:inline distT="0" distB="0" distL="0" distR="0" wp14:anchorId="1C367B66" wp14:editId="2AEE47D0">
            <wp:extent cx="2688272" cy="1203116"/>
            <wp:effectExtent l="0" t="0" r="0" b="0"/>
            <wp:docPr id="168856307" name="Image 1" descr="POUR INVESTIR DANS NOTRE PLANￃﾈ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6307" name="Image 1" descr="POUR INVESTIR DANS NOTRE PLANￃﾈTE.&#10;&#10;Le contenu généré par l’IA peut être incorrect."/>
                    <pic:cNvPicPr/>
                  </pic:nvPicPr>
                  <pic:blipFill>
                    <a:blip r:embed="rId23"/>
                    <a:stretch>
                      <a:fillRect/>
                    </a:stretch>
                  </pic:blipFill>
                  <pic:spPr>
                    <a:xfrm>
                      <a:off x="0" y="0"/>
                      <a:ext cx="2721644" cy="1218051"/>
                    </a:xfrm>
                    <a:prstGeom prst="rect">
                      <a:avLst/>
                    </a:prstGeom>
                  </pic:spPr>
                </pic:pic>
              </a:graphicData>
            </a:graphic>
          </wp:inline>
        </w:drawing>
      </w:r>
    </w:p>
    <w:p w14:paraId="554EFDCE" w14:textId="526BBB73" w:rsidR="00BD59D1" w:rsidRPr="00C67737" w:rsidRDefault="00BD59D1" w:rsidP="0096056B">
      <w:pPr>
        <w:jc w:val="center"/>
        <w:rPr>
          <w:b/>
          <w:smallCaps/>
          <w:sz w:val="32"/>
          <w:szCs w:val="32"/>
        </w:rPr>
      </w:pPr>
    </w:p>
    <w:p w14:paraId="0A030F09" w14:textId="32648118" w:rsidR="00BD59D1" w:rsidRPr="00C67737" w:rsidRDefault="00BD59D1" w:rsidP="0096056B">
      <w:pPr>
        <w:jc w:val="center"/>
        <w:rPr>
          <w:b/>
          <w:smallCaps/>
          <w:sz w:val="32"/>
          <w:szCs w:val="32"/>
        </w:rPr>
      </w:pPr>
    </w:p>
    <w:p w14:paraId="54B951BB" w14:textId="77777777" w:rsidR="00BD59D1" w:rsidRPr="00C67737" w:rsidRDefault="00BD59D1" w:rsidP="0096056B">
      <w:pPr>
        <w:jc w:val="center"/>
        <w:rPr>
          <w:b/>
          <w:smallCaps/>
          <w:sz w:val="32"/>
          <w:szCs w:val="32"/>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245E" w:rsidRPr="00C67737" w14:paraId="27F9F743" w14:textId="77777777" w:rsidTr="0090429D">
        <w:tc>
          <w:tcPr>
            <w:tcW w:w="9350" w:type="dxa"/>
          </w:tcPr>
          <w:p w14:paraId="0979FD60" w14:textId="77777777" w:rsidR="00B2245E" w:rsidRPr="00C67737" w:rsidRDefault="00B2245E" w:rsidP="0096056B">
            <w:pPr>
              <w:jc w:val="center"/>
              <w:rPr>
                <w:b/>
                <w:smallCaps/>
                <w:sz w:val="2"/>
                <w:szCs w:val="32"/>
              </w:rPr>
            </w:pPr>
          </w:p>
        </w:tc>
      </w:tr>
    </w:tbl>
    <w:p w14:paraId="16C827B5" w14:textId="35AABFBE" w:rsidR="0096056B" w:rsidRPr="00C67737" w:rsidRDefault="0096056B" w:rsidP="000B0EDB">
      <w:pPr>
        <w:tabs>
          <w:tab w:val="left" w:pos="6648"/>
        </w:tabs>
        <w:rPr>
          <w:b/>
          <w:smallCaps/>
          <w:sz w:val="32"/>
          <w:szCs w:val="32"/>
        </w:rPr>
      </w:pPr>
    </w:p>
    <w:p w14:paraId="5E954D9C" w14:textId="77777777" w:rsidR="002A35E4" w:rsidRPr="00C67737" w:rsidRDefault="002A35E4" w:rsidP="0096056B">
      <w:pPr>
        <w:jc w:val="center"/>
        <w:rPr>
          <w:b/>
          <w:smallCaps/>
          <w:sz w:val="32"/>
          <w:szCs w:val="32"/>
        </w:rPr>
      </w:pPr>
    </w:p>
    <w:p w14:paraId="5CC474B5" w14:textId="77777777" w:rsidR="00F85CE7" w:rsidRPr="000F375E" w:rsidRDefault="00F85CE7" w:rsidP="0096056B">
      <w:pPr>
        <w:jc w:val="center"/>
        <w:rPr>
          <w:b/>
          <w:caps/>
          <w:sz w:val="32"/>
          <w:szCs w:val="32"/>
        </w:rPr>
      </w:pPr>
    </w:p>
    <w:p w14:paraId="18DDA262" w14:textId="4141DE47" w:rsidR="0021706A" w:rsidRPr="000F375E" w:rsidRDefault="0021706A" w:rsidP="0021706A">
      <w:pPr>
        <w:jc w:val="center"/>
        <w:rPr>
          <w:b/>
          <w:caps/>
          <w:sz w:val="32"/>
          <w:szCs w:val="32"/>
        </w:rPr>
      </w:pPr>
      <w:r>
        <w:rPr>
          <w:b/>
          <w:caps/>
          <w:sz w:val="32"/>
        </w:rPr>
        <w:t>Rapport du Fonds pour l</w:t>
      </w:r>
      <w:r w:rsidR="00AD5382">
        <w:rPr>
          <w:b/>
          <w:caps/>
          <w:sz w:val="32"/>
        </w:rPr>
        <w:t>’</w:t>
      </w:r>
      <w:r>
        <w:rPr>
          <w:b/>
          <w:caps/>
          <w:sz w:val="32"/>
        </w:rPr>
        <w:t>environnement mondial à</w:t>
      </w:r>
      <w:r w:rsidR="00C57670">
        <w:rPr>
          <w:b/>
          <w:caps/>
          <w:sz w:val="32"/>
        </w:rPr>
        <w:t> </w:t>
      </w:r>
      <w:r>
        <w:rPr>
          <w:b/>
          <w:caps/>
          <w:sz w:val="32"/>
        </w:rPr>
        <w:t>la</w:t>
      </w:r>
      <w:r w:rsidR="00C57670">
        <w:rPr>
          <w:b/>
          <w:caps/>
          <w:sz w:val="32"/>
        </w:rPr>
        <w:t> </w:t>
      </w:r>
      <w:r>
        <w:rPr>
          <w:b/>
          <w:caps/>
          <w:sz w:val="32"/>
        </w:rPr>
        <w:t>dix</w:t>
      </w:r>
      <w:r w:rsidR="00C57670">
        <w:rPr>
          <w:b/>
          <w:caps/>
          <w:sz w:val="32"/>
        </w:rPr>
        <w:noBreakHyphen/>
      </w:r>
      <w:r>
        <w:rPr>
          <w:b/>
          <w:caps/>
          <w:sz w:val="32"/>
        </w:rPr>
        <w:t>septième réunion de la Conférence des Parties à</w:t>
      </w:r>
      <w:r w:rsidR="00C57670">
        <w:rPr>
          <w:b/>
          <w:caps/>
          <w:sz w:val="32"/>
        </w:rPr>
        <w:t> </w:t>
      </w:r>
      <w:r>
        <w:rPr>
          <w:b/>
          <w:caps/>
          <w:sz w:val="32"/>
        </w:rPr>
        <w:t>la</w:t>
      </w:r>
      <w:r w:rsidR="00C57670">
        <w:rPr>
          <w:b/>
          <w:caps/>
          <w:sz w:val="32"/>
        </w:rPr>
        <w:t> </w:t>
      </w:r>
      <w:r>
        <w:rPr>
          <w:b/>
          <w:caps/>
          <w:sz w:val="32"/>
        </w:rPr>
        <w:t>Convention sur la diversité biologique</w:t>
      </w:r>
    </w:p>
    <w:p w14:paraId="09AB3D4E" w14:textId="77777777" w:rsidR="0021706A" w:rsidRPr="00C67737" w:rsidRDefault="0021706A" w:rsidP="0021706A">
      <w:pPr>
        <w:jc w:val="center"/>
        <w:rPr>
          <w:b/>
          <w:smallCaps/>
          <w:sz w:val="32"/>
          <w:szCs w:val="32"/>
        </w:rPr>
      </w:pPr>
    </w:p>
    <w:p w14:paraId="095B998E" w14:textId="3404EE1B" w:rsidR="0021706A" w:rsidRPr="000F375E" w:rsidRDefault="00BB3A04" w:rsidP="0021706A">
      <w:pPr>
        <w:jc w:val="center"/>
        <w:rPr>
          <w:b/>
          <w:caps/>
          <w:sz w:val="32"/>
          <w:szCs w:val="32"/>
        </w:rPr>
      </w:pPr>
      <w:r>
        <w:rPr>
          <w:b/>
          <w:caps/>
          <w:sz w:val="32"/>
        </w:rPr>
        <w:t>août 2026</w:t>
      </w:r>
    </w:p>
    <w:p w14:paraId="663203FA" w14:textId="77777777" w:rsidR="005B5C3A" w:rsidRPr="00C67737" w:rsidRDefault="005B5C3A" w:rsidP="00CB3758">
      <w:pPr>
        <w:jc w:val="center"/>
        <w:rPr>
          <w:b/>
          <w:smallCaps/>
          <w:sz w:val="32"/>
          <w:szCs w:val="32"/>
        </w:rPr>
      </w:pPr>
    </w:p>
    <w:p w14:paraId="6A746F3F" w14:textId="77777777" w:rsidR="005B5C3A" w:rsidRPr="00C67737" w:rsidRDefault="005B5C3A" w:rsidP="00CB3758">
      <w:pPr>
        <w:jc w:val="center"/>
        <w:rPr>
          <w:b/>
          <w:sz w:val="32"/>
          <w:szCs w:val="32"/>
        </w:rPr>
        <w:sectPr w:rsidR="005B5C3A" w:rsidRPr="00C67737" w:rsidSect="00CE19D4">
          <w:pgSz w:w="12240" w:h="15840"/>
          <w:pgMar w:top="1134" w:right="1440" w:bottom="1134" w:left="1440" w:header="720" w:footer="0" w:gutter="0"/>
          <w:pgNumType w:fmt="lowerRoman" w:start="1"/>
          <w:cols w:space="720"/>
          <w:docGrid w:linePitch="360"/>
        </w:sectPr>
      </w:pPr>
    </w:p>
    <w:p w14:paraId="0C34E1FE" w14:textId="72764FDF" w:rsidR="00373FE7" w:rsidRPr="00C67737" w:rsidRDefault="00373FE7" w:rsidP="00373FE7">
      <w:pPr>
        <w:rPr>
          <w:snapToGrid w:val="0"/>
        </w:rPr>
      </w:pPr>
    </w:p>
    <w:p w14:paraId="323FD78B" w14:textId="6DF3EB8D" w:rsidR="00D23DAC" w:rsidRPr="00C67737" w:rsidRDefault="00D23DAC" w:rsidP="00373FE7">
      <w:pPr>
        <w:rPr>
          <w:snapToGrid w:val="0"/>
        </w:rPr>
      </w:pPr>
    </w:p>
    <w:p w14:paraId="01396491" w14:textId="08275CFF" w:rsidR="00D23DAC" w:rsidRPr="00C67737" w:rsidRDefault="00D23DAC" w:rsidP="00373FE7">
      <w:pPr>
        <w:rPr>
          <w:snapToGrid w:val="0"/>
          <w:sz w:val="24"/>
          <w:szCs w:val="24"/>
        </w:rPr>
        <w:sectPr w:rsidR="00D23DAC" w:rsidRPr="00C67737" w:rsidSect="00325517">
          <w:footerReference w:type="default" r:id="rId24"/>
          <w:type w:val="continuous"/>
          <w:pgSz w:w="12240" w:h="15840"/>
          <w:pgMar w:top="1080" w:right="1440" w:bottom="1440" w:left="1440" w:header="720" w:footer="720" w:gutter="0"/>
          <w:pgNumType w:fmt="lowerRoman"/>
          <w:cols w:space="720"/>
          <w:docGrid w:linePitch="360"/>
        </w:sectPr>
      </w:pPr>
    </w:p>
    <w:p w14:paraId="1336B498" w14:textId="06417DB9" w:rsidR="004E44D2" w:rsidRPr="00C67737" w:rsidRDefault="00667ED0" w:rsidP="00640F63">
      <w:pPr>
        <w:pStyle w:val="Heading1"/>
      </w:pPr>
      <w:bookmarkStart w:id="3" w:name="_Toc242184689"/>
      <w:bookmarkStart w:id="4" w:name="_Toc242185273"/>
      <w:bookmarkStart w:id="5" w:name="_Toc102227392"/>
      <w:r w:rsidRPr="00B747D9">
        <w:lastRenderedPageBreak/>
        <w:t>Sigles</w:t>
      </w:r>
      <w:r>
        <w:t xml:space="preserve"> et abréviations</w:t>
      </w:r>
      <w:bookmarkEnd w:id="3"/>
      <w:bookmarkEnd w:id="4"/>
    </w:p>
    <w:tbl>
      <w:tblPr>
        <w:tblStyle w:val="TableGrid"/>
        <w:tblW w:w="9360" w:type="dxa"/>
        <w:tblInd w:w="-5" w:type="dxa"/>
        <w:tblLook w:val="04A0" w:firstRow="1" w:lastRow="0" w:firstColumn="1" w:lastColumn="0" w:noHBand="0" w:noVBand="1"/>
      </w:tblPr>
      <w:tblGrid>
        <w:gridCol w:w="1530"/>
        <w:gridCol w:w="7830"/>
      </w:tblGrid>
      <w:tr w:rsidR="008253EB" w:rsidRPr="00C67737" w14:paraId="100D7FCB" w14:textId="77777777" w:rsidTr="00586ED8">
        <w:tc>
          <w:tcPr>
            <w:tcW w:w="1530" w:type="dxa"/>
            <w:vAlign w:val="center"/>
          </w:tcPr>
          <w:p w14:paraId="5B64FF49" w14:textId="77777777" w:rsidR="008253EB" w:rsidRPr="00C67737" w:rsidRDefault="008253EB" w:rsidP="0072575B">
            <w:pPr>
              <w:contextualSpacing/>
              <w:jc w:val="left"/>
            </w:pPr>
            <w:r>
              <w:t xml:space="preserve">AMCEZ </w:t>
            </w:r>
          </w:p>
        </w:tc>
        <w:tc>
          <w:tcPr>
            <w:tcW w:w="7830" w:type="dxa"/>
          </w:tcPr>
          <w:p w14:paraId="4CA2791F" w14:textId="77777777" w:rsidR="008253EB" w:rsidRPr="00C67737" w:rsidRDefault="008253EB" w:rsidP="0072575B">
            <w:pPr>
              <w:contextualSpacing/>
            </w:pPr>
            <w:r>
              <w:t xml:space="preserve">Autres mesures de conservation efficaces par zone </w:t>
            </w:r>
          </w:p>
        </w:tc>
      </w:tr>
      <w:tr w:rsidR="008253EB" w:rsidRPr="00C67737" w14:paraId="38EBE715" w14:textId="77777777" w:rsidTr="00586ED8">
        <w:tc>
          <w:tcPr>
            <w:tcW w:w="1530" w:type="dxa"/>
            <w:vAlign w:val="center"/>
          </w:tcPr>
          <w:p w14:paraId="2F4CAB5C" w14:textId="77777777" w:rsidR="008253EB" w:rsidRPr="00C67737" w:rsidRDefault="008253EB">
            <w:pPr>
              <w:contextualSpacing/>
              <w:jc w:val="left"/>
            </w:pPr>
            <w:r>
              <w:t>BIOFIN</w:t>
            </w:r>
          </w:p>
        </w:tc>
        <w:tc>
          <w:tcPr>
            <w:tcW w:w="7830" w:type="dxa"/>
          </w:tcPr>
          <w:p w14:paraId="2B56B85F" w14:textId="77777777" w:rsidR="008253EB" w:rsidRPr="00C67737" w:rsidRDefault="008253EB" w:rsidP="00F927FD">
            <w:pPr>
              <w:contextualSpacing/>
            </w:pPr>
            <w:r>
              <w:t>Initiative pour le financement de la biodiversité</w:t>
            </w:r>
          </w:p>
        </w:tc>
      </w:tr>
      <w:tr w:rsidR="008253EB" w:rsidRPr="00C67737" w14:paraId="3142CFB1" w14:textId="77777777" w:rsidTr="00586ED8">
        <w:tc>
          <w:tcPr>
            <w:tcW w:w="1530" w:type="dxa"/>
            <w:vAlign w:val="center"/>
          </w:tcPr>
          <w:p w14:paraId="4D0CF0E9" w14:textId="77777777" w:rsidR="008253EB" w:rsidRPr="00C67737" w:rsidRDefault="008253EB" w:rsidP="0072575B">
            <w:pPr>
              <w:contextualSpacing/>
              <w:jc w:val="left"/>
            </w:pPr>
            <w:r>
              <w:t>CAD OCDE</w:t>
            </w:r>
          </w:p>
        </w:tc>
        <w:tc>
          <w:tcPr>
            <w:tcW w:w="7830" w:type="dxa"/>
          </w:tcPr>
          <w:p w14:paraId="04830426" w14:textId="77777777" w:rsidR="008253EB" w:rsidRPr="00C67737" w:rsidRDefault="008253EB" w:rsidP="00F927FD">
            <w:pPr>
              <w:contextualSpacing/>
            </w:pPr>
            <w:r>
              <w:t>Comité d’aide au développement de l’Organisation de coopération et de développement économiques</w:t>
            </w:r>
          </w:p>
        </w:tc>
      </w:tr>
      <w:tr w:rsidR="008253EB" w:rsidRPr="00C67737" w14:paraId="566BA020" w14:textId="77777777" w:rsidTr="00586ED8">
        <w:tc>
          <w:tcPr>
            <w:tcW w:w="1530" w:type="dxa"/>
            <w:vAlign w:val="center"/>
          </w:tcPr>
          <w:p w14:paraId="6B268161" w14:textId="77777777" w:rsidR="008253EB" w:rsidRPr="00790D99" w:rsidRDefault="008253EB" w:rsidP="0072575B">
            <w:pPr>
              <w:contextualSpacing/>
              <w:jc w:val="left"/>
            </w:pPr>
            <w:r w:rsidRPr="00790D99">
              <w:t xml:space="preserve">CCNUCC </w:t>
            </w:r>
          </w:p>
        </w:tc>
        <w:tc>
          <w:tcPr>
            <w:tcW w:w="7830" w:type="dxa"/>
          </w:tcPr>
          <w:p w14:paraId="3F3E5C67" w14:textId="77777777" w:rsidR="008253EB" w:rsidRPr="00C67737" w:rsidRDefault="008253EB" w:rsidP="0072575B">
            <w:pPr>
              <w:contextualSpacing/>
            </w:pPr>
            <w:r>
              <w:t xml:space="preserve">Convention-cadre des Nations Unies sur les changements climatiques </w:t>
            </w:r>
          </w:p>
        </w:tc>
      </w:tr>
      <w:tr w:rsidR="008253EB" w:rsidRPr="00C67737" w14:paraId="0738FCCA" w14:textId="77777777" w:rsidTr="00586ED8">
        <w:tc>
          <w:tcPr>
            <w:tcW w:w="1530" w:type="dxa"/>
            <w:vAlign w:val="center"/>
          </w:tcPr>
          <w:p w14:paraId="79EADB1D" w14:textId="77777777" w:rsidR="008253EB" w:rsidRPr="00C67737" w:rsidRDefault="008253EB" w:rsidP="0072575B">
            <w:pPr>
              <w:contextualSpacing/>
              <w:jc w:val="left"/>
            </w:pPr>
            <w:r>
              <w:t xml:space="preserve">CDB </w:t>
            </w:r>
          </w:p>
        </w:tc>
        <w:tc>
          <w:tcPr>
            <w:tcW w:w="7830" w:type="dxa"/>
          </w:tcPr>
          <w:p w14:paraId="41E4F287" w14:textId="77777777" w:rsidR="008253EB" w:rsidRPr="00C67737" w:rsidRDefault="008253EB" w:rsidP="0072575B">
            <w:pPr>
              <w:contextualSpacing/>
            </w:pPr>
            <w:r>
              <w:t xml:space="preserve">Convention sur la diversité biologique </w:t>
            </w:r>
          </w:p>
        </w:tc>
      </w:tr>
      <w:tr w:rsidR="008253EB" w:rsidRPr="00C67737" w14:paraId="51580056" w14:textId="77777777" w:rsidTr="00586ED8">
        <w:tc>
          <w:tcPr>
            <w:tcW w:w="1530" w:type="dxa"/>
            <w:vAlign w:val="center"/>
          </w:tcPr>
          <w:p w14:paraId="30467965" w14:textId="77777777" w:rsidR="008253EB" w:rsidRPr="00C67737" w:rsidRDefault="008253EB" w:rsidP="0072575B">
            <w:pPr>
              <w:contextualSpacing/>
              <w:jc w:val="left"/>
            </w:pPr>
            <w:r>
              <w:t xml:space="preserve">CI </w:t>
            </w:r>
          </w:p>
        </w:tc>
        <w:tc>
          <w:tcPr>
            <w:tcW w:w="7830" w:type="dxa"/>
          </w:tcPr>
          <w:p w14:paraId="1AABF162" w14:textId="77777777" w:rsidR="008253EB" w:rsidRPr="00C67737" w:rsidRDefault="008253EB" w:rsidP="0072575B">
            <w:pPr>
              <w:contextualSpacing/>
            </w:pPr>
            <w:r>
              <w:t xml:space="preserve">Conservation International </w:t>
            </w:r>
          </w:p>
        </w:tc>
      </w:tr>
      <w:tr w:rsidR="008253EB" w:rsidRPr="00C67737" w14:paraId="3CA087FE" w14:textId="77777777" w:rsidTr="00586ED8">
        <w:tc>
          <w:tcPr>
            <w:tcW w:w="1530" w:type="dxa"/>
            <w:vAlign w:val="center"/>
          </w:tcPr>
          <w:p w14:paraId="3811C4E0" w14:textId="77777777" w:rsidR="008253EB" w:rsidRPr="00C67737" w:rsidRDefault="008253EB" w:rsidP="0072575B">
            <w:pPr>
              <w:contextualSpacing/>
              <w:jc w:val="left"/>
            </w:pPr>
            <w:r>
              <w:t>COP</w:t>
            </w:r>
            <w:r>
              <w:tab/>
              <w:t xml:space="preserve"> </w:t>
            </w:r>
          </w:p>
        </w:tc>
        <w:tc>
          <w:tcPr>
            <w:tcW w:w="7830" w:type="dxa"/>
          </w:tcPr>
          <w:p w14:paraId="1CBA92DA" w14:textId="77777777" w:rsidR="008253EB" w:rsidRPr="00C67737" w:rsidRDefault="008253EB" w:rsidP="0072575B">
            <w:pPr>
              <w:contextualSpacing/>
            </w:pPr>
            <w:r>
              <w:t xml:space="preserve">Conférence des Parties </w:t>
            </w:r>
          </w:p>
        </w:tc>
      </w:tr>
      <w:tr w:rsidR="008253EB" w:rsidRPr="00C67737" w14:paraId="0F749BCB" w14:textId="77777777" w:rsidTr="00586ED8">
        <w:tc>
          <w:tcPr>
            <w:tcW w:w="1530" w:type="dxa"/>
            <w:vAlign w:val="center"/>
          </w:tcPr>
          <w:p w14:paraId="758DEA18" w14:textId="77777777" w:rsidR="008253EB" w:rsidRPr="00C67737" w:rsidRDefault="008253EB" w:rsidP="0072575B">
            <w:pPr>
              <w:contextualSpacing/>
              <w:jc w:val="left"/>
            </w:pPr>
            <w:r>
              <w:t xml:space="preserve">FAO </w:t>
            </w:r>
          </w:p>
        </w:tc>
        <w:tc>
          <w:tcPr>
            <w:tcW w:w="7830" w:type="dxa"/>
          </w:tcPr>
          <w:p w14:paraId="605A9E37" w14:textId="77777777" w:rsidR="008253EB" w:rsidRPr="00C67737" w:rsidRDefault="008253EB" w:rsidP="0072575B">
            <w:pPr>
              <w:contextualSpacing/>
            </w:pPr>
            <w:r>
              <w:t xml:space="preserve">Organisation des Nations Unies pour l’alimentation et l’agriculture </w:t>
            </w:r>
          </w:p>
        </w:tc>
      </w:tr>
      <w:tr w:rsidR="008253EB" w:rsidRPr="00C67737" w14:paraId="591311CF" w14:textId="77777777" w:rsidTr="00586ED8">
        <w:tc>
          <w:tcPr>
            <w:tcW w:w="1530" w:type="dxa"/>
            <w:vAlign w:val="center"/>
          </w:tcPr>
          <w:p w14:paraId="07897F3C" w14:textId="77777777" w:rsidR="008253EB" w:rsidRPr="00C67737" w:rsidRDefault="008253EB" w:rsidP="0072575B">
            <w:pPr>
              <w:contextualSpacing/>
              <w:jc w:val="left"/>
            </w:pPr>
            <w:r>
              <w:t xml:space="preserve">FARM </w:t>
            </w:r>
          </w:p>
        </w:tc>
        <w:tc>
          <w:tcPr>
            <w:tcW w:w="7830" w:type="dxa"/>
          </w:tcPr>
          <w:p w14:paraId="40E2D506" w14:textId="42A94C5A" w:rsidR="008253EB" w:rsidRPr="00C67737" w:rsidRDefault="008253EB" w:rsidP="0072575B">
            <w:pPr>
              <w:contextualSpacing/>
            </w:pPr>
            <w:r>
              <w:t>Financement de la réduction et de la gestion des produits agrochimique</w:t>
            </w:r>
            <w:r w:rsidR="00261C93">
              <w:t>s</w:t>
            </w:r>
            <w:r>
              <w:t xml:space="preserve"> </w:t>
            </w:r>
          </w:p>
        </w:tc>
      </w:tr>
      <w:tr w:rsidR="00915CF5" w:rsidRPr="00C67737" w14:paraId="43CE0153" w14:textId="77777777" w:rsidTr="00586ED8">
        <w:tc>
          <w:tcPr>
            <w:tcW w:w="1530" w:type="dxa"/>
            <w:vAlign w:val="center"/>
          </w:tcPr>
          <w:p w14:paraId="1AC498AD" w14:textId="113E01B5" w:rsidR="00915CF5" w:rsidRDefault="00915CF5" w:rsidP="0072575B">
            <w:pPr>
              <w:contextualSpacing/>
              <w:jc w:val="left"/>
            </w:pPr>
            <w:r>
              <w:t>FIAB</w:t>
            </w:r>
          </w:p>
        </w:tc>
        <w:tc>
          <w:tcPr>
            <w:tcW w:w="7830" w:type="dxa"/>
          </w:tcPr>
          <w:p w14:paraId="0321D3FB" w14:textId="044B04A1" w:rsidR="00915CF5" w:rsidRDefault="00915CF5" w:rsidP="0072575B">
            <w:pPr>
              <w:contextualSpacing/>
            </w:pPr>
            <w:r w:rsidRPr="00B436A7">
              <w:t>Forum international autochtone sur la biodiversité</w:t>
            </w:r>
          </w:p>
        </w:tc>
      </w:tr>
      <w:tr w:rsidR="008253EB" w:rsidRPr="00C67737" w14:paraId="5AF42F89" w14:textId="77777777" w:rsidTr="00586ED8">
        <w:tc>
          <w:tcPr>
            <w:tcW w:w="1530" w:type="dxa"/>
            <w:vAlign w:val="center"/>
          </w:tcPr>
          <w:p w14:paraId="4B9F08BE" w14:textId="77777777" w:rsidR="008253EB" w:rsidRPr="00C67737" w:rsidRDefault="008253EB" w:rsidP="0072575B">
            <w:pPr>
              <w:contextualSpacing/>
              <w:jc w:val="left"/>
            </w:pPr>
            <w:r>
              <w:t>FIP</w:t>
            </w:r>
          </w:p>
        </w:tc>
        <w:tc>
          <w:tcPr>
            <w:tcW w:w="7830" w:type="dxa"/>
          </w:tcPr>
          <w:p w14:paraId="2F1F32FF" w14:textId="77777777" w:rsidR="008253EB" w:rsidRPr="00C67737" w:rsidRDefault="008253EB" w:rsidP="0072575B">
            <w:pPr>
              <w:contextualSpacing/>
            </w:pPr>
            <w:r>
              <w:t xml:space="preserve">Fiche d’identité du projet </w:t>
            </w:r>
          </w:p>
        </w:tc>
      </w:tr>
      <w:tr w:rsidR="008253EB" w:rsidRPr="00C67737" w14:paraId="73A9F260" w14:textId="77777777" w:rsidTr="00586ED8">
        <w:tc>
          <w:tcPr>
            <w:tcW w:w="1530" w:type="dxa"/>
            <w:vAlign w:val="center"/>
          </w:tcPr>
          <w:p w14:paraId="64D07EDF" w14:textId="77777777" w:rsidR="008253EB" w:rsidRPr="00C67737" w:rsidRDefault="008253EB" w:rsidP="0072575B">
            <w:pPr>
              <w:contextualSpacing/>
              <w:jc w:val="left"/>
            </w:pPr>
            <w:r>
              <w:t xml:space="preserve">FPMA </w:t>
            </w:r>
          </w:p>
        </w:tc>
        <w:tc>
          <w:tcPr>
            <w:tcW w:w="7830" w:type="dxa"/>
          </w:tcPr>
          <w:p w14:paraId="2DA024A1" w14:textId="77777777" w:rsidR="008253EB" w:rsidRPr="00C67737" w:rsidRDefault="008253EB" w:rsidP="0072575B">
            <w:pPr>
              <w:contextualSpacing/>
            </w:pPr>
            <w:r w:rsidRPr="00EA406C">
              <w:t>Fonds pour les pays les moins avancés</w:t>
            </w:r>
          </w:p>
        </w:tc>
      </w:tr>
      <w:tr w:rsidR="008253EB" w:rsidRPr="00C67737" w14:paraId="64BF277A" w14:textId="77777777" w:rsidTr="00586ED8">
        <w:tc>
          <w:tcPr>
            <w:tcW w:w="1530" w:type="dxa"/>
            <w:vAlign w:val="center"/>
          </w:tcPr>
          <w:p w14:paraId="59C44E6D" w14:textId="77777777" w:rsidR="008253EB" w:rsidRPr="00C67737" w:rsidRDefault="008253EB" w:rsidP="0072575B">
            <w:pPr>
              <w:contextualSpacing/>
              <w:jc w:val="left"/>
            </w:pPr>
            <w:r>
              <w:t xml:space="preserve">FSCC </w:t>
            </w:r>
          </w:p>
        </w:tc>
        <w:tc>
          <w:tcPr>
            <w:tcW w:w="7830" w:type="dxa"/>
          </w:tcPr>
          <w:p w14:paraId="5B0187AF" w14:textId="77777777" w:rsidR="008253EB" w:rsidRPr="00C67737" w:rsidRDefault="008253EB" w:rsidP="0072575B">
            <w:pPr>
              <w:contextualSpacing/>
            </w:pPr>
            <w:r>
              <w:t xml:space="preserve">Fonds spécial pour les changements climatiques </w:t>
            </w:r>
          </w:p>
        </w:tc>
      </w:tr>
      <w:tr w:rsidR="008253EB" w:rsidRPr="00C67737" w14:paraId="361B8C35" w14:textId="77777777" w:rsidTr="00586ED8">
        <w:tc>
          <w:tcPr>
            <w:tcW w:w="1530" w:type="dxa"/>
            <w:vAlign w:val="center"/>
          </w:tcPr>
          <w:p w14:paraId="145A6A89" w14:textId="77777777" w:rsidR="008253EB" w:rsidRPr="00C67737" w:rsidRDefault="008253EB" w:rsidP="0072575B">
            <w:pPr>
              <w:contextualSpacing/>
              <w:jc w:val="left"/>
            </w:pPr>
            <w:r>
              <w:t>FUNBIO</w:t>
            </w:r>
          </w:p>
        </w:tc>
        <w:tc>
          <w:tcPr>
            <w:tcW w:w="7830" w:type="dxa"/>
          </w:tcPr>
          <w:p w14:paraId="6BB5BCDE" w14:textId="77777777" w:rsidR="008253EB" w:rsidRPr="00C67737" w:rsidRDefault="008253EB" w:rsidP="00F927FD">
            <w:pPr>
              <w:contextualSpacing/>
            </w:pPr>
            <w:r>
              <w:t>Fonds brésilien pour la biodiversité</w:t>
            </w:r>
          </w:p>
        </w:tc>
      </w:tr>
      <w:tr w:rsidR="008253EB" w:rsidRPr="00C67737" w14:paraId="2B5A5D2E" w14:textId="77777777" w:rsidTr="00586ED8">
        <w:tc>
          <w:tcPr>
            <w:tcW w:w="1530" w:type="dxa"/>
            <w:vAlign w:val="center"/>
          </w:tcPr>
          <w:p w14:paraId="59DE94F6" w14:textId="77777777" w:rsidR="008253EB" w:rsidRPr="00C67737" w:rsidRDefault="008253EB" w:rsidP="0072575B">
            <w:pPr>
              <w:contextualSpacing/>
              <w:jc w:val="left"/>
            </w:pPr>
            <w:r>
              <w:t>FVC</w:t>
            </w:r>
          </w:p>
        </w:tc>
        <w:tc>
          <w:tcPr>
            <w:tcW w:w="7830" w:type="dxa"/>
          </w:tcPr>
          <w:p w14:paraId="4B0574B0" w14:textId="77777777" w:rsidR="008253EB" w:rsidRPr="00C67737" w:rsidRDefault="008253EB" w:rsidP="00F927FD">
            <w:pPr>
              <w:contextualSpacing/>
            </w:pPr>
            <w:r>
              <w:t xml:space="preserve">Fonds vert pour le climat </w:t>
            </w:r>
          </w:p>
        </w:tc>
      </w:tr>
      <w:tr w:rsidR="008253EB" w:rsidRPr="00C67737" w14:paraId="4CD706DD" w14:textId="77777777" w:rsidTr="00586ED8">
        <w:tc>
          <w:tcPr>
            <w:tcW w:w="1530" w:type="dxa"/>
            <w:vAlign w:val="center"/>
          </w:tcPr>
          <w:p w14:paraId="44B56E00" w14:textId="77777777" w:rsidR="008253EB" w:rsidRPr="00C67737" w:rsidRDefault="008253EB" w:rsidP="0072575B">
            <w:pPr>
              <w:contextualSpacing/>
              <w:jc w:val="left"/>
            </w:pPr>
            <w:r>
              <w:t xml:space="preserve">GBFF </w:t>
            </w:r>
          </w:p>
        </w:tc>
        <w:tc>
          <w:tcPr>
            <w:tcW w:w="7830" w:type="dxa"/>
          </w:tcPr>
          <w:p w14:paraId="7F49C9FE" w14:textId="77777777" w:rsidR="008253EB" w:rsidRPr="00C67737" w:rsidRDefault="008253EB" w:rsidP="0072575B">
            <w:pPr>
              <w:contextualSpacing/>
            </w:pPr>
            <w:r>
              <w:t xml:space="preserve">Fonds du Cadre mondial de la biodiversité </w:t>
            </w:r>
          </w:p>
        </w:tc>
      </w:tr>
      <w:tr w:rsidR="008253EB" w:rsidRPr="00C67737" w14:paraId="4794DF98" w14:textId="77777777" w:rsidTr="00586ED8">
        <w:tc>
          <w:tcPr>
            <w:tcW w:w="1530" w:type="dxa"/>
            <w:vAlign w:val="center"/>
          </w:tcPr>
          <w:p w14:paraId="702F3435" w14:textId="77777777" w:rsidR="008253EB" w:rsidRPr="00C67737" w:rsidRDefault="008253EB" w:rsidP="0072575B">
            <w:pPr>
              <w:contextualSpacing/>
              <w:jc w:val="left"/>
            </w:pPr>
            <w:r>
              <w:t xml:space="preserve">GEF </w:t>
            </w:r>
          </w:p>
        </w:tc>
        <w:tc>
          <w:tcPr>
            <w:tcW w:w="7830" w:type="dxa"/>
          </w:tcPr>
          <w:p w14:paraId="5DF2D2FB" w14:textId="7D9C87AA" w:rsidR="008253EB" w:rsidRPr="00C67737" w:rsidRDefault="008253EB" w:rsidP="0072575B">
            <w:pPr>
              <w:contextualSpacing/>
            </w:pPr>
            <w:r>
              <w:t xml:space="preserve">Fonds pour </w:t>
            </w:r>
            <w:r w:rsidR="00261C93">
              <w:t>l’</w:t>
            </w:r>
            <w:r>
              <w:t xml:space="preserve">environnement mondial  </w:t>
            </w:r>
          </w:p>
        </w:tc>
      </w:tr>
      <w:tr w:rsidR="008253EB" w:rsidRPr="00C67737" w14:paraId="14738373" w14:textId="77777777" w:rsidTr="00586ED8">
        <w:tc>
          <w:tcPr>
            <w:tcW w:w="1530" w:type="dxa"/>
            <w:vAlign w:val="center"/>
          </w:tcPr>
          <w:p w14:paraId="3552A016" w14:textId="77777777" w:rsidR="008253EB" w:rsidRPr="00C67737" w:rsidRDefault="008253EB" w:rsidP="0072575B">
            <w:pPr>
              <w:contextualSpacing/>
              <w:jc w:val="left"/>
            </w:pPr>
            <w:r>
              <w:t xml:space="preserve">GES </w:t>
            </w:r>
          </w:p>
        </w:tc>
        <w:tc>
          <w:tcPr>
            <w:tcW w:w="7830" w:type="dxa"/>
          </w:tcPr>
          <w:p w14:paraId="3DD44BFA" w14:textId="77777777" w:rsidR="008253EB" w:rsidRPr="00C67737" w:rsidRDefault="008253EB" w:rsidP="0072575B">
            <w:pPr>
              <w:contextualSpacing/>
            </w:pPr>
            <w:r>
              <w:t xml:space="preserve">Gaz à effet de serre </w:t>
            </w:r>
          </w:p>
        </w:tc>
      </w:tr>
      <w:tr w:rsidR="008253EB" w:rsidRPr="00C67737" w14:paraId="3F5F00DA" w14:textId="77777777" w:rsidTr="00586ED8">
        <w:tc>
          <w:tcPr>
            <w:tcW w:w="1530" w:type="dxa"/>
            <w:vAlign w:val="center"/>
          </w:tcPr>
          <w:p w14:paraId="2E868D26" w14:textId="77777777" w:rsidR="008253EB" w:rsidRPr="00C67737" w:rsidRDefault="008253EB" w:rsidP="0072575B">
            <w:pPr>
              <w:contextualSpacing/>
              <w:jc w:val="left"/>
            </w:pPr>
            <w:r>
              <w:t xml:space="preserve">HCI </w:t>
            </w:r>
          </w:p>
        </w:tc>
        <w:tc>
          <w:tcPr>
            <w:tcW w:w="7830" w:type="dxa"/>
          </w:tcPr>
          <w:p w14:paraId="7AE1B162" w14:textId="77777777" w:rsidR="008253EB" w:rsidRPr="00C67737" w:rsidRDefault="008253EB" w:rsidP="0072575B">
            <w:pPr>
              <w:contextualSpacing/>
            </w:pPr>
            <w:r>
              <w:t xml:space="preserve">Heart of Conservation Initiative </w:t>
            </w:r>
          </w:p>
        </w:tc>
      </w:tr>
      <w:tr w:rsidR="008253EB" w:rsidRPr="0089752A" w14:paraId="6EB27076" w14:textId="77777777" w:rsidTr="00586ED8">
        <w:tc>
          <w:tcPr>
            <w:tcW w:w="1530" w:type="dxa"/>
            <w:vAlign w:val="center"/>
          </w:tcPr>
          <w:p w14:paraId="3AB0759A" w14:textId="77777777" w:rsidR="008253EB" w:rsidRPr="00C67737" w:rsidRDefault="008253EB" w:rsidP="0072575B">
            <w:pPr>
              <w:contextualSpacing/>
              <w:jc w:val="left"/>
            </w:pPr>
            <w:r>
              <w:t xml:space="preserve">IFAD </w:t>
            </w:r>
          </w:p>
        </w:tc>
        <w:tc>
          <w:tcPr>
            <w:tcW w:w="7830" w:type="dxa"/>
          </w:tcPr>
          <w:p w14:paraId="1E9C5696" w14:textId="77777777" w:rsidR="008253EB" w:rsidRPr="0089752A" w:rsidRDefault="008253EB" w:rsidP="0072575B">
            <w:pPr>
              <w:contextualSpacing/>
            </w:pPr>
            <w:r w:rsidRPr="0089752A">
              <w:t>Fonds international de développement agricole</w:t>
            </w:r>
          </w:p>
        </w:tc>
      </w:tr>
      <w:tr w:rsidR="008253EB" w:rsidRPr="00C67737" w14:paraId="4753A35A" w14:textId="77777777" w:rsidTr="00586ED8">
        <w:tc>
          <w:tcPr>
            <w:tcW w:w="1530" w:type="dxa"/>
            <w:vAlign w:val="center"/>
          </w:tcPr>
          <w:p w14:paraId="4E915301" w14:textId="77777777" w:rsidR="008253EB" w:rsidRPr="00C67737" w:rsidRDefault="008253EB" w:rsidP="0072575B">
            <w:pPr>
              <w:contextualSpacing/>
              <w:jc w:val="left"/>
            </w:pPr>
            <w:r>
              <w:t xml:space="preserve">IFI </w:t>
            </w:r>
          </w:p>
        </w:tc>
        <w:tc>
          <w:tcPr>
            <w:tcW w:w="7830" w:type="dxa"/>
          </w:tcPr>
          <w:p w14:paraId="382A3C2F" w14:textId="77777777" w:rsidR="008253EB" w:rsidRPr="00C67737" w:rsidRDefault="008253EB" w:rsidP="0072575B">
            <w:pPr>
              <w:contextualSpacing/>
            </w:pPr>
            <w:r>
              <w:t xml:space="preserve">Institution financière internationale </w:t>
            </w:r>
          </w:p>
        </w:tc>
      </w:tr>
      <w:tr w:rsidR="008253EB" w:rsidRPr="009D140F" w14:paraId="10EFCB79" w14:textId="77777777" w:rsidTr="00586ED8">
        <w:tc>
          <w:tcPr>
            <w:tcW w:w="1530" w:type="dxa"/>
            <w:vAlign w:val="center"/>
          </w:tcPr>
          <w:p w14:paraId="6EAE8A16" w14:textId="77777777" w:rsidR="008253EB" w:rsidRPr="00C67737" w:rsidRDefault="008253EB" w:rsidP="0072575B">
            <w:pPr>
              <w:contextualSpacing/>
              <w:jc w:val="left"/>
            </w:pPr>
            <w:r>
              <w:t>IPAG</w:t>
            </w:r>
          </w:p>
        </w:tc>
        <w:tc>
          <w:tcPr>
            <w:tcW w:w="7830" w:type="dxa"/>
          </w:tcPr>
          <w:p w14:paraId="38F45864" w14:textId="2C0955EB" w:rsidR="008253EB" w:rsidRPr="009D140F" w:rsidRDefault="008253EB" w:rsidP="00F927FD">
            <w:pPr>
              <w:contextualSpacing/>
            </w:pPr>
            <w:r>
              <w:t>Groupe consultatif du GEF sur les peuples autochtones</w:t>
            </w:r>
          </w:p>
        </w:tc>
      </w:tr>
      <w:tr w:rsidR="008253EB" w:rsidRPr="00C67737" w14:paraId="7EA39323" w14:textId="77777777" w:rsidTr="00586ED8">
        <w:tc>
          <w:tcPr>
            <w:tcW w:w="1530" w:type="dxa"/>
            <w:vAlign w:val="center"/>
          </w:tcPr>
          <w:p w14:paraId="5A5D9DF3" w14:textId="77777777" w:rsidR="008253EB" w:rsidRPr="00C67737" w:rsidRDefault="008253EB" w:rsidP="0072575B">
            <w:pPr>
              <w:contextualSpacing/>
              <w:jc w:val="left"/>
            </w:pPr>
            <w:r>
              <w:t xml:space="preserve">KMGBF </w:t>
            </w:r>
          </w:p>
        </w:tc>
        <w:tc>
          <w:tcPr>
            <w:tcW w:w="7830" w:type="dxa"/>
          </w:tcPr>
          <w:p w14:paraId="54814792" w14:textId="77777777" w:rsidR="008253EB" w:rsidRPr="00C67737" w:rsidRDefault="008253EB" w:rsidP="0072575B">
            <w:pPr>
              <w:contextualSpacing/>
            </w:pPr>
            <w:r>
              <w:t xml:space="preserve">Cadre mondial de la biodiversité de Kunming-Montréal </w:t>
            </w:r>
          </w:p>
        </w:tc>
      </w:tr>
      <w:tr w:rsidR="008253EB" w:rsidRPr="00C67737" w14:paraId="3C2FF4C1" w14:textId="77777777" w:rsidTr="00586ED8">
        <w:tc>
          <w:tcPr>
            <w:tcW w:w="1530" w:type="dxa"/>
            <w:vAlign w:val="center"/>
          </w:tcPr>
          <w:p w14:paraId="6450A384" w14:textId="77777777" w:rsidR="008253EB" w:rsidRPr="00C67737" w:rsidRDefault="008253EB" w:rsidP="0072575B">
            <w:pPr>
              <w:contextualSpacing/>
              <w:jc w:val="left"/>
            </w:pPr>
            <w:r>
              <w:t xml:space="preserve">ONG </w:t>
            </w:r>
          </w:p>
        </w:tc>
        <w:tc>
          <w:tcPr>
            <w:tcW w:w="7830" w:type="dxa"/>
          </w:tcPr>
          <w:p w14:paraId="049DFE43" w14:textId="77777777" w:rsidR="008253EB" w:rsidRPr="00C67737" w:rsidRDefault="008253EB" w:rsidP="0072575B">
            <w:pPr>
              <w:contextualSpacing/>
            </w:pPr>
            <w:r>
              <w:t xml:space="preserve">Organisation non gouvernementale </w:t>
            </w:r>
          </w:p>
        </w:tc>
      </w:tr>
      <w:tr w:rsidR="008253EB" w:rsidRPr="00C67737" w14:paraId="60709DED" w14:textId="77777777" w:rsidTr="00586ED8">
        <w:tc>
          <w:tcPr>
            <w:tcW w:w="1530" w:type="dxa"/>
            <w:vAlign w:val="center"/>
          </w:tcPr>
          <w:p w14:paraId="16CD7498" w14:textId="77777777" w:rsidR="008253EB" w:rsidRPr="00C67737" w:rsidRDefault="008253EB" w:rsidP="0072575B">
            <w:pPr>
              <w:contextualSpacing/>
              <w:jc w:val="left"/>
            </w:pPr>
            <w:r>
              <w:t xml:space="preserve">ONU </w:t>
            </w:r>
          </w:p>
        </w:tc>
        <w:tc>
          <w:tcPr>
            <w:tcW w:w="7830" w:type="dxa"/>
          </w:tcPr>
          <w:p w14:paraId="62FEB4F2" w14:textId="77777777" w:rsidR="008253EB" w:rsidRPr="00C67737" w:rsidRDefault="008253EB" w:rsidP="0072575B">
            <w:pPr>
              <w:contextualSpacing/>
            </w:pPr>
            <w:r>
              <w:t xml:space="preserve">Organisation des Nations Unies </w:t>
            </w:r>
          </w:p>
        </w:tc>
      </w:tr>
      <w:tr w:rsidR="008253EB" w:rsidRPr="00C67737" w14:paraId="73E7589B" w14:textId="77777777" w:rsidTr="00586ED8">
        <w:tc>
          <w:tcPr>
            <w:tcW w:w="1530" w:type="dxa"/>
            <w:vAlign w:val="center"/>
          </w:tcPr>
          <w:p w14:paraId="5B676A28" w14:textId="77777777" w:rsidR="008253EB" w:rsidRPr="00C67737" w:rsidRDefault="008253EB" w:rsidP="0072575B">
            <w:pPr>
              <w:contextualSpacing/>
              <w:jc w:val="left"/>
            </w:pPr>
            <w:r>
              <w:t xml:space="preserve">OSC </w:t>
            </w:r>
          </w:p>
        </w:tc>
        <w:tc>
          <w:tcPr>
            <w:tcW w:w="7830" w:type="dxa"/>
          </w:tcPr>
          <w:p w14:paraId="2960714D" w14:textId="77777777" w:rsidR="008253EB" w:rsidRPr="00C67737" w:rsidRDefault="008253EB" w:rsidP="0072575B">
            <w:pPr>
              <w:contextualSpacing/>
            </w:pPr>
            <w:r>
              <w:t xml:space="preserve">Organisation de la société civile </w:t>
            </w:r>
          </w:p>
        </w:tc>
      </w:tr>
      <w:tr w:rsidR="008253EB" w:rsidRPr="00C67737" w14:paraId="7BFE9E09" w14:textId="77777777" w:rsidTr="00586ED8">
        <w:tc>
          <w:tcPr>
            <w:tcW w:w="1530" w:type="dxa"/>
            <w:vAlign w:val="center"/>
          </w:tcPr>
          <w:p w14:paraId="0D3F3703" w14:textId="77777777" w:rsidR="008253EB" w:rsidRPr="00C67737" w:rsidRDefault="008253EB" w:rsidP="0072575B">
            <w:pPr>
              <w:contextualSpacing/>
              <w:jc w:val="left"/>
            </w:pPr>
            <w:r>
              <w:t>OVM</w:t>
            </w:r>
          </w:p>
        </w:tc>
        <w:tc>
          <w:tcPr>
            <w:tcW w:w="7830" w:type="dxa"/>
          </w:tcPr>
          <w:p w14:paraId="4D2E1594" w14:textId="77777777" w:rsidR="008253EB" w:rsidRPr="00C67737" w:rsidRDefault="008253EB" w:rsidP="0072575B">
            <w:pPr>
              <w:contextualSpacing/>
            </w:pPr>
            <w:r>
              <w:t>Organismes vivants modifiés</w:t>
            </w:r>
          </w:p>
        </w:tc>
      </w:tr>
      <w:tr w:rsidR="008253EB" w:rsidRPr="00C67737" w14:paraId="209B51FC" w14:textId="77777777" w:rsidTr="00586ED8">
        <w:tc>
          <w:tcPr>
            <w:tcW w:w="1530" w:type="dxa"/>
            <w:vAlign w:val="center"/>
          </w:tcPr>
          <w:p w14:paraId="7201C636" w14:textId="77777777" w:rsidR="008253EB" w:rsidRPr="00C67737" w:rsidRDefault="008253EB" w:rsidP="0072575B">
            <w:pPr>
              <w:contextualSpacing/>
              <w:jc w:val="left"/>
            </w:pPr>
            <w:r>
              <w:t xml:space="preserve">PEID </w:t>
            </w:r>
          </w:p>
        </w:tc>
        <w:tc>
          <w:tcPr>
            <w:tcW w:w="7830" w:type="dxa"/>
          </w:tcPr>
          <w:p w14:paraId="491E0B10" w14:textId="77777777" w:rsidR="008253EB" w:rsidRPr="00C67737" w:rsidRDefault="008253EB" w:rsidP="0072575B">
            <w:pPr>
              <w:contextualSpacing/>
            </w:pPr>
            <w:r>
              <w:t xml:space="preserve">Petit État insulaire en développement </w:t>
            </w:r>
          </w:p>
        </w:tc>
      </w:tr>
      <w:tr w:rsidR="008253EB" w:rsidRPr="00C67737" w14:paraId="0CB5C12E" w14:textId="77777777" w:rsidTr="00586ED8">
        <w:tc>
          <w:tcPr>
            <w:tcW w:w="1530" w:type="dxa"/>
            <w:vAlign w:val="center"/>
          </w:tcPr>
          <w:p w14:paraId="01A4FCFA" w14:textId="77777777" w:rsidR="008253EB" w:rsidRPr="00C67737" w:rsidRDefault="008253EB" w:rsidP="0072575B">
            <w:pPr>
              <w:contextualSpacing/>
              <w:jc w:val="left"/>
            </w:pPr>
            <w:r>
              <w:t>PMA</w:t>
            </w:r>
          </w:p>
        </w:tc>
        <w:tc>
          <w:tcPr>
            <w:tcW w:w="7830" w:type="dxa"/>
          </w:tcPr>
          <w:p w14:paraId="3189C0CA" w14:textId="77777777" w:rsidR="008253EB" w:rsidRPr="00C67737" w:rsidRDefault="008253EB" w:rsidP="0072575B">
            <w:pPr>
              <w:contextualSpacing/>
            </w:pPr>
            <w:r>
              <w:t xml:space="preserve">Pays les moins avancés </w:t>
            </w:r>
          </w:p>
        </w:tc>
      </w:tr>
      <w:tr w:rsidR="008253EB" w:rsidRPr="00C67737" w14:paraId="48C8FC9F" w14:textId="77777777" w:rsidTr="00586ED8">
        <w:tc>
          <w:tcPr>
            <w:tcW w:w="1530" w:type="dxa"/>
            <w:vAlign w:val="center"/>
          </w:tcPr>
          <w:p w14:paraId="33C0BEBE" w14:textId="77777777" w:rsidR="008253EB" w:rsidRPr="00C67737" w:rsidRDefault="008253EB" w:rsidP="0072575B">
            <w:pPr>
              <w:contextualSpacing/>
              <w:jc w:val="left"/>
            </w:pPr>
            <w:r>
              <w:t xml:space="preserve">PME </w:t>
            </w:r>
          </w:p>
        </w:tc>
        <w:tc>
          <w:tcPr>
            <w:tcW w:w="7830" w:type="dxa"/>
          </w:tcPr>
          <w:p w14:paraId="046243A0" w14:textId="77777777" w:rsidR="008253EB" w:rsidRPr="00C67737" w:rsidRDefault="008253EB" w:rsidP="0072575B">
            <w:pPr>
              <w:contextualSpacing/>
            </w:pPr>
            <w:r>
              <w:t xml:space="preserve">Petite et moyenne entreprise </w:t>
            </w:r>
          </w:p>
        </w:tc>
      </w:tr>
      <w:tr w:rsidR="008253EB" w:rsidRPr="00C67737" w14:paraId="315FD514" w14:textId="77777777" w:rsidTr="00586ED8">
        <w:tc>
          <w:tcPr>
            <w:tcW w:w="1530" w:type="dxa"/>
            <w:vAlign w:val="center"/>
          </w:tcPr>
          <w:p w14:paraId="61903763" w14:textId="77777777" w:rsidR="008253EB" w:rsidRPr="00C67737" w:rsidRDefault="008253EB" w:rsidP="0072575B">
            <w:pPr>
              <w:contextualSpacing/>
              <w:jc w:val="left"/>
            </w:pPr>
            <w:r>
              <w:t xml:space="preserve">PMF </w:t>
            </w:r>
          </w:p>
        </w:tc>
        <w:tc>
          <w:tcPr>
            <w:tcW w:w="7830" w:type="dxa"/>
          </w:tcPr>
          <w:p w14:paraId="74A9CE64" w14:textId="77777777" w:rsidR="008253EB" w:rsidRPr="00C67737" w:rsidRDefault="008253EB" w:rsidP="0072575B">
            <w:pPr>
              <w:contextualSpacing/>
            </w:pPr>
            <w:r>
              <w:t xml:space="preserve">Programme de microfinancements </w:t>
            </w:r>
          </w:p>
        </w:tc>
      </w:tr>
      <w:tr w:rsidR="008253EB" w:rsidRPr="00C67737" w14:paraId="6E07A90A" w14:textId="77777777" w:rsidTr="00586ED8">
        <w:tc>
          <w:tcPr>
            <w:tcW w:w="1530" w:type="dxa"/>
            <w:vAlign w:val="center"/>
          </w:tcPr>
          <w:p w14:paraId="447E38C2" w14:textId="77777777" w:rsidR="008253EB" w:rsidRPr="00C67737" w:rsidRDefault="008253EB" w:rsidP="0072575B">
            <w:pPr>
              <w:contextualSpacing/>
              <w:jc w:val="left"/>
            </w:pPr>
            <w:r>
              <w:t xml:space="preserve">PNUD </w:t>
            </w:r>
          </w:p>
        </w:tc>
        <w:tc>
          <w:tcPr>
            <w:tcW w:w="7830" w:type="dxa"/>
          </w:tcPr>
          <w:p w14:paraId="395431CF" w14:textId="77777777" w:rsidR="008253EB" w:rsidRPr="00C67737" w:rsidRDefault="008253EB" w:rsidP="0072575B">
            <w:pPr>
              <w:contextualSpacing/>
            </w:pPr>
            <w:r>
              <w:t xml:space="preserve">Programme des Nations Unies pour le développement </w:t>
            </w:r>
          </w:p>
        </w:tc>
      </w:tr>
      <w:tr w:rsidR="008253EB" w:rsidRPr="00C67737" w14:paraId="3B129F6D" w14:textId="77777777" w:rsidTr="00586ED8">
        <w:tc>
          <w:tcPr>
            <w:tcW w:w="1530" w:type="dxa"/>
            <w:vAlign w:val="center"/>
          </w:tcPr>
          <w:p w14:paraId="36ECD27B" w14:textId="77777777" w:rsidR="008253EB" w:rsidRPr="00C67737" w:rsidRDefault="008253EB" w:rsidP="0072575B">
            <w:pPr>
              <w:contextualSpacing/>
              <w:jc w:val="left"/>
            </w:pPr>
            <w:r>
              <w:t xml:space="preserve">PNUE </w:t>
            </w:r>
          </w:p>
        </w:tc>
        <w:tc>
          <w:tcPr>
            <w:tcW w:w="7830" w:type="dxa"/>
          </w:tcPr>
          <w:p w14:paraId="36537740" w14:textId="77777777" w:rsidR="008253EB" w:rsidRPr="00C67737" w:rsidRDefault="008253EB" w:rsidP="0072575B">
            <w:pPr>
              <w:contextualSpacing/>
            </w:pPr>
            <w:r>
              <w:t xml:space="preserve">Programme des Nations Unies pour l’environnement </w:t>
            </w:r>
          </w:p>
        </w:tc>
      </w:tr>
      <w:tr w:rsidR="008253EB" w:rsidRPr="00C67737" w14:paraId="51909DC8" w14:textId="77777777" w:rsidTr="00586ED8">
        <w:tc>
          <w:tcPr>
            <w:tcW w:w="1530" w:type="dxa"/>
            <w:vAlign w:val="center"/>
          </w:tcPr>
          <w:p w14:paraId="547AF5E2" w14:textId="77777777" w:rsidR="008253EB" w:rsidRPr="00C67737" w:rsidRDefault="008253EB" w:rsidP="0072575B">
            <w:pPr>
              <w:contextualSpacing/>
              <w:jc w:val="left"/>
            </w:pPr>
            <w:r>
              <w:t xml:space="preserve">PPG </w:t>
            </w:r>
          </w:p>
        </w:tc>
        <w:tc>
          <w:tcPr>
            <w:tcW w:w="7830" w:type="dxa"/>
          </w:tcPr>
          <w:p w14:paraId="0C37BE6A" w14:textId="77777777" w:rsidR="008253EB" w:rsidRPr="00C67737" w:rsidRDefault="008253EB" w:rsidP="0072575B">
            <w:pPr>
              <w:contextualSpacing/>
            </w:pPr>
            <w:r>
              <w:t xml:space="preserve">Financement pour la préparation de projet </w:t>
            </w:r>
          </w:p>
        </w:tc>
      </w:tr>
      <w:tr w:rsidR="007447C6" w:rsidRPr="00C67737" w14:paraId="26FC2CF4" w14:textId="77777777" w:rsidTr="00586ED8">
        <w:tc>
          <w:tcPr>
            <w:tcW w:w="1530" w:type="dxa"/>
            <w:vAlign w:val="center"/>
          </w:tcPr>
          <w:p w14:paraId="55555033" w14:textId="2B46E2C0" w:rsidR="007447C6" w:rsidRDefault="007447C6" w:rsidP="0072575B">
            <w:pPr>
              <w:contextualSpacing/>
              <w:jc w:val="left"/>
            </w:pPr>
            <w:r>
              <w:t>RW</w:t>
            </w:r>
            <w:r w:rsidR="00586ED8">
              <w:t>F</w:t>
            </w:r>
          </w:p>
        </w:tc>
        <w:tc>
          <w:tcPr>
            <w:tcW w:w="7830" w:type="dxa"/>
          </w:tcPr>
          <w:p w14:paraId="44F2859A" w14:textId="33555579" w:rsidR="007447C6" w:rsidRDefault="007447C6" w:rsidP="0072575B">
            <w:pPr>
              <w:contextualSpacing/>
            </w:pPr>
            <w:r w:rsidRPr="007447C6">
              <w:t>Rob Walton Foundation</w:t>
            </w:r>
          </w:p>
        </w:tc>
      </w:tr>
      <w:tr w:rsidR="008253EB" w:rsidRPr="00C67737" w14:paraId="17B8AC64" w14:textId="77777777" w:rsidTr="00586ED8">
        <w:tc>
          <w:tcPr>
            <w:tcW w:w="1530" w:type="dxa"/>
            <w:vAlign w:val="center"/>
          </w:tcPr>
          <w:p w14:paraId="3401E11E" w14:textId="77777777" w:rsidR="008253EB" w:rsidRPr="00C67737" w:rsidRDefault="008253EB" w:rsidP="0072575B">
            <w:pPr>
              <w:contextualSpacing/>
              <w:jc w:val="left"/>
            </w:pPr>
            <w:r>
              <w:t xml:space="preserve">SPANB </w:t>
            </w:r>
          </w:p>
        </w:tc>
        <w:tc>
          <w:tcPr>
            <w:tcW w:w="7830" w:type="dxa"/>
          </w:tcPr>
          <w:p w14:paraId="4725FF1C" w14:textId="77777777" w:rsidR="008253EB" w:rsidRPr="00C67737" w:rsidRDefault="008253EB" w:rsidP="0072575B">
            <w:pPr>
              <w:contextualSpacing/>
            </w:pPr>
            <w:r>
              <w:t xml:space="preserve">Stratégie et plan d’action nationaux pour la biodiversité </w:t>
            </w:r>
          </w:p>
        </w:tc>
      </w:tr>
      <w:tr w:rsidR="008253EB" w:rsidRPr="00C67737" w14:paraId="058D0791" w14:textId="77777777" w:rsidTr="00586ED8">
        <w:tc>
          <w:tcPr>
            <w:tcW w:w="1530" w:type="dxa"/>
            <w:vAlign w:val="center"/>
          </w:tcPr>
          <w:p w14:paraId="22BA3C4A" w14:textId="77777777" w:rsidR="008253EB" w:rsidRPr="00C67737" w:rsidRDefault="008253EB" w:rsidP="0072575B">
            <w:pPr>
              <w:contextualSpacing/>
              <w:jc w:val="left"/>
            </w:pPr>
            <w:r>
              <w:t xml:space="preserve">STAR </w:t>
            </w:r>
          </w:p>
        </w:tc>
        <w:tc>
          <w:tcPr>
            <w:tcW w:w="7830" w:type="dxa"/>
          </w:tcPr>
          <w:p w14:paraId="5DA7B30E" w14:textId="77777777" w:rsidR="008253EB" w:rsidRPr="00C67737" w:rsidRDefault="008253EB" w:rsidP="0072575B">
            <w:pPr>
              <w:contextualSpacing/>
            </w:pPr>
            <w:r>
              <w:t xml:space="preserve">Système transparent d’allocation des ressources </w:t>
            </w:r>
          </w:p>
        </w:tc>
      </w:tr>
      <w:tr w:rsidR="008253EB" w:rsidRPr="00D86BB8" w14:paraId="07C74A23" w14:textId="77777777" w:rsidTr="00586ED8">
        <w:tc>
          <w:tcPr>
            <w:tcW w:w="1530" w:type="dxa"/>
            <w:vAlign w:val="center"/>
          </w:tcPr>
          <w:p w14:paraId="0E67F33C" w14:textId="77777777" w:rsidR="008253EB" w:rsidRPr="00C67737" w:rsidRDefault="008253EB" w:rsidP="0072575B">
            <w:pPr>
              <w:contextualSpacing/>
              <w:jc w:val="left"/>
            </w:pPr>
            <w:r>
              <w:t xml:space="preserve">t. </w:t>
            </w:r>
            <w:proofErr w:type="spellStart"/>
            <w:r>
              <w:t>éq</w:t>
            </w:r>
            <w:proofErr w:type="spellEnd"/>
            <w:r>
              <w:t>. CO</w:t>
            </w:r>
            <w:r>
              <w:rPr>
                <w:vertAlign w:val="subscript"/>
              </w:rPr>
              <w:t>2</w:t>
            </w:r>
          </w:p>
        </w:tc>
        <w:tc>
          <w:tcPr>
            <w:tcW w:w="7830" w:type="dxa"/>
          </w:tcPr>
          <w:p w14:paraId="44EB090E" w14:textId="77777777" w:rsidR="008253EB" w:rsidRPr="00D86BB8" w:rsidRDefault="008253EB" w:rsidP="00F927FD">
            <w:pPr>
              <w:contextualSpacing/>
            </w:pPr>
            <w:r>
              <w:t>T</w:t>
            </w:r>
            <w:r w:rsidRPr="00D86BB8">
              <w:t>onne équivalent dioxyde de carbone</w:t>
            </w:r>
          </w:p>
        </w:tc>
      </w:tr>
      <w:tr w:rsidR="008253EB" w:rsidRPr="00825B97" w14:paraId="76899C80" w14:textId="77777777" w:rsidTr="00586ED8">
        <w:tc>
          <w:tcPr>
            <w:tcW w:w="1530" w:type="dxa"/>
            <w:vAlign w:val="center"/>
          </w:tcPr>
          <w:p w14:paraId="0373D159" w14:textId="77777777" w:rsidR="008253EB" w:rsidRPr="00C67737" w:rsidRDefault="008253EB" w:rsidP="0072575B">
            <w:pPr>
              <w:contextualSpacing/>
              <w:jc w:val="left"/>
            </w:pPr>
            <w:r>
              <w:t xml:space="preserve">UICN  </w:t>
            </w:r>
          </w:p>
        </w:tc>
        <w:tc>
          <w:tcPr>
            <w:tcW w:w="7830" w:type="dxa"/>
          </w:tcPr>
          <w:p w14:paraId="0D32F264" w14:textId="77777777" w:rsidR="008253EB" w:rsidRPr="00825B97" w:rsidRDefault="008253EB" w:rsidP="0072575B">
            <w:pPr>
              <w:contextualSpacing/>
            </w:pPr>
            <w:r>
              <w:t>Union internationale pour la conservation de la nature</w:t>
            </w:r>
          </w:p>
        </w:tc>
      </w:tr>
      <w:tr w:rsidR="008253EB" w:rsidRPr="00C67737" w14:paraId="0A9133AB" w14:textId="77777777" w:rsidTr="00586ED8">
        <w:tc>
          <w:tcPr>
            <w:tcW w:w="1530" w:type="dxa"/>
            <w:vAlign w:val="center"/>
          </w:tcPr>
          <w:p w14:paraId="1845C0DB" w14:textId="77777777" w:rsidR="008253EB" w:rsidRPr="00C67737" w:rsidRDefault="008253EB" w:rsidP="0072575B">
            <w:pPr>
              <w:contextualSpacing/>
              <w:jc w:val="left"/>
            </w:pPr>
            <w:r>
              <w:t xml:space="preserve">WWF </w:t>
            </w:r>
          </w:p>
        </w:tc>
        <w:tc>
          <w:tcPr>
            <w:tcW w:w="7830" w:type="dxa"/>
          </w:tcPr>
          <w:p w14:paraId="470449D4" w14:textId="77777777" w:rsidR="008253EB" w:rsidRPr="00C67737" w:rsidRDefault="008253EB" w:rsidP="0072575B">
            <w:pPr>
              <w:contextualSpacing/>
            </w:pPr>
            <w:r>
              <w:t xml:space="preserve">Fonds mondial pour la nature </w:t>
            </w:r>
          </w:p>
        </w:tc>
      </w:tr>
    </w:tbl>
    <w:p w14:paraId="41521FA3" w14:textId="77777777" w:rsidR="00FE562E" w:rsidRPr="00C67737" w:rsidRDefault="00FE562E">
      <w:pPr>
        <w:snapToGrid/>
        <w:spacing w:before="240" w:after="240"/>
        <w:rPr>
          <w:rFonts w:eastAsiaTheme="majorEastAsia" w:cstheme="minorHAnsi"/>
          <w:b/>
          <w:smallCaps/>
          <w:snapToGrid w:val="0"/>
          <w:color w:val="000000" w:themeColor="text1"/>
          <w:kern w:val="22"/>
          <w:sz w:val="24"/>
        </w:rPr>
      </w:pPr>
      <w:r>
        <w:br w:type="page"/>
      </w:r>
    </w:p>
    <w:p w14:paraId="55334C36" w14:textId="291FBAE8" w:rsidR="00EE6E9F" w:rsidRPr="00C67737" w:rsidRDefault="00EE6E9F" w:rsidP="00640F63">
      <w:pPr>
        <w:pStyle w:val="Heading1"/>
      </w:pPr>
      <w:bookmarkStart w:id="6" w:name="_Toc242184690"/>
      <w:bookmarkStart w:id="7" w:name="_Toc242185274"/>
      <w:r>
        <w:lastRenderedPageBreak/>
        <w:t>Résumé analytique</w:t>
      </w:r>
      <w:bookmarkEnd w:id="5"/>
      <w:bookmarkEnd w:id="6"/>
      <w:bookmarkEnd w:id="7"/>
    </w:p>
    <w:p w14:paraId="494DD134" w14:textId="1E94E0FC" w:rsidR="002C52D6" w:rsidRPr="00C67737" w:rsidRDefault="0021706A" w:rsidP="000B33CF">
      <w:pPr>
        <w:pStyle w:val="ListParagraph"/>
      </w:pPr>
      <w:bookmarkStart w:id="8" w:name="_Hlk100558904"/>
      <w:r>
        <w:t xml:space="preserve">Le présent rapport à la dix-septième réunion de la Conférence des Parties (COP) à la Convention sur la </w:t>
      </w:r>
      <w:r w:rsidRPr="006965D5">
        <w:t>diversité</w:t>
      </w:r>
      <w:r>
        <w:t xml:space="preserve"> biologique (CDB) fournit des informations sur les activités menées par le Fonds pour l’environnement mondial (GEF) en réponse au Cadre mondial de la biodiversité de Kunming-Montréal (KMGBF) et aux orientations adressées au GEF par la </w:t>
      </w:r>
      <w:r w:rsidR="004D48A4">
        <w:t>COP16</w:t>
      </w:r>
      <w:r>
        <w:t xml:space="preserve">, en février 2025. </w:t>
      </w:r>
      <w:r w:rsidR="008902AD">
        <w:t xml:space="preserve">Afin de mieux </w:t>
      </w:r>
      <w:r w:rsidR="00546F89" w:rsidRPr="00546F89">
        <w:t xml:space="preserve">éclairer l’examen mondial des progrès collectifs accomplis dans la mise en œuvre du KMGBF, </w:t>
      </w:r>
      <w:r w:rsidR="00B17747">
        <w:t xml:space="preserve">qui sera mené par </w:t>
      </w:r>
      <w:r w:rsidR="00546F89" w:rsidRPr="00546F89">
        <w:t>la COP</w:t>
      </w:r>
      <w:r w:rsidR="00C1006E">
        <w:t>17</w:t>
      </w:r>
      <w:r w:rsidR="00904D9E">
        <w:t xml:space="preserve">, </w:t>
      </w:r>
      <w:r w:rsidR="00002487">
        <w:t>le rapport</w:t>
      </w:r>
      <w:r w:rsidR="00546F89" w:rsidRPr="00546F89">
        <w:t xml:space="preserve"> couvre la période du 1</w:t>
      </w:r>
      <w:r w:rsidR="00546F89" w:rsidRPr="00546F89">
        <w:rPr>
          <w:vertAlign w:val="superscript"/>
        </w:rPr>
        <w:t>er</w:t>
      </w:r>
      <w:r w:rsidR="007700D2">
        <w:t> </w:t>
      </w:r>
      <w:r w:rsidR="00546F89" w:rsidRPr="00546F89">
        <w:t>juillet 2022 au 30</w:t>
      </w:r>
      <w:r w:rsidR="00A258AB">
        <w:t> </w:t>
      </w:r>
      <w:r w:rsidR="00546F89" w:rsidRPr="00546F89">
        <w:t xml:space="preserve">juin 2026, </w:t>
      </w:r>
      <w:r w:rsidR="000A1D16">
        <w:t>ce</w:t>
      </w:r>
      <w:r w:rsidR="00563D5B">
        <w:t xml:space="preserve"> </w:t>
      </w:r>
      <w:r w:rsidR="000A1D16">
        <w:t xml:space="preserve">qui correspond à </w:t>
      </w:r>
      <w:r w:rsidR="00546F89" w:rsidRPr="00546F89">
        <w:t>l’intégralité de la période couverte par la huitième reconstitution des ressources</w:t>
      </w:r>
      <w:r w:rsidR="00EF3BB0">
        <w:t xml:space="preserve"> du GEF</w:t>
      </w:r>
      <w:r w:rsidR="005E114E">
        <w:t>-8</w:t>
      </w:r>
      <w:r w:rsidR="00546F89" w:rsidRPr="00546F89">
        <w:t>.</w:t>
      </w:r>
    </w:p>
    <w:p w14:paraId="6C29729A" w14:textId="3BC085D3" w:rsidR="00AC53F3" w:rsidRPr="00C67737" w:rsidRDefault="001E09BE" w:rsidP="0063458C">
      <w:pPr>
        <w:pStyle w:val="Heading3"/>
        <w:rPr>
          <w:rFonts w:eastAsiaTheme="minorEastAsia"/>
        </w:rPr>
      </w:pPr>
      <w:bookmarkStart w:id="9" w:name="_Toc242184643"/>
      <w:bookmarkStart w:id="10" w:name="_Toc242184691"/>
      <w:r>
        <w:t xml:space="preserve">Programmation </w:t>
      </w:r>
      <w:r w:rsidR="00E20330" w:rsidRPr="00E20330">
        <w:t>contribuant à la mise en œuvre du KMGBF dans l’ensemble de la famille de fonds du GEF</w:t>
      </w:r>
      <w:bookmarkEnd w:id="9"/>
      <w:bookmarkEnd w:id="10"/>
    </w:p>
    <w:p w14:paraId="5C2862B0" w14:textId="75EC36CB" w:rsidR="000C642B" w:rsidRPr="00C67737" w:rsidRDefault="00553E04" w:rsidP="000B33CF">
      <w:pPr>
        <w:pStyle w:val="ListParagraph"/>
      </w:pPr>
      <w:r>
        <w:t xml:space="preserve">Au cours de la période considérée, les contributions directes cumulées de la programmation en faveur du KMGBF provenant de l’ensemble des fonds et </w:t>
      </w:r>
      <w:r w:rsidR="004630E3">
        <w:t>volet</w:t>
      </w:r>
      <w:r>
        <w:t xml:space="preserve">s de programmation pertinents du GEF dans le cadre de </w:t>
      </w:r>
      <w:r w:rsidR="00376C22">
        <w:t>GEF</w:t>
      </w:r>
      <w:r w:rsidR="00376C22">
        <w:noBreakHyphen/>
      </w:r>
      <w:r>
        <w:t xml:space="preserve">8 </w:t>
      </w:r>
      <w:r w:rsidR="00EA406C" w:rsidRPr="00EA406C">
        <w:t>— à savoir les domaines d’intervention, les programmes intégrés, les instruments financiers autres que les aides directes et le Programme de</w:t>
      </w:r>
      <w:r w:rsidR="008D2EF6">
        <w:t>s Petites Subventions</w:t>
      </w:r>
      <w:r w:rsidR="00EA406C" w:rsidRPr="00EA406C">
        <w:t xml:space="preserve">, financés par </w:t>
      </w:r>
      <w:r w:rsidR="00E81945">
        <w:t>le Fonds fiduciaire</w:t>
      </w:r>
      <w:r w:rsidR="00EA406C" w:rsidRPr="00EA406C">
        <w:t xml:space="preserve"> du GEF, ainsi que le Fonds pour les pays les moins avancés (FPMA) et le Fonds spécial pour les changements climatiques (FSCC), au titre de l’adaptation aux changements climatiques, et le </w:t>
      </w:r>
      <w:r w:rsidR="00BA5516">
        <w:t>Fonds du Cadre</w:t>
      </w:r>
      <w:r w:rsidR="00EA406C" w:rsidRPr="00EA406C">
        <w:t xml:space="preserve"> mondial de la biodiversité (GBFF) — se sont élevées à 4,64</w:t>
      </w:r>
      <w:r w:rsidR="00A258AB">
        <w:t> </w:t>
      </w:r>
      <w:r w:rsidR="00EA406C" w:rsidRPr="00EA406C">
        <w:t>milliards de dollars</w:t>
      </w:r>
      <w:r w:rsidR="00953257" w:rsidRPr="00C67737">
        <w:rPr>
          <w:rStyle w:val="FootnoteReference"/>
          <w:lang w:val="en-US"/>
        </w:rPr>
        <w:footnoteReference w:id="3"/>
      </w:r>
      <w:r w:rsidR="00953257">
        <w:t>.</w:t>
      </w:r>
      <w:r w:rsidR="00292030">
        <w:t xml:space="preserve"> </w:t>
      </w:r>
      <w:r>
        <w:t xml:space="preserve">Les projets et programmes correspondants du GEF ont permis de mobiliser 29,69 milliards de dollars de cofinancement, dont 2,41 milliards provenant du secteur privé et 13,05 milliards des gouvernements de pays bénéficiaires, soit un ratio de cofinancement de 6,40 dollars pour chaque dollar investi par le GEF durant cette période. </w:t>
      </w:r>
    </w:p>
    <w:p w14:paraId="7F670AED" w14:textId="259E0A50" w:rsidR="00965ABE" w:rsidRPr="00C67737" w:rsidRDefault="07A8CF74" w:rsidP="000B33CF">
      <w:pPr>
        <w:pStyle w:val="ListParagraph"/>
      </w:pPr>
      <w:r>
        <w:t>Ces ressources soutiennent 649</w:t>
      </w:r>
      <w:r w:rsidR="00A16D8D">
        <w:t> </w:t>
      </w:r>
      <w:r>
        <w:t xml:space="preserve">projets et programmes, dont 11 programmes intégrés auxquels étaient rattachés 215 projets pertinents pour la biodiversité. Au total, 144 pays ont bénéficié d’approbations au titre de </w:t>
      </w:r>
      <w:r w:rsidR="00376C22">
        <w:t>GEF</w:t>
      </w:r>
      <w:r w:rsidR="00376C22">
        <w:noBreakHyphen/>
      </w:r>
      <w:r>
        <w:t xml:space="preserve">8 </w:t>
      </w:r>
      <w:r w:rsidR="00EB6C0D">
        <w:t xml:space="preserve">pour la mise en œuvre </w:t>
      </w:r>
      <w:r>
        <w:t>du KMGBF. Un tiers (33,3</w:t>
      </w:r>
      <w:r w:rsidR="00966C17">
        <w:t> %</w:t>
      </w:r>
      <w:r>
        <w:t xml:space="preserve">) des financements en faveur de la </w:t>
      </w:r>
      <w:r w:rsidR="00555BE6">
        <w:t>biodiversité</w:t>
      </w:r>
      <w:r w:rsidR="00E944F2">
        <w:t xml:space="preserve"> </w:t>
      </w:r>
      <w:r>
        <w:t xml:space="preserve">programmés dans les différents fonds et </w:t>
      </w:r>
      <w:r w:rsidR="004630E3">
        <w:t>volet</w:t>
      </w:r>
      <w:r>
        <w:t>s de programmation a bénéficié à l’Afrique</w:t>
      </w:r>
      <w:r w:rsidR="00894EFE">
        <w:t>.</w:t>
      </w:r>
      <w:r w:rsidR="0075367D">
        <w:t xml:space="preserve"> L</w:t>
      </w:r>
      <w:r>
        <w:t>’Amérique latine et les Caraïbes en ont reçu près d’un quart (24,6</w:t>
      </w:r>
      <w:r w:rsidR="00966C17">
        <w:t> %</w:t>
      </w:r>
      <w:r>
        <w:t>), suivies de l’Asie (24,1</w:t>
      </w:r>
      <w:r w:rsidR="00966C17">
        <w:t> %</w:t>
      </w:r>
      <w:r>
        <w:t>) et de l’Europe et de l’Asie centrale (4,7</w:t>
      </w:r>
      <w:r w:rsidR="00966C17">
        <w:t> %</w:t>
      </w:r>
      <w:r>
        <w:t>). Les 13,3</w:t>
      </w:r>
      <w:r w:rsidR="00966C17">
        <w:t> %</w:t>
      </w:r>
      <w:r>
        <w:t xml:space="preserve"> restants ont été programmés dans le cadre de projets mondiaux et régionaux. Ensemble, les petits États insulaires en développement (PEID) et les pays les moins avancés (PMA) ont bénéficié </w:t>
      </w:r>
      <w:r>
        <w:lastRenderedPageBreak/>
        <w:t>de 41,6</w:t>
      </w:r>
      <w:r w:rsidR="00966C17">
        <w:t> %</w:t>
      </w:r>
      <w:r>
        <w:t xml:space="preserve"> de l’appui total du GEF au cours de la période considérée. L</w:t>
      </w:r>
      <w:r w:rsidR="00CF4BC0">
        <w:t xml:space="preserve">’annexe 3 </w:t>
      </w:r>
      <w:r w:rsidR="00EB527F">
        <w:t>présente une</w:t>
      </w:r>
      <w:r>
        <w:t xml:space="preserve"> liste complète de ces projet</w:t>
      </w:r>
      <w:r w:rsidR="00EB527F">
        <w:t>s</w:t>
      </w:r>
      <w:r>
        <w:t xml:space="preserve">. </w:t>
      </w:r>
    </w:p>
    <w:p w14:paraId="2685886D" w14:textId="4223D66F" w:rsidR="003114BB" w:rsidRPr="00C67737" w:rsidRDefault="00CD3228" w:rsidP="000B33CF">
      <w:pPr>
        <w:pStyle w:val="ListParagraph"/>
      </w:pPr>
      <w:r>
        <w:t xml:space="preserve">Les contributions quantitatives attendues de la programmation de </w:t>
      </w:r>
      <w:r w:rsidR="00376C22">
        <w:t>GEF</w:t>
      </w:r>
      <w:r w:rsidR="00376C22">
        <w:noBreakHyphen/>
      </w:r>
      <w:r>
        <w:t>8 à l’atteinte des cibles du KMGBF</w:t>
      </w:r>
      <w:r w:rsidR="007E247E" w:rsidRPr="00C67737">
        <w:rPr>
          <w:rStyle w:val="FootnoteReference"/>
          <w:lang w:val="en-US"/>
        </w:rPr>
        <w:footnoteReference w:id="4"/>
      </w:r>
      <w:r>
        <w:t xml:space="preserve"> sont les suivantes (voir la section I pour de plus amples informations)</w:t>
      </w:r>
      <w:r w:rsidR="006E54C7">
        <w:t> :</w:t>
      </w:r>
    </w:p>
    <w:p w14:paraId="0189F50D" w14:textId="5FD6EB82" w:rsidR="00D61E0D" w:rsidRPr="00C67737" w:rsidRDefault="005A0FA2" w:rsidP="006C2F5A">
      <w:pPr>
        <w:ind w:left="720"/>
        <w:rPr>
          <w:sz w:val="24"/>
          <w:szCs w:val="24"/>
        </w:rPr>
      </w:pPr>
      <w:r>
        <w:rPr>
          <w:color w:val="000000" w:themeColor="text1"/>
          <w:sz w:val="24"/>
        </w:rPr>
        <w:t xml:space="preserve">• </w:t>
      </w:r>
      <w:r>
        <w:rPr>
          <w:sz w:val="24"/>
        </w:rPr>
        <w:t>Cible</w:t>
      </w:r>
      <w:r w:rsidR="00A16D8D">
        <w:rPr>
          <w:sz w:val="24"/>
        </w:rPr>
        <w:t> </w:t>
      </w:r>
      <w:r>
        <w:rPr>
          <w:sz w:val="24"/>
        </w:rPr>
        <w:t xml:space="preserve">1 — </w:t>
      </w:r>
      <w:r>
        <w:rPr>
          <w:i/>
          <w:iCs/>
          <w:sz w:val="24"/>
        </w:rPr>
        <w:t>Planifier et gérer toutes les zones afin de réduire la perte de biodiversité</w:t>
      </w:r>
      <w:r w:rsidR="006E54C7">
        <w:rPr>
          <w:i/>
          <w:iCs/>
          <w:sz w:val="24"/>
        </w:rPr>
        <w:t> :</w:t>
      </w:r>
      <w:r>
        <w:rPr>
          <w:sz w:val="24"/>
        </w:rPr>
        <w:t xml:space="preserve"> au total, 3</w:t>
      </w:r>
      <w:r w:rsidR="00A16D8D">
        <w:rPr>
          <w:sz w:val="24"/>
        </w:rPr>
        <w:t> </w:t>
      </w:r>
      <w:r>
        <w:rPr>
          <w:sz w:val="24"/>
        </w:rPr>
        <w:t xml:space="preserve">280,3 millions d’hectares de zones terrestres et marines directement touchés </w:t>
      </w:r>
      <w:r w:rsidR="00254B37">
        <w:rPr>
          <w:sz w:val="24"/>
        </w:rPr>
        <w:t>au profit de la biodiversité</w:t>
      </w:r>
      <w:r w:rsidR="00A16D8D">
        <w:rPr>
          <w:sz w:val="24"/>
        </w:rPr>
        <w:t> </w:t>
      </w:r>
      <w:r>
        <w:rPr>
          <w:sz w:val="24"/>
        </w:rPr>
        <w:t>; 80 écosystèmes aquatiques partagés faisant l</w:t>
      </w:r>
      <w:r w:rsidR="00A16D8D">
        <w:rPr>
          <w:sz w:val="24"/>
        </w:rPr>
        <w:t>’</w:t>
      </w:r>
      <w:r>
        <w:rPr>
          <w:sz w:val="24"/>
        </w:rPr>
        <w:t>objet d’une gestion améliorée.</w:t>
      </w:r>
    </w:p>
    <w:p w14:paraId="248A96F1" w14:textId="06DCD17C" w:rsidR="00D61E0D" w:rsidRPr="00C67737" w:rsidRDefault="00D61E0D" w:rsidP="00D61E0D">
      <w:pPr>
        <w:ind w:left="720"/>
        <w:rPr>
          <w:sz w:val="24"/>
          <w:szCs w:val="24"/>
        </w:rPr>
      </w:pPr>
      <w:r>
        <w:rPr>
          <w:sz w:val="24"/>
        </w:rPr>
        <w:t>• Cible</w:t>
      </w:r>
      <w:r w:rsidR="00A16D8D">
        <w:rPr>
          <w:sz w:val="24"/>
        </w:rPr>
        <w:t> </w:t>
      </w:r>
      <w:r>
        <w:rPr>
          <w:sz w:val="24"/>
        </w:rPr>
        <w:t xml:space="preserve">2 — </w:t>
      </w:r>
      <w:r>
        <w:rPr>
          <w:i/>
          <w:sz w:val="24"/>
        </w:rPr>
        <w:t>Restaurer 30</w:t>
      </w:r>
      <w:r w:rsidR="00966C17">
        <w:rPr>
          <w:i/>
          <w:sz w:val="24"/>
        </w:rPr>
        <w:t> %</w:t>
      </w:r>
      <w:r>
        <w:rPr>
          <w:i/>
          <w:sz w:val="24"/>
        </w:rPr>
        <w:t xml:space="preserve"> de l’ensemble des écosystèmes dégradés</w:t>
      </w:r>
      <w:r w:rsidR="006E54C7">
        <w:rPr>
          <w:i/>
          <w:sz w:val="24"/>
        </w:rPr>
        <w:t> :</w:t>
      </w:r>
      <w:r>
        <w:rPr>
          <w:sz w:val="24"/>
        </w:rPr>
        <w:t xml:space="preserve"> 14,7 millions d’hectares de zones terrestres et d’écosystèmes faisant l’objet de mesures de remise en état.</w:t>
      </w:r>
    </w:p>
    <w:p w14:paraId="73CD5D43" w14:textId="23E12486" w:rsidR="00D61E0D" w:rsidRPr="00C67737" w:rsidRDefault="00D61E0D" w:rsidP="00D61E0D">
      <w:pPr>
        <w:ind w:left="720"/>
        <w:rPr>
          <w:sz w:val="24"/>
          <w:szCs w:val="24"/>
        </w:rPr>
      </w:pPr>
      <w:r>
        <w:rPr>
          <w:sz w:val="24"/>
        </w:rPr>
        <w:t>• Cible</w:t>
      </w:r>
      <w:r w:rsidR="00A16D8D">
        <w:rPr>
          <w:sz w:val="24"/>
        </w:rPr>
        <w:t> </w:t>
      </w:r>
      <w:r>
        <w:rPr>
          <w:sz w:val="24"/>
        </w:rPr>
        <w:t>3</w:t>
      </w:r>
      <w:r>
        <w:t xml:space="preserve"> — </w:t>
      </w:r>
      <w:r>
        <w:rPr>
          <w:i/>
          <w:sz w:val="24"/>
        </w:rPr>
        <w:t>Conserver 30</w:t>
      </w:r>
      <w:r w:rsidR="00966C17">
        <w:rPr>
          <w:i/>
          <w:sz w:val="24"/>
        </w:rPr>
        <w:t> %</w:t>
      </w:r>
      <w:r>
        <w:rPr>
          <w:i/>
          <w:sz w:val="24"/>
        </w:rPr>
        <w:t xml:space="preserve"> des zones terrestres, des eaux intérieures et des zones marines</w:t>
      </w:r>
      <w:r w:rsidR="006E54C7">
        <w:rPr>
          <w:i/>
          <w:sz w:val="24"/>
        </w:rPr>
        <w:t> :</w:t>
      </w:r>
      <w:r>
        <w:rPr>
          <w:sz w:val="24"/>
        </w:rPr>
        <w:t xml:space="preserve"> 2</w:t>
      </w:r>
      <w:r w:rsidR="00A16D8D">
        <w:rPr>
          <w:sz w:val="24"/>
        </w:rPr>
        <w:t> </w:t>
      </w:r>
      <w:r>
        <w:rPr>
          <w:sz w:val="24"/>
        </w:rPr>
        <w:t>247,3 millions d’hectares de zones de conservation créées ou faisant l</w:t>
      </w:r>
      <w:r w:rsidR="00A16D8D">
        <w:rPr>
          <w:sz w:val="24"/>
        </w:rPr>
        <w:t>’</w:t>
      </w:r>
      <w:r>
        <w:rPr>
          <w:sz w:val="24"/>
        </w:rPr>
        <w:t>objet d’une gestion améliorée, dont 2</w:t>
      </w:r>
      <w:r w:rsidR="00A16D8D">
        <w:rPr>
          <w:sz w:val="24"/>
        </w:rPr>
        <w:t> </w:t>
      </w:r>
      <w:r>
        <w:rPr>
          <w:sz w:val="24"/>
        </w:rPr>
        <w:t>207 millions d’hectares d’aires protégées et 40,2 millions d’hectares d</w:t>
      </w:r>
      <w:r w:rsidR="00A16D8D">
        <w:rPr>
          <w:sz w:val="24"/>
        </w:rPr>
        <w:t>’</w:t>
      </w:r>
      <w:r>
        <w:rPr>
          <w:sz w:val="24"/>
        </w:rPr>
        <w:t>autres mesures de conservation efficaces par zone (AMCEZ)</w:t>
      </w:r>
      <w:r w:rsidR="0078507B">
        <w:rPr>
          <w:sz w:val="24"/>
        </w:rPr>
        <w:t xml:space="preserve"> </w:t>
      </w:r>
      <w:r w:rsidR="005878F5">
        <w:rPr>
          <w:sz w:val="24"/>
        </w:rPr>
        <w:t>créées</w:t>
      </w:r>
      <w:r w:rsidR="004807E6">
        <w:rPr>
          <w:sz w:val="24"/>
        </w:rPr>
        <w:t xml:space="preserve"> ou </w:t>
      </w:r>
      <w:r w:rsidR="005878F5">
        <w:rPr>
          <w:sz w:val="24"/>
        </w:rPr>
        <w:t>faisant</w:t>
      </w:r>
      <w:r w:rsidR="0054618B">
        <w:rPr>
          <w:sz w:val="24"/>
        </w:rPr>
        <w:t xml:space="preserve"> l’objet d’une amélioration de la gestion</w:t>
      </w:r>
      <w:r>
        <w:rPr>
          <w:sz w:val="24"/>
        </w:rPr>
        <w:t>.</w:t>
      </w:r>
    </w:p>
    <w:p w14:paraId="287FC425" w14:textId="32A3E3D4" w:rsidR="00D61E0D" w:rsidRPr="00C67737" w:rsidRDefault="00D61E0D" w:rsidP="00D61E0D">
      <w:pPr>
        <w:ind w:left="720"/>
        <w:rPr>
          <w:sz w:val="24"/>
          <w:szCs w:val="24"/>
        </w:rPr>
      </w:pPr>
      <w:r>
        <w:rPr>
          <w:sz w:val="24"/>
        </w:rPr>
        <w:t xml:space="preserve">• Cible 7 — </w:t>
      </w:r>
      <w:r>
        <w:rPr>
          <w:i/>
          <w:sz w:val="24"/>
        </w:rPr>
        <w:t>Ramener la pollution à des niveaux qui ne nuisent pas à la biodiversité</w:t>
      </w:r>
      <w:r w:rsidR="006E54C7">
        <w:rPr>
          <w:i/>
          <w:sz w:val="24"/>
        </w:rPr>
        <w:t> :</w:t>
      </w:r>
      <w:r>
        <w:rPr>
          <w:sz w:val="24"/>
        </w:rPr>
        <w:t xml:space="preserve"> 242</w:t>
      </w:r>
      <w:r w:rsidR="00A16D8D">
        <w:rPr>
          <w:sz w:val="24"/>
        </w:rPr>
        <w:t> </w:t>
      </w:r>
      <w:r>
        <w:rPr>
          <w:sz w:val="24"/>
        </w:rPr>
        <w:t>098 tonnes de produits chimiques préoccupants à l’échelle mondiale et de déchets connexes réduites, et 4,4 millions de tonnes de déchets plastiques résiduels évitées.</w:t>
      </w:r>
    </w:p>
    <w:p w14:paraId="489497C8" w14:textId="35F653F0" w:rsidR="00D61E0D" w:rsidRPr="00C67737" w:rsidRDefault="00D61E0D" w:rsidP="00D61E0D">
      <w:pPr>
        <w:ind w:left="720"/>
        <w:rPr>
          <w:sz w:val="24"/>
          <w:szCs w:val="24"/>
        </w:rPr>
      </w:pPr>
      <w:r>
        <w:rPr>
          <w:sz w:val="24"/>
        </w:rPr>
        <w:t xml:space="preserve">• Cible 8 — </w:t>
      </w:r>
      <w:r>
        <w:rPr>
          <w:i/>
          <w:sz w:val="24"/>
        </w:rPr>
        <w:t>Réduire au minimum les incidences des changements</w:t>
      </w:r>
      <w:r>
        <w:rPr>
          <w:i/>
          <w:iCs/>
          <w:sz w:val="24"/>
        </w:rPr>
        <w:t xml:space="preserve"> climatiques sur la biodiversité et renforcer la résilience </w:t>
      </w:r>
      <w:r>
        <w:rPr>
          <w:sz w:val="24"/>
        </w:rPr>
        <w:t>et cible</w:t>
      </w:r>
      <w:r w:rsidR="00A16D8D">
        <w:rPr>
          <w:sz w:val="24"/>
        </w:rPr>
        <w:t> </w:t>
      </w:r>
      <w:r>
        <w:rPr>
          <w:sz w:val="24"/>
        </w:rPr>
        <w:t>11</w:t>
      </w:r>
      <w:r>
        <w:t xml:space="preserve"> — </w:t>
      </w:r>
      <w:r>
        <w:rPr>
          <w:i/>
          <w:iCs/>
          <w:sz w:val="24"/>
        </w:rPr>
        <w:t>Restaurer, maintenir et renforcer les contributions de la nature aux populations</w:t>
      </w:r>
      <w:r w:rsidR="006E54C7">
        <w:rPr>
          <w:i/>
          <w:iCs/>
          <w:sz w:val="24"/>
        </w:rPr>
        <w:t> :</w:t>
      </w:r>
      <w:r>
        <w:rPr>
          <w:sz w:val="24"/>
        </w:rPr>
        <w:t xml:space="preserve"> 6</w:t>
      </w:r>
      <w:r w:rsidR="00A16D8D">
        <w:rPr>
          <w:sz w:val="24"/>
        </w:rPr>
        <w:t> </w:t>
      </w:r>
      <w:r>
        <w:rPr>
          <w:sz w:val="24"/>
        </w:rPr>
        <w:t>852,8 millions de tonnes d</w:t>
      </w:r>
      <w:r w:rsidR="00A16D8D">
        <w:rPr>
          <w:sz w:val="24"/>
        </w:rPr>
        <w:t>’</w:t>
      </w:r>
      <w:r>
        <w:rPr>
          <w:sz w:val="24"/>
        </w:rPr>
        <w:t>émissions de gaz à effet de serre (GES) atténuées (</w:t>
      </w:r>
      <w:r w:rsidR="000C0CF1">
        <w:rPr>
          <w:sz w:val="24"/>
        </w:rPr>
        <w:t xml:space="preserve">t. </w:t>
      </w:r>
      <w:proofErr w:type="spellStart"/>
      <w:r w:rsidR="000C0CF1">
        <w:rPr>
          <w:sz w:val="24"/>
        </w:rPr>
        <w:t>éq</w:t>
      </w:r>
      <w:proofErr w:type="spellEnd"/>
      <w:r w:rsidR="000C0CF1">
        <w:rPr>
          <w:sz w:val="24"/>
        </w:rPr>
        <w:t>. CO₂</w:t>
      </w:r>
      <w:r>
        <w:rPr>
          <w:sz w:val="24"/>
        </w:rPr>
        <w:t>)</w:t>
      </w:r>
    </w:p>
    <w:p w14:paraId="078FB36B" w14:textId="22B3CCB1" w:rsidR="00D61E0D" w:rsidRPr="00C67737" w:rsidRDefault="00D61E0D" w:rsidP="00D61E0D">
      <w:pPr>
        <w:ind w:left="720"/>
        <w:rPr>
          <w:sz w:val="24"/>
          <w:szCs w:val="24"/>
        </w:rPr>
      </w:pPr>
      <w:r>
        <w:rPr>
          <w:sz w:val="24"/>
        </w:rPr>
        <w:t>• Cible</w:t>
      </w:r>
      <w:r w:rsidR="00A16D8D">
        <w:rPr>
          <w:sz w:val="24"/>
        </w:rPr>
        <w:t> </w:t>
      </w:r>
      <w:r>
        <w:rPr>
          <w:sz w:val="24"/>
        </w:rPr>
        <w:t>10</w:t>
      </w:r>
      <w:r>
        <w:t xml:space="preserve"> — </w:t>
      </w:r>
      <w:r>
        <w:rPr>
          <w:i/>
          <w:iCs/>
          <w:sz w:val="24"/>
        </w:rPr>
        <w:t>Renforcer la biodiversité et la durabilité dans l’agriculture, l’aquaculture, la pêche et la sylviculture</w:t>
      </w:r>
      <w:r w:rsidR="006E54C7">
        <w:rPr>
          <w:sz w:val="24"/>
        </w:rPr>
        <w:t> :</w:t>
      </w:r>
      <w:r>
        <w:rPr>
          <w:sz w:val="24"/>
        </w:rPr>
        <w:t xml:space="preserve"> 143,1</w:t>
      </w:r>
      <w:r w:rsidR="00A16D8D">
        <w:rPr>
          <w:sz w:val="24"/>
        </w:rPr>
        <w:t> </w:t>
      </w:r>
      <w:r>
        <w:rPr>
          <w:sz w:val="24"/>
        </w:rPr>
        <w:t>millions d’hectares de paysages faisant l’objet de pratiques améliorées, 80</w:t>
      </w:r>
      <w:r w:rsidR="00A16D8D">
        <w:rPr>
          <w:sz w:val="24"/>
        </w:rPr>
        <w:t> </w:t>
      </w:r>
      <w:r>
        <w:rPr>
          <w:sz w:val="24"/>
        </w:rPr>
        <w:t>écosystèmes d’eau douce partagés faisant l</w:t>
      </w:r>
      <w:r w:rsidR="00A16D8D">
        <w:rPr>
          <w:sz w:val="24"/>
        </w:rPr>
        <w:t>’</w:t>
      </w:r>
      <w:r>
        <w:rPr>
          <w:sz w:val="24"/>
        </w:rPr>
        <w:t>objet d’une gestion améliorée, et 2,2</w:t>
      </w:r>
      <w:r w:rsidR="00A16D8D">
        <w:rPr>
          <w:sz w:val="24"/>
        </w:rPr>
        <w:t> </w:t>
      </w:r>
      <w:r>
        <w:rPr>
          <w:sz w:val="24"/>
        </w:rPr>
        <w:t xml:space="preserve">millions de tonnes de </w:t>
      </w:r>
      <w:r w:rsidR="008B6598">
        <w:rPr>
          <w:sz w:val="24"/>
        </w:rPr>
        <w:t xml:space="preserve">prises issues de </w:t>
      </w:r>
      <w:r>
        <w:rPr>
          <w:sz w:val="24"/>
        </w:rPr>
        <w:t>pêcheries marines surexploité</w:t>
      </w:r>
      <w:r w:rsidR="005616FB">
        <w:rPr>
          <w:sz w:val="24"/>
        </w:rPr>
        <w:t>e</w:t>
      </w:r>
      <w:r>
        <w:rPr>
          <w:sz w:val="24"/>
        </w:rPr>
        <w:t xml:space="preserve">s ramenées à des niveaux plus </w:t>
      </w:r>
      <w:r w:rsidR="009D17F3">
        <w:rPr>
          <w:sz w:val="24"/>
        </w:rPr>
        <w:t>durables</w:t>
      </w:r>
      <w:r>
        <w:rPr>
          <w:sz w:val="24"/>
        </w:rPr>
        <w:t>.</w:t>
      </w:r>
    </w:p>
    <w:p w14:paraId="2EE2C898" w14:textId="222E8066" w:rsidR="00D61E0D" w:rsidRPr="00C67737" w:rsidRDefault="00D61E0D" w:rsidP="00D61E0D">
      <w:pPr>
        <w:ind w:left="720"/>
        <w:rPr>
          <w:sz w:val="24"/>
          <w:szCs w:val="24"/>
        </w:rPr>
      </w:pPr>
      <w:r>
        <w:rPr>
          <w:sz w:val="24"/>
        </w:rPr>
        <w:t>• Cible</w:t>
      </w:r>
      <w:r w:rsidR="00A16D8D">
        <w:rPr>
          <w:sz w:val="24"/>
        </w:rPr>
        <w:t> </w:t>
      </w:r>
      <w:r>
        <w:rPr>
          <w:sz w:val="24"/>
        </w:rPr>
        <w:t xml:space="preserve">19 — </w:t>
      </w:r>
      <w:r>
        <w:rPr>
          <w:i/>
          <w:sz w:val="24"/>
        </w:rPr>
        <w:t>Mobiliser 200</w:t>
      </w:r>
      <w:r w:rsidR="00A16D8D">
        <w:rPr>
          <w:i/>
          <w:sz w:val="24"/>
        </w:rPr>
        <w:t> </w:t>
      </w:r>
      <w:r>
        <w:rPr>
          <w:i/>
          <w:sz w:val="24"/>
        </w:rPr>
        <w:t xml:space="preserve">milliards de dollars par an en faveur de la </w:t>
      </w:r>
      <w:r w:rsidR="00286AFC" w:rsidRPr="00547AC0">
        <w:rPr>
          <w:i/>
          <w:iCs/>
        </w:rPr>
        <w:t>Biodiversit</w:t>
      </w:r>
      <w:r w:rsidR="00286AFC" w:rsidRPr="00547AC0">
        <w:rPr>
          <w:i/>
          <w:iCs/>
          <w:snapToGrid w:val="0"/>
        </w:rPr>
        <w:t>é</w:t>
      </w:r>
      <w:r>
        <w:rPr>
          <w:i/>
          <w:sz w:val="24"/>
        </w:rPr>
        <w:t>, toutes sources confondues, dont 30 milliards de dollars au moyen du financement international</w:t>
      </w:r>
      <w:r w:rsidR="006E54C7">
        <w:rPr>
          <w:i/>
          <w:sz w:val="24"/>
        </w:rPr>
        <w:t> :</w:t>
      </w:r>
      <w:r>
        <w:rPr>
          <w:sz w:val="24"/>
        </w:rPr>
        <w:t xml:space="preserve"> 29,69 milliards de dollars de cofinancement dont 2,41</w:t>
      </w:r>
      <w:r w:rsidR="00A16D8D">
        <w:rPr>
          <w:sz w:val="24"/>
        </w:rPr>
        <w:t> </w:t>
      </w:r>
      <w:r>
        <w:rPr>
          <w:sz w:val="24"/>
        </w:rPr>
        <w:t xml:space="preserve">milliards provenant du secteur privé, pour un investissement total de 34,34 milliards de dollars dans des projets pertinents pour la biodiversité, selon la méthodologie des marqueurs de Rio. </w:t>
      </w:r>
    </w:p>
    <w:p w14:paraId="32F26B61" w14:textId="7EE8F879" w:rsidR="00DD5344" w:rsidRPr="00C67737" w:rsidRDefault="00D61E0D" w:rsidP="00300B67">
      <w:pPr>
        <w:ind w:left="720"/>
        <w:rPr>
          <w:sz w:val="24"/>
          <w:szCs w:val="24"/>
        </w:rPr>
      </w:pPr>
      <w:r>
        <w:rPr>
          <w:sz w:val="24"/>
        </w:rPr>
        <w:t>• Cible 22</w:t>
      </w:r>
      <w:r>
        <w:t xml:space="preserve"> — </w:t>
      </w:r>
      <w:r>
        <w:rPr>
          <w:i/>
          <w:sz w:val="24"/>
        </w:rPr>
        <w:t xml:space="preserve">Garantir à tous la participation à la prise de décision et l’accès à la justice et à l’information en matière de biodiversité </w:t>
      </w:r>
      <w:r>
        <w:t>et</w:t>
      </w:r>
      <w:r>
        <w:rPr>
          <w:i/>
          <w:sz w:val="24"/>
        </w:rPr>
        <w:t xml:space="preserve"> cible</w:t>
      </w:r>
      <w:r w:rsidR="00A16D8D">
        <w:rPr>
          <w:i/>
          <w:sz w:val="24"/>
        </w:rPr>
        <w:t> </w:t>
      </w:r>
      <w:r>
        <w:rPr>
          <w:i/>
          <w:sz w:val="24"/>
        </w:rPr>
        <w:t>23 — Garantir l’égalité des genres et une approche tenant compte des questions de genre dans les mesures en faveur de la diversité biologique</w:t>
      </w:r>
      <w:r w:rsidR="006E54C7">
        <w:t> :</w:t>
      </w:r>
      <w:r>
        <w:rPr>
          <w:sz w:val="24"/>
        </w:rPr>
        <w:t xml:space="preserve"> 42,0 millions de personnes bénéficiant de la conservation, de l’utilisation durable ou de la restauration de la biodiversité, dont 20,9</w:t>
      </w:r>
      <w:r w:rsidR="00A16D8D">
        <w:rPr>
          <w:sz w:val="24"/>
        </w:rPr>
        <w:t> </w:t>
      </w:r>
      <w:r>
        <w:rPr>
          <w:sz w:val="24"/>
        </w:rPr>
        <w:t>millions de femmes.</w:t>
      </w:r>
    </w:p>
    <w:p w14:paraId="0AD8C3F9" w14:textId="55B3D7BE" w:rsidR="00DD5344" w:rsidRPr="00C67737" w:rsidRDefault="00DD5344" w:rsidP="00622153">
      <w:pPr>
        <w:pStyle w:val="Heading3"/>
        <w:keepNext/>
      </w:pPr>
      <w:bookmarkStart w:id="11" w:name="_Toc242184644"/>
      <w:bookmarkStart w:id="12" w:name="_Toc242184692"/>
      <w:r>
        <w:lastRenderedPageBreak/>
        <w:t>Domaine d’intervention «</w:t>
      </w:r>
      <w:r w:rsidR="00A16D8D">
        <w:t> </w:t>
      </w:r>
      <w:r>
        <w:t>diversité biologique</w:t>
      </w:r>
      <w:r w:rsidR="00A16D8D">
        <w:t> </w:t>
      </w:r>
      <w:r>
        <w:t>»</w:t>
      </w:r>
      <w:bookmarkEnd w:id="11"/>
      <w:bookmarkEnd w:id="12"/>
    </w:p>
    <w:p w14:paraId="3B42BA22" w14:textId="631ED71E" w:rsidR="00A80847" w:rsidRPr="00C67737" w:rsidRDefault="001E0A65" w:rsidP="000B33CF">
      <w:pPr>
        <w:pStyle w:val="ListParagraph"/>
      </w:pPr>
      <w:r>
        <w:t xml:space="preserve">Pour la période </w:t>
      </w:r>
      <w:r w:rsidR="00A02B34">
        <w:t xml:space="preserve">couverte par le </w:t>
      </w:r>
      <w:r w:rsidR="00376C22">
        <w:t>GEF</w:t>
      </w:r>
      <w:r w:rsidR="00376C22">
        <w:noBreakHyphen/>
      </w:r>
      <w:r>
        <w:t>8, un montant total de 1,92</w:t>
      </w:r>
      <w:r w:rsidR="00A16D8D">
        <w:t> </w:t>
      </w:r>
      <w:r>
        <w:t>milliard de dollars a été alloué au domaine d’intervention «</w:t>
      </w:r>
      <w:r w:rsidR="00A16D8D">
        <w:t> </w:t>
      </w:r>
      <w:r w:rsidR="00DD1F44">
        <w:t>diversité biologique</w:t>
      </w:r>
      <w:r w:rsidR="00A16D8D">
        <w:t> </w:t>
      </w:r>
      <w:r>
        <w:t xml:space="preserve">» </w:t>
      </w:r>
      <w:r w:rsidR="00A226F0">
        <w:t>du Fonds fi</w:t>
      </w:r>
      <w:r w:rsidR="00611733">
        <w:t>d</w:t>
      </w:r>
      <w:r w:rsidR="00A226F0">
        <w:t>uciaire</w:t>
      </w:r>
      <w:r>
        <w:t xml:space="preserve"> du GEF, dont 1,45</w:t>
      </w:r>
      <w:r w:rsidR="00A16D8D">
        <w:t> </w:t>
      </w:r>
      <w:r>
        <w:t xml:space="preserve">milliard de dollars a été mis à la disposition des pays </w:t>
      </w:r>
      <w:r w:rsidR="00215490">
        <w:t>pour la biodiversité</w:t>
      </w:r>
      <w:r>
        <w:t xml:space="preserve"> par l’intermédiaire du Système transparent d’allocation des ressources (STAR), dont 641</w:t>
      </w:r>
      <w:r w:rsidR="00A16D8D">
        <w:t> </w:t>
      </w:r>
      <w:r>
        <w:t>millions de dollars avaient été alloués théoriquement à l’appui des programmes intégrés. Sur ce montant, 1,795</w:t>
      </w:r>
      <w:r w:rsidR="00A16D8D">
        <w:t> </w:t>
      </w:r>
      <w:r>
        <w:t>milliard de dollars (soit 94</w:t>
      </w:r>
      <w:r w:rsidR="00966C17">
        <w:t> %</w:t>
      </w:r>
      <w:r>
        <w:t>) a été utilisé.</w:t>
      </w:r>
      <w:r w:rsidR="00131A9E">
        <w:t xml:space="preserve"> </w:t>
      </w:r>
    </w:p>
    <w:p w14:paraId="4E53554E" w14:textId="7F917751" w:rsidR="00493E93" w:rsidRPr="00C67737" w:rsidRDefault="00CC701C" w:rsidP="000B33CF">
      <w:pPr>
        <w:pStyle w:val="ListParagraph"/>
      </w:pPr>
      <w:r>
        <w:t>Durant la période considérée, quatre programmes mondiaux destinés à appuyer la planification et l’établissement de rapports au titre de la Convention et de ses Protocoles ont été approuvés selon la modalité des activités habilitantes du GEF, pour un montant total de 121,8</w:t>
      </w:r>
      <w:r w:rsidR="00A16D8D">
        <w:t> </w:t>
      </w:r>
      <w:r>
        <w:t xml:space="preserve">millions de dollars de financement de projet du GEF. </w:t>
      </w:r>
    </w:p>
    <w:p w14:paraId="20FD9F4A" w14:textId="676173FC" w:rsidR="001E0A65" w:rsidRPr="00C67737" w:rsidRDefault="005163CF" w:rsidP="000B33CF">
      <w:pPr>
        <w:pStyle w:val="ListParagraph"/>
      </w:pPr>
      <w:r>
        <w:t>Le Programme-cadre d’appui à la révision et à la mise à jour des stratégies et plans d’action nationaux pour la biodiversité (SPANB) et l’établissement des septièmes rapports nationaux (financement de projet du GEF</w:t>
      </w:r>
      <w:r w:rsidR="006E54C7">
        <w:t> :</w:t>
      </w:r>
      <w:r>
        <w:t xml:space="preserve"> 72</w:t>
      </w:r>
      <w:r w:rsidR="00A16D8D">
        <w:t> 035 000 </w:t>
      </w:r>
      <w:r>
        <w:t>dollars), approuvé en juin 2023, appuie 139</w:t>
      </w:r>
      <w:r w:rsidR="00A16D8D">
        <w:t> </w:t>
      </w:r>
      <w:r>
        <w:t>pays. Au 15</w:t>
      </w:r>
      <w:r w:rsidR="00A16D8D">
        <w:t> </w:t>
      </w:r>
      <w:r>
        <w:t>juin 2026, 57</w:t>
      </w:r>
      <w:r w:rsidR="00A16D8D">
        <w:t> </w:t>
      </w:r>
      <w:r>
        <w:t>pays avaient soumis leur SPANB et 91 avaient présenté leur septième rapport national. Mis en œuvre par le Programme des Nations Unies pour l</w:t>
      </w:r>
      <w:r w:rsidR="00A16D8D">
        <w:t>’</w:t>
      </w:r>
      <w:r>
        <w:t>environnement (PNUE) et le Programme des Nations Unies pour le développement (PNUD), ce programme s</w:t>
      </w:r>
      <w:r w:rsidR="00A16D8D">
        <w:t>’</w:t>
      </w:r>
      <w:r>
        <w:t>appuie sur le Projet d</w:t>
      </w:r>
      <w:r w:rsidR="00A16D8D">
        <w:t>’</w:t>
      </w:r>
      <w:r>
        <w:t xml:space="preserve">appui aux interventions précoces en faveur du Cadre mondial de la biodiversité de </w:t>
      </w:r>
      <w:r w:rsidR="00376C22">
        <w:t>GEF</w:t>
      </w:r>
      <w:r w:rsidR="00376C22">
        <w:noBreakHyphen/>
      </w:r>
      <w:r>
        <w:t>7 (financement de projet du GEF</w:t>
      </w:r>
      <w:r w:rsidR="006E54C7">
        <w:t> :</w:t>
      </w:r>
      <w:r>
        <w:t xml:space="preserve"> 39</w:t>
      </w:r>
      <w:r w:rsidR="00A16D8D">
        <w:t> 308 274 </w:t>
      </w:r>
      <w:r>
        <w:t>dollars), qui a lancé, dans 138</w:t>
      </w:r>
      <w:r w:rsidR="00A16D8D">
        <w:t> </w:t>
      </w:r>
      <w:r>
        <w:t xml:space="preserve">pays, les travaux visant à mettre les cadres nationaux en cohérence avec le KMGBF. En outre, le </w:t>
      </w:r>
      <w:r w:rsidR="00ED1CAF">
        <w:t>Programme</w:t>
      </w:r>
      <w:r>
        <w:t xml:space="preserve">-cadre d’appui à l’élaboration de plans de financement </w:t>
      </w:r>
      <w:r w:rsidR="006C3C6C">
        <w:t>en faveur de</w:t>
      </w:r>
      <w:r>
        <w:t xml:space="preserve"> la biodiversité </w:t>
      </w:r>
      <w:r w:rsidR="006C3C6C">
        <w:t>(</w:t>
      </w:r>
      <w:r>
        <w:t>financement de projet du GEF</w:t>
      </w:r>
      <w:r w:rsidR="006E54C7">
        <w:t> :</w:t>
      </w:r>
      <w:r>
        <w:t xml:space="preserve"> 42</w:t>
      </w:r>
      <w:r w:rsidR="00A16D8D">
        <w:t> 030 </w:t>
      </w:r>
      <w:r>
        <w:t>950 dollars) approuvé en décembre 2022 et modifié en juin 2026 afin d</w:t>
      </w:r>
      <w:r w:rsidR="00A16D8D">
        <w:t>’</w:t>
      </w:r>
      <w:r w:rsidR="006C3C6C">
        <w:t xml:space="preserve">y </w:t>
      </w:r>
      <w:r>
        <w:t>inclure sept pays admissibles qui n’avaient pas sollicité de financement auparavant, aide 98</w:t>
      </w:r>
      <w:r w:rsidR="00A16D8D">
        <w:t> </w:t>
      </w:r>
      <w:r>
        <w:t xml:space="preserve">pays à élaborer des plans nationaux de financement de la biodiversité. Des informations détaillées sur l’état d’avancement de </w:t>
      </w:r>
      <w:r w:rsidR="00533C0E">
        <w:t>ce soutien</w:t>
      </w:r>
      <w:r>
        <w:t xml:space="preserve"> figurent aux annexes</w:t>
      </w:r>
      <w:r w:rsidR="00A16D8D">
        <w:t> </w:t>
      </w:r>
      <w:r>
        <w:t>5, 6 et 7 de ce rapport.</w:t>
      </w:r>
    </w:p>
    <w:p w14:paraId="23C31FA1" w14:textId="2A2148ED" w:rsidR="000C0494" w:rsidRPr="00C67737" w:rsidRDefault="00946229" w:rsidP="000B33CF">
      <w:pPr>
        <w:pStyle w:val="ListParagraph"/>
      </w:pPr>
      <w:r w:rsidRPr="00946229">
        <w:t xml:space="preserve">Les programmes d’appui à l’établissement du cinquième rapport national sur la mise en œuvre du Protocole de </w:t>
      </w:r>
      <w:r w:rsidR="000F23A0">
        <w:t>Carthagène</w:t>
      </w:r>
      <w:r w:rsidR="006C1AA2" w:rsidRPr="00946229">
        <w:t xml:space="preserve"> </w:t>
      </w:r>
      <w:r w:rsidRPr="00946229">
        <w:t>sur la prévention des risques biotechnologiques (financement de projet du GEF</w:t>
      </w:r>
      <w:r w:rsidR="006E54C7">
        <w:t> :</w:t>
      </w:r>
      <w:r w:rsidRPr="00946229">
        <w:t xml:space="preserve"> 4</w:t>
      </w:r>
      <w:r w:rsidR="00A258AB">
        <w:t> 059 825 </w:t>
      </w:r>
      <w:r w:rsidRPr="00946229">
        <w:t>dollars) et du premier rapport national sur la mise en œuvre du Protocole de Nagoya relatif à l’accès aux ressources génétiques et au partage juste et équitable des avantages découlant de leur utilisation (financement de projet du GEF</w:t>
      </w:r>
      <w:r w:rsidR="006E54C7">
        <w:t> :</w:t>
      </w:r>
      <w:r w:rsidRPr="00946229">
        <w:t xml:space="preserve"> 3</w:t>
      </w:r>
      <w:r w:rsidR="00A258AB">
        <w:t> 701 250 </w:t>
      </w:r>
      <w:r w:rsidRPr="00946229">
        <w:t xml:space="preserve">dollars) appuient respectivement 105 et 96 Parties admissibles dans l’exécution de leurs obligations nationales en matière d’établissement de rapports au titre des Protocoles de </w:t>
      </w:r>
      <w:r w:rsidR="00AB46E9">
        <w:t xml:space="preserve">Carthagène </w:t>
      </w:r>
      <w:r w:rsidRPr="00946229">
        <w:t>et de Nagoya.</w:t>
      </w:r>
      <w:r>
        <w:t xml:space="preserve"> </w:t>
      </w:r>
      <w:r w:rsidR="009D1B08" w:rsidRPr="009D1B08">
        <w:t>Ces deux projets, mis en œuvre par le PNUE, ont été approuvés en avril 2025. Au 15</w:t>
      </w:r>
      <w:r w:rsidR="009D1B08">
        <w:t> </w:t>
      </w:r>
      <w:r w:rsidR="009D1B08" w:rsidRPr="009D1B08">
        <w:t>juin</w:t>
      </w:r>
      <w:r w:rsidR="009D1B08">
        <w:t> </w:t>
      </w:r>
      <w:r w:rsidR="009D1B08" w:rsidRPr="009D1B08">
        <w:t>2026, 88</w:t>
      </w:r>
      <w:r w:rsidR="00A258AB">
        <w:t> </w:t>
      </w:r>
      <w:r w:rsidR="009D1B08" w:rsidRPr="009D1B08">
        <w:t xml:space="preserve">Parties participant aux activités habilitantes relatives au Protocole de </w:t>
      </w:r>
      <w:r w:rsidR="001F330E" w:rsidRPr="0065232C">
        <w:t>Carthagène</w:t>
      </w:r>
      <w:r w:rsidR="009D1B08" w:rsidRPr="009D1B08">
        <w:t xml:space="preserve"> et 73</w:t>
      </w:r>
      <w:r w:rsidR="009D1B08">
        <w:t> </w:t>
      </w:r>
      <w:r w:rsidR="009D1B08" w:rsidRPr="009D1B08">
        <w:t>Parties participant à celles relatives au Protocole de Nagoya avaient soumis leur rapport national. Des informations détaillées sur l’état d’avancement de cet appui figurent aux annexes</w:t>
      </w:r>
      <w:r w:rsidR="00A258AB">
        <w:t> </w:t>
      </w:r>
      <w:r w:rsidR="009D1B08" w:rsidRPr="009D1B08">
        <w:t>8 et 9.</w:t>
      </w:r>
    </w:p>
    <w:p w14:paraId="3B74F955" w14:textId="2CBE3811" w:rsidR="0093276F" w:rsidRPr="00C67737" w:rsidRDefault="002C0AE6" w:rsidP="000B33CF">
      <w:pPr>
        <w:pStyle w:val="ListParagraph"/>
      </w:pPr>
      <w:r>
        <w:t xml:space="preserve">La seconde tranche du financement de projet du GEF consacrée aux peuples autochtones et communautés locales à savoir </w:t>
      </w:r>
      <w:r w:rsidR="00921773">
        <w:t>l’initiative HCI (</w:t>
      </w:r>
      <w:r w:rsidR="00921773">
        <w:rPr>
          <w:i/>
          <w:iCs/>
        </w:rPr>
        <w:t>Heart of Conservation</w:t>
      </w:r>
      <w:r w:rsidR="009D1B08">
        <w:rPr>
          <w:i/>
          <w:iCs/>
        </w:rPr>
        <w:t xml:space="preserve"> Initiative</w:t>
      </w:r>
      <w:r w:rsidR="00921773" w:rsidRPr="00921773">
        <w:t>)</w:t>
      </w:r>
      <w:r>
        <w:rPr>
          <w:i/>
          <w:iCs/>
        </w:rPr>
        <w:t xml:space="preserve"> </w:t>
      </w:r>
      <w:r>
        <w:t xml:space="preserve">de </w:t>
      </w:r>
      <w:r w:rsidR="00376C22">
        <w:t>GEF</w:t>
      </w:r>
      <w:r w:rsidR="00376C22">
        <w:noBreakHyphen/>
      </w:r>
      <w:r>
        <w:t>8</w:t>
      </w:r>
      <w:r>
        <w:rPr>
          <w:i/>
          <w:iCs/>
        </w:rPr>
        <w:t xml:space="preserve"> </w:t>
      </w:r>
      <w:r>
        <w:t>(financement de projet du GEF</w:t>
      </w:r>
      <w:r w:rsidR="006E54C7">
        <w:t> :</w:t>
      </w:r>
      <w:r>
        <w:t xml:space="preserve"> 22</w:t>
      </w:r>
      <w:r w:rsidR="00A16D8D">
        <w:t> 535 </w:t>
      </w:r>
      <w:r>
        <w:t>780 dollars) a été approuvée par le Conseil en décembre</w:t>
      </w:r>
      <w:r w:rsidR="009D1B08">
        <w:t> </w:t>
      </w:r>
      <w:r>
        <w:t>2024. Un appel ouvert à candidatures auprès d’organisations partenaires de sous-</w:t>
      </w:r>
      <w:r>
        <w:lastRenderedPageBreak/>
        <w:t>projets a abouti à la sélection, par des responsables autochtones, de 10</w:t>
      </w:r>
      <w:r w:rsidR="00A16D8D">
        <w:t> </w:t>
      </w:r>
      <w:r>
        <w:t>sous-projets parmi les 800</w:t>
      </w:r>
      <w:r w:rsidR="00A16D8D">
        <w:t> </w:t>
      </w:r>
      <w:r w:rsidR="0005043D">
        <w:t>dossiers</w:t>
      </w:r>
      <w:r>
        <w:t xml:space="preserve"> reçus. La première tranche, l’Initiative de conservation inclusive (ICI) de </w:t>
      </w:r>
      <w:r w:rsidR="00376C22">
        <w:t>GEF</w:t>
      </w:r>
      <w:r w:rsidR="00376C22">
        <w:noBreakHyphen/>
      </w:r>
      <w:r>
        <w:t>7 (financement de projet du GEF</w:t>
      </w:r>
      <w:r w:rsidR="006E54C7">
        <w:t> :</w:t>
      </w:r>
      <w:r>
        <w:t xml:space="preserve"> 22</w:t>
      </w:r>
      <w:r w:rsidR="00A16D8D">
        <w:t> 535 780 </w:t>
      </w:r>
      <w:r>
        <w:t xml:space="preserve">dollars), a </w:t>
      </w:r>
      <w:r w:rsidR="00921773">
        <w:t>poursuivi sa</w:t>
      </w:r>
      <w:r>
        <w:t xml:space="preserve"> mise en œuvre durant la période considérée, apportant un appui direct à 10 sous-projets menés par des peuples autochtones et communautés locales dans 12</w:t>
      </w:r>
      <w:r w:rsidR="00A16D8D">
        <w:t> </w:t>
      </w:r>
      <w:r>
        <w:t>pays. En outre, de nombreux projets à l’appui des peuples autochtones et communautés locales ont été approuvés dans l’ensemble des domaines d’intervention du portefeuille du GEF, comme l’illustre la section</w:t>
      </w:r>
      <w:r w:rsidR="00A16D8D">
        <w:t> </w:t>
      </w:r>
      <w:r>
        <w:t>I.4.</w:t>
      </w:r>
    </w:p>
    <w:p w14:paraId="55E94B35" w14:textId="464EE728" w:rsidR="00064F9D" w:rsidRPr="00C67737" w:rsidRDefault="00064F9D" w:rsidP="000B33CF">
      <w:pPr>
        <w:pStyle w:val="ListParagraph"/>
      </w:pPr>
      <w:r>
        <w:t xml:space="preserve">Les activités relatives au Protocole de </w:t>
      </w:r>
      <w:r w:rsidR="00782F4A">
        <w:t xml:space="preserve"> Carthagène </w:t>
      </w:r>
      <w:r>
        <w:t>sur la prévention des risques biotechnologiques et au Protocole de Nagoya sur l’accès aux ressources génétiques et le partage juste et équitable des avantages découlant de leur utilisation relevant de la Convention sur la diversité biologique sont décrites respectivement à la section</w:t>
      </w:r>
      <w:r w:rsidR="00A16D8D">
        <w:t> </w:t>
      </w:r>
      <w:r>
        <w:t>I.2 et aux annexes</w:t>
      </w:r>
      <w:r w:rsidR="00A16D8D">
        <w:t> </w:t>
      </w:r>
      <w:r>
        <w:t>1 et 2. Tous fonds confondus, 7 pays bénéficient d’un appui à la mise en œuvre de mesures de prévention des risques biotechnologiques conformément à la cible</w:t>
      </w:r>
      <w:r w:rsidR="00A16D8D">
        <w:t> </w:t>
      </w:r>
      <w:r>
        <w:t>17, pour un financement</w:t>
      </w:r>
      <w:r w:rsidR="00AE79A9">
        <w:t xml:space="preserve"> de projet</w:t>
      </w:r>
      <w:r>
        <w:t xml:space="preserve"> total du GEF de 17,8</w:t>
      </w:r>
      <w:r w:rsidR="00960337">
        <w:t> </w:t>
      </w:r>
      <w:r>
        <w:t>millions de dollars ayant permis de mobiliser 49,8</w:t>
      </w:r>
      <w:r w:rsidR="00960337">
        <w:t> </w:t>
      </w:r>
      <w:r>
        <w:t>millions de dollars de cofinancement. Quinze pays bénéficient d’un appui pour la mise en œuvre du dispositif d’accès et de partage des avantages conformément à la cible</w:t>
      </w:r>
      <w:r w:rsidR="00960337">
        <w:t> </w:t>
      </w:r>
      <w:r>
        <w:t>13, notamment pour la ratification du Protocole de Nagoya. Le financement de projet total du GEF s’élève à 57,0</w:t>
      </w:r>
      <w:r w:rsidR="00960337">
        <w:t> </w:t>
      </w:r>
      <w:r>
        <w:t>millions de dollars et a permis de mobiliser 266,3</w:t>
      </w:r>
      <w:r w:rsidR="00960337">
        <w:t> </w:t>
      </w:r>
      <w:r>
        <w:t>millions de dollars de cofinancement.</w:t>
      </w:r>
    </w:p>
    <w:p w14:paraId="47C3BC78" w14:textId="26183C4D" w:rsidR="00DD5344" w:rsidRPr="00C67737" w:rsidRDefault="00A66615" w:rsidP="004D2843">
      <w:pPr>
        <w:pStyle w:val="Heading3"/>
      </w:pPr>
      <w:bookmarkStart w:id="13" w:name="_Toc242184645"/>
      <w:bookmarkStart w:id="14" w:name="_Toc242184693"/>
      <w:r>
        <w:t xml:space="preserve">Autres domaines d’intervention et </w:t>
      </w:r>
      <w:r w:rsidR="004630E3">
        <w:t>volet</w:t>
      </w:r>
      <w:r>
        <w:t>s de programmation</w:t>
      </w:r>
      <w:bookmarkEnd w:id="13"/>
      <w:bookmarkEnd w:id="14"/>
      <w:r>
        <w:t xml:space="preserve"> </w:t>
      </w:r>
    </w:p>
    <w:p w14:paraId="4DE99171" w14:textId="3B3B8D61" w:rsidR="00DD5344" w:rsidRPr="00C67737" w:rsidRDefault="00305838" w:rsidP="000B33CF">
      <w:pPr>
        <w:pStyle w:val="ListParagraph"/>
      </w:pPr>
      <w:r>
        <w:t>Conformément à l’approche d’intégration du GEF et aux orientations de la Conférence des Parties à la Convention sur la diversité biologique concernant les synergies entre les conventions, 2,21</w:t>
      </w:r>
      <w:r w:rsidR="00960337">
        <w:t> </w:t>
      </w:r>
      <w:r>
        <w:t>milliards de dollars, soit 59</w:t>
      </w:r>
      <w:r w:rsidR="00966C17">
        <w:t> %</w:t>
      </w:r>
      <w:r>
        <w:t xml:space="preserve"> des ressources du GEF programmées par l’intermédiaire des domaines d’intervention «</w:t>
      </w:r>
      <w:r w:rsidR="00960337">
        <w:t> </w:t>
      </w:r>
      <w:r>
        <w:t>dégradation des terres</w:t>
      </w:r>
      <w:r w:rsidR="00960337">
        <w:t> </w:t>
      </w:r>
      <w:r>
        <w:t>», «</w:t>
      </w:r>
      <w:r w:rsidR="00960337">
        <w:t> </w:t>
      </w:r>
      <w:r>
        <w:t>changements climatiques</w:t>
      </w:r>
      <w:r w:rsidR="00960337">
        <w:t> </w:t>
      </w:r>
      <w:r>
        <w:t>», «</w:t>
      </w:r>
      <w:r w:rsidR="00960337">
        <w:t> </w:t>
      </w:r>
      <w:r>
        <w:t>eaux internationales</w:t>
      </w:r>
      <w:r w:rsidR="00960337">
        <w:t> </w:t>
      </w:r>
      <w:r>
        <w:t>» et «</w:t>
      </w:r>
      <w:r w:rsidR="00960337">
        <w:t> </w:t>
      </w:r>
      <w:r>
        <w:t>produits chimiques et déchets</w:t>
      </w:r>
      <w:r w:rsidR="00960337">
        <w:t> </w:t>
      </w:r>
      <w:r>
        <w:t xml:space="preserve">» </w:t>
      </w:r>
      <w:r w:rsidR="00B01EDA">
        <w:t>du fond</w:t>
      </w:r>
      <w:r w:rsidR="00B12B0F">
        <w:t>s</w:t>
      </w:r>
      <w:r w:rsidR="00B01EDA">
        <w:t xml:space="preserve"> fiduciaire</w:t>
      </w:r>
      <w:r>
        <w:t xml:space="preserve"> du GEF, ont contribué à la mise en œuvre du KMGBF. La section</w:t>
      </w:r>
      <w:r w:rsidR="00960337">
        <w:t> </w:t>
      </w:r>
      <w:r>
        <w:t>I.3 présente plus en détail</w:t>
      </w:r>
      <w:r w:rsidR="00B01EDA">
        <w:t>s</w:t>
      </w:r>
      <w:r>
        <w:t xml:space="preserve"> les contributions des autres domaines d’intervention et </w:t>
      </w:r>
      <w:r w:rsidR="004630E3">
        <w:t>volet</w:t>
      </w:r>
      <w:r>
        <w:t xml:space="preserve">s de programmation </w:t>
      </w:r>
      <w:r w:rsidR="00792F21">
        <w:t>du fond</w:t>
      </w:r>
      <w:r w:rsidR="00B12B0F">
        <w:t>s</w:t>
      </w:r>
      <w:r w:rsidR="00792F21">
        <w:t xml:space="preserve"> fiduciaire </w:t>
      </w:r>
      <w:r>
        <w:t xml:space="preserve">du GEF au KMGBF. </w:t>
      </w:r>
    </w:p>
    <w:p w14:paraId="7762C2B6" w14:textId="1EB0A6D7" w:rsidR="00DD5344" w:rsidRPr="00C67737" w:rsidRDefault="5864A3CF" w:rsidP="000B33CF">
      <w:pPr>
        <w:pStyle w:val="ListParagraph"/>
      </w:pPr>
      <w:r>
        <w:t xml:space="preserve">Les </w:t>
      </w:r>
      <w:r w:rsidR="00F02738">
        <w:t>orientations programmatiques</w:t>
      </w:r>
      <w:r>
        <w:t xml:space="preserve"> de </w:t>
      </w:r>
      <w:r w:rsidR="00376C22">
        <w:t>GEF</w:t>
      </w:r>
      <w:r w:rsidR="00376C22">
        <w:noBreakHyphen/>
      </w:r>
      <w:r>
        <w:t xml:space="preserve">8 ont renforcé l’engagement en faveur de solutions innovantes de financement mixte. Huit projets de financement mixte contribuant directement à la mise en œuvre du KMGBF ont été approuvés durant la période considérée, dont trois obligations innovantes axées sur les résultats en matière de biodiversité en Indonésie, au Rwanda et à </w:t>
      </w:r>
      <w:r w:rsidR="00957D0C">
        <w:t>Madagascar ;</w:t>
      </w:r>
      <w:r>
        <w:t xml:space="preserve"> un mécanisme de conversion de dette en faveur de la nature en Amérique latine et dans les Caraïbes</w:t>
      </w:r>
      <w:r w:rsidR="0006727A">
        <w:t> ;</w:t>
      </w:r>
      <w:r>
        <w:t xml:space="preserve"> et trois projets ciblant les secteurs de l’alimentation et de l’agriculture. Ces projets ont bénéficié d’un financement de 122,8</w:t>
      </w:r>
      <w:r w:rsidR="00960337">
        <w:t> </w:t>
      </w:r>
      <w:r>
        <w:t>millions de dollars du GEF, lequel a permis de mobiliser 2,03</w:t>
      </w:r>
      <w:r w:rsidR="00960337">
        <w:t> </w:t>
      </w:r>
      <w:r>
        <w:t>milliards de dollars de cofinancement. Chaque dollar investi par le GEF dans un projet de financement mixte lié à la biodiversité permet de mobiliser 16,60</w:t>
      </w:r>
      <w:r w:rsidR="00960337">
        <w:t> </w:t>
      </w:r>
      <w:r>
        <w:t xml:space="preserve">dollars supplémentaires de cofinancement.  </w:t>
      </w:r>
    </w:p>
    <w:p w14:paraId="26485D0A" w14:textId="33B7E466" w:rsidR="000E4216" w:rsidRPr="00C67737" w:rsidRDefault="00D67FAF" w:rsidP="000B33CF">
      <w:pPr>
        <w:pStyle w:val="ListParagraph"/>
      </w:pPr>
      <w:r>
        <w:t xml:space="preserve">Une ambitieuse réforme du Programme de </w:t>
      </w:r>
      <w:r w:rsidR="0048334D">
        <w:t>de Petites Subventions</w:t>
      </w:r>
      <w:r>
        <w:t xml:space="preserve">, connu sous le nom de </w:t>
      </w:r>
      <w:r w:rsidR="00783D1D">
        <w:t>SGP </w:t>
      </w:r>
      <w:r>
        <w:t xml:space="preserve">2.0, a été déployée durant la période considérée afin de mieux appuyer l’approche </w:t>
      </w:r>
      <w:proofErr w:type="spellStart"/>
      <w:r>
        <w:t>pansociétale</w:t>
      </w:r>
      <w:proofErr w:type="spellEnd"/>
      <w:r>
        <w:t xml:space="preserve"> du KMBGF. Quatre projets mondiaux de base du </w:t>
      </w:r>
      <w:r w:rsidR="00783D1D">
        <w:t>SGP</w:t>
      </w:r>
      <w:r>
        <w:t>, couvrant 135</w:t>
      </w:r>
      <w:r w:rsidR="00960337">
        <w:t> </w:t>
      </w:r>
      <w:r>
        <w:t>pays, ont été approuvés entre juin 2023 et décembre 2024 pour un financement total du GEF de 241,5</w:t>
      </w:r>
      <w:r w:rsidR="00960337">
        <w:t> </w:t>
      </w:r>
      <w:r>
        <w:t xml:space="preserve">millions </w:t>
      </w:r>
      <w:r>
        <w:lastRenderedPageBreak/>
        <w:t>de dollars et un cofinancement de 115,7 millions de dollars. La réforme a permis aux pays de disposer d’un plus grand choix d’</w:t>
      </w:r>
      <w:r w:rsidR="00887A21">
        <w:t>Agences d’exécution</w:t>
      </w:r>
      <w:r>
        <w:t>, d’étendre la couverture géographique du programme, d’accroître les ressources et d’améliorer l’équité de l’accès. Elle a également augmenté la part des financements acheminés vers la société civile et permis de mettre à l’essai de nouvelles approches, notamment un programme de mise au défi des organisations de la société civile (</w:t>
      </w:r>
      <w:r>
        <w:rPr>
          <w:i/>
          <w:iCs/>
        </w:rPr>
        <w:t>CSO Challenge Program</w:t>
      </w:r>
      <w:r>
        <w:t>) et une Initiative de microfinancement (</w:t>
      </w:r>
      <w:r>
        <w:rPr>
          <w:i/>
          <w:iCs/>
        </w:rPr>
        <w:t>Microfinance Initiative</w:t>
      </w:r>
      <w:r>
        <w:t>). Du 31</w:t>
      </w:r>
      <w:r w:rsidR="00960337">
        <w:t> </w:t>
      </w:r>
      <w:r>
        <w:t>juillet 2022 au 30</w:t>
      </w:r>
      <w:r w:rsidR="00960337">
        <w:t> </w:t>
      </w:r>
      <w:r>
        <w:t>juin 2025, 5</w:t>
      </w:r>
      <w:r w:rsidR="00960337">
        <w:t> 952 </w:t>
      </w:r>
      <w:r>
        <w:t xml:space="preserve">projets du </w:t>
      </w:r>
      <w:r w:rsidR="001170F0">
        <w:t xml:space="preserve">SGP </w:t>
      </w:r>
      <w:r>
        <w:t xml:space="preserve">dont le principal domaine d’intervention était la </w:t>
      </w:r>
      <w:r w:rsidR="00B91DBE">
        <w:t>Biodiversité</w:t>
      </w:r>
      <w:r>
        <w:t xml:space="preserve"> étaient en cours d’exécution. Ils représentaient 226</w:t>
      </w:r>
      <w:r w:rsidR="00960337">
        <w:t> </w:t>
      </w:r>
      <w:r>
        <w:t>millions de dollars de financements et un cofinancement total de 223,8</w:t>
      </w:r>
      <w:r w:rsidR="00960337">
        <w:t> </w:t>
      </w:r>
      <w:r>
        <w:t>millions de dollars, soit 43</w:t>
      </w:r>
      <w:r w:rsidR="00966C17">
        <w:t> %</w:t>
      </w:r>
      <w:r>
        <w:t xml:space="preserve"> du portefeuille en moyenne. Au cours de cette période, les 992</w:t>
      </w:r>
      <w:r w:rsidR="00960337">
        <w:t> </w:t>
      </w:r>
      <w:r>
        <w:t xml:space="preserve">projets du </w:t>
      </w:r>
      <w:r w:rsidR="00DB72C9">
        <w:t xml:space="preserve">SGP </w:t>
      </w:r>
      <w:r>
        <w:t xml:space="preserve">consacrés à la </w:t>
      </w:r>
      <w:r w:rsidR="00DB72C9">
        <w:t>Biodiversité</w:t>
      </w:r>
      <w:r>
        <w:t xml:space="preserve"> qui ont été achevés ont permis d’améliorer la gestion d’un maximum de 154</w:t>
      </w:r>
      <w:r w:rsidR="00960337">
        <w:t> </w:t>
      </w:r>
      <w:r>
        <w:t>aires protégées et de 260</w:t>
      </w:r>
      <w:r w:rsidR="00960337">
        <w:t> </w:t>
      </w:r>
      <w:r>
        <w:t>aires de conservation par les peuples autochtones et communautés locales, couvrant au total jusqu’à 10,5</w:t>
      </w:r>
      <w:r w:rsidR="00960337">
        <w:t> </w:t>
      </w:r>
      <w:r>
        <w:t xml:space="preserve">millions d’hectares. Les projets du </w:t>
      </w:r>
      <w:r w:rsidR="00C71E7E">
        <w:t xml:space="preserve">SGP </w:t>
      </w:r>
      <w:r>
        <w:t xml:space="preserve">ont également contribué à maintenir ou à améliorer l’état de conservation d’au moins 873 espèces. </w:t>
      </w:r>
    </w:p>
    <w:p w14:paraId="2E8E1AEA" w14:textId="720F67BF" w:rsidR="001A5E82" w:rsidRPr="00C67737" w:rsidRDefault="00BA5516" w:rsidP="0004312D">
      <w:pPr>
        <w:pStyle w:val="Heading3"/>
      </w:pPr>
      <w:bookmarkStart w:id="15" w:name="_Toc242184646"/>
      <w:bookmarkStart w:id="16" w:name="_Toc242184694"/>
      <w:r>
        <w:t>Fonds du Cadre</w:t>
      </w:r>
      <w:r w:rsidR="001A5E82">
        <w:t xml:space="preserve"> mondial de la biodiversité</w:t>
      </w:r>
      <w:bookmarkEnd w:id="15"/>
      <w:bookmarkEnd w:id="16"/>
    </w:p>
    <w:p w14:paraId="2D63247D" w14:textId="6A58B31F" w:rsidR="00290300" w:rsidRPr="00C67737" w:rsidRDefault="00290300" w:rsidP="000B33CF">
      <w:pPr>
        <w:pStyle w:val="ListParagraph"/>
      </w:pPr>
      <w:r>
        <w:t>La Conférence des Parties à la Convention sur la diversité biologique, à sa quinzième réunion, a demandé au GEF d’établir un fonds dédié et accessible, capable de mobiliser et de décaisser rapidement des ressources nouvelles et additionnelles provenant de toutes sources. Faisant suite à cette demande, le GEF a créé et rendu opérationnel</w:t>
      </w:r>
      <w:r w:rsidR="00A02739">
        <w:t xml:space="preserve">, dans un délai record, </w:t>
      </w:r>
      <w:r>
        <w:t xml:space="preserve">le </w:t>
      </w:r>
      <w:r w:rsidR="00BA5516">
        <w:t>Fonds du Cadre</w:t>
      </w:r>
      <w:r>
        <w:t xml:space="preserve"> mondial de la biodiversité (GBFF)</w:t>
      </w:r>
      <w:r w:rsidR="00A02739">
        <w:t>,</w:t>
      </w:r>
      <w:r>
        <w:t xml:space="preserve"> en instaurant un cycle de projet simplifié et des modalités de gouvernance élargies</w:t>
      </w:r>
      <w:r w:rsidR="006336D0">
        <w:t xml:space="preserve">. Celles-ci comprennent </w:t>
      </w:r>
      <w:r>
        <w:t xml:space="preserve">notamment dix sièges supplémentaires d’observateurs au sein du Conseil, un </w:t>
      </w:r>
      <w:r w:rsidR="00844298">
        <w:t>O</w:t>
      </w:r>
      <w:r>
        <w:t xml:space="preserve">rgane auxiliaire composé d’experts issus de pays en développement abritant des zones particulièrement importantes pour la biodiversité et les fonctions et services écosystémiques, ainsi qu’un groupe consultatif </w:t>
      </w:r>
      <w:r w:rsidR="009F3D8E">
        <w:t>de participants</w:t>
      </w:r>
      <w:r>
        <w:t xml:space="preserve"> non souverains. La section</w:t>
      </w:r>
      <w:r w:rsidR="00960337">
        <w:t> </w:t>
      </w:r>
      <w:r>
        <w:t>II présente plus en détail l</w:t>
      </w:r>
      <w:r w:rsidR="00960337">
        <w:t>’</w:t>
      </w:r>
      <w:r>
        <w:t>opérationnalisation du GBFF, ainsi que ses dispositifs élargis de gouvernance, de mobilisation des ressources et de programmation.</w:t>
      </w:r>
    </w:p>
    <w:p w14:paraId="7E1BDB58" w14:textId="4ABF6F3D" w:rsidR="001B47CF" w:rsidRPr="00C67737" w:rsidRDefault="001B47CF" w:rsidP="000B33CF">
      <w:pPr>
        <w:pStyle w:val="ListParagraph"/>
      </w:pPr>
      <w:bookmarkStart w:id="17" w:name="_Toc229575323"/>
      <w:r>
        <w:t>Depuis son lancement</w:t>
      </w:r>
      <w:r w:rsidR="00061562">
        <w:t>,</w:t>
      </w:r>
      <w:r>
        <w:t xml:space="preserve"> en août 2023</w:t>
      </w:r>
      <w:r w:rsidR="00061562">
        <w:t>,</w:t>
      </w:r>
      <w:r>
        <w:t xml:space="preserve"> et jusqu’au 30</w:t>
      </w:r>
      <w:r w:rsidR="00960337">
        <w:t> </w:t>
      </w:r>
      <w:r>
        <w:t>juin 2026, le GBFF a reçu 387,2</w:t>
      </w:r>
      <w:r w:rsidR="00960337">
        <w:t> </w:t>
      </w:r>
      <w:r>
        <w:t xml:space="preserve">millions de dollars au titre d’engagements signés de la part de onze États souverains et d’une administration infranationale. Ces ressources ont </w:t>
      </w:r>
      <w:r w:rsidR="00E43F9B">
        <w:t>été affectées</w:t>
      </w:r>
      <w:r>
        <w:t>, dans le cadre de cinq cycles de sélection</w:t>
      </w:r>
      <w:r w:rsidR="00E43F9B">
        <w:t xml:space="preserve"> concurrentielle</w:t>
      </w:r>
      <w:r>
        <w:t xml:space="preserve">, </w:t>
      </w:r>
      <w:r w:rsidR="006A61A1">
        <w:t>à l’appui de</w:t>
      </w:r>
      <w:r>
        <w:t xml:space="preserve"> projets </w:t>
      </w:r>
      <w:r w:rsidR="006A61A1">
        <w:t xml:space="preserve">représentant </w:t>
      </w:r>
      <w:r>
        <w:t>un montant total de 362,1</w:t>
      </w:r>
      <w:r w:rsidR="00960337">
        <w:t> </w:t>
      </w:r>
      <w:r>
        <w:t xml:space="preserve">millions de dollars programmé </w:t>
      </w:r>
      <w:r w:rsidR="009C0317">
        <w:t xml:space="preserve">dans </w:t>
      </w:r>
      <w:r>
        <w:t>87 pays, dont 47 PEID et PMA.</w:t>
      </w:r>
      <w:bookmarkEnd w:id="17"/>
      <w:r>
        <w:t xml:space="preserve"> </w:t>
      </w:r>
      <w:r w:rsidR="001219CF" w:rsidRPr="001219CF">
        <w:t>Au 30</w:t>
      </w:r>
      <w:r w:rsidR="00A258AB">
        <w:t> </w:t>
      </w:r>
      <w:r w:rsidR="001219CF" w:rsidRPr="001219CF">
        <w:t>juin 2026, 31</w:t>
      </w:r>
      <w:r w:rsidR="00A258AB">
        <w:t> </w:t>
      </w:r>
      <w:r w:rsidR="001219CF" w:rsidRPr="001219CF">
        <w:t>projets du GBFF entièrement préparés, représentant un financement du GBFF de 149,5</w:t>
      </w:r>
      <w:r w:rsidR="00A258AB">
        <w:t> </w:t>
      </w:r>
      <w:r w:rsidR="001219CF" w:rsidRPr="001219CF">
        <w:t>millions de dollars, avaient</w:t>
      </w:r>
      <w:r w:rsidR="00765D9B">
        <w:t xml:space="preserve"> reçu l’agréement</w:t>
      </w:r>
      <w:r w:rsidR="001219CF" w:rsidRPr="001219CF">
        <w:t xml:space="preserve"> par le </w:t>
      </w:r>
      <w:r w:rsidR="001B56DE">
        <w:t>d</w:t>
      </w:r>
      <w:r w:rsidR="001219CF" w:rsidRPr="001219CF">
        <w:t>irecteur général, ce qui les autorisait à entrer dans la phase de mise en œuvre. Cette progression témoigne de la rapidité avec laquelle le GBFF a acheminé ses financements.</w:t>
      </w:r>
      <w:r>
        <w:t xml:space="preserve"> </w:t>
      </w:r>
    </w:p>
    <w:p w14:paraId="410D3EB2" w14:textId="35E8CF1B" w:rsidR="001B47CF" w:rsidRPr="00C67737" w:rsidRDefault="001B47CF" w:rsidP="000B33CF">
      <w:pPr>
        <w:pStyle w:val="ListParagraph"/>
      </w:pPr>
      <w:r>
        <w:t>Les trois cibles fixées par le Conseil du GBFF à l’échelle du portefeuille ont été atteintes. Au total, 38,8</w:t>
      </w:r>
      <w:r w:rsidR="00966C17">
        <w:t> %</w:t>
      </w:r>
      <w:r>
        <w:t xml:space="preserve"> des financements du GBFF ont été programmés au profit des PEID et des PMA, contre une cible de 36</w:t>
      </w:r>
      <w:r w:rsidR="00966C17">
        <w:t> %</w:t>
      </w:r>
      <w:r>
        <w:t xml:space="preserve"> plus 3</w:t>
      </w:r>
      <w:r w:rsidR="00966C17">
        <w:t> %</w:t>
      </w:r>
      <w:r w:rsidR="00960337">
        <w:t> </w:t>
      </w:r>
      <w:r>
        <w:t>; 30,4</w:t>
      </w:r>
      <w:r w:rsidR="00966C17">
        <w:t> %</w:t>
      </w:r>
      <w:r>
        <w:t xml:space="preserve"> des ressources du GBFF ont été programmées par l’intermédiaire d’institutions financières internationales (IFI), contre une cible de 25</w:t>
      </w:r>
      <w:r w:rsidR="00966C17">
        <w:t> %</w:t>
      </w:r>
      <w:r w:rsidR="00960337">
        <w:t> </w:t>
      </w:r>
      <w:r>
        <w:t>; enfin, 31,8</w:t>
      </w:r>
      <w:r w:rsidR="00966C17">
        <w:t> %</w:t>
      </w:r>
      <w:r>
        <w:t xml:space="preserve"> des financements programmés du GBFF ont été affectés à l’appui d’actions en faveur de la </w:t>
      </w:r>
      <w:r w:rsidR="008D5CCD">
        <w:t>biodiversité</w:t>
      </w:r>
      <w:r w:rsidR="00BD18F3">
        <w:t xml:space="preserve"> </w:t>
      </w:r>
      <w:r>
        <w:t>menées par les peuples autochtones et communautés locales, contre une cible de 20</w:t>
      </w:r>
      <w:r w:rsidR="00966C17">
        <w:t> %</w:t>
      </w:r>
      <w:r>
        <w:t>.</w:t>
      </w:r>
    </w:p>
    <w:p w14:paraId="45B011BB" w14:textId="5EFD9828" w:rsidR="00AC53F3" w:rsidRPr="00C67737" w:rsidRDefault="00AC53F3" w:rsidP="00300B67">
      <w:pPr>
        <w:rPr>
          <w:b/>
          <w:bCs/>
          <w:color w:val="0070C0"/>
          <w:sz w:val="24"/>
          <w:szCs w:val="24"/>
        </w:rPr>
      </w:pPr>
      <w:r>
        <w:rPr>
          <w:b/>
          <w:sz w:val="24"/>
        </w:rPr>
        <w:lastRenderedPageBreak/>
        <w:t xml:space="preserve">Suite donnée aux orientations de la Conférence des Parties, y compris l’ensemble de mesures relatives à </w:t>
      </w:r>
      <w:r w:rsidR="00376C22">
        <w:rPr>
          <w:b/>
          <w:sz w:val="24"/>
        </w:rPr>
        <w:t>GEF</w:t>
      </w:r>
      <w:r w:rsidR="00376C22">
        <w:rPr>
          <w:b/>
          <w:sz w:val="24"/>
        </w:rPr>
        <w:noBreakHyphen/>
      </w:r>
      <w:r>
        <w:rPr>
          <w:b/>
          <w:sz w:val="24"/>
        </w:rPr>
        <w:t>9</w:t>
      </w:r>
    </w:p>
    <w:p w14:paraId="4FE0F3F8" w14:textId="543E80DF" w:rsidR="001E0A65" w:rsidRPr="00C67737" w:rsidRDefault="00DF7F59" w:rsidP="000B33CF">
      <w:pPr>
        <w:pStyle w:val="ListParagraph"/>
      </w:pPr>
      <w:r>
        <w:t>La section</w:t>
      </w:r>
      <w:r w:rsidR="00960337">
        <w:t> </w:t>
      </w:r>
      <w:r>
        <w:t xml:space="preserve">IV du rapport présente une synthèse détaillée de la réponse du GEF aux orientations formulées par la </w:t>
      </w:r>
      <w:r w:rsidR="0028105E">
        <w:t>COP16.</w:t>
      </w:r>
    </w:p>
    <w:p w14:paraId="0E5AA19F" w14:textId="00E68BB7" w:rsidR="00326DF2" w:rsidRPr="00C67737" w:rsidRDefault="0D9E2109" w:rsidP="000B33CF">
      <w:pPr>
        <w:pStyle w:val="ListParagraph"/>
      </w:pPr>
      <w:r>
        <w:t xml:space="preserve">Le GEF a pris en compte l’évaluation des besoins de financement pour </w:t>
      </w:r>
      <w:r w:rsidR="00376C22">
        <w:t>GEF</w:t>
      </w:r>
      <w:r w:rsidR="00376C22">
        <w:noBreakHyphen/>
      </w:r>
      <w:r>
        <w:t xml:space="preserve">9 demandée par la </w:t>
      </w:r>
      <w:r w:rsidR="00077F9A">
        <w:t xml:space="preserve">CBD COP </w:t>
      </w:r>
      <w:r>
        <w:t xml:space="preserve">dans le cadre de la neuvième reconstitution </w:t>
      </w:r>
      <w:r w:rsidR="00E96695">
        <w:t>du Fonds fiduciaire</w:t>
      </w:r>
      <w:r>
        <w:t xml:space="preserve"> du GEF. Les annonces de contribution de 21</w:t>
      </w:r>
      <w:r w:rsidR="00960337">
        <w:t> </w:t>
      </w:r>
      <w:r>
        <w:t>donateurs ont porté le niveau initial de la reconstitution à 3,90</w:t>
      </w:r>
      <w:r w:rsidR="00960337">
        <w:t> </w:t>
      </w:r>
      <w:r>
        <w:t>milliards de dollars pour la période allant du 1</w:t>
      </w:r>
      <w:r>
        <w:rPr>
          <w:vertAlign w:val="superscript"/>
        </w:rPr>
        <w:t>er</w:t>
      </w:r>
      <w:r w:rsidR="00960337">
        <w:t> </w:t>
      </w:r>
      <w:r>
        <w:t>juillet 2026 au 30</w:t>
      </w:r>
      <w:r w:rsidR="00960337">
        <w:t> </w:t>
      </w:r>
      <w:r>
        <w:t xml:space="preserve">juin 2030. Trente-cinq pour cent des ressources totales de </w:t>
      </w:r>
      <w:r w:rsidR="00376C22">
        <w:t>GEF</w:t>
      </w:r>
      <w:r w:rsidR="00376C22">
        <w:noBreakHyphen/>
      </w:r>
      <w:r>
        <w:t>9 sont allouées au domaine d’intervention «</w:t>
      </w:r>
      <w:r w:rsidR="00960337">
        <w:t> </w:t>
      </w:r>
      <w:proofErr w:type="gramStart"/>
      <w:r w:rsidR="00A51A7A">
        <w:t>Biodiversité</w:t>
      </w:r>
      <w:r>
        <w:t>»</w:t>
      </w:r>
      <w:proofErr w:type="gramEnd"/>
      <w:r>
        <w:t>, qui demeurera le principal domaine d’intervention. Il a en outre été décidé que 70</w:t>
      </w:r>
      <w:r w:rsidR="00966C17">
        <w:t> %</w:t>
      </w:r>
      <w:r>
        <w:t xml:space="preserve"> de la programmation de </w:t>
      </w:r>
      <w:r w:rsidR="00376C22">
        <w:t>GEF</w:t>
      </w:r>
      <w:r w:rsidR="00376C22">
        <w:noBreakHyphen/>
      </w:r>
      <w:r>
        <w:t xml:space="preserve">9 devrait contribuer aux objectifs de la CDB, selon la méthodologie des marqueurs de Rio. </w:t>
      </w:r>
    </w:p>
    <w:p w14:paraId="5E06008B" w14:textId="4E402F5F" w:rsidR="00FB5C4C" w:rsidRPr="00C67737" w:rsidRDefault="00DC0E55" w:rsidP="000B33CF">
      <w:pPr>
        <w:pStyle w:val="ListParagraph"/>
      </w:pPr>
      <w:r>
        <w:t>P</w:t>
      </w:r>
      <w:r w:rsidRPr="00DC0E55">
        <w:t xml:space="preserve">armi les autres mesures importantes prises en réponse aux orientations </w:t>
      </w:r>
      <w:r w:rsidR="456F84C4">
        <w:t xml:space="preserve">de la Conférence des Parties, les </w:t>
      </w:r>
      <w:r w:rsidR="00F02738">
        <w:t>orientations programmatiques</w:t>
      </w:r>
      <w:r w:rsidR="456F84C4">
        <w:t xml:space="preserve"> de </w:t>
      </w:r>
      <w:r w:rsidR="00376C22">
        <w:t>GEF</w:t>
      </w:r>
      <w:r w:rsidR="00376C22">
        <w:noBreakHyphen/>
      </w:r>
      <w:r w:rsidR="456F84C4">
        <w:t xml:space="preserve">9 ont été conçues pour donner suite à l’ensemble des éléments du Cadre quadriennal axé sur les résultats des priorités du programme sur la biodiversité de la Convention sur la diversité biologique et de ses Protocoles, adopté par la Conférence des Parties à sa seizième réunion. Les recommandations de politique générale de </w:t>
      </w:r>
      <w:r w:rsidR="00376C22">
        <w:t>GEF</w:t>
      </w:r>
      <w:r w:rsidR="00376C22">
        <w:noBreakHyphen/>
      </w:r>
      <w:r w:rsidR="456F84C4">
        <w:t>9 comprennent un ensemble de 21 réformes articulées autour de cinq objectifs de politique</w:t>
      </w:r>
      <w:r w:rsidR="006E54C7">
        <w:t> :</w:t>
      </w:r>
      <w:r w:rsidR="456F84C4">
        <w:t xml:space="preserve"> </w:t>
      </w:r>
      <w:r w:rsidR="456F84C4">
        <w:rPr>
          <w:i/>
          <w:iCs/>
        </w:rPr>
        <w:t>Accélération et simplification de l’exécution</w:t>
      </w:r>
      <w:r w:rsidR="00960337">
        <w:rPr>
          <w:i/>
          <w:iCs/>
        </w:rPr>
        <w:t> </w:t>
      </w:r>
      <w:r w:rsidR="456F84C4">
        <w:rPr>
          <w:i/>
          <w:iCs/>
        </w:rPr>
        <w:t>; amélioration de l’accès et autonomisation des pays</w:t>
      </w:r>
      <w:r w:rsidR="00960337">
        <w:rPr>
          <w:i/>
          <w:iCs/>
        </w:rPr>
        <w:t> </w:t>
      </w:r>
      <w:r w:rsidR="456F84C4">
        <w:rPr>
          <w:i/>
          <w:iCs/>
        </w:rPr>
        <w:t>; architecture et représentation adaptées</w:t>
      </w:r>
      <w:r w:rsidR="00960337">
        <w:rPr>
          <w:i/>
          <w:iCs/>
        </w:rPr>
        <w:t> </w:t>
      </w:r>
      <w:r w:rsidR="456F84C4">
        <w:rPr>
          <w:i/>
          <w:iCs/>
        </w:rPr>
        <w:t>; financement abordable et à grande échelle</w:t>
      </w:r>
      <w:r w:rsidR="00960337">
        <w:rPr>
          <w:i/>
          <w:iCs/>
        </w:rPr>
        <w:t> </w:t>
      </w:r>
      <w:r w:rsidR="456F84C4">
        <w:rPr>
          <w:i/>
          <w:iCs/>
        </w:rPr>
        <w:t xml:space="preserve">; mise en œuvre </w:t>
      </w:r>
      <w:r w:rsidR="00AE40E0">
        <w:rPr>
          <w:i/>
          <w:iCs/>
        </w:rPr>
        <w:t>souple</w:t>
      </w:r>
      <w:r w:rsidR="456F84C4">
        <w:rPr>
          <w:i/>
          <w:iCs/>
        </w:rPr>
        <w:t xml:space="preserve"> et efficace.</w:t>
      </w:r>
      <w:r w:rsidR="456F84C4">
        <w:t xml:space="preserve"> Ces mesures s’appuient sur les réformes de politique déjà adoptées pendant </w:t>
      </w:r>
      <w:r w:rsidR="00376C22">
        <w:t>GEF</w:t>
      </w:r>
      <w:r w:rsidR="00376C22">
        <w:noBreakHyphen/>
      </w:r>
      <w:r w:rsidR="456F84C4">
        <w:t xml:space="preserve">8 et sur les innovations mises à l’essai par le GBFF, afin de répondre de manière globale aux orientations de la </w:t>
      </w:r>
      <w:r w:rsidR="00413DE4">
        <w:t xml:space="preserve">COP </w:t>
      </w:r>
      <w:r w:rsidR="0099407D" w:rsidRPr="0099407D">
        <w:t>à</w:t>
      </w:r>
      <w:r w:rsidR="00413DE4">
        <w:t xml:space="preserve"> la CBD. </w:t>
      </w:r>
    </w:p>
    <w:p w14:paraId="637A6E5B" w14:textId="1C5B2365" w:rsidR="00977408" w:rsidRPr="00C67737" w:rsidRDefault="00B01F08" w:rsidP="0004312D">
      <w:pPr>
        <w:pStyle w:val="Heading3"/>
      </w:pPr>
      <w:bookmarkStart w:id="18" w:name="_Toc242184647"/>
      <w:bookmarkStart w:id="19" w:name="_Toc242184695"/>
      <w:r w:rsidRPr="00B01F08">
        <w:t>Portefeuille de projets en cours d’exécution et progrès accomplis dans la mise en œuvre des réformes de politique</w:t>
      </w:r>
      <w:bookmarkEnd w:id="18"/>
      <w:bookmarkEnd w:id="19"/>
    </w:p>
    <w:p w14:paraId="415435B8" w14:textId="0E1BED82" w:rsidR="001E0A65" w:rsidRPr="00C67737" w:rsidRDefault="00EB43C5" w:rsidP="000B33CF">
      <w:pPr>
        <w:pStyle w:val="ListParagraph"/>
      </w:pPr>
      <w:r>
        <w:t>Au 30</w:t>
      </w:r>
      <w:r w:rsidR="00960337">
        <w:t> </w:t>
      </w:r>
      <w:r>
        <w:t xml:space="preserve">juin 2026, la valeur du portefeuille de projets </w:t>
      </w:r>
      <w:r w:rsidR="00CB4799">
        <w:t xml:space="preserve">relatifs à </w:t>
      </w:r>
      <w:r>
        <w:t xml:space="preserve">la biodiversité en cours de mise en œuvre dans l’ensemble des fonds et </w:t>
      </w:r>
      <w:r w:rsidR="004630E3">
        <w:t>volet</w:t>
      </w:r>
      <w:r>
        <w:t>s de programmation du GEF s’élevait à 4,8</w:t>
      </w:r>
      <w:r w:rsidR="00960337">
        <w:t> </w:t>
      </w:r>
      <w:r>
        <w:t>milliards de dollars. Il comprend 658</w:t>
      </w:r>
      <w:r w:rsidR="00960337">
        <w:t> </w:t>
      </w:r>
      <w:r>
        <w:t>projets, dont 231 sont financés exclusivement par le domaine d’intervention «</w:t>
      </w:r>
      <w:r w:rsidR="00960337">
        <w:t> </w:t>
      </w:r>
      <w:r w:rsidR="00DD1F44">
        <w:t>diversité biologique</w:t>
      </w:r>
      <w:r w:rsidR="00960337">
        <w:t> </w:t>
      </w:r>
      <w:r>
        <w:t xml:space="preserve">» </w:t>
      </w:r>
      <w:r w:rsidR="009F6A21">
        <w:t xml:space="preserve">du </w:t>
      </w:r>
      <w:r w:rsidR="00654B1F">
        <w:t>F</w:t>
      </w:r>
      <w:r w:rsidR="009F6A21">
        <w:t>onds fiduciaire du</w:t>
      </w:r>
      <w:r>
        <w:t xml:space="preserve"> GEF, à hauteur de 1,1</w:t>
      </w:r>
      <w:r w:rsidR="00960337">
        <w:t> </w:t>
      </w:r>
      <w:r>
        <w:t xml:space="preserve">milliard de dollars. </w:t>
      </w:r>
    </w:p>
    <w:p w14:paraId="1A4004C6" w14:textId="052BB565" w:rsidR="00AF2FC8" w:rsidRPr="00C67737" w:rsidRDefault="00AF2FC8" w:rsidP="000B33CF">
      <w:pPr>
        <w:pStyle w:val="ListParagraph"/>
      </w:pPr>
      <w:r>
        <w:t xml:space="preserve">L’effet cumulé des réformes adoptées durant </w:t>
      </w:r>
      <w:r w:rsidR="00376C22">
        <w:t>GEF</w:t>
      </w:r>
      <w:r w:rsidR="00376C22">
        <w:noBreakHyphen/>
      </w:r>
      <w:r>
        <w:t xml:space="preserve">8 pour simplifier et accélérer l’accès aux financements </w:t>
      </w:r>
      <w:r w:rsidR="00BF7B0B">
        <w:t xml:space="preserve">est manifeste dans les </w:t>
      </w:r>
      <w:r>
        <w:t xml:space="preserve">données relatives au traitement du portefeuille, couvrant l’ensemble des propositions soumises </w:t>
      </w:r>
      <w:r w:rsidR="004F475A">
        <w:t>au Fonds fiduciaires</w:t>
      </w:r>
      <w:r>
        <w:t xml:space="preserve"> du GEF. Pour les projets de grande envergure, le délai moyen de traitement, entre la première soumission d’un concept de projet sous la forme </w:t>
      </w:r>
      <w:r w:rsidR="008A26B8">
        <w:t>d</w:t>
      </w:r>
      <w:r w:rsidR="001F5A97">
        <w:t>’un</w:t>
      </w:r>
      <w:r w:rsidR="008A26B8">
        <w:t xml:space="preserve"> </w:t>
      </w:r>
      <w:r w:rsidR="008A26B8" w:rsidRPr="008A26B8">
        <w:t xml:space="preserve">Formulaire d’information sur le projet </w:t>
      </w:r>
      <w:r>
        <w:t>(</w:t>
      </w:r>
      <w:r w:rsidR="00C17317">
        <w:t>FIP</w:t>
      </w:r>
      <w:r>
        <w:t>) et le premier décaissement, est passé d’environ 44,2</w:t>
      </w:r>
      <w:r w:rsidR="00960337">
        <w:t> </w:t>
      </w:r>
      <w:r>
        <w:t xml:space="preserve">mois durant </w:t>
      </w:r>
      <w:r w:rsidR="00376C22">
        <w:t>GEF</w:t>
      </w:r>
      <w:r w:rsidR="00376C22">
        <w:noBreakHyphen/>
      </w:r>
      <w:r>
        <w:t>6 et 42,1</w:t>
      </w:r>
      <w:r w:rsidR="00960337">
        <w:t> </w:t>
      </w:r>
      <w:r>
        <w:t xml:space="preserve">mois durant </w:t>
      </w:r>
      <w:r w:rsidR="00376C22">
        <w:t>GEF</w:t>
      </w:r>
      <w:r w:rsidR="00376C22">
        <w:noBreakHyphen/>
      </w:r>
      <w:r>
        <w:t>7 à 30,0</w:t>
      </w:r>
      <w:r w:rsidR="00960337">
        <w:t> </w:t>
      </w:r>
      <w:r>
        <w:t xml:space="preserve">mois durant </w:t>
      </w:r>
      <w:r w:rsidR="00376C22">
        <w:t>GEF</w:t>
      </w:r>
      <w:r w:rsidR="00376C22">
        <w:noBreakHyphen/>
      </w:r>
      <w:r>
        <w:t>8, soit une réduction de 14,2</w:t>
      </w:r>
      <w:r w:rsidR="00960337">
        <w:t> </w:t>
      </w:r>
      <w:r>
        <w:t>mois, ou environ un tiers, par rapport à deux cycles auparavant.</w:t>
      </w:r>
    </w:p>
    <w:p w14:paraId="3538DF5B" w14:textId="6194BF74" w:rsidR="00B8727A" w:rsidRPr="00C67737" w:rsidRDefault="74A3D072" w:rsidP="000B33CF">
      <w:pPr>
        <w:pStyle w:val="ListParagraph"/>
      </w:pPr>
      <w:r>
        <w:t>En juin 2025, 86</w:t>
      </w:r>
      <w:r w:rsidR="00966C17">
        <w:t> %</w:t>
      </w:r>
      <w:r>
        <w:t xml:space="preserve"> des projets du portefeuille consacré à la biodiversité en cours d’exécution avaient obtenu une note se situant dans la fourchette satisfaisante pour les progrès accomplis dans leur mise en œuvre, et 88</w:t>
      </w:r>
      <w:r w:rsidR="00966C17">
        <w:t> %</w:t>
      </w:r>
      <w:r>
        <w:t xml:space="preserve"> avaient obtenu une note se situant dans la fourchette </w:t>
      </w:r>
      <w:r>
        <w:lastRenderedPageBreak/>
        <w:t xml:space="preserve">satisfaisante quant à la probabilité d’atteindre leur objectif de développement. Ces résultats sont supérieurs à la moyenne du GEF.  </w:t>
      </w:r>
    </w:p>
    <w:p w14:paraId="43B114C3" w14:textId="1590A035" w:rsidR="00DD4A03" w:rsidRPr="00C67737" w:rsidRDefault="006656F2" w:rsidP="000B33CF">
      <w:pPr>
        <w:pStyle w:val="ListParagraph"/>
      </w:pPr>
      <w:r>
        <w:t>Le sous-ensemble des projets en cours d’exécution ayant fait état de résultats obtenus au titre des indicateurs de base du GEF entre juillet 2022 et juin 2025 a fortement contribué à la réalisation des cibles du KMGBF. Les résultats de ces 277</w:t>
      </w:r>
      <w:r w:rsidR="00960337">
        <w:t> </w:t>
      </w:r>
      <w:r>
        <w:t>projets, qui ont bénéficié d’un financement total du GEF de 1,7</w:t>
      </w:r>
      <w:r w:rsidR="00960337">
        <w:t> </w:t>
      </w:r>
      <w:r>
        <w:t>milliard de dollars, sont notamment les suivants</w:t>
      </w:r>
      <w:r w:rsidR="006E54C7">
        <w:t> :</w:t>
      </w:r>
      <w:r>
        <w:t xml:space="preserve"> </w:t>
      </w:r>
    </w:p>
    <w:p w14:paraId="7B765D58" w14:textId="6BFDE9AE" w:rsidR="00DD4A03" w:rsidRPr="00C67737" w:rsidRDefault="00DD4A03" w:rsidP="00F615CE">
      <w:pPr>
        <w:ind w:left="720"/>
        <w:rPr>
          <w:sz w:val="24"/>
          <w:szCs w:val="24"/>
        </w:rPr>
      </w:pPr>
      <w:r>
        <w:rPr>
          <w:sz w:val="24"/>
        </w:rPr>
        <w:t>• Cible</w:t>
      </w:r>
      <w:r w:rsidR="00960337">
        <w:rPr>
          <w:sz w:val="24"/>
        </w:rPr>
        <w:t> </w:t>
      </w:r>
      <w:r>
        <w:rPr>
          <w:sz w:val="24"/>
        </w:rPr>
        <w:t>1</w:t>
      </w:r>
      <w:r w:rsidR="006E54C7">
        <w:rPr>
          <w:sz w:val="24"/>
        </w:rPr>
        <w:t> :</w:t>
      </w:r>
      <w:r>
        <w:rPr>
          <w:sz w:val="24"/>
        </w:rPr>
        <w:t xml:space="preserve"> </w:t>
      </w:r>
      <w:r w:rsidR="00810C04" w:rsidRPr="00810C04">
        <w:rPr>
          <w:sz w:val="24"/>
        </w:rPr>
        <w:t>Impacts positifs pour la biodiversité sur un total de 578,9 millions d’hectares de terres et de mers</w:t>
      </w:r>
      <w:r>
        <w:rPr>
          <w:sz w:val="24"/>
        </w:rPr>
        <w:t>.</w:t>
      </w:r>
    </w:p>
    <w:p w14:paraId="06E7F760" w14:textId="089F2E80" w:rsidR="00DD4A03" w:rsidRPr="00C67737" w:rsidRDefault="00DD4A03" w:rsidP="00F615CE">
      <w:pPr>
        <w:ind w:left="720"/>
        <w:rPr>
          <w:sz w:val="24"/>
          <w:szCs w:val="24"/>
        </w:rPr>
      </w:pPr>
      <w:r>
        <w:rPr>
          <w:sz w:val="24"/>
        </w:rPr>
        <w:t>• Cible</w:t>
      </w:r>
      <w:r w:rsidR="00960337">
        <w:rPr>
          <w:sz w:val="24"/>
        </w:rPr>
        <w:t> </w:t>
      </w:r>
      <w:r>
        <w:rPr>
          <w:sz w:val="24"/>
        </w:rPr>
        <w:t>2</w:t>
      </w:r>
      <w:r w:rsidR="006E54C7">
        <w:rPr>
          <w:sz w:val="24"/>
        </w:rPr>
        <w:t> :</w:t>
      </w:r>
      <w:r>
        <w:rPr>
          <w:sz w:val="24"/>
        </w:rPr>
        <w:t xml:space="preserve"> 25,5 millions d’hectares de zones terrestres et d’écosystèmes faisant l’objet de mesures de remise en état.</w:t>
      </w:r>
    </w:p>
    <w:p w14:paraId="0C09E1D7" w14:textId="4E0F98A1" w:rsidR="00DD4A03" w:rsidRPr="00C67737" w:rsidRDefault="00DD4A03" w:rsidP="00F615CE">
      <w:pPr>
        <w:ind w:left="720"/>
        <w:rPr>
          <w:sz w:val="24"/>
          <w:szCs w:val="24"/>
        </w:rPr>
      </w:pPr>
      <w:r>
        <w:rPr>
          <w:sz w:val="24"/>
        </w:rPr>
        <w:t>• Cible</w:t>
      </w:r>
      <w:r w:rsidR="00960337">
        <w:rPr>
          <w:sz w:val="24"/>
        </w:rPr>
        <w:t> </w:t>
      </w:r>
      <w:r>
        <w:rPr>
          <w:sz w:val="24"/>
        </w:rPr>
        <w:t>3</w:t>
      </w:r>
      <w:r w:rsidR="006E54C7">
        <w:rPr>
          <w:sz w:val="24"/>
        </w:rPr>
        <w:t> :</w:t>
      </w:r>
      <w:r>
        <w:rPr>
          <w:sz w:val="24"/>
        </w:rPr>
        <w:t xml:space="preserve"> 340,9</w:t>
      </w:r>
      <w:r w:rsidR="00960337">
        <w:rPr>
          <w:sz w:val="24"/>
        </w:rPr>
        <w:t> </w:t>
      </w:r>
      <w:r>
        <w:rPr>
          <w:sz w:val="24"/>
        </w:rPr>
        <w:t>millions d’hectares d’aires protégées ont été créés ou font l’objet d’une amélioration de leur gestion, dont la moitié correspond à de nouvelles aires protégées créées avec l’appui du GEF.</w:t>
      </w:r>
    </w:p>
    <w:p w14:paraId="72299EEA" w14:textId="29E6D484" w:rsidR="00DD4A03" w:rsidRPr="00C67737" w:rsidRDefault="00DD4A03" w:rsidP="00F615CE">
      <w:pPr>
        <w:ind w:left="720"/>
        <w:rPr>
          <w:sz w:val="24"/>
          <w:szCs w:val="24"/>
        </w:rPr>
      </w:pPr>
      <w:r>
        <w:rPr>
          <w:sz w:val="24"/>
        </w:rPr>
        <w:t>• Cible</w:t>
      </w:r>
      <w:r w:rsidR="00960337">
        <w:rPr>
          <w:sz w:val="24"/>
        </w:rPr>
        <w:t> </w:t>
      </w:r>
      <w:r>
        <w:rPr>
          <w:sz w:val="24"/>
        </w:rPr>
        <w:t>7</w:t>
      </w:r>
      <w:r w:rsidR="006E54C7">
        <w:rPr>
          <w:sz w:val="24"/>
        </w:rPr>
        <w:t> :</w:t>
      </w:r>
      <w:r>
        <w:rPr>
          <w:sz w:val="24"/>
        </w:rPr>
        <w:t xml:space="preserve"> 32</w:t>
      </w:r>
      <w:r w:rsidR="00960337">
        <w:rPr>
          <w:sz w:val="24"/>
        </w:rPr>
        <w:t> 134 </w:t>
      </w:r>
      <w:r>
        <w:rPr>
          <w:sz w:val="24"/>
        </w:rPr>
        <w:t xml:space="preserve">tonnes de produits chimiques préoccupants à l’échelle mondiale et de déchets connexes réduites. </w:t>
      </w:r>
    </w:p>
    <w:p w14:paraId="41C25E7C" w14:textId="6EAB5167" w:rsidR="00DD4A03" w:rsidRPr="00C67737" w:rsidRDefault="00DD4A03" w:rsidP="00F615CE">
      <w:pPr>
        <w:ind w:left="720"/>
        <w:rPr>
          <w:sz w:val="24"/>
          <w:szCs w:val="24"/>
        </w:rPr>
      </w:pPr>
      <w:r>
        <w:rPr>
          <w:sz w:val="24"/>
        </w:rPr>
        <w:t>• Cible</w:t>
      </w:r>
      <w:r w:rsidR="00960337">
        <w:rPr>
          <w:sz w:val="24"/>
        </w:rPr>
        <w:t> </w:t>
      </w:r>
      <w:r>
        <w:rPr>
          <w:sz w:val="24"/>
        </w:rPr>
        <w:t>8 et cible</w:t>
      </w:r>
      <w:r w:rsidR="00960337">
        <w:rPr>
          <w:sz w:val="24"/>
        </w:rPr>
        <w:t> </w:t>
      </w:r>
      <w:r>
        <w:rPr>
          <w:sz w:val="24"/>
        </w:rPr>
        <w:t>11</w:t>
      </w:r>
      <w:r w:rsidR="006E54C7">
        <w:rPr>
          <w:sz w:val="24"/>
        </w:rPr>
        <w:t> :</w:t>
      </w:r>
      <w:r>
        <w:rPr>
          <w:sz w:val="24"/>
        </w:rPr>
        <w:t xml:space="preserve"> 881,7</w:t>
      </w:r>
      <w:r w:rsidR="00960337">
        <w:rPr>
          <w:sz w:val="24"/>
        </w:rPr>
        <w:t> </w:t>
      </w:r>
      <w:r>
        <w:rPr>
          <w:sz w:val="24"/>
        </w:rPr>
        <w:t>millions de tonnes d</w:t>
      </w:r>
      <w:r w:rsidR="00960337">
        <w:rPr>
          <w:sz w:val="24"/>
        </w:rPr>
        <w:t>’</w:t>
      </w:r>
      <w:r>
        <w:rPr>
          <w:sz w:val="24"/>
        </w:rPr>
        <w:t>émissions de gaz à effet de serre (GES) atténuée</w:t>
      </w:r>
      <w:r w:rsidR="00D575D0">
        <w:rPr>
          <w:sz w:val="24"/>
        </w:rPr>
        <w:t>s</w:t>
      </w:r>
      <w:r>
        <w:rPr>
          <w:sz w:val="24"/>
        </w:rPr>
        <w:t>, exprimées en équivalent dioxyde de carbone.</w:t>
      </w:r>
    </w:p>
    <w:p w14:paraId="58AF8F0A" w14:textId="4B5A8874" w:rsidR="00DD4A03" w:rsidRPr="00C67737" w:rsidRDefault="00DD4A03" w:rsidP="00F615CE">
      <w:pPr>
        <w:ind w:left="720"/>
        <w:rPr>
          <w:sz w:val="24"/>
          <w:szCs w:val="24"/>
        </w:rPr>
      </w:pPr>
      <w:r>
        <w:rPr>
          <w:sz w:val="24"/>
        </w:rPr>
        <w:t>• Cible</w:t>
      </w:r>
      <w:r w:rsidR="00960337">
        <w:rPr>
          <w:sz w:val="24"/>
        </w:rPr>
        <w:t> </w:t>
      </w:r>
      <w:r>
        <w:rPr>
          <w:sz w:val="24"/>
        </w:rPr>
        <w:t>10</w:t>
      </w:r>
      <w:r w:rsidR="006E54C7">
        <w:rPr>
          <w:sz w:val="24"/>
        </w:rPr>
        <w:t> :</w:t>
      </w:r>
      <w:r>
        <w:rPr>
          <w:sz w:val="24"/>
        </w:rPr>
        <w:t xml:space="preserve"> 80,7</w:t>
      </w:r>
      <w:r w:rsidR="00960337">
        <w:rPr>
          <w:sz w:val="24"/>
        </w:rPr>
        <w:t> </w:t>
      </w:r>
      <w:r>
        <w:rPr>
          <w:sz w:val="24"/>
        </w:rPr>
        <w:t>millions d’hectares de paysages faisant l’objet de pratiques améliorées, 25</w:t>
      </w:r>
      <w:r w:rsidR="00960337">
        <w:rPr>
          <w:sz w:val="24"/>
        </w:rPr>
        <w:t> </w:t>
      </w:r>
      <w:r>
        <w:rPr>
          <w:sz w:val="24"/>
        </w:rPr>
        <w:t>écosystèmes aquatiques partagés faisant l</w:t>
      </w:r>
      <w:r w:rsidR="00960337">
        <w:rPr>
          <w:sz w:val="24"/>
        </w:rPr>
        <w:t>’</w:t>
      </w:r>
      <w:r>
        <w:rPr>
          <w:sz w:val="24"/>
        </w:rPr>
        <w:t>objet d’une gestion améliorée.</w:t>
      </w:r>
    </w:p>
    <w:p w14:paraId="620F6439" w14:textId="6C2D11AE" w:rsidR="00DD4A03" w:rsidRPr="00C67737" w:rsidRDefault="00DD4A03" w:rsidP="00F615CE">
      <w:pPr>
        <w:ind w:left="720"/>
        <w:rPr>
          <w:sz w:val="24"/>
          <w:szCs w:val="24"/>
          <w:highlight w:val="yellow"/>
        </w:rPr>
      </w:pPr>
      <w:r>
        <w:rPr>
          <w:sz w:val="24"/>
        </w:rPr>
        <w:t>• Cible</w:t>
      </w:r>
      <w:r w:rsidR="00960337">
        <w:rPr>
          <w:sz w:val="24"/>
        </w:rPr>
        <w:t> </w:t>
      </w:r>
      <w:r>
        <w:rPr>
          <w:sz w:val="24"/>
        </w:rPr>
        <w:t>19</w:t>
      </w:r>
      <w:r w:rsidR="006E54C7">
        <w:rPr>
          <w:sz w:val="24"/>
        </w:rPr>
        <w:t> :</w:t>
      </w:r>
      <w:r>
        <w:rPr>
          <w:sz w:val="24"/>
        </w:rPr>
        <w:t xml:space="preserve"> 7,2</w:t>
      </w:r>
      <w:r w:rsidR="00960337">
        <w:rPr>
          <w:sz w:val="24"/>
        </w:rPr>
        <w:t> </w:t>
      </w:r>
      <w:r>
        <w:rPr>
          <w:sz w:val="24"/>
        </w:rPr>
        <w:t>milliards de dollars de cofinancement</w:t>
      </w:r>
      <w:r w:rsidR="004311D8">
        <w:rPr>
          <w:sz w:val="24"/>
        </w:rPr>
        <w:t>,</w:t>
      </w:r>
      <w:r>
        <w:rPr>
          <w:sz w:val="24"/>
        </w:rPr>
        <w:t xml:space="preserve"> dont 232,9</w:t>
      </w:r>
      <w:r w:rsidR="00960337">
        <w:rPr>
          <w:sz w:val="24"/>
        </w:rPr>
        <w:t> </w:t>
      </w:r>
      <w:r>
        <w:rPr>
          <w:sz w:val="24"/>
        </w:rPr>
        <w:t>millions provenant du secteur privé, pour un investissement total de 8,9 milliards de dollars dans des projets pertinents pour la biodiversité, selon la méthodologie des marqueurs de Rio</w:t>
      </w:r>
    </w:p>
    <w:p w14:paraId="2EFED580" w14:textId="1FBCC0CF" w:rsidR="00140F30" w:rsidRPr="00C67737" w:rsidRDefault="00DD4A03" w:rsidP="00957D0C">
      <w:pPr>
        <w:ind w:left="720"/>
        <w:rPr>
          <w:sz w:val="24"/>
          <w:szCs w:val="24"/>
        </w:rPr>
      </w:pPr>
      <w:r>
        <w:rPr>
          <w:sz w:val="24"/>
        </w:rPr>
        <w:t>• Cible</w:t>
      </w:r>
      <w:r w:rsidR="00960337">
        <w:rPr>
          <w:sz w:val="24"/>
        </w:rPr>
        <w:t> </w:t>
      </w:r>
      <w:r>
        <w:rPr>
          <w:sz w:val="24"/>
        </w:rPr>
        <w:t>22 et cible</w:t>
      </w:r>
      <w:r w:rsidR="00960337">
        <w:rPr>
          <w:sz w:val="24"/>
        </w:rPr>
        <w:t> </w:t>
      </w:r>
      <w:r>
        <w:rPr>
          <w:sz w:val="24"/>
        </w:rPr>
        <w:t>23</w:t>
      </w:r>
      <w:r w:rsidR="006E54C7">
        <w:rPr>
          <w:sz w:val="24"/>
        </w:rPr>
        <w:t> :</w:t>
      </w:r>
      <w:r>
        <w:rPr>
          <w:sz w:val="24"/>
        </w:rPr>
        <w:t xml:space="preserve"> 6,4</w:t>
      </w:r>
      <w:r w:rsidR="00960337">
        <w:rPr>
          <w:sz w:val="24"/>
        </w:rPr>
        <w:t> </w:t>
      </w:r>
      <w:r>
        <w:rPr>
          <w:sz w:val="24"/>
        </w:rPr>
        <w:t>millions de personnes bénéficiant de la conservation, de l’utilisation durable ou de la restauration de la biodiversité, dont 3,2</w:t>
      </w:r>
      <w:r w:rsidR="00960337">
        <w:rPr>
          <w:sz w:val="24"/>
        </w:rPr>
        <w:t> </w:t>
      </w:r>
      <w:r>
        <w:rPr>
          <w:sz w:val="24"/>
        </w:rPr>
        <w:t>millions de femmes.</w:t>
      </w:r>
    </w:p>
    <w:p w14:paraId="65D82269" w14:textId="09AFB1AE" w:rsidR="001E0A65" w:rsidRPr="00C67737" w:rsidRDefault="003001A9" w:rsidP="000B33CF">
      <w:pPr>
        <w:pStyle w:val="ListParagraph"/>
      </w:pPr>
      <w:r>
        <w:t>Le Bureau de l’évaluation indépendante du GEF (IEO) a réalisé onze évaluations pertinentes pour le domaine d’intervention «</w:t>
      </w:r>
      <w:r w:rsidR="00960337">
        <w:t> </w:t>
      </w:r>
      <w:r w:rsidR="007E5940">
        <w:t>Biodiversité</w:t>
      </w:r>
      <w:r w:rsidR="00960337">
        <w:t> </w:t>
      </w:r>
      <w:r>
        <w:t>», dont les première et deuxième évaluations formatives du GBFF, ainsi que la huitième évaluation exhaustive du GEF. La section</w:t>
      </w:r>
      <w:r w:rsidR="00960337">
        <w:t> </w:t>
      </w:r>
      <w:r>
        <w:t>VI présente une synthèse des principaux messages issus de ces évaluations et des réponses de la direction du Secrétariat du GEF, approuvées par le Conseil du GEF.</w:t>
      </w:r>
    </w:p>
    <w:bookmarkEnd w:id="8"/>
    <w:p w14:paraId="297E6876" w14:textId="77777777" w:rsidR="001425F2" w:rsidRPr="00C67737" w:rsidRDefault="001425F2" w:rsidP="001425F2">
      <w:pPr>
        <w:spacing w:after="120"/>
        <w:jc w:val="center"/>
        <w:rPr>
          <w:b/>
          <w:color w:val="0070C0"/>
          <w:sz w:val="24"/>
          <w:szCs w:val="24"/>
        </w:rPr>
      </w:pPr>
      <w:r>
        <w:br w:type="page"/>
      </w:r>
    </w:p>
    <w:p w14:paraId="3930F1F6" w14:textId="77777777" w:rsidR="007A5694" w:rsidRDefault="006D2491" w:rsidP="006D2491">
      <w:pPr>
        <w:jc w:val="center"/>
        <w:rPr>
          <w:b/>
          <w:color w:val="000000" w:themeColor="text1"/>
          <w:sz w:val="24"/>
        </w:rPr>
      </w:pPr>
      <w:r>
        <w:rPr>
          <w:b/>
          <w:color w:val="000000" w:themeColor="text1"/>
          <w:sz w:val="24"/>
        </w:rPr>
        <w:lastRenderedPageBreak/>
        <w:t>Table des matières</w:t>
      </w:r>
    </w:p>
    <w:p w14:paraId="112933CC" w14:textId="2CE7D4C2" w:rsidR="00E8161D" w:rsidRPr="00605284" w:rsidRDefault="00F15F95">
      <w:pPr>
        <w:pStyle w:val="TOC1"/>
        <w:rPr>
          <w:rFonts w:eastAsiaTheme="minorEastAsia"/>
          <w:bCs w:val="0"/>
          <w:kern w:val="2"/>
          <w:sz w:val="24"/>
          <w:szCs w:val="24"/>
          <w:lang w:val="fr-CA"/>
          <w14:ligatures w14:val="standardContextual"/>
        </w:rPr>
      </w:pPr>
      <w:r>
        <w:rPr>
          <w:b/>
          <w:color w:val="000000" w:themeColor="text1"/>
          <w:sz w:val="24"/>
        </w:rPr>
        <w:fldChar w:fldCharType="begin"/>
      </w:r>
      <w:r>
        <w:rPr>
          <w:b/>
          <w:color w:val="000000" w:themeColor="text1"/>
          <w:sz w:val="24"/>
        </w:rPr>
        <w:instrText xml:space="preserve"> TOC \o "1-2" \u </w:instrText>
      </w:r>
      <w:r>
        <w:rPr>
          <w:b/>
          <w:color w:val="000000" w:themeColor="text1"/>
          <w:sz w:val="24"/>
        </w:rPr>
        <w:fldChar w:fldCharType="separate"/>
      </w:r>
      <w:r w:rsidR="00E8161D">
        <w:t>I.</w:t>
      </w:r>
      <w:r w:rsidR="00E8161D" w:rsidRPr="00605284">
        <w:rPr>
          <w:rFonts w:eastAsiaTheme="minorEastAsia"/>
          <w:bCs w:val="0"/>
          <w:kern w:val="2"/>
          <w:sz w:val="24"/>
          <w:szCs w:val="24"/>
          <w:lang w:val="fr-CA"/>
          <w14:ligatures w14:val="standardContextual"/>
        </w:rPr>
        <w:tab/>
      </w:r>
      <w:r w:rsidR="00E8161D">
        <w:t>Sigles et abréviations</w:t>
      </w:r>
      <w:r w:rsidR="00E8161D">
        <w:tab/>
      </w:r>
      <w:r w:rsidR="00E8161D">
        <w:fldChar w:fldCharType="begin"/>
      </w:r>
      <w:r w:rsidR="00E8161D">
        <w:instrText xml:space="preserve"> PAGEREF _Toc242185273 \h </w:instrText>
      </w:r>
      <w:r w:rsidR="00E8161D">
        <w:fldChar w:fldCharType="separate"/>
      </w:r>
      <w:r w:rsidR="00E8161D">
        <w:t>i</w:t>
      </w:r>
      <w:r w:rsidR="00E8161D">
        <w:fldChar w:fldCharType="end"/>
      </w:r>
    </w:p>
    <w:p w14:paraId="74B4CCE2" w14:textId="468C349E" w:rsidR="00E8161D" w:rsidRPr="00605284" w:rsidRDefault="00E8161D">
      <w:pPr>
        <w:pStyle w:val="TOC1"/>
        <w:rPr>
          <w:rFonts w:eastAsiaTheme="minorEastAsia"/>
          <w:bCs w:val="0"/>
          <w:kern w:val="2"/>
          <w:sz w:val="24"/>
          <w:szCs w:val="24"/>
          <w:lang w:val="fr-CA"/>
          <w14:ligatures w14:val="standardContextual"/>
        </w:rPr>
      </w:pPr>
      <w:r>
        <w:t>II.</w:t>
      </w:r>
      <w:r w:rsidRPr="00605284">
        <w:rPr>
          <w:rFonts w:eastAsiaTheme="minorEastAsia"/>
          <w:bCs w:val="0"/>
          <w:kern w:val="2"/>
          <w:sz w:val="24"/>
          <w:szCs w:val="24"/>
          <w:lang w:val="fr-CA"/>
          <w14:ligatures w14:val="standardContextual"/>
        </w:rPr>
        <w:tab/>
      </w:r>
      <w:r>
        <w:t>Résumé analytique</w:t>
      </w:r>
      <w:r>
        <w:tab/>
      </w:r>
      <w:r>
        <w:fldChar w:fldCharType="begin"/>
      </w:r>
      <w:r>
        <w:instrText xml:space="preserve"> PAGEREF _Toc242185274 \h </w:instrText>
      </w:r>
      <w:r>
        <w:fldChar w:fldCharType="separate"/>
      </w:r>
      <w:r>
        <w:t>ii</w:t>
      </w:r>
      <w:r>
        <w:fldChar w:fldCharType="end"/>
      </w:r>
    </w:p>
    <w:p w14:paraId="5724E7A5" w14:textId="152B9CDA" w:rsidR="00E8161D" w:rsidRPr="00605284" w:rsidRDefault="00E8161D">
      <w:pPr>
        <w:pStyle w:val="TOC1"/>
        <w:rPr>
          <w:rFonts w:eastAsiaTheme="minorEastAsia"/>
          <w:bCs w:val="0"/>
          <w:kern w:val="2"/>
          <w:sz w:val="24"/>
          <w:szCs w:val="24"/>
          <w:lang w:val="fr-CA"/>
          <w14:ligatures w14:val="standardContextual"/>
        </w:rPr>
      </w:pPr>
      <w:r>
        <w:t>I.</w:t>
      </w:r>
      <w:r w:rsidRPr="00605284">
        <w:rPr>
          <w:rFonts w:eastAsiaTheme="minorEastAsia"/>
          <w:bCs w:val="0"/>
          <w:kern w:val="2"/>
          <w:sz w:val="24"/>
          <w:szCs w:val="24"/>
          <w:lang w:val="fr-CA"/>
          <w14:ligatures w14:val="standardContextual"/>
        </w:rPr>
        <w:tab/>
      </w:r>
      <w:r>
        <w:t>Activités des projets à l’appui de la mise en œuvre de la CDB</w:t>
      </w:r>
      <w:r>
        <w:tab/>
      </w:r>
      <w:r>
        <w:fldChar w:fldCharType="begin"/>
      </w:r>
      <w:r>
        <w:instrText xml:space="preserve"> PAGEREF _Toc242185275 \h </w:instrText>
      </w:r>
      <w:r>
        <w:fldChar w:fldCharType="separate"/>
      </w:r>
      <w:r>
        <w:t>12</w:t>
      </w:r>
      <w:r>
        <w:fldChar w:fldCharType="end"/>
      </w:r>
    </w:p>
    <w:p w14:paraId="3DD7945C" w14:textId="6FB98F38" w:rsidR="00E8161D" w:rsidRPr="00605284" w:rsidRDefault="00E8161D">
      <w:pPr>
        <w:pStyle w:val="TOC2"/>
        <w:rPr>
          <w:rFonts w:eastAsiaTheme="minorEastAsia" w:cstheme="minorBidi"/>
          <w:snapToGrid/>
          <w:kern w:val="2"/>
          <w:sz w:val="24"/>
          <w:szCs w:val="24"/>
          <w:lang w:val="fr-CA"/>
          <w14:ligatures w14:val="standardContextual"/>
        </w:rPr>
      </w:pPr>
      <w:r>
        <w:t>I.1 Programmation à l’appui du Cadre mondial de la biodiversité de Kunming-Montréal dans la famille de fonds du GEF</w:t>
      </w:r>
      <w:r>
        <w:tab/>
      </w:r>
      <w:r>
        <w:fldChar w:fldCharType="begin"/>
      </w:r>
      <w:r>
        <w:instrText xml:space="preserve"> PAGEREF _Toc242185276 \h </w:instrText>
      </w:r>
      <w:r>
        <w:fldChar w:fldCharType="separate"/>
      </w:r>
      <w:r>
        <w:t>12</w:t>
      </w:r>
      <w:r>
        <w:fldChar w:fldCharType="end"/>
      </w:r>
    </w:p>
    <w:p w14:paraId="12636B16" w14:textId="0320D45B" w:rsidR="00E8161D" w:rsidRPr="00605284" w:rsidRDefault="00E8161D">
      <w:pPr>
        <w:pStyle w:val="TOC2"/>
        <w:rPr>
          <w:rFonts w:eastAsiaTheme="minorEastAsia" w:cstheme="minorBidi"/>
          <w:snapToGrid/>
          <w:kern w:val="2"/>
          <w:sz w:val="24"/>
          <w:szCs w:val="24"/>
          <w:lang w:val="fr-CA"/>
          <w14:ligatures w14:val="standardContextual"/>
        </w:rPr>
      </w:pPr>
      <w:r>
        <w:t>I.2 Programmation dans le domaine d’intervention « diversité biologique »</w:t>
      </w:r>
      <w:r>
        <w:tab/>
      </w:r>
      <w:r>
        <w:fldChar w:fldCharType="begin"/>
      </w:r>
      <w:r>
        <w:instrText xml:space="preserve"> PAGEREF _Toc242185277 \h </w:instrText>
      </w:r>
      <w:r>
        <w:fldChar w:fldCharType="separate"/>
      </w:r>
      <w:r>
        <w:t>19</w:t>
      </w:r>
      <w:r>
        <w:fldChar w:fldCharType="end"/>
      </w:r>
    </w:p>
    <w:p w14:paraId="0B0FE06B" w14:textId="3BB25512" w:rsidR="00E8161D" w:rsidRPr="00605284" w:rsidRDefault="00E8161D">
      <w:pPr>
        <w:pStyle w:val="TOC2"/>
        <w:rPr>
          <w:rFonts w:eastAsiaTheme="minorEastAsia" w:cstheme="minorBidi"/>
          <w:snapToGrid/>
          <w:kern w:val="2"/>
          <w:sz w:val="24"/>
          <w:szCs w:val="24"/>
          <w:lang w:val="fr-CA"/>
          <w14:ligatures w14:val="standardContextual"/>
        </w:rPr>
      </w:pPr>
      <w:r>
        <w:t>I.3 Autres contributions du GEF au Cadre mondial de la biodiversité de Kunming-Montréal</w:t>
      </w:r>
      <w:r>
        <w:tab/>
      </w:r>
      <w:r>
        <w:fldChar w:fldCharType="begin"/>
      </w:r>
      <w:r>
        <w:instrText xml:space="preserve"> PAGEREF _Toc242185278 \h </w:instrText>
      </w:r>
      <w:r>
        <w:fldChar w:fldCharType="separate"/>
      </w:r>
      <w:r>
        <w:t>36</w:t>
      </w:r>
      <w:r>
        <w:fldChar w:fldCharType="end"/>
      </w:r>
    </w:p>
    <w:p w14:paraId="7B212FE6" w14:textId="3154B3A7" w:rsidR="00E8161D" w:rsidRPr="00605284" w:rsidRDefault="00E8161D">
      <w:pPr>
        <w:pStyle w:val="TOC2"/>
        <w:rPr>
          <w:rFonts w:eastAsiaTheme="minorEastAsia" w:cstheme="minorBidi"/>
          <w:snapToGrid/>
          <w:kern w:val="2"/>
          <w:sz w:val="24"/>
          <w:szCs w:val="24"/>
          <w:lang w:val="fr-CA"/>
          <w14:ligatures w14:val="standardContextual"/>
        </w:rPr>
      </w:pPr>
      <w:r>
        <w:t>I.4 Appui aux peuples autochtones et communautés locales pour la mise en œuvre du KMGBF</w:t>
      </w:r>
      <w:r>
        <w:tab/>
      </w:r>
      <w:r>
        <w:fldChar w:fldCharType="begin"/>
      </w:r>
      <w:r>
        <w:instrText xml:space="preserve"> PAGEREF _Toc242185279 \h </w:instrText>
      </w:r>
      <w:r>
        <w:fldChar w:fldCharType="separate"/>
      </w:r>
      <w:r>
        <w:t>47</w:t>
      </w:r>
      <w:r>
        <w:fldChar w:fldCharType="end"/>
      </w:r>
    </w:p>
    <w:p w14:paraId="43379240" w14:textId="667CC6E6" w:rsidR="00E8161D" w:rsidRPr="00605284" w:rsidRDefault="00E8161D">
      <w:pPr>
        <w:pStyle w:val="TOC1"/>
        <w:rPr>
          <w:rFonts w:eastAsiaTheme="minorEastAsia"/>
          <w:bCs w:val="0"/>
          <w:kern w:val="2"/>
          <w:sz w:val="24"/>
          <w:szCs w:val="24"/>
          <w:lang w:val="fr-CA"/>
          <w14:ligatures w14:val="standardContextual"/>
        </w:rPr>
      </w:pPr>
      <w:r>
        <w:t>II.</w:t>
      </w:r>
      <w:r w:rsidRPr="00605284">
        <w:rPr>
          <w:rFonts w:eastAsiaTheme="minorEastAsia"/>
          <w:bCs w:val="0"/>
          <w:kern w:val="2"/>
          <w:sz w:val="24"/>
          <w:szCs w:val="24"/>
          <w:lang w:val="fr-CA"/>
          <w14:ligatures w14:val="standardContextual"/>
        </w:rPr>
        <w:tab/>
      </w:r>
      <w:r>
        <w:t>Fonds du Cadre mondial de la biodiversité</w:t>
      </w:r>
      <w:r>
        <w:tab/>
      </w:r>
      <w:r>
        <w:fldChar w:fldCharType="begin"/>
      </w:r>
      <w:r>
        <w:instrText xml:space="preserve"> PAGEREF _Toc242185280 \h </w:instrText>
      </w:r>
      <w:r>
        <w:fldChar w:fldCharType="separate"/>
      </w:r>
      <w:r>
        <w:t>50</w:t>
      </w:r>
      <w:r>
        <w:fldChar w:fldCharType="end"/>
      </w:r>
    </w:p>
    <w:p w14:paraId="45F2794A" w14:textId="540CF99E" w:rsidR="00E8161D" w:rsidRPr="00605284" w:rsidRDefault="00E8161D">
      <w:pPr>
        <w:pStyle w:val="TOC2"/>
        <w:rPr>
          <w:rFonts w:eastAsiaTheme="minorEastAsia" w:cstheme="minorBidi"/>
          <w:snapToGrid/>
          <w:kern w:val="2"/>
          <w:sz w:val="24"/>
          <w:szCs w:val="24"/>
          <w:lang w:val="fr-CA"/>
          <w14:ligatures w14:val="standardContextual"/>
        </w:rPr>
      </w:pPr>
      <w:r>
        <w:t>II.1 Établissement et opérationnalisation du GBFF</w:t>
      </w:r>
      <w:r>
        <w:tab/>
      </w:r>
      <w:r>
        <w:fldChar w:fldCharType="begin"/>
      </w:r>
      <w:r>
        <w:instrText xml:space="preserve"> PAGEREF _Toc242185281 \h </w:instrText>
      </w:r>
      <w:r>
        <w:fldChar w:fldCharType="separate"/>
      </w:r>
      <w:r>
        <w:t>50</w:t>
      </w:r>
      <w:r>
        <w:fldChar w:fldCharType="end"/>
      </w:r>
    </w:p>
    <w:p w14:paraId="0223F623" w14:textId="3E076F36" w:rsidR="00E8161D" w:rsidRPr="00605284" w:rsidRDefault="00E8161D">
      <w:pPr>
        <w:pStyle w:val="TOC2"/>
        <w:rPr>
          <w:rFonts w:eastAsiaTheme="minorEastAsia" w:cstheme="minorBidi"/>
          <w:snapToGrid/>
          <w:kern w:val="2"/>
          <w:sz w:val="24"/>
          <w:szCs w:val="24"/>
          <w:lang w:val="fr-CA"/>
          <w14:ligatures w14:val="standardContextual"/>
        </w:rPr>
      </w:pPr>
      <w:r>
        <w:t>II.2 Projets soutenus par le GBFF</w:t>
      </w:r>
      <w:r>
        <w:tab/>
      </w:r>
      <w:r>
        <w:fldChar w:fldCharType="begin"/>
      </w:r>
      <w:r>
        <w:instrText xml:space="preserve"> PAGEREF _Toc242185282 \h </w:instrText>
      </w:r>
      <w:r>
        <w:fldChar w:fldCharType="separate"/>
      </w:r>
      <w:r>
        <w:t>52</w:t>
      </w:r>
      <w:r>
        <w:fldChar w:fldCharType="end"/>
      </w:r>
    </w:p>
    <w:p w14:paraId="38A63F8F" w14:textId="0C85EDFE" w:rsidR="00E8161D" w:rsidRPr="00605284" w:rsidRDefault="00E8161D">
      <w:pPr>
        <w:pStyle w:val="TOC1"/>
        <w:rPr>
          <w:rFonts w:eastAsiaTheme="minorEastAsia"/>
          <w:bCs w:val="0"/>
          <w:kern w:val="2"/>
          <w:sz w:val="24"/>
          <w:szCs w:val="24"/>
          <w:lang w:val="fr-CA"/>
          <w14:ligatures w14:val="standardContextual"/>
        </w:rPr>
      </w:pPr>
      <w:r>
        <w:t>III.</w:t>
      </w:r>
      <w:r w:rsidRPr="00605284">
        <w:rPr>
          <w:rFonts w:eastAsiaTheme="minorEastAsia"/>
          <w:bCs w:val="0"/>
          <w:kern w:val="2"/>
          <w:sz w:val="24"/>
          <w:szCs w:val="24"/>
          <w:lang w:val="fr-CA"/>
          <w14:ligatures w14:val="standardContextual"/>
        </w:rPr>
        <w:tab/>
      </w:r>
      <w:r>
        <w:t>Fonds spécial pour les changements climatiques et Fonds pour les pays les moins avancés</w:t>
      </w:r>
      <w:r>
        <w:tab/>
      </w:r>
      <w:r>
        <w:fldChar w:fldCharType="begin"/>
      </w:r>
      <w:r>
        <w:instrText xml:space="preserve"> PAGEREF _Toc242185283 \h </w:instrText>
      </w:r>
      <w:r>
        <w:fldChar w:fldCharType="separate"/>
      </w:r>
      <w:r>
        <w:t>55</w:t>
      </w:r>
      <w:r>
        <w:fldChar w:fldCharType="end"/>
      </w:r>
    </w:p>
    <w:p w14:paraId="5CE1162F" w14:textId="100DE802" w:rsidR="00E8161D" w:rsidRPr="00605284" w:rsidRDefault="00E8161D">
      <w:pPr>
        <w:pStyle w:val="TOC1"/>
        <w:rPr>
          <w:rFonts w:eastAsiaTheme="minorEastAsia"/>
          <w:bCs w:val="0"/>
          <w:kern w:val="2"/>
          <w:sz w:val="24"/>
          <w:szCs w:val="24"/>
          <w:lang w:val="fr-CA"/>
          <w14:ligatures w14:val="standardContextual"/>
        </w:rPr>
      </w:pPr>
      <w:r>
        <w:t>IV.</w:t>
      </w:r>
      <w:r w:rsidRPr="00605284">
        <w:rPr>
          <w:rFonts w:eastAsiaTheme="minorEastAsia"/>
          <w:bCs w:val="0"/>
          <w:kern w:val="2"/>
          <w:sz w:val="24"/>
          <w:szCs w:val="24"/>
          <w:lang w:val="fr-CA"/>
          <w14:ligatures w14:val="standardContextual"/>
        </w:rPr>
        <w:tab/>
      </w:r>
      <w:r>
        <w:t>Suites données par le GEF aux orientations de la 16</w:t>
      </w:r>
      <w:r w:rsidRPr="00052A3A">
        <w:rPr>
          <w:vertAlign w:val="superscript"/>
        </w:rPr>
        <w:t>e</w:t>
      </w:r>
      <w:r>
        <w:t> Conférénce des Parties à la CDB</w:t>
      </w:r>
      <w:r>
        <w:tab/>
      </w:r>
      <w:r>
        <w:fldChar w:fldCharType="begin"/>
      </w:r>
      <w:r>
        <w:instrText xml:space="preserve"> PAGEREF _Toc242185284 \h </w:instrText>
      </w:r>
      <w:r>
        <w:fldChar w:fldCharType="separate"/>
      </w:r>
      <w:r>
        <w:t>56</w:t>
      </w:r>
      <w:r>
        <w:fldChar w:fldCharType="end"/>
      </w:r>
    </w:p>
    <w:p w14:paraId="421CF39F" w14:textId="553CF656" w:rsidR="00E8161D" w:rsidRPr="00605284" w:rsidRDefault="00E8161D">
      <w:pPr>
        <w:pStyle w:val="TOC1"/>
        <w:rPr>
          <w:rFonts w:eastAsiaTheme="minorEastAsia"/>
          <w:bCs w:val="0"/>
          <w:kern w:val="2"/>
          <w:sz w:val="24"/>
          <w:szCs w:val="24"/>
          <w:lang w:val="fr-CA"/>
          <w14:ligatures w14:val="standardContextual"/>
        </w:rPr>
      </w:pPr>
      <w:r>
        <w:t>V.</w:t>
      </w:r>
      <w:r w:rsidRPr="00605284">
        <w:rPr>
          <w:rFonts w:eastAsiaTheme="minorEastAsia"/>
          <w:bCs w:val="0"/>
          <w:kern w:val="2"/>
          <w:sz w:val="24"/>
          <w:szCs w:val="24"/>
          <w:lang w:val="fr-CA"/>
          <w14:ligatures w14:val="standardContextual"/>
        </w:rPr>
        <w:tab/>
      </w:r>
      <w:r>
        <w:t>Mise en œuvre du portefeuille et résultats des réformes en cours</w:t>
      </w:r>
      <w:r>
        <w:tab/>
      </w:r>
      <w:r>
        <w:fldChar w:fldCharType="begin"/>
      </w:r>
      <w:r>
        <w:instrText xml:space="preserve"> PAGEREF _Toc242185285 \h </w:instrText>
      </w:r>
      <w:r>
        <w:fldChar w:fldCharType="separate"/>
      </w:r>
      <w:r>
        <w:t>123</w:t>
      </w:r>
      <w:r>
        <w:fldChar w:fldCharType="end"/>
      </w:r>
    </w:p>
    <w:p w14:paraId="6BBAFFD6" w14:textId="3EEFC662" w:rsidR="00E8161D" w:rsidRPr="00605284" w:rsidRDefault="00E8161D">
      <w:pPr>
        <w:pStyle w:val="TOC2"/>
        <w:rPr>
          <w:rFonts w:eastAsiaTheme="minorEastAsia" w:cstheme="minorBidi"/>
          <w:snapToGrid/>
          <w:kern w:val="2"/>
          <w:sz w:val="24"/>
          <w:szCs w:val="24"/>
          <w:lang w:val="fr-CA"/>
          <w14:ligatures w14:val="standardContextual"/>
        </w:rPr>
      </w:pPr>
      <w:r>
        <w:t>Renforcer les capacités des pays et l’appropriation nationale</w:t>
      </w:r>
      <w:r>
        <w:tab/>
      </w:r>
      <w:r>
        <w:fldChar w:fldCharType="begin"/>
      </w:r>
      <w:r>
        <w:instrText xml:space="preserve"> PAGEREF _Toc242185286 \h </w:instrText>
      </w:r>
      <w:r>
        <w:fldChar w:fldCharType="separate"/>
      </w:r>
      <w:r>
        <w:t>123</w:t>
      </w:r>
      <w:r>
        <w:fldChar w:fldCharType="end"/>
      </w:r>
    </w:p>
    <w:p w14:paraId="7FF5B637" w14:textId="35C50620" w:rsidR="00E8161D" w:rsidRPr="00605284" w:rsidRDefault="00E8161D">
      <w:pPr>
        <w:pStyle w:val="TOC2"/>
        <w:rPr>
          <w:rFonts w:eastAsiaTheme="minorEastAsia" w:cstheme="minorBidi"/>
          <w:snapToGrid/>
          <w:kern w:val="2"/>
          <w:sz w:val="24"/>
          <w:szCs w:val="24"/>
          <w:lang w:val="fr-CA"/>
          <w14:ligatures w14:val="standardContextual"/>
        </w:rPr>
      </w:pPr>
      <w:r>
        <w:t>Simplifier les procédures et améliorer l’accès</w:t>
      </w:r>
      <w:r>
        <w:tab/>
      </w:r>
      <w:r>
        <w:fldChar w:fldCharType="begin"/>
      </w:r>
      <w:r>
        <w:instrText xml:space="preserve"> PAGEREF _Toc242185287 \h </w:instrText>
      </w:r>
      <w:r>
        <w:fldChar w:fldCharType="separate"/>
      </w:r>
      <w:r>
        <w:t>124</w:t>
      </w:r>
      <w:r>
        <w:fldChar w:fldCharType="end"/>
      </w:r>
    </w:p>
    <w:p w14:paraId="105C5764" w14:textId="366D2AAC" w:rsidR="00E8161D" w:rsidRPr="00605284" w:rsidRDefault="00E8161D">
      <w:pPr>
        <w:pStyle w:val="TOC2"/>
        <w:rPr>
          <w:rFonts w:eastAsiaTheme="minorEastAsia" w:cstheme="minorBidi"/>
          <w:snapToGrid/>
          <w:kern w:val="2"/>
          <w:sz w:val="24"/>
          <w:szCs w:val="24"/>
          <w:lang w:val="fr-CA"/>
          <w14:ligatures w14:val="standardContextual"/>
        </w:rPr>
      </w:pPr>
      <w:r>
        <w:t>Renforcer la transparence et la responsabilité</w:t>
      </w:r>
      <w:r>
        <w:tab/>
      </w:r>
      <w:r>
        <w:fldChar w:fldCharType="begin"/>
      </w:r>
      <w:r>
        <w:instrText xml:space="preserve"> PAGEREF _Toc242185288 \h </w:instrText>
      </w:r>
      <w:r>
        <w:fldChar w:fldCharType="separate"/>
      </w:r>
      <w:r>
        <w:t>127</w:t>
      </w:r>
      <w:r>
        <w:fldChar w:fldCharType="end"/>
      </w:r>
    </w:p>
    <w:p w14:paraId="41915119" w14:textId="599729FE" w:rsidR="00E8161D" w:rsidRPr="00605284" w:rsidRDefault="00E8161D">
      <w:pPr>
        <w:pStyle w:val="TOC2"/>
        <w:rPr>
          <w:rFonts w:eastAsiaTheme="minorEastAsia" w:cstheme="minorBidi"/>
          <w:snapToGrid/>
          <w:kern w:val="2"/>
          <w:sz w:val="24"/>
          <w:szCs w:val="24"/>
          <w:lang w:val="fr-CA"/>
          <w14:ligatures w14:val="standardContextual"/>
        </w:rPr>
      </w:pPr>
      <w:r>
        <w:t>Atteindre les objectifs de développement des projets et faire progresser leur mise en œuvre</w:t>
      </w:r>
      <w:r>
        <w:tab/>
      </w:r>
      <w:r>
        <w:fldChar w:fldCharType="begin"/>
      </w:r>
      <w:r>
        <w:instrText xml:space="preserve"> PAGEREF _Toc242185289 \h </w:instrText>
      </w:r>
      <w:r>
        <w:fldChar w:fldCharType="separate"/>
      </w:r>
      <w:r>
        <w:t>128</w:t>
      </w:r>
      <w:r>
        <w:fldChar w:fldCharType="end"/>
      </w:r>
    </w:p>
    <w:p w14:paraId="7EE107A4" w14:textId="1531A6D6" w:rsidR="00E8161D" w:rsidRPr="00605284" w:rsidRDefault="00E8161D">
      <w:pPr>
        <w:pStyle w:val="TOC1"/>
        <w:rPr>
          <w:rFonts w:eastAsiaTheme="minorEastAsia"/>
          <w:bCs w:val="0"/>
          <w:kern w:val="2"/>
          <w:sz w:val="24"/>
          <w:szCs w:val="24"/>
          <w:lang w:val="fr-CA"/>
          <w14:ligatures w14:val="standardContextual"/>
        </w:rPr>
      </w:pPr>
      <w:r>
        <w:t>VI.</w:t>
      </w:r>
      <w:r w:rsidRPr="00605284">
        <w:rPr>
          <w:rFonts w:eastAsiaTheme="minorEastAsia"/>
          <w:bCs w:val="0"/>
          <w:kern w:val="2"/>
          <w:sz w:val="24"/>
          <w:szCs w:val="24"/>
          <w:lang w:val="fr-CA"/>
          <w14:ligatures w14:val="standardContextual"/>
        </w:rPr>
        <w:tab/>
      </w:r>
      <w:r>
        <w:t>Évaluations du Bureau indépendant d’évaluation du GEF</w:t>
      </w:r>
      <w:r>
        <w:tab/>
      </w:r>
      <w:r>
        <w:fldChar w:fldCharType="begin"/>
      </w:r>
      <w:r>
        <w:instrText xml:space="preserve"> PAGEREF _Toc242185290 \h </w:instrText>
      </w:r>
      <w:r>
        <w:fldChar w:fldCharType="separate"/>
      </w:r>
      <w:r>
        <w:t>130</w:t>
      </w:r>
      <w:r>
        <w:fldChar w:fldCharType="end"/>
      </w:r>
    </w:p>
    <w:p w14:paraId="19EF1D6F" w14:textId="4773223F" w:rsidR="00E8161D" w:rsidRPr="00605284" w:rsidRDefault="00E8161D">
      <w:pPr>
        <w:pStyle w:val="TOC2"/>
        <w:rPr>
          <w:rFonts w:eastAsiaTheme="minorEastAsia" w:cstheme="minorBidi"/>
          <w:snapToGrid/>
          <w:kern w:val="2"/>
          <w:sz w:val="24"/>
          <w:szCs w:val="24"/>
          <w:lang w:val="fr-CA"/>
          <w14:ligatures w14:val="standardContextual"/>
        </w:rPr>
      </w:pPr>
      <w:r>
        <w:t>Évaluation des programmes du GEF dans les petits États insulaires en développement du Pacifique</w:t>
      </w:r>
      <w:r>
        <w:tab/>
      </w:r>
      <w:r>
        <w:fldChar w:fldCharType="begin"/>
      </w:r>
      <w:r>
        <w:instrText xml:space="preserve"> PAGEREF _Toc242185291 \h </w:instrText>
      </w:r>
      <w:r>
        <w:fldChar w:fldCharType="separate"/>
      </w:r>
      <w:r>
        <w:t>130</w:t>
      </w:r>
      <w:r>
        <w:fldChar w:fldCharType="end"/>
      </w:r>
    </w:p>
    <w:p w14:paraId="0548F2BC" w14:textId="375035AB" w:rsidR="00E8161D" w:rsidRPr="00605284" w:rsidRDefault="00E8161D">
      <w:pPr>
        <w:pStyle w:val="TOC2"/>
        <w:rPr>
          <w:rFonts w:eastAsiaTheme="minorEastAsia" w:cstheme="minorBidi"/>
          <w:snapToGrid/>
          <w:kern w:val="2"/>
          <w:sz w:val="24"/>
          <w:szCs w:val="24"/>
          <w:lang w:val="fr-CA"/>
          <w14:ligatures w14:val="standardContextual"/>
        </w:rPr>
      </w:pPr>
      <w:r>
        <w:t>Évaluation de l’appui du GEF aux solutions fondées sur la nature</w:t>
      </w:r>
      <w:r>
        <w:tab/>
      </w:r>
      <w:r>
        <w:fldChar w:fldCharType="begin"/>
      </w:r>
      <w:r>
        <w:instrText xml:space="preserve"> PAGEREF _Toc242185292 \h </w:instrText>
      </w:r>
      <w:r>
        <w:fldChar w:fldCharType="separate"/>
      </w:r>
      <w:r>
        <w:t>132</w:t>
      </w:r>
      <w:r>
        <w:fldChar w:fldCharType="end"/>
      </w:r>
    </w:p>
    <w:p w14:paraId="5A94CDBE" w14:textId="5C1CF97B" w:rsidR="00E8161D" w:rsidRPr="00605284" w:rsidRDefault="00E8161D">
      <w:pPr>
        <w:pStyle w:val="TOC2"/>
        <w:rPr>
          <w:rFonts w:eastAsiaTheme="minorEastAsia" w:cstheme="minorBidi"/>
          <w:snapToGrid/>
          <w:kern w:val="2"/>
          <w:sz w:val="24"/>
          <w:szCs w:val="24"/>
          <w:lang w:val="fr-CA"/>
          <w14:ligatures w14:val="standardContextual"/>
        </w:rPr>
      </w:pPr>
      <w:r>
        <w:t>Évaluation des programmes du GEF relatifs aux systèmes alimentaires</w:t>
      </w:r>
      <w:r>
        <w:tab/>
      </w:r>
      <w:r>
        <w:fldChar w:fldCharType="begin"/>
      </w:r>
      <w:r>
        <w:instrText xml:space="preserve"> PAGEREF _Toc242185293 \h </w:instrText>
      </w:r>
      <w:r>
        <w:fldChar w:fldCharType="separate"/>
      </w:r>
      <w:r>
        <w:t>134</w:t>
      </w:r>
      <w:r>
        <w:fldChar w:fldCharType="end"/>
      </w:r>
    </w:p>
    <w:p w14:paraId="19A5DBC0" w14:textId="196EDC16" w:rsidR="00E8161D" w:rsidRPr="00605284" w:rsidRDefault="00E8161D">
      <w:pPr>
        <w:pStyle w:val="TOC2"/>
        <w:rPr>
          <w:rFonts w:eastAsiaTheme="minorEastAsia" w:cstheme="minorBidi"/>
          <w:snapToGrid/>
          <w:kern w:val="2"/>
          <w:sz w:val="24"/>
          <w:szCs w:val="24"/>
          <w:lang w:val="fr-CA"/>
          <w14:ligatures w14:val="standardContextual"/>
        </w:rPr>
      </w:pPr>
      <w:r>
        <w:t>Huitième évaluation globale du GEF</w:t>
      </w:r>
      <w:r>
        <w:tab/>
      </w:r>
      <w:r>
        <w:fldChar w:fldCharType="begin"/>
      </w:r>
      <w:r>
        <w:instrText xml:space="preserve"> PAGEREF _Toc242185294 \h </w:instrText>
      </w:r>
      <w:r>
        <w:fldChar w:fldCharType="separate"/>
      </w:r>
      <w:r>
        <w:t>136</w:t>
      </w:r>
      <w:r>
        <w:fldChar w:fldCharType="end"/>
      </w:r>
    </w:p>
    <w:p w14:paraId="0AEC138B" w14:textId="44254D6E" w:rsidR="00E8161D" w:rsidRPr="00605284" w:rsidRDefault="00E8161D">
      <w:pPr>
        <w:pStyle w:val="TOC2"/>
        <w:rPr>
          <w:rFonts w:eastAsiaTheme="minorEastAsia" w:cstheme="minorBidi"/>
          <w:snapToGrid/>
          <w:kern w:val="2"/>
          <w:sz w:val="24"/>
          <w:szCs w:val="24"/>
          <w:lang w:val="fr-CA"/>
          <w14:ligatures w14:val="standardContextual"/>
        </w:rPr>
      </w:pPr>
      <w:r>
        <w:t>Évaluation formative du Fonds du Cadre mondial de la biodiversité (GBFF)</w:t>
      </w:r>
      <w:r>
        <w:tab/>
      </w:r>
      <w:r>
        <w:fldChar w:fldCharType="begin"/>
      </w:r>
      <w:r>
        <w:instrText xml:space="preserve"> PAGEREF _Toc242185295 \h </w:instrText>
      </w:r>
      <w:r>
        <w:fldChar w:fldCharType="separate"/>
      </w:r>
      <w:r>
        <w:t>140</w:t>
      </w:r>
      <w:r>
        <w:fldChar w:fldCharType="end"/>
      </w:r>
    </w:p>
    <w:p w14:paraId="1DB67737" w14:textId="4D51C31E" w:rsidR="00E8161D" w:rsidRPr="00605284" w:rsidRDefault="00E8161D">
      <w:pPr>
        <w:pStyle w:val="TOC2"/>
        <w:rPr>
          <w:rFonts w:eastAsiaTheme="minorEastAsia" w:cstheme="minorBidi"/>
          <w:snapToGrid/>
          <w:kern w:val="2"/>
          <w:sz w:val="24"/>
          <w:szCs w:val="24"/>
          <w:lang w:val="fr-CA"/>
          <w14:ligatures w14:val="standardContextual"/>
        </w:rPr>
      </w:pPr>
      <w:r>
        <w:t>Deuxième évaluation formative du Fonds du Cadre mondial de la biodiversité (GBFF)</w:t>
      </w:r>
      <w:r>
        <w:tab/>
      </w:r>
      <w:r>
        <w:fldChar w:fldCharType="begin"/>
      </w:r>
      <w:r>
        <w:instrText xml:space="preserve"> PAGEREF _Toc242185296 \h </w:instrText>
      </w:r>
      <w:r>
        <w:fldChar w:fldCharType="separate"/>
      </w:r>
      <w:r>
        <w:t>142</w:t>
      </w:r>
      <w:r>
        <w:fldChar w:fldCharType="end"/>
      </w:r>
    </w:p>
    <w:p w14:paraId="7C0849E6" w14:textId="1552B8F1" w:rsidR="00E8161D" w:rsidRPr="00605284" w:rsidRDefault="00E8161D">
      <w:pPr>
        <w:pStyle w:val="TOC1"/>
        <w:rPr>
          <w:rFonts w:eastAsiaTheme="minorEastAsia"/>
          <w:bCs w:val="0"/>
          <w:kern w:val="2"/>
          <w:sz w:val="24"/>
          <w:szCs w:val="24"/>
          <w:lang w:val="fr-CA"/>
          <w14:ligatures w14:val="standardContextual"/>
        </w:rPr>
      </w:pPr>
      <w:r>
        <w:t>Annexe 1 : Rapport sur les activités relatives au Protocole de Carthagène</w:t>
      </w:r>
      <w:r>
        <w:tab/>
      </w:r>
      <w:r>
        <w:fldChar w:fldCharType="begin"/>
      </w:r>
      <w:r>
        <w:instrText xml:space="preserve"> PAGEREF _Toc242185297 \h </w:instrText>
      </w:r>
      <w:r>
        <w:fldChar w:fldCharType="separate"/>
      </w:r>
      <w:r>
        <w:t>146</w:t>
      </w:r>
      <w:r>
        <w:fldChar w:fldCharType="end"/>
      </w:r>
    </w:p>
    <w:p w14:paraId="65080359" w14:textId="56E171F1" w:rsidR="00E8161D" w:rsidRPr="00605284" w:rsidRDefault="00E8161D">
      <w:pPr>
        <w:pStyle w:val="TOC1"/>
        <w:rPr>
          <w:rFonts w:eastAsiaTheme="minorEastAsia"/>
          <w:bCs w:val="0"/>
          <w:kern w:val="2"/>
          <w:sz w:val="24"/>
          <w:szCs w:val="24"/>
          <w:lang w:val="fr-CA"/>
          <w14:ligatures w14:val="standardContextual"/>
        </w:rPr>
      </w:pPr>
      <w:r>
        <w:t>Annexe 2 : Rapport sur les activités liées au Protocole de Nagoya</w:t>
      </w:r>
      <w:r>
        <w:tab/>
      </w:r>
      <w:r>
        <w:fldChar w:fldCharType="begin"/>
      </w:r>
      <w:r>
        <w:instrText xml:space="preserve"> PAGEREF _Toc242185298 \h </w:instrText>
      </w:r>
      <w:r>
        <w:fldChar w:fldCharType="separate"/>
      </w:r>
      <w:r>
        <w:t>149</w:t>
      </w:r>
      <w:r>
        <w:fldChar w:fldCharType="end"/>
      </w:r>
    </w:p>
    <w:p w14:paraId="7F7564D7" w14:textId="37575DFE" w:rsidR="00E8161D" w:rsidRDefault="00E8161D">
      <w:pPr>
        <w:pStyle w:val="TOC1"/>
        <w:rPr>
          <w:rFonts w:eastAsiaTheme="minorEastAsia"/>
          <w:bCs w:val="0"/>
          <w:kern w:val="2"/>
          <w:sz w:val="24"/>
          <w:szCs w:val="24"/>
          <w:lang w:val="en-US"/>
          <w14:ligatures w14:val="standardContextual"/>
        </w:rPr>
      </w:pPr>
      <w:r w:rsidRPr="00052A3A">
        <w:rPr>
          <w:lang w:val="en-US"/>
        </w:rPr>
        <w:t>Annex 3: GEF-8 Biodiversity and Multi Focal Area Projects: Approved</w:t>
      </w:r>
      <w:r w:rsidRPr="00605284">
        <w:rPr>
          <w:lang w:val="en-US"/>
        </w:rPr>
        <w:tab/>
      </w:r>
      <w:r>
        <w:fldChar w:fldCharType="begin"/>
      </w:r>
      <w:r w:rsidRPr="00605284">
        <w:rPr>
          <w:lang w:val="en-US"/>
        </w:rPr>
        <w:instrText xml:space="preserve"> PAGEREF _Toc242185299 \h </w:instrText>
      </w:r>
      <w:r>
        <w:fldChar w:fldCharType="separate"/>
      </w:r>
      <w:r w:rsidRPr="00605284">
        <w:rPr>
          <w:lang w:val="en-US"/>
        </w:rPr>
        <w:t>152</w:t>
      </w:r>
      <w:r>
        <w:fldChar w:fldCharType="end"/>
      </w:r>
    </w:p>
    <w:p w14:paraId="55AA8171" w14:textId="5F9627D6" w:rsidR="00E8161D" w:rsidRDefault="00E8161D">
      <w:pPr>
        <w:pStyle w:val="TOC1"/>
        <w:rPr>
          <w:rFonts w:eastAsiaTheme="minorEastAsia"/>
          <w:bCs w:val="0"/>
          <w:kern w:val="2"/>
          <w:sz w:val="24"/>
          <w:szCs w:val="24"/>
          <w:lang w:val="en-US"/>
          <w14:ligatures w14:val="standardContextual"/>
        </w:rPr>
      </w:pPr>
      <w:r w:rsidRPr="00052A3A">
        <w:rPr>
          <w:lang w:val="en-US"/>
        </w:rPr>
        <w:t>Annex 4: Biodiversity Focal Area projects: projects submitted that have not been approved in GEF-8</w:t>
      </w:r>
      <w:r w:rsidRPr="00605284">
        <w:rPr>
          <w:lang w:val="en-US"/>
        </w:rPr>
        <w:tab/>
      </w:r>
      <w:r>
        <w:fldChar w:fldCharType="begin"/>
      </w:r>
      <w:r w:rsidRPr="00605284">
        <w:rPr>
          <w:lang w:val="en-US"/>
        </w:rPr>
        <w:instrText xml:space="preserve"> PAGEREF _Toc242185300 \h </w:instrText>
      </w:r>
      <w:r>
        <w:fldChar w:fldCharType="separate"/>
      </w:r>
      <w:r w:rsidRPr="00605284">
        <w:rPr>
          <w:lang w:val="en-US"/>
        </w:rPr>
        <w:t>183</w:t>
      </w:r>
      <w:r>
        <w:fldChar w:fldCharType="end"/>
      </w:r>
    </w:p>
    <w:p w14:paraId="0934B747" w14:textId="2A8C8FAF" w:rsidR="00E8161D" w:rsidRDefault="00E8161D">
      <w:pPr>
        <w:pStyle w:val="TOC1"/>
        <w:rPr>
          <w:rFonts w:eastAsiaTheme="minorEastAsia"/>
          <w:bCs w:val="0"/>
          <w:kern w:val="2"/>
          <w:sz w:val="24"/>
          <w:szCs w:val="24"/>
          <w:lang w:val="en-US"/>
          <w14:ligatures w14:val="standardContextual"/>
        </w:rPr>
      </w:pPr>
      <w:r w:rsidRPr="00052A3A">
        <w:rPr>
          <w:lang w:val="en-US"/>
        </w:rPr>
        <w:t>Annex 5 - Status of Resources Approved by the Global Environment Facility in GEF-7 for Readiness and Early Actions to Implement the Kunming-Montreal Global Biodiversity Framework</w:t>
      </w:r>
      <w:r w:rsidRPr="00605284">
        <w:rPr>
          <w:lang w:val="en-US"/>
        </w:rPr>
        <w:tab/>
      </w:r>
      <w:r>
        <w:fldChar w:fldCharType="begin"/>
      </w:r>
      <w:r w:rsidRPr="00605284">
        <w:rPr>
          <w:lang w:val="en-US"/>
        </w:rPr>
        <w:instrText xml:space="preserve"> PAGEREF _Toc242185301 \h </w:instrText>
      </w:r>
      <w:r>
        <w:fldChar w:fldCharType="separate"/>
      </w:r>
      <w:r w:rsidRPr="00605284">
        <w:rPr>
          <w:lang w:val="en-US"/>
        </w:rPr>
        <w:t>186</w:t>
      </w:r>
      <w:r>
        <w:fldChar w:fldCharType="end"/>
      </w:r>
    </w:p>
    <w:p w14:paraId="4667CF7F" w14:textId="2252563A" w:rsidR="00E8161D" w:rsidRDefault="00E8161D">
      <w:pPr>
        <w:pStyle w:val="TOC1"/>
        <w:rPr>
          <w:rFonts w:eastAsiaTheme="minorEastAsia"/>
          <w:bCs w:val="0"/>
          <w:kern w:val="2"/>
          <w:sz w:val="24"/>
          <w:szCs w:val="24"/>
          <w:lang w:val="en-US"/>
          <w14:ligatures w14:val="standardContextual"/>
        </w:rPr>
      </w:pPr>
      <w:r w:rsidRPr="00052A3A">
        <w:rPr>
          <w:lang w:val="en-US"/>
        </w:rPr>
        <w:t>Annex 6 - Status of Resources Approved in GEF-8 for the Preparation of National Biodiversity Strategies and Action Plans and Seventh National Reports</w:t>
      </w:r>
      <w:r w:rsidRPr="00605284">
        <w:rPr>
          <w:lang w:val="en-US"/>
        </w:rPr>
        <w:tab/>
      </w:r>
      <w:r>
        <w:fldChar w:fldCharType="begin"/>
      </w:r>
      <w:r w:rsidRPr="00605284">
        <w:rPr>
          <w:lang w:val="en-US"/>
        </w:rPr>
        <w:instrText xml:space="preserve"> PAGEREF _Toc242185302 \h </w:instrText>
      </w:r>
      <w:r>
        <w:fldChar w:fldCharType="separate"/>
      </w:r>
      <w:r w:rsidRPr="00605284">
        <w:rPr>
          <w:lang w:val="en-US"/>
        </w:rPr>
        <w:t>218</w:t>
      </w:r>
      <w:r>
        <w:fldChar w:fldCharType="end"/>
      </w:r>
    </w:p>
    <w:p w14:paraId="17901787" w14:textId="08917C1E" w:rsidR="00E8161D" w:rsidRDefault="00E8161D">
      <w:pPr>
        <w:pStyle w:val="TOC1"/>
        <w:rPr>
          <w:rFonts w:eastAsiaTheme="minorEastAsia"/>
          <w:bCs w:val="0"/>
          <w:kern w:val="2"/>
          <w:sz w:val="24"/>
          <w:szCs w:val="24"/>
          <w:lang w:val="en-US"/>
          <w14:ligatures w14:val="standardContextual"/>
        </w:rPr>
      </w:pPr>
      <w:r w:rsidRPr="00052A3A">
        <w:rPr>
          <w:lang w:val="en-US"/>
        </w:rPr>
        <w:lastRenderedPageBreak/>
        <w:t>Annex 7 - Status of Resources Approved for the Preparation of National Biodiversity Finance Plans</w:t>
      </w:r>
      <w:r w:rsidRPr="00605284">
        <w:rPr>
          <w:lang w:val="en-US"/>
        </w:rPr>
        <w:tab/>
      </w:r>
      <w:r>
        <w:fldChar w:fldCharType="begin"/>
      </w:r>
      <w:r w:rsidRPr="00605284">
        <w:rPr>
          <w:lang w:val="en-US"/>
        </w:rPr>
        <w:instrText xml:space="preserve"> PAGEREF _Toc242185303 \h </w:instrText>
      </w:r>
      <w:r>
        <w:fldChar w:fldCharType="separate"/>
      </w:r>
      <w:r w:rsidRPr="00605284">
        <w:rPr>
          <w:lang w:val="en-US"/>
        </w:rPr>
        <w:t>242</w:t>
      </w:r>
      <w:r>
        <w:fldChar w:fldCharType="end"/>
      </w:r>
    </w:p>
    <w:p w14:paraId="0DE34819" w14:textId="23228AD8" w:rsidR="00E8161D" w:rsidRDefault="00E8161D">
      <w:pPr>
        <w:pStyle w:val="TOC1"/>
        <w:rPr>
          <w:rFonts w:eastAsiaTheme="minorEastAsia"/>
          <w:bCs w:val="0"/>
          <w:kern w:val="2"/>
          <w:sz w:val="24"/>
          <w:szCs w:val="24"/>
          <w:lang w:val="en-US"/>
          <w14:ligatures w14:val="standardContextual"/>
        </w:rPr>
      </w:pPr>
      <w:r w:rsidRPr="00052A3A">
        <w:rPr>
          <w:lang w:val="en-US"/>
        </w:rPr>
        <w:t>Annex 8 - Status of Resources Approved for the Preparation of Fifth National Reports on the Implementation of the Cartagena Protocol</w:t>
      </w:r>
      <w:r w:rsidRPr="00605284">
        <w:rPr>
          <w:lang w:val="en-US"/>
        </w:rPr>
        <w:tab/>
      </w:r>
      <w:r>
        <w:fldChar w:fldCharType="begin"/>
      </w:r>
      <w:r w:rsidRPr="00605284">
        <w:rPr>
          <w:lang w:val="en-US"/>
        </w:rPr>
        <w:instrText xml:space="preserve"> PAGEREF _Toc242185304 \h </w:instrText>
      </w:r>
      <w:r>
        <w:fldChar w:fldCharType="separate"/>
      </w:r>
      <w:r w:rsidRPr="00605284">
        <w:rPr>
          <w:lang w:val="en-US"/>
        </w:rPr>
        <w:t>263</w:t>
      </w:r>
      <w:r>
        <w:fldChar w:fldCharType="end"/>
      </w:r>
    </w:p>
    <w:p w14:paraId="6351A772" w14:textId="3A18F9ED" w:rsidR="00E8161D" w:rsidRDefault="00E8161D">
      <w:pPr>
        <w:pStyle w:val="TOC1"/>
        <w:rPr>
          <w:rFonts w:eastAsiaTheme="minorEastAsia"/>
          <w:bCs w:val="0"/>
          <w:kern w:val="2"/>
          <w:sz w:val="24"/>
          <w:szCs w:val="24"/>
          <w:lang w:val="en-US"/>
          <w14:ligatures w14:val="standardContextual"/>
        </w:rPr>
      </w:pPr>
      <w:r w:rsidRPr="00052A3A">
        <w:rPr>
          <w:lang w:val="en-US"/>
        </w:rPr>
        <w:t>Annex 9 - Status of Resources Approved for the Preparation of the First National Reports on the Implementation of the Nagoya Protocol</w:t>
      </w:r>
      <w:r w:rsidRPr="00605284">
        <w:rPr>
          <w:lang w:val="en-US"/>
        </w:rPr>
        <w:tab/>
      </w:r>
      <w:r>
        <w:fldChar w:fldCharType="begin"/>
      </w:r>
      <w:r w:rsidRPr="00605284">
        <w:rPr>
          <w:lang w:val="en-US"/>
        </w:rPr>
        <w:instrText xml:space="preserve"> PAGEREF _Toc242185305 \h </w:instrText>
      </w:r>
      <w:r>
        <w:fldChar w:fldCharType="separate"/>
      </w:r>
      <w:r w:rsidRPr="00605284">
        <w:rPr>
          <w:lang w:val="en-US"/>
        </w:rPr>
        <w:t>275</w:t>
      </w:r>
      <w:r>
        <w:fldChar w:fldCharType="end"/>
      </w:r>
    </w:p>
    <w:p w14:paraId="3640E713" w14:textId="4E919B60" w:rsidR="007A5694" w:rsidRPr="008F2766" w:rsidRDefault="00F15F95" w:rsidP="006D2491">
      <w:pPr>
        <w:jc w:val="center"/>
        <w:rPr>
          <w:b/>
          <w:color w:val="000000" w:themeColor="text1"/>
          <w:sz w:val="24"/>
          <w:lang w:val="en-US"/>
        </w:rPr>
      </w:pPr>
      <w:r>
        <w:rPr>
          <w:b/>
          <w:color w:val="000000" w:themeColor="text1"/>
          <w:sz w:val="24"/>
        </w:rPr>
        <w:fldChar w:fldCharType="end"/>
      </w:r>
    </w:p>
    <w:p w14:paraId="2DB089AC" w14:textId="25BF482F" w:rsidR="006D2491" w:rsidRPr="008F2766" w:rsidRDefault="006D2491" w:rsidP="006D2491">
      <w:pPr>
        <w:jc w:val="center"/>
        <w:rPr>
          <w:rFonts w:eastAsia="MS Mincho"/>
          <w:b/>
          <w:color w:val="000000" w:themeColor="text1"/>
          <w:sz w:val="24"/>
          <w:szCs w:val="24"/>
          <w:lang w:val="en-US"/>
        </w:rPr>
      </w:pPr>
      <w:r w:rsidRPr="008F2766">
        <w:rPr>
          <w:b/>
          <w:color w:val="000000" w:themeColor="text1"/>
          <w:sz w:val="24"/>
          <w:lang w:val="en-US"/>
        </w:rPr>
        <w:t xml:space="preserve"> </w:t>
      </w:r>
    </w:p>
    <w:p w14:paraId="50754B72" w14:textId="52FAFF77" w:rsidR="006D2491" w:rsidRPr="00C67737" w:rsidRDefault="008A2880" w:rsidP="00FB0C67">
      <w:pPr>
        <w:jc w:val="center"/>
        <w:rPr>
          <w:b/>
          <w:color w:val="000000" w:themeColor="text1"/>
          <w:sz w:val="24"/>
        </w:rPr>
      </w:pPr>
      <w:r>
        <w:rPr>
          <w:b/>
          <w:color w:val="000000" w:themeColor="text1"/>
          <w:sz w:val="24"/>
        </w:rPr>
        <w:t>Table des figures</w:t>
      </w:r>
    </w:p>
    <w:p w14:paraId="6559DB8E" w14:textId="75AFB6E7" w:rsidR="00BA77A5" w:rsidRDefault="006064E7">
      <w:pPr>
        <w:pStyle w:val="TableofFigures"/>
        <w:rPr>
          <w:rFonts w:eastAsiaTheme="minorEastAsia"/>
          <w:noProof/>
          <w:kern w:val="2"/>
          <w:szCs w:val="24"/>
          <w:lang w:val="en-US"/>
          <w14:ligatures w14:val="standardContextual"/>
        </w:rPr>
      </w:pPr>
      <w:r w:rsidRPr="00C67737">
        <w:rPr>
          <w:rFonts w:eastAsiaTheme="majorEastAsia" w:cstheme="minorHAnsi"/>
          <w:snapToGrid w:val="0"/>
          <w:color w:val="000000" w:themeColor="text1"/>
        </w:rPr>
        <w:fldChar w:fldCharType="begin"/>
      </w:r>
      <w:r w:rsidRPr="00C67737">
        <w:rPr>
          <w:rFonts w:eastAsiaTheme="majorEastAsia" w:cstheme="minorHAnsi"/>
          <w:snapToGrid w:val="0"/>
          <w:color w:val="000000" w:themeColor="text1"/>
        </w:rPr>
        <w:instrText xml:space="preserve"> TOC \h \z \c "Figure" </w:instrText>
      </w:r>
      <w:r w:rsidRPr="00C67737">
        <w:rPr>
          <w:rFonts w:eastAsiaTheme="majorEastAsia" w:cstheme="minorHAnsi"/>
          <w:snapToGrid w:val="0"/>
          <w:color w:val="000000" w:themeColor="text1"/>
        </w:rPr>
        <w:fldChar w:fldCharType="separate"/>
      </w:r>
      <w:hyperlink w:anchor="_Toc242183441" w:history="1">
        <w:r w:rsidR="00BA77A5" w:rsidRPr="00F21A3C">
          <w:rPr>
            <w:rStyle w:val="Hyperlink"/>
            <w:noProof/>
          </w:rPr>
          <w:t>Figure 1. Accélération du cycle des projets, de la soumission au premier décaissement, entre GEF</w:t>
        </w:r>
        <w:r w:rsidR="00BA77A5" w:rsidRPr="00F21A3C">
          <w:rPr>
            <w:rStyle w:val="Hyperlink"/>
            <w:noProof/>
          </w:rPr>
          <w:noBreakHyphen/>
          <w:t>6 et GEF</w:t>
        </w:r>
        <w:r w:rsidR="00BA77A5" w:rsidRPr="00F21A3C">
          <w:rPr>
            <w:rStyle w:val="Hyperlink"/>
            <w:noProof/>
          </w:rPr>
          <w:noBreakHyphen/>
          <w:t>8</w:t>
        </w:r>
        <w:r w:rsidR="00BA77A5">
          <w:rPr>
            <w:noProof/>
            <w:webHidden/>
          </w:rPr>
          <w:tab/>
        </w:r>
        <w:r w:rsidR="00BA77A5">
          <w:rPr>
            <w:noProof/>
            <w:webHidden/>
          </w:rPr>
          <w:fldChar w:fldCharType="begin"/>
        </w:r>
        <w:r w:rsidR="00BA77A5">
          <w:rPr>
            <w:noProof/>
            <w:webHidden/>
          </w:rPr>
          <w:instrText xml:space="preserve"> PAGEREF _Toc242183441 \h </w:instrText>
        </w:r>
        <w:r w:rsidR="00BA77A5">
          <w:rPr>
            <w:noProof/>
            <w:webHidden/>
          </w:rPr>
        </w:r>
        <w:r w:rsidR="00BA77A5">
          <w:rPr>
            <w:noProof/>
            <w:webHidden/>
          </w:rPr>
          <w:fldChar w:fldCharType="separate"/>
        </w:r>
        <w:r w:rsidR="00461C5E">
          <w:rPr>
            <w:noProof/>
            <w:webHidden/>
          </w:rPr>
          <w:t>126</w:t>
        </w:r>
        <w:r w:rsidR="00BA77A5">
          <w:rPr>
            <w:noProof/>
            <w:webHidden/>
          </w:rPr>
          <w:fldChar w:fldCharType="end"/>
        </w:r>
      </w:hyperlink>
    </w:p>
    <w:p w14:paraId="4348CB06" w14:textId="759634E8" w:rsidR="00BA77A5" w:rsidRDefault="00BA77A5">
      <w:pPr>
        <w:pStyle w:val="TableofFigures"/>
        <w:rPr>
          <w:rFonts w:eastAsiaTheme="minorEastAsia"/>
          <w:noProof/>
          <w:kern w:val="2"/>
          <w:szCs w:val="24"/>
          <w:lang w:val="en-US"/>
          <w14:ligatures w14:val="standardContextual"/>
        </w:rPr>
      </w:pPr>
      <w:hyperlink w:anchor="_Toc242183442" w:history="1">
        <w:r w:rsidRPr="00F21A3C">
          <w:rPr>
            <w:rStyle w:val="Hyperlink"/>
            <w:noProof/>
          </w:rPr>
          <w:t>Figure 2. Répartition des notes attribuées aux résultats et à l’avancement de la mise en œuvre des projets du GEF en cours dans l’ensemble des domaines d’intervention au 30 juin 2025</w:t>
        </w:r>
        <w:r>
          <w:rPr>
            <w:noProof/>
            <w:webHidden/>
          </w:rPr>
          <w:tab/>
        </w:r>
        <w:r>
          <w:rPr>
            <w:noProof/>
            <w:webHidden/>
          </w:rPr>
          <w:fldChar w:fldCharType="begin"/>
        </w:r>
        <w:r>
          <w:rPr>
            <w:noProof/>
            <w:webHidden/>
          </w:rPr>
          <w:instrText xml:space="preserve"> PAGEREF _Toc242183442 \h </w:instrText>
        </w:r>
        <w:r>
          <w:rPr>
            <w:noProof/>
            <w:webHidden/>
          </w:rPr>
        </w:r>
        <w:r>
          <w:rPr>
            <w:noProof/>
            <w:webHidden/>
          </w:rPr>
          <w:fldChar w:fldCharType="separate"/>
        </w:r>
        <w:r w:rsidR="00461C5E">
          <w:rPr>
            <w:noProof/>
            <w:webHidden/>
          </w:rPr>
          <w:t>128</w:t>
        </w:r>
        <w:r>
          <w:rPr>
            <w:noProof/>
            <w:webHidden/>
          </w:rPr>
          <w:fldChar w:fldCharType="end"/>
        </w:r>
      </w:hyperlink>
    </w:p>
    <w:p w14:paraId="5AA1895C" w14:textId="157173F8" w:rsidR="00BA77A5" w:rsidRDefault="00BA77A5">
      <w:pPr>
        <w:pStyle w:val="TableofFigures"/>
        <w:rPr>
          <w:rFonts w:eastAsiaTheme="minorEastAsia"/>
          <w:noProof/>
          <w:kern w:val="2"/>
          <w:szCs w:val="24"/>
          <w:lang w:val="en-US"/>
          <w14:ligatures w14:val="standardContextual"/>
        </w:rPr>
      </w:pPr>
      <w:hyperlink w:anchor="_Toc242183443" w:history="1">
        <w:r w:rsidRPr="00F21A3C">
          <w:rPr>
            <w:rStyle w:val="Hyperlink"/>
            <w:noProof/>
          </w:rPr>
          <w:t>Figure 3. Projets ayant obtenu une note satisfaisante, par domaine d’intervention, au 30 juin 2025</w:t>
        </w:r>
        <w:r>
          <w:rPr>
            <w:noProof/>
            <w:webHidden/>
          </w:rPr>
          <w:tab/>
        </w:r>
        <w:r>
          <w:rPr>
            <w:noProof/>
            <w:webHidden/>
          </w:rPr>
          <w:fldChar w:fldCharType="begin"/>
        </w:r>
        <w:r>
          <w:rPr>
            <w:noProof/>
            <w:webHidden/>
          </w:rPr>
          <w:instrText xml:space="preserve"> PAGEREF _Toc242183443 \h </w:instrText>
        </w:r>
        <w:r>
          <w:rPr>
            <w:noProof/>
            <w:webHidden/>
          </w:rPr>
        </w:r>
        <w:r>
          <w:rPr>
            <w:noProof/>
            <w:webHidden/>
          </w:rPr>
          <w:fldChar w:fldCharType="separate"/>
        </w:r>
        <w:r w:rsidR="00461C5E">
          <w:rPr>
            <w:noProof/>
            <w:webHidden/>
          </w:rPr>
          <w:t>129</w:t>
        </w:r>
        <w:r>
          <w:rPr>
            <w:noProof/>
            <w:webHidden/>
          </w:rPr>
          <w:fldChar w:fldCharType="end"/>
        </w:r>
      </w:hyperlink>
    </w:p>
    <w:p w14:paraId="48CD54E9" w14:textId="021F62A5" w:rsidR="006D2491" w:rsidRPr="00C67737" w:rsidRDefault="006064E7" w:rsidP="006D2491">
      <w:pPr>
        <w:rPr>
          <w:rFonts w:eastAsiaTheme="majorEastAsia" w:cstheme="minorHAnsi"/>
          <w:b/>
          <w:smallCaps/>
          <w:snapToGrid w:val="0"/>
          <w:color w:val="000000" w:themeColor="text1"/>
          <w:sz w:val="24"/>
        </w:rPr>
      </w:pPr>
      <w:r w:rsidRPr="00C67737">
        <w:rPr>
          <w:rFonts w:eastAsiaTheme="majorEastAsia" w:cstheme="minorHAnsi"/>
          <w:snapToGrid w:val="0"/>
          <w:color w:val="000000" w:themeColor="text1"/>
          <w:sz w:val="24"/>
        </w:rPr>
        <w:fldChar w:fldCharType="end"/>
      </w:r>
    </w:p>
    <w:p w14:paraId="083F4C89" w14:textId="4FFE3721" w:rsidR="000D7E54" w:rsidRPr="00C67737" w:rsidRDefault="006D2491" w:rsidP="00601297">
      <w:pPr>
        <w:spacing w:before="360"/>
        <w:jc w:val="center"/>
        <w:rPr>
          <w:color w:val="000000" w:themeColor="text1"/>
          <w:sz w:val="24"/>
          <w:szCs w:val="24"/>
        </w:rPr>
      </w:pPr>
      <w:r>
        <w:rPr>
          <w:b/>
          <w:snapToGrid w:val="0"/>
          <w:color w:val="000000" w:themeColor="text1"/>
          <w:sz w:val="24"/>
        </w:rPr>
        <w:t>T</w:t>
      </w:r>
      <w:r w:rsidR="008A2880">
        <w:rPr>
          <w:b/>
          <w:snapToGrid w:val="0"/>
          <w:color w:val="000000" w:themeColor="text1"/>
          <w:sz w:val="24"/>
        </w:rPr>
        <w:t>able des tableaux</w:t>
      </w:r>
      <w:r>
        <w:rPr>
          <w:b/>
          <w:color w:val="000000" w:themeColor="text1"/>
          <w:sz w:val="24"/>
        </w:rPr>
        <w:t xml:space="preserve"> </w:t>
      </w:r>
    </w:p>
    <w:p w14:paraId="4AC9E9A3" w14:textId="13813B34" w:rsidR="006841BB" w:rsidRDefault="006064E7">
      <w:pPr>
        <w:pStyle w:val="TableofFigures"/>
        <w:rPr>
          <w:rFonts w:eastAsiaTheme="minorEastAsia"/>
          <w:noProof/>
          <w:kern w:val="2"/>
          <w:szCs w:val="24"/>
          <w:lang w:val="en-US"/>
          <w14:ligatures w14:val="standardContextual"/>
        </w:rPr>
      </w:pPr>
      <w:r w:rsidRPr="00C67737">
        <w:rPr>
          <w:color w:val="000000" w:themeColor="text1"/>
        </w:rPr>
        <w:fldChar w:fldCharType="begin"/>
      </w:r>
      <w:r w:rsidRPr="00C67737">
        <w:rPr>
          <w:color w:val="000000" w:themeColor="text1"/>
        </w:rPr>
        <w:instrText xml:space="preserve"> TOC \h \z \c "Table" </w:instrText>
      </w:r>
      <w:r w:rsidRPr="00C67737">
        <w:rPr>
          <w:color w:val="000000" w:themeColor="text1"/>
        </w:rPr>
        <w:fldChar w:fldCharType="separate"/>
      </w:r>
      <w:hyperlink w:anchor="_Toc242183483" w:history="1">
        <w:r w:rsidR="006841BB" w:rsidRPr="00434234">
          <w:rPr>
            <w:rStyle w:val="Hyperlink"/>
            <w:noProof/>
          </w:rPr>
          <w:t>Tableau 1. Récapitulatif de la programmation de la famille de fonds du GEF à l’appui du KMGBF au cours de la période considérée (1</w:t>
        </w:r>
        <w:r w:rsidR="006841BB" w:rsidRPr="00434234">
          <w:rPr>
            <w:rStyle w:val="Hyperlink"/>
            <w:noProof/>
            <w:vertAlign w:val="superscript"/>
          </w:rPr>
          <w:t>er</w:t>
        </w:r>
        <w:r w:rsidR="006841BB" w:rsidRPr="00434234">
          <w:rPr>
            <w:rStyle w:val="Hyperlink"/>
            <w:noProof/>
          </w:rPr>
          <w:t> juillet 2022 - 30 juin 2026)</w:t>
        </w:r>
        <w:r w:rsidR="006841BB">
          <w:rPr>
            <w:noProof/>
            <w:webHidden/>
          </w:rPr>
          <w:tab/>
        </w:r>
        <w:r w:rsidR="006841BB">
          <w:rPr>
            <w:noProof/>
            <w:webHidden/>
          </w:rPr>
          <w:fldChar w:fldCharType="begin"/>
        </w:r>
        <w:r w:rsidR="006841BB">
          <w:rPr>
            <w:noProof/>
            <w:webHidden/>
          </w:rPr>
          <w:instrText xml:space="preserve"> PAGEREF _Toc242183483 \h </w:instrText>
        </w:r>
        <w:r w:rsidR="006841BB">
          <w:rPr>
            <w:noProof/>
            <w:webHidden/>
          </w:rPr>
        </w:r>
        <w:r w:rsidR="006841BB">
          <w:rPr>
            <w:noProof/>
            <w:webHidden/>
          </w:rPr>
          <w:fldChar w:fldCharType="separate"/>
        </w:r>
        <w:r w:rsidR="00A11D5C">
          <w:rPr>
            <w:noProof/>
            <w:webHidden/>
          </w:rPr>
          <w:t>14</w:t>
        </w:r>
        <w:r w:rsidR="006841BB">
          <w:rPr>
            <w:noProof/>
            <w:webHidden/>
          </w:rPr>
          <w:fldChar w:fldCharType="end"/>
        </w:r>
      </w:hyperlink>
    </w:p>
    <w:p w14:paraId="3F14E96F" w14:textId="3921CE03" w:rsidR="006841BB" w:rsidRDefault="006841BB">
      <w:pPr>
        <w:pStyle w:val="TableofFigures"/>
        <w:rPr>
          <w:rFonts w:eastAsiaTheme="minorEastAsia"/>
          <w:noProof/>
          <w:kern w:val="2"/>
          <w:szCs w:val="24"/>
          <w:lang w:val="en-US"/>
          <w14:ligatures w14:val="standardContextual"/>
        </w:rPr>
      </w:pPr>
      <w:hyperlink w:anchor="_Toc242183484" w:history="1">
        <w:r w:rsidRPr="00434234">
          <w:rPr>
            <w:rStyle w:val="Hyperlink"/>
            <w:noProof/>
          </w:rPr>
          <w:t>Tableau 2. Ventilation du cofinancement par source dans les projets soutenant le KMGBF au sein de la famille de fonds du GEF durant la période considérée (1</w:t>
        </w:r>
        <w:r w:rsidRPr="00434234">
          <w:rPr>
            <w:rStyle w:val="Hyperlink"/>
            <w:noProof/>
            <w:vertAlign w:val="superscript"/>
          </w:rPr>
          <w:t>er</w:t>
        </w:r>
        <w:r w:rsidRPr="00434234">
          <w:rPr>
            <w:rStyle w:val="Hyperlink"/>
            <w:noProof/>
          </w:rPr>
          <w:t> juillet 2022 - 30 juin 2026)</w:t>
        </w:r>
        <w:r>
          <w:rPr>
            <w:noProof/>
            <w:webHidden/>
          </w:rPr>
          <w:tab/>
        </w:r>
        <w:r>
          <w:rPr>
            <w:noProof/>
            <w:webHidden/>
          </w:rPr>
          <w:fldChar w:fldCharType="begin"/>
        </w:r>
        <w:r>
          <w:rPr>
            <w:noProof/>
            <w:webHidden/>
          </w:rPr>
          <w:instrText xml:space="preserve"> PAGEREF _Toc242183484 \h </w:instrText>
        </w:r>
        <w:r>
          <w:rPr>
            <w:noProof/>
            <w:webHidden/>
          </w:rPr>
        </w:r>
        <w:r>
          <w:rPr>
            <w:noProof/>
            <w:webHidden/>
          </w:rPr>
          <w:fldChar w:fldCharType="separate"/>
        </w:r>
        <w:r w:rsidR="00A11D5C">
          <w:rPr>
            <w:noProof/>
            <w:webHidden/>
          </w:rPr>
          <w:t>15</w:t>
        </w:r>
        <w:r>
          <w:rPr>
            <w:noProof/>
            <w:webHidden/>
          </w:rPr>
          <w:fldChar w:fldCharType="end"/>
        </w:r>
      </w:hyperlink>
    </w:p>
    <w:p w14:paraId="204C0B49" w14:textId="6A9D59C0" w:rsidR="006841BB" w:rsidRDefault="006841BB">
      <w:pPr>
        <w:pStyle w:val="TableofFigures"/>
        <w:rPr>
          <w:rFonts w:eastAsiaTheme="minorEastAsia"/>
          <w:noProof/>
          <w:kern w:val="2"/>
          <w:szCs w:val="24"/>
          <w:lang w:val="en-US"/>
          <w14:ligatures w14:val="standardContextual"/>
        </w:rPr>
      </w:pPr>
      <w:hyperlink w:anchor="_Toc242183485" w:history="1">
        <w:r w:rsidRPr="00434234">
          <w:rPr>
            <w:rStyle w:val="Hyperlink"/>
            <w:noProof/>
          </w:rPr>
          <w:t>Tableau 3. Ventilation, par région et groupes de pays, de l’appui apporté par la programmation du GEF à la mise en œuvre du KMGBF au cours de la période considérée (1</w:t>
        </w:r>
        <w:r w:rsidRPr="00434234">
          <w:rPr>
            <w:rStyle w:val="Hyperlink"/>
            <w:noProof/>
            <w:vertAlign w:val="superscript"/>
          </w:rPr>
          <w:t>er</w:t>
        </w:r>
        <w:r w:rsidRPr="00434234">
          <w:rPr>
            <w:rStyle w:val="Hyperlink"/>
            <w:noProof/>
          </w:rPr>
          <w:t> juillet 2022 - 30 juin 2026)</w:t>
        </w:r>
        <w:r>
          <w:rPr>
            <w:noProof/>
            <w:webHidden/>
          </w:rPr>
          <w:tab/>
        </w:r>
        <w:r>
          <w:rPr>
            <w:noProof/>
            <w:webHidden/>
          </w:rPr>
          <w:fldChar w:fldCharType="begin"/>
        </w:r>
        <w:r>
          <w:rPr>
            <w:noProof/>
            <w:webHidden/>
          </w:rPr>
          <w:instrText xml:space="preserve"> PAGEREF _Toc242183485 \h </w:instrText>
        </w:r>
        <w:r>
          <w:rPr>
            <w:noProof/>
            <w:webHidden/>
          </w:rPr>
        </w:r>
        <w:r>
          <w:rPr>
            <w:noProof/>
            <w:webHidden/>
          </w:rPr>
          <w:fldChar w:fldCharType="separate"/>
        </w:r>
        <w:r w:rsidR="00A11D5C">
          <w:rPr>
            <w:noProof/>
            <w:webHidden/>
          </w:rPr>
          <w:t>16</w:t>
        </w:r>
        <w:r>
          <w:rPr>
            <w:noProof/>
            <w:webHidden/>
          </w:rPr>
          <w:fldChar w:fldCharType="end"/>
        </w:r>
      </w:hyperlink>
    </w:p>
    <w:p w14:paraId="2059BFB2" w14:textId="73D61491" w:rsidR="006841BB" w:rsidRDefault="006841BB">
      <w:pPr>
        <w:pStyle w:val="TableofFigures"/>
        <w:rPr>
          <w:rFonts w:eastAsiaTheme="minorEastAsia"/>
          <w:noProof/>
          <w:kern w:val="2"/>
          <w:szCs w:val="24"/>
          <w:lang w:val="en-US"/>
          <w14:ligatures w14:val="standardContextual"/>
        </w:rPr>
      </w:pPr>
      <w:hyperlink w:anchor="_Toc242183486" w:history="1">
        <w:r w:rsidRPr="00434234">
          <w:rPr>
            <w:rStyle w:val="Hyperlink"/>
            <w:noProof/>
          </w:rPr>
          <w:t>Tableau 4. Correspondance entre les cibles d’action du Cadre mondial de la biodiversité de Kunming-Montréal et les programmes intégrés de GEF</w:t>
        </w:r>
        <w:r w:rsidRPr="00434234">
          <w:rPr>
            <w:rStyle w:val="Hyperlink"/>
            <w:noProof/>
          </w:rPr>
          <w:noBreakHyphen/>
          <w:t>8</w:t>
        </w:r>
        <w:r>
          <w:rPr>
            <w:noProof/>
            <w:webHidden/>
          </w:rPr>
          <w:tab/>
        </w:r>
        <w:r>
          <w:rPr>
            <w:noProof/>
            <w:webHidden/>
          </w:rPr>
          <w:fldChar w:fldCharType="begin"/>
        </w:r>
        <w:r>
          <w:rPr>
            <w:noProof/>
            <w:webHidden/>
          </w:rPr>
          <w:instrText xml:space="preserve"> PAGEREF _Toc242183486 \h </w:instrText>
        </w:r>
        <w:r>
          <w:rPr>
            <w:noProof/>
            <w:webHidden/>
          </w:rPr>
        </w:r>
        <w:r>
          <w:rPr>
            <w:noProof/>
            <w:webHidden/>
          </w:rPr>
          <w:fldChar w:fldCharType="separate"/>
        </w:r>
        <w:r w:rsidR="00A11D5C">
          <w:rPr>
            <w:noProof/>
            <w:webHidden/>
          </w:rPr>
          <w:t>18</w:t>
        </w:r>
        <w:r>
          <w:rPr>
            <w:noProof/>
            <w:webHidden/>
          </w:rPr>
          <w:fldChar w:fldCharType="end"/>
        </w:r>
      </w:hyperlink>
    </w:p>
    <w:p w14:paraId="2E1BD0C7" w14:textId="0B6CC20A" w:rsidR="006841BB" w:rsidRDefault="006841BB">
      <w:pPr>
        <w:pStyle w:val="TableofFigures"/>
        <w:rPr>
          <w:rFonts w:eastAsiaTheme="minorEastAsia"/>
          <w:noProof/>
          <w:kern w:val="2"/>
          <w:szCs w:val="24"/>
          <w:lang w:val="en-US"/>
          <w14:ligatures w14:val="standardContextual"/>
        </w:rPr>
      </w:pPr>
      <w:hyperlink w:anchor="_Toc242183487" w:history="1">
        <w:r w:rsidRPr="00434234">
          <w:rPr>
            <w:rStyle w:val="Hyperlink"/>
            <w:noProof/>
          </w:rPr>
          <w:t>Tableau 5. Synthèse de la programmation des ressources du domaine d’intervention « diversité biologique » de GEF</w:t>
        </w:r>
        <w:r w:rsidRPr="00434234">
          <w:rPr>
            <w:rStyle w:val="Hyperlink"/>
            <w:noProof/>
          </w:rPr>
          <w:noBreakHyphen/>
          <w:t>8 au cours de la période considérée (1</w:t>
        </w:r>
        <w:r w:rsidRPr="00434234">
          <w:rPr>
            <w:rStyle w:val="Hyperlink"/>
            <w:noProof/>
            <w:vertAlign w:val="superscript"/>
          </w:rPr>
          <w:t>er</w:t>
        </w:r>
        <w:r w:rsidRPr="00434234">
          <w:rPr>
            <w:rStyle w:val="Hyperlink"/>
            <w:noProof/>
          </w:rPr>
          <w:t> juillet 2022 - 30 juin 2026)</w:t>
        </w:r>
        <w:r>
          <w:rPr>
            <w:noProof/>
            <w:webHidden/>
          </w:rPr>
          <w:tab/>
        </w:r>
        <w:r>
          <w:rPr>
            <w:noProof/>
            <w:webHidden/>
          </w:rPr>
          <w:fldChar w:fldCharType="begin"/>
        </w:r>
        <w:r>
          <w:rPr>
            <w:noProof/>
            <w:webHidden/>
          </w:rPr>
          <w:instrText xml:space="preserve"> PAGEREF _Toc242183487 \h </w:instrText>
        </w:r>
        <w:r>
          <w:rPr>
            <w:noProof/>
            <w:webHidden/>
          </w:rPr>
        </w:r>
        <w:r>
          <w:rPr>
            <w:noProof/>
            <w:webHidden/>
          </w:rPr>
          <w:fldChar w:fldCharType="separate"/>
        </w:r>
        <w:r w:rsidR="00A11D5C">
          <w:rPr>
            <w:noProof/>
            <w:webHidden/>
          </w:rPr>
          <w:t>21</w:t>
        </w:r>
        <w:r>
          <w:rPr>
            <w:noProof/>
            <w:webHidden/>
          </w:rPr>
          <w:fldChar w:fldCharType="end"/>
        </w:r>
      </w:hyperlink>
    </w:p>
    <w:p w14:paraId="7C253636" w14:textId="0C69DCD9" w:rsidR="006841BB" w:rsidRDefault="006841BB">
      <w:pPr>
        <w:pStyle w:val="TableofFigures"/>
        <w:rPr>
          <w:rFonts w:eastAsiaTheme="minorEastAsia"/>
          <w:noProof/>
          <w:kern w:val="2"/>
          <w:szCs w:val="24"/>
          <w:lang w:val="en-US"/>
          <w14:ligatures w14:val="standardContextual"/>
        </w:rPr>
      </w:pPr>
      <w:hyperlink w:anchor="_Toc242183488" w:history="1">
        <w:r w:rsidRPr="00434234">
          <w:rPr>
            <w:rStyle w:val="Hyperlink"/>
            <w:noProof/>
          </w:rPr>
          <w:t>Tableau 6. Contributions financières des autres domaines d’intervention au KMGBF au cours de la période de programmation de GEF</w:t>
        </w:r>
        <w:r w:rsidRPr="00434234">
          <w:rPr>
            <w:rStyle w:val="Hyperlink"/>
            <w:noProof/>
          </w:rPr>
          <w:noBreakHyphen/>
          <w:t>8</w:t>
        </w:r>
        <w:r>
          <w:rPr>
            <w:noProof/>
            <w:webHidden/>
          </w:rPr>
          <w:tab/>
        </w:r>
        <w:r>
          <w:rPr>
            <w:noProof/>
            <w:webHidden/>
          </w:rPr>
          <w:fldChar w:fldCharType="begin"/>
        </w:r>
        <w:r>
          <w:rPr>
            <w:noProof/>
            <w:webHidden/>
          </w:rPr>
          <w:instrText xml:space="preserve"> PAGEREF _Toc242183488 \h </w:instrText>
        </w:r>
        <w:r>
          <w:rPr>
            <w:noProof/>
            <w:webHidden/>
          </w:rPr>
        </w:r>
        <w:r>
          <w:rPr>
            <w:noProof/>
            <w:webHidden/>
          </w:rPr>
          <w:fldChar w:fldCharType="separate"/>
        </w:r>
        <w:r w:rsidR="00A11D5C">
          <w:rPr>
            <w:noProof/>
            <w:webHidden/>
          </w:rPr>
          <w:t>37</w:t>
        </w:r>
        <w:r>
          <w:rPr>
            <w:noProof/>
            <w:webHidden/>
          </w:rPr>
          <w:fldChar w:fldCharType="end"/>
        </w:r>
      </w:hyperlink>
    </w:p>
    <w:p w14:paraId="3A9DA03E" w14:textId="3B4E7D26" w:rsidR="006841BB" w:rsidRDefault="006841BB">
      <w:pPr>
        <w:pStyle w:val="TableofFigures"/>
        <w:rPr>
          <w:rFonts w:eastAsiaTheme="minorEastAsia"/>
          <w:noProof/>
          <w:kern w:val="2"/>
          <w:szCs w:val="24"/>
          <w:lang w:val="en-US"/>
          <w14:ligatures w14:val="standardContextual"/>
        </w:rPr>
      </w:pPr>
      <w:hyperlink w:anchor="_Toc242183489" w:history="1">
        <w:r w:rsidRPr="00434234">
          <w:rPr>
            <w:rStyle w:val="Hyperlink"/>
            <w:noProof/>
          </w:rPr>
          <w:t>Tableau 7. Répartition des ressources du GEF par guichet de financement au titre des instruments financiers autres que les aides directes et contribution à la réalisation des cibles du KMGBF</w:t>
        </w:r>
        <w:r>
          <w:rPr>
            <w:noProof/>
            <w:webHidden/>
          </w:rPr>
          <w:tab/>
        </w:r>
        <w:r>
          <w:rPr>
            <w:noProof/>
            <w:webHidden/>
          </w:rPr>
          <w:fldChar w:fldCharType="begin"/>
        </w:r>
        <w:r>
          <w:rPr>
            <w:noProof/>
            <w:webHidden/>
          </w:rPr>
          <w:instrText xml:space="preserve"> PAGEREF _Toc242183489 \h </w:instrText>
        </w:r>
        <w:r>
          <w:rPr>
            <w:noProof/>
            <w:webHidden/>
          </w:rPr>
        </w:r>
        <w:r>
          <w:rPr>
            <w:noProof/>
            <w:webHidden/>
          </w:rPr>
          <w:fldChar w:fldCharType="separate"/>
        </w:r>
        <w:r w:rsidR="00A11D5C">
          <w:rPr>
            <w:noProof/>
            <w:webHidden/>
          </w:rPr>
          <w:t>40</w:t>
        </w:r>
        <w:r>
          <w:rPr>
            <w:noProof/>
            <w:webHidden/>
          </w:rPr>
          <w:fldChar w:fldCharType="end"/>
        </w:r>
      </w:hyperlink>
    </w:p>
    <w:p w14:paraId="4C193048" w14:textId="7550C7EC" w:rsidR="006841BB" w:rsidRDefault="006841BB">
      <w:pPr>
        <w:pStyle w:val="TableofFigures"/>
        <w:rPr>
          <w:rFonts w:eastAsiaTheme="minorEastAsia"/>
          <w:noProof/>
          <w:kern w:val="2"/>
          <w:szCs w:val="24"/>
          <w:lang w:val="en-US"/>
          <w14:ligatures w14:val="standardContextual"/>
        </w:rPr>
      </w:pPr>
      <w:hyperlink w:anchor="_Toc242183490" w:history="1">
        <w:r w:rsidRPr="00434234">
          <w:rPr>
            <w:rStyle w:val="Hyperlink"/>
            <w:noProof/>
          </w:rPr>
          <w:t>Tableau 8. Décisions adoptées par la 16</w:t>
        </w:r>
        <w:r w:rsidRPr="00434234">
          <w:rPr>
            <w:rStyle w:val="Hyperlink"/>
            <w:noProof/>
            <w:vertAlign w:val="superscript"/>
          </w:rPr>
          <w:t>e</w:t>
        </w:r>
        <w:r w:rsidRPr="00434234">
          <w:rPr>
            <w:rStyle w:val="Hyperlink"/>
            <w:noProof/>
          </w:rPr>
          <w:t> Conférence des Parties à la CDB (Décision 16/33) et réponses du GEF</w:t>
        </w:r>
        <w:r>
          <w:rPr>
            <w:noProof/>
            <w:webHidden/>
          </w:rPr>
          <w:tab/>
        </w:r>
        <w:r>
          <w:rPr>
            <w:noProof/>
            <w:webHidden/>
          </w:rPr>
          <w:fldChar w:fldCharType="begin"/>
        </w:r>
        <w:r>
          <w:rPr>
            <w:noProof/>
            <w:webHidden/>
          </w:rPr>
          <w:instrText xml:space="preserve"> PAGEREF _Toc242183490 \h </w:instrText>
        </w:r>
        <w:r>
          <w:rPr>
            <w:noProof/>
            <w:webHidden/>
          </w:rPr>
        </w:r>
        <w:r>
          <w:rPr>
            <w:noProof/>
            <w:webHidden/>
          </w:rPr>
          <w:fldChar w:fldCharType="separate"/>
        </w:r>
        <w:r w:rsidR="00A11D5C">
          <w:rPr>
            <w:noProof/>
            <w:webHidden/>
          </w:rPr>
          <w:t>56</w:t>
        </w:r>
        <w:r>
          <w:rPr>
            <w:noProof/>
            <w:webHidden/>
          </w:rPr>
          <w:fldChar w:fldCharType="end"/>
        </w:r>
      </w:hyperlink>
    </w:p>
    <w:p w14:paraId="7D5E181D" w14:textId="62F604C7" w:rsidR="006841BB" w:rsidRDefault="006841BB">
      <w:pPr>
        <w:pStyle w:val="TableofFigures"/>
        <w:rPr>
          <w:rFonts w:eastAsiaTheme="minorEastAsia"/>
          <w:noProof/>
          <w:kern w:val="2"/>
          <w:szCs w:val="24"/>
          <w:lang w:val="en-US"/>
          <w14:ligatures w14:val="standardContextual"/>
        </w:rPr>
      </w:pPr>
      <w:hyperlink w:anchor="_Toc242183491" w:history="1">
        <w:r w:rsidRPr="00434234">
          <w:rPr>
            <w:rStyle w:val="Hyperlink"/>
            <w:noProof/>
          </w:rPr>
          <w:t>Tableau 9. Mécanismes de mise en œuvre du GEF relatifs aux éléments du cadre quadriennal axé sur les résultats des priorités du programme relatif à la diversité biologique de la CDB et de ses Protocoles pour la période de GEF</w:t>
        </w:r>
        <w:r w:rsidRPr="00434234">
          <w:rPr>
            <w:rStyle w:val="Hyperlink"/>
            <w:noProof/>
          </w:rPr>
          <w:noBreakHyphen/>
          <w:t>9</w:t>
        </w:r>
        <w:r>
          <w:rPr>
            <w:noProof/>
            <w:webHidden/>
          </w:rPr>
          <w:tab/>
        </w:r>
        <w:r>
          <w:rPr>
            <w:noProof/>
            <w:webHidden/>
          </w:rPr>
          <w:fldChar w:fldCharType="begin"/>
        </w:r>
        <w:r>
          <w:rPr>
            <w:noProof/>
            <w:webHidden/>
          </w:rPr>
          <w:instrText xml:space="preserve"> PAGEREF _Toc242183491 \h </w:instrText>
        </w:r>
        <w:r>
          <w:rPr>
            <w:noProof/>
            <w:webHidden/>
          </w:rPr>
        </w:r>
        <w:r>
          <w:rPr>
            <w:noProof/>
            <w:webHidden/>
          </w:rPr>
          <w:fldChar w:fldCharType="separate"/>
        </w:r>
        <w:r w:rsidR="00A11D5C">
          <w:rPr>
            <w:noProof/>
            <w:webHidden/>
          </w:rPr>
          <w:t>118</w:t>
        </w:r>
        <w:r>
          <w:rPr>
            <w:noProof/>
            <w:webHidden/>
          </w:rPr>
          <w:fldChar w:fldCharType="end"/>
        </w:r>
      </w:hyperlink>
    </w:p>
    <w:p w14:paraId="1DD00833" w14:textId="1FA1E53E" w:rsidR="006841BB" w:rsidRDefault="006841BB">
      <w:pPr>
        <w:pStyle w:val="TableofFigures"/>
        <w:rPr>
          <w:rFonts w:eastAsiaTheme="minorEastAsia"/>
          <w:noProof/>
          <w:kern w:val="2"/>
          <w:szCs w:val="24"/>
          <w:lang w:val="en-US"/>
          <w14:ligatures w14:val="standardContextual"/>
        </w:rPr>
      </w:pPr>
      <w:hyperlink w:anchor="_Toc242183492" w:history="1">
        <w:r w:rsidRPr="00434234">
          <w:rPr>
            <w:rStyle w:val="Hyperlink"/>
            <w:noProof/>
          </w:rPr>
          <w:t>Tableau 10. Correspondance entre les orientations programmatiques de GEF</w:t>
        </w:r>
        <w:r w:rsidRPr="00434234">
          <w:rPr>
            <w:rStyle w:val="Hyperlink"/>
            <w:noProof/>
          </w:rPr>
          <w:noBreakHyphen/>
          <w:t>9 et les cibles d’action du KMGBF</w:t>
        </w:r>
        <w:r>
          <w:rPr>
            <w:noProof/>
            <w:webHidden/>
          </w:rPr>
          <w:tab/>
        </w:r>
        <w:r>
          <w:rPr>
            <w:noProof/>
            <w:webHidden/>
          </w:rPr>
          <w:fldChar w:fldCharType="begin"/>
        </w:r>
        <w:r>
          <w:rPr>
            <w:noProof/>
            <w:webHidden/>
          </w:rPr>
          <w:instrText xml:space="preserve"> PAGEREF _Toc242183492 \h </w:instrText>
        </w:r>
        <w:r>
          <w:rPr>
            <w:noProof/>
            <w:webHidden/>
          </w:rPr>
        </w:r>
        <w:r>
          <w:rPr>
            <w:noProof/>
            <w:webHidden/>
          </w:rPr>
          <w:fldChar w:fldCharType="separate"/>
        </w:r>
        <w:r w:rsidR="00A11D5C">
          <w:rPr>
            <w:noProof/>
            <w:webHidden/>
          </w:rPr>
          <w:t>121</w:t>
        </w:r>
        <w:r>
          <w:rPr>
            <w:noProof/>
            <w:webHidden/>
          </w:rPr>
          <w:fldChar w:fldCharType="end"/>
        </w:r>
      </w:hyperlink>
    </w:p>
    <w:p w14:paraId="396715C0" w14:textId="50D74326" w:rsidR="006064E7" w:rsidRPr="00C67737" w:rsidRDefault="006064E7" w:rsidP="006D2491">
      <w:pPr>
        <w:rPr>
          <w:color w:val="0070C0"/>
          <w:sz w:val="24"/>
        </w:rPr>
        <w:sectPr w:rsidR="006064E7" w:rsidRPr="00C67737" w:rsidSect="00706219">
          <w:footerReference w:type="default" r:id="rId25"/>
          <w:pgSz w:w="12240" w:h="15840"/>
          <w:pgMar w:top="1440" w:right="1440" w:bottom="1440" w:left="1440" w:header="720" w:footer="288" w:gutter="0"/>
          <w:pgNumType w:fmt="lowerRoman" w:start="1"/>
          <w:cols w:space="720"/>
          <w:docGrid w:linePitch="360"/>
        </w:sectPr>
      </w:pPr>
      <w:r w:rsidRPr="00C67737">
        <w:rPr>
          <w:color w:val="000000" w:themeColor="text1"/>
          <w:sz w:val="24"/>
        </w:rPr>
        <w:fldChar w:fldCharType="end"/>
      </w:r>
    </w:p>
    <w:p w14:paraId="730EE45B" w14:textId="6EC58EB5" w:rsidR="00B24B27" w:rsidRPr="00C67737" w:rsidRDefault="00D7359D" w:rsidP="00640F63">
      <w:pPr>
        <w:pStyle w:val="Heading1"/>
        <w:numPr>
          <w:ilvl w:val="0"/>
          <w:numId w:val="45"/>
        </w:numPr>
      </w:pPr>
      <w:bookmarkStart w:id="20" w:name="_Toc102227393"/>
      <w:bookmarkStart w:id="21" w:name="_Toc242184696"/>
      <w:bookmarkStart w:id="22" w:name="_Toc242185275"/>
      <w:r>
        <w:lastRenderedPageBreak/>
        <w:t>Activités des projets à l’appui de la mise en œuvre de la CDB</w:t>
      </w:r>
      <w:bookmarkEnd w:id="20"/>
      <w:bookmarkEnd w:id="21"/>
      <w:bookmarkEnd w:id="22"/>
    </w:p>
    <w:p w14:paraId="66D358B5" w14:textId="7537301C" w:rsidR="004C31C0" w:rsidRPr="00C67737" w:rsidRDefault="00284D22" w:rsidP="000B33CF">
      <w:pPr>
        <w:pStyle w:val="ListParagraph"/>
        <w:numPr>
          <w:ilvl w:val="0"/>
          <w:numId w:val="46"/>
        </w:numPr>
      </w:pPr>
      <w:r>
        <w:t>Le présent rapport à la dix-septième réunion de la Conférence des Parties (COP) à la Convention sur la diversité biologique (CDB) fournit des informations sur les activités menées par le Fonds pour l’environnement mondial (GEF) en réponse au Cadre mondial de la biodiversité de Kunming-Montréal (KMGBF) et aux orientations adressées au GEF par la Conférence des Parties à sa seizième réunion, en février 2025. Ce rapport couvre la période allant du 1</w:t>
      </w:r>
      <w:r w:rsidRPr="000B33CF">
        <w:rPr>
          <w:vertAlign w:val="superscript"/>
        </w:rPr>
        <w:t>er</w:t>
      </w:r>
      <w:r>
        <w:t> juillet 2022 au 30</w:t>
      </w:r>
      <w:r w:rsidR="00824DDE">
        <w:t> </w:t>
      </w:r>
      <w:r>
        <w:t xml:space="preserve">juin 2026. </w:t>
      </w:r>
    </w:p>
    <w:p w14:paraId="32C3F4F1" w14:textId="63A851D6" w:rsidR="00A8526D" w:rsidRPr="00C67737" w:rsidRDefault="00BA5829" w:rsidP="00A048D1">
      <w:pPr>
        <w:pStyle w:val="Heading2"/>
      </w:pPr>
      <w:bookmarkStart w:id="23" w:name="_Toc242184648"/>
      <w:bookmarkStart w:id="24" w:name="_Toc242184697"/>
      <w:bookmarkStart w:id="25" w:name="_Toc242185276"/>
      <w:r>
        <w:t>I.1 Programmation à l’appui du Cadre mondial de la biodiversité de Kunming-Montréal dans la famille de fonds du GEF</w:t>
      </w:r>
      <w:bookmarkEnd w:id="23"/>
      <w:bookmarkEnd w:id="24"/>
      <w:bookmarkEnd w:id="25"/>
      <w:r>
        <w:t xml:space="preserve">  </w:t>
      </w:r>
    </w:p>
    <w:p w14:paraId="37791EC9" w14:textId="4A30E812" w:rsidR="00ED4A10" w:rsidRPr="00C67737" w:rsidRDefault="002F12B1" w:rsidP="000B33CF">
      <w:pPr>
        <w:pStyle w:val="ListParagraph"/>
      </w:pPr>
      <w:r>
        <w:t xml:space="preserve">Les </w:t>
      </w:r>
      <w:r w:rsidR="00F02738">
        <w:t>orientations programmatiques</w:t>
      </w:r>
      <w:r>
        <w:t xml:space="preserve"> de </w:t>
      </w:r>
      <w:r w:rsidR="00376C22">
        <w:t>GEF</w:t>
      </w:r>
      <w:r w:rsidR="00376C22">
        <w:noBreakHyphen/>
      </w:r>
      <w:r>
        <w:t xml:space="preserve">8 et celles du </w:t>
      </w:r>
      <w:r w:rsidR="00BA5516">
        <w:t>Fonds du Cadre</w:t>
      </w:r>
      <w:r>
        <w:t xml:space="preserve"> mondial de la biodiversité (GBFF) ont été élaborées pour appuyer la mise en œuvre du KMGBF</w:t>
      </w:r>
      <w:r w:rsidR="00A00548">
        <w:t>. L</w:t>
      </w:r>
      <w:r>
        <w:t xml:space="preserve">es </w:t>
      </w:r>
      <w:r w:rsidR="00BC199F">
        <w:t>avantages</w:t>
      </w:r>
      <w:r w:rsidR="00541845">
        <w:t xml:space="preserve"> annexes pour</w:t>
      </w:r>
      <w:r>
        <w:t xml:space="preserve"> la biodiversité sont </w:t>
      </w:r>
      <w:r w:rsidR="00A00548">
        <w:t xml:space="preserve">par ailleurs </w:t>
      </w:r>
      <w:r>
        <w:t>suivis dans le</w:t>
      </w:r>
      <w:r w:rsidR="003B0B9C">
        <w:t xml:space="preserve"> cadre du</w:t>
      </w:r>
      <w:r>
        <w:t xml:space="preserve"> Fonds pour les pays les moins avancés (FPMA) et </w:t>
      </w:r>
      <w:r w:rsidR="003B0B9C">
        <w:t>du</w:t>
      </w:r>
      <w:r>
        <w:t xml:space="preserve"> Fonds spécial pour les changements climatiques (FSCC), deux fonds d’adaptation aux changements climatiques établis au titre de la Convention-cadre des Nations Unies sur les changements climatiques (CCNUCC). </w:t>
      </w:r>
    </w:p>
    <w:p w14:paraId="73EFE52D" w14:textId="59C01163" w:rsidR="000B5A1C" w:rsidRPr="00C67737" w:rsidRDefault="008422B8" w:rsidP="000B33CF">
      <w:pPr>
        <w:pStyle w:val="ListParagraph"/>
      </w:pPr>
      <w:r>
        <w:t xml:space="preserve">Les contributions cumulées de la programmation en faveur du KMGBF provenant de l’ensemble des fonds et </w:t>
      </w:r>
      <w:r w:rsidR="004630E3">
        <w:t>volet</w:t>
      </w:r>
      <w:r>
        <w:t>s de programmation pertinent</w:t>
      </w:r>
      <w:r w:rsidR="004311D8">
        <w:t>e</w:t>
      </w:r>
      <w:r>
        <w:t xml:space="preserve"> du GEF au cours de la période considérée sont récapitulées dans le tableau 1. Le montant total des financements approuvés au titre de </w:t>
      </w:r>
      <w:r w:rsidR="00376C22">
        <w:t>GEF</w:t>
      </w:r>
      <w:r w:rsidR="00376C22">
        <w:noBreakHyphen/>
      </w:r>
      <w:r>
        <w:t>8 qui contribuent aux objectifs et aux cibles de la CDB s’élevait à 4,64</w:t>
      </w:r>
      <w:r w:rsidR="00824DDE">
        <w:t> </w:t>
      </w:r>
      <w:r>
        <w:t>milliards de dollars</w:t>
      </w:r>
      <w:r w:rsidR="00443A5C" w:rsidRPr="00C67737">
        <w:rPr>
          <w:rStyle w:val="FootnoteReference"/>
          <w:lang w:val="en-US"/>
        </w:rPr>
        <w:footnoteReference w:id="5"/>
      </w:r>
      <w:r>
        <w:t>, tel qu’établi selon la méthodologie des marqueurs de Rio du Comité d’aide au développement (CAD) de l’Organisation de coopération et de développement économiques (OCDE)</w:t>
      </w:r>
      <w:r w:rsidR="008D59FD" w:rsidRPr="00C67737">
        <w:rPr>
          <w:rStyle w:val="FootnoteReference"/>
          <w:lang w:val="en-US"/>
        </w:rPr>
        <w:footnoteReference w:id="6"/>
      </w:r>
      <w:r>
        <w:t>. De ce total, 82</w:t>
      </w:r>
      <w:r w:rsidR="00966C17">
        <w:t> %</w:t>
      </w:r>
      <w:r>
        <w:t xml:space="preserve"> ont été programmés par l’intermédiaire </w:t>
      </w:r>
      <w:r w:rsidR="00CD3559">
        <w:t xml:space="preserve">du fonds fiduciaire </w:t>
      </w:r>
      <w:r>
        <w:t>du GEF, dont 42,9</w:t>
      </w:r>
      <w:r w:rsidR="00966C17">
        <w:t> %</w:t>
      </w:r>
      <w:r>
        <w:t xml:space="preserve"> ont été acheminés au moyen des programmes intégrés de </w:t>
      </w:r>
      <w:r w:rsidR="00376C22">
        <w:t>GEF</w:t>
      </w:r>
      <w:r w:rsidR="00376C22">
        <w:noBreakHyphen/>
      </w:r>
      <w:r>
        <w:t>8. Le FPMA et le FSCC représentaient ensemble 10</w:t>
      </w:r>
      <w:r w:rsidR="00966C17">
        <w:t> %</w:t>
      </w:r>
      <w:r>
        <w:t xml:space="preserve"> de ce total, tandis que le GBFF, établi en 2023, en représentait 7,8</w:t>
      </w:r>
      <w:r w:rsidR="00966C17">
        <w:t> %</w:t>
      </w:r>
      <w:r>
        <w:t>.</w:t>
      </w:r>
    </w:p>
    <w:p w14:paraId="099E7595" w14:textId="651CFE2B" w:rsidR="0030741F" w:rsidRPr="00C67737" w:rsidRDefault="53750D3C" w:rsidP="000B33CF">
      <w:pPr>
        <w:pStyle w:val="ListParagraph"/>
      </w:pPr>
      <w:r>
        <w:t>Ces projets ont permis de mobiliser 29,69</w:t>
      </w:r>
      <w:r w:rsidR="00824DDE">
        <w:t> </w:t>
      </w:r>
      <w:r>
        <w:t>milliards de dollars de cofinancement. Autrement dit, chaque dollar du GEF investi dans un projet contribuant au KMGBF a permis de mobiliser 6,40 dollars de financements additionnels, portant la contribution totale à 34,34</w:t>
      </w:r>
      <w:r w:rsidR="00824DDE">
        <w:t> </w:t>
      </w:r>
      <w:r>
        <w:t>milliards de dollars. Le tableau</w:t>
      </w:r>
      <w:r w:rsidR="00824DDE">
        <w:t> </w:t>
      </w:r>
      <w:r>
        <w:t xml:space="preserve">2 présente une </w:t>
      </w:r>
      <w:r w:rsidR="00893B3D">
        <w:t>ventilation</w:t>
      </w:r>
      <w:r>
        <w:t xml:space="preserve"> du cofinancement par source, </w:t>
      </w:r>
      <w:r>
        <w:lastRenderedPageBreak/>
        <w:t>dont 2,41</w:t>
      </w:r>
      <w:r w:rsidR="00824DDE">
        <w:t> </w:t>
      </w:r>
      <w:r>
        <w:t>milliards de dollars provenant du secteur privé et 13,05</w:t>
      </w:r>
      <w:r w:rsidR="00824DDE">
        <w:t> </w:t>
      </w:r>
      <w:r>
        <w:t>milliards de dollars des gouvernements des pays bénéficiaires.</w:t>
      </w:r>
    </w:p>
    <w:p w14:paraId="19EAB9BA" w14:textId="070F7429" w:rsidR="00235E31" w:rsidRPr="00C67737" w:rsidRDefault="00E02C38" w:rsidP="000B33CF">
      <w:pPr>
        <w:pStyle w:val="ListParagraph"/>
      </w:pPr>
      <w:r>
        <w:t>Ces ressources ont appuyé 511</w:t>
      </w:r>
      <w:r w:rsidR="00824DDE">
        <w:t> </w:t>
      </w:r>
      <w:r>
        <w:t xml:space="preserve">projets et programmes de la </w:t>
      </w:r>
      <w:r w:rsidR="00DD1F44">
        <w:t xml:space="preserve">Fonds fiduciaire </w:t>
      </w:r>
      <w:r>
        <w:t>du GEF, dont 11</w:t>
      </w:r>
      <w:r w:rsidR="00824DDE">
        <w:t> </w:t>
      </w:r>
      <w:r>
        <w:t>programmes intégrés (voir section</w:t>
      </w:r>
      <w:r w:rsidR="00824DDE">
        <w:t> </w:t>
      </w:r>
      <w:r>
        <w:t>I.2). Elles ont également appuyé 82</w:t>
      </w:r>
      <w:r w:rsidR="00824DDE">
        <w:t> </w:t>
      </w:r>
      <w:r>
        <w:t>projets au titre du GBFF (voir section</w:t>
      </w:r>
      <w:r w:rsidR="00824DDE">
        <w:t> </w:t>
      </w:r>
      <w:r>
        <w:t>II.2) et 56</w:t>
      </w:r>
      <w:r w:rsidR="00824DDE">
        <w:t> </w:t>
      </w:r>
      <w:r>
        <w:t>projets au titre du FPMA et du FSCC (voir section</w:t>
      </w:r>
      <w:r w:rsidR="00824DDE">
        <w:t> </w:t>
      </w:r>
      <w:r>
        <w:t>III), dont 23</w:t>
      </w:r>
      <w:r w:rsidR="00824DDE">
        <w:t> </w:t>
      </w:r>
      <w:r>
        <w:t xml:space="preserve">projets relevant de plusieurs fonds fiduciaires qui associent les ressources de l’un ou l’autre de ces fonds à celles </w:t>
      </w:r>
      <w:r w:rsidR="00CD3559">
        <w:t xml:space="preserve">du fonds fiduciaire </w:t>
      </w:r>
      <w:r>
        <w:t>du GEF.</w:t>
      </w:r>
    </w:p>
    <w:p w14:paraId="24985A94" w14:textId="710342C1" w:rsidR="007F6FC9" w:rsidRPr="00C67737" w:rsidRDefault="007F6FC9" w:rsidP="00D85CE5">
      <w:pPr>
        <w:pStyle w:val="Caption"/>
        <w:keepLines/>
      </w:pPr>
      <w:bookmarkStart w:id="26" w:name="_Toc242183483"/>
      <w:r>
        <w:lastRenderedPageBreak/>
        <w:t>Tableau</w:t>
      </w:r>
      <w:r w:rsidR="00824DDE">
        <w:t> </w:t>
      </w:r>
      <w:r w:rsidRPr="00C67737">
        <w:fldChar w:fldCharType="begin"/>
      </w:r>
      <w:r w:rsidRPr="00C67737">
        <w:instrText>SEQ Table \* ARABIC</w:instrText>
      </w:r>
      <w:r w:rsidRPr="00C67737">
        <w:fldChar w:fldCharType="separate"/>
      </w:r>
      <w:r w:rsidR="006C2F5A">
        <w:rPr>
          <w:noProof/>
        </w:rPr>
        <w:t>1</w:t>
      </w:r>
      <w:r w:rsidRPr="00C67737">
        <w:fldChar w:fldCharType="end"/>
      </w:r>
      <w:r>
        <w:t>. Récapitulatif de la programmation de la famille de fonds du GEF à l’appui du KMGBF au cours de la période considérée (1</w:t>
      </w:r>
      <w:r>
        <w:rPr>
          <w:vertAlign w:val="superscript"/>
        </w:rPr>
        <w:t>er</w:t>
      </w:r>
      <w:r w:rsidR="00824DDE">
        <w:t> </w:t>
      </w:r>
      <w:r>
        <w:t>juillet 2022 - 30</w:t>
      </w:r>
      <w:r w:rsidR="00824DDE">
        <w:t> </w:t>
      </w:r>
      <w:r>
        <w:t>juin 2026)</w:t>
      </w:r>
      <w:r w:rsidRPr="00C67737">
        <w:rPr>
          <w:vertAlign w:val="superscript"/>
        </w:rPr>
        <w:footnoteReference w:id="7"/>
      </w:r>
      <w:bookmarkEnd w:id="26"/>
    </w:p>
    <w:tbl>
      <w:tblPr>
        <w:tblW w:w="9996" w:type="dxa"/>
        <w:jc w:val="center"/>
        <w:tblLayout w:type="fixed"/>
        <w:tblLook w:val="04A0" w:firstRow="1" w:lastRow="0" w:firstColumn="1" w:lastColumn="0" w:noHBand="0" w:noVBand="1"/>
      </w:tblPr>
      <w:tblGrid>
        <w:gridCol w:w="846"/>
        <w:gridCol w:w="3685"/>
        <w:gridCol w:w="1418"/>
        <w:gridCol w:w="1260"/>
        <w:gridCol w:w="1575"/>
        <w:gridCol w:w="1212"/>
      </w:tblGrid>
      <w:tr w:rsidR="007F6FC9" w:rsidRPr="00C06349" w14:paraId="5EDC65F9" w14:textId="77777777" w:rsidTr="007D62FF">
        <w:trPr>
          <w:trHeight w:val="293"/>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03D7AFB8" w14:textId="77777777" w:rsidR="007F6FC9" w:rsidRPr="00C06349" w:rsidRDefault="007F6FC9" w:rsidP="00D85CE5">
            <w:pPr>
              <w:keepNext/>
              <w:keepLines/>
              <w:snapToGrid/>
              <w:spacing w:before="0" w:after="0"/>
              <w:jc w:val="center"/>
              <w:rPr>
                <w:rFonts w:eastAsia="Times New Roman" w:cstheme="minorHAnsi"/>
                <w:b/>
                <w:bCs/>
                <w:color w:val="000000"/>
                <w:sz w:val="18"/>
                <w:szCs w:val="20"/>
              </w:rPr>
            </w:pPr>
            <w:r w:rsidRPr="00C06349">
              <w:rPr>
                <w:b/>
                <w:color w:val="000000"/>
                <w:sz w:val="18"/>
                <w:szCs w:val="20"/>
              </w:rPr>
              <w:t>Fonds</w:t>
            </w:r>
          </w:p>
        </w:tc>
        <w:tc>
          <w:tcPr>
            <w:tcW w:w="3685" w:type="dxa"/>
            <w:tcBorders>
              <w:top w:val="single" w:sz="4" w:space="0" w:color="auto"/>
              <w:left w:val="single" w:sz="4" w:space="0" w:color="auto"/>
              <w:bottom w:val="single" w:sz="4" w:space="0" w:color="auto"/>
              <w:right w:val="single" w:sz="4" w:space="0" w:color="auto"/>
            </w:tcBorders>
            <w:vAlign w:val="center"/>
            <w:hideMark/>
          </w:tcPr>
          <w:p w14:paraId="047CD20E" w14:textId="77777777" w:rsidR="007F6FC9" w:rsidRPr="00C06349" w:rsidRDefault="007F6FC9" w:rsidP="00D85CE5">
            <w:pPr>
              <w:keepNext/>
              <w:keepLines/>
              <w:snapToGrid/>
              <w:spacing w:before="0" w:after="0"/>
              <w:jc w:val="center"/>
              <w:rPr>
                <w:rFonts w:eastAsia="Times New Roman" w:cstheme="minorHAnsi"/>
                <w:b/>
                <w:bCs/>
                <w:color w:val="000000"/>
                <w:sz w:val="18"/>
                <w:szCs w:val="20"/>
              </w:rPr>
            </w:pPr>
            <w:r w:rsidRPr="00C06349">
              <w:rPr>
                <w:b/>
                <w:color w:val="000000"/>
                <w:sz w:val="18"/>
                <w:szCs w:val="20"/>
              </w:rPr>
              <w:t>Branche de programmation</w:t>
            </w:r>
          </w:p>
        </w:tc>
        <w:tc>
          <w:tcPr>
            <w:tcW w:w="1418" w:type="dxa"/>
            <w:tcBorders>
              <w:top w:val="single" w:sz="4" w:space="0" w:color="auto"/>
              <w:left w:val="nil"/>
              <w:bottom w:val="single" w:sz="4" w:space="0" w:color="auto"/>
              <w:right w:val="single" w:sz="4" w:space="0" w:color="auto"/>
            </w:tcBorders>
            <w:vAlign w:val="center"/>
            <w:hideMark/>
          </w:tcPr>
          <w:p w14:paraId="43931D01" w14:textId="46EC0C40" w:rsidR="007F6FC9" w:rsidRPr="00C06349" w:rsidRDefault="007F6FC9" w:rsidP="00D85CE5">
            <w:pPr>
              <w:keepNext/>
              <w:keepLines/>
              <w:snapToGrid/>
              <w:spacing w:before="0" w:after="0"/>
              <w:jc w:val="center"/>
              <w:rPr>
                <w:rFonts w:eastAsia="Times New Roman" w:cstheme="minorHAnsi"/>
                <w:b/>
                <w:bCs/>
                <w:color w:val="000000"/>
                <w:sz w:val="18"/>
                <w:szCs w:val="20"/>
              </w:rPr>
            </w:pPr>
            <w:r w:rsidRPr="00C06349">
              <w:rPr>
                <w:b/>
                <w:color w:val="000000"/>
                <w:sz w:val="18"/>
                <w:szCs w:val="20"/>
              </w:rPr>
              <w:t xml:space="preserve">Programmation de </w:t>
            </w:r>
            <w:r w:rsidR="00376C22">
              <w:rPr>
                <w:b/>
                <w:color w:val="000000"/>
                <w:sz w:val="18"/>
                <w:szCs w:val="20"/>
              </w:rPr>
              <w:t>GEF</w:t>
            </w:r>
            <w:r w:rsidR="00376C22">
              <w:rPr>
                <w:b/>
                <w:color w:val="000000"/>
                <w:sz w:val="18"/>
                <w:szCs w:val="20"/>
              </w:rPr>
              <w:noBreakHyphen/>
            </w:r>
            <w:r w:rsidRPr="00C06349">
              <w:rPr>
                <w:b/>
                <w:color w:val="000000"/>
                <w:sz w:val="18"/>
                <w:szCs w:val="20"/>
              </w:rPr>
              <w:t>8</w:t>
            </w:r>
          </w:p>
          <w:p w14:paraId="7DCC98DC" w14:textId="77777777" w:rsidR="007F6FC9" w:rsidRPr="00C06349" w:rsidRDefault="007F6FC9" w:rsidP="00D85CE5">
            <w:pPr>
              <w:keepNext/>
              <w:keepLines/>
              <w:snapToGrid/>
              <w:spacing w:before="0" w:after="0"/>
              <w:jc w:val="center"/>
              <w:rPr>
                <w:rFonts w:eastAsia="Times New Roman" w:cstheme="minorHAnsi"/>
                <w:b/>
                <w:bCs/>
                <w:color w:val="000000"/>
                <w:sz w:val="18"/>
                <w:szCs w:val="20"/>
              </w:rPr>
            </w:pPr>
            <w:r w:rsidRPr="00C06349">
              <w:rPr>
                <w:b/>
                <w:color w:val="000000"/>
                <w:sz w:val="18"/>
                <w:szCs w:val="20"/>
              </w:rPr>
              <w:t>(USD million)</w:t>
            </w:r>
          </w:p>
        </w:tc>
        <w:tc>
          <w:tcPr>
            <w:tcW w:w="1260" w:type="dxa"/>
            <w:tcBorders>
              <w:top w:val="single" w:sz="4" w:space="0" w:color="auto"/>
              <w:bottom w:val="single" w:sz="4" w:space="0" w:color="auto"/>
              <w:right w:val="single" w:sz="4" w:space="0" w:color="auto"/>
            </w:tcBorders>
          </w:tcPr>
          <w:p w14:paraId="2D112689" w14:textId="77777777" w:rsidR="007F6FC9" w:rsidRPr="00C06349" w:rsidRDefault="007F6FC9" w:rsidP="00D85CE5">
            <w:pPr>
              <w:keepNext/>
              <w:keepLines/>
              <w:snapToGrid/>
              <w:spacing w:before="0" w:after="0"/>
              <w:ind w:right="-128"/>
              <w:jc w:val="center"/>
              <w:rPr>
                <w:rFonts w:eastAsia="Times New Roman" w:cstheme="minorHAnsi"/>
                <w:b/>
                <w:bCs/>
                <w:color w:val="000000"/>
                <w:sz w:val="18"/>
                <w:szCs w:val="20"/>
              </w:rPr>
            </w:pPr>
            <w:r w:rsidRPr="00C06349">
              <w:rPr>
                <w:b/>
                <w:color w:val="000000"/>
                <w:sz w:val="18"/>
                <w:szCs w:val="20"/>
              </w:rPr>
              <w:t>Part des financements du GEF pertinents pour la biodiversité</w:t>
            </w:r>
          </w:p>
        </w:tc>
        <w:tc>
          <w:tcPr>
            <w:tcW w:w="1575" w:type="dxa"/>
            <w:tcBorders>
              <w:top w:val="single" w:sz="4" w:space="0" w:color="auto"/>
              <w:left w:val="single" w:sz="4" w:space="0" w:color="auto"/>
              <w:bottom w:val="single" w:sz="4" w:space="0" w:color="auto"/>
              <w:right w:val="single" w:sz="4" w:space="0" w:color="auto"/>
            </w:tcBorders>
            <w:vAlign w:val="center"/>
            <w:hideMark/>
          </w:tcPr>
          <w:p w14:paraId="06001DEE" w14:textId="77777777" w:rsidR="007F6FC9" w:rsidRPr="00C06349" w:rsidRDefault="007F6FC9" w:rsidP="00D85CE5">
            <w:pPr>
              <w:keepNext/>
              <w:keepLines/>
              <w:snapToGrid/>
              <w:spacing w:before="0" w:after="0"/>
              <w:jc w:val="center"/>
              <w:rPr>
                <w:rFonts w:eastAsia="Times New Roman" w:cstheme="minorHAnsi"/>
                <w:b/>
                <w:bCs/>
                <w:color w:val="000000"/>
                <w:sz w:val="18"/>
                <w:szCs w:val="20"/>
              </w:rPr>
            </w:pPr>
            <w:r w:rsidRPr="00C06349">
              <w:rPr>
                <w:b/>
                <w:color w:val="000000"/>
                <w:sz w:val="18"/>
                <w:szCs w:val="20"/>
              </w:rPr>
              <w:t>Cofinancement</w:t>
            </w:r>
          </w:p>
          <w:p w14:paraId="4D88E3DD" w14:textId="77777777" w:rsidR="007F6FC9" w:rsidRPr="00C06349" w:rsidRDefault="007F6FC9" w:rsidP="00D85CE5">
            <w:pPr>
              <w:keepNext/>
              <w:keepLines/>
              <w:snapToGrid/>
              <w:spacing w:before="0" w:after="0"/>
              <w:jc w:val="center"/>
              <w:rPr>
                <w:rFonts w:eastAsia="Times New Roman" w:cstheme="minorHAnsi"/>
                <w:b/>
                <w:bCs/>
                <w:color w:val="000000"/>
                <w:sz w:val="18"/>
                <w:szCs w:val="20"/>
              </w:rPr>
            </w:pPr>
            <w:r w:rsidRPr="00C06349">
              <w:rPr>
                <w:b/>
                <w:color w:val="000000"/>
                <w:sz w:val="18"/>
                <w:szCs w:val="20"/>
              </w:rPr>
              <w:t>(USD million)</w:t>
            </w:r>
          </w:p>
        </w:tc>
        <w:tc>
          <w:tcPr>
            <w:tcW w:w="1212" w:type="dxa"/>
            <w:tcBorders>
              <w:top w:val="single" w:sz="4" w:space="0" w:color="auto"/>
              <w:left w:val="nil"/>
              <w:bottom w:val="single" w:sz="4" w:space="0" w:color="auto"/>
              <w:right w:val="single" w:sz="4" w:space="0" w:color="auto"/>
            </w:tcBorders>
            <w:vAlign w:val="center"/>
            <w:hideMark/>
          </w:tcPr>
          <w:p w14:paraId="179A7C2A" w14:textId="77777777" w:rsidR="007F6FC9" w:rsidRPr="00C06349" w:rsidRDefault="007F6FC9" w:rsidP="00D85CE5">
            <w:pPr>
              <w:keepNext/>
              <w:keepLines/>
              <w:snapToGrid/>
              <w:spacing w:before="0" w:after="0"/>
              <w:jc w:val="center"/>
              <w:rPr>
                <w:rFonts w:eastAsia="Times New Roman" w:cstheme="minorHAnsi"/>
                <w:b/>
                <w:bCs/>
                <w:color w:val="000000"/>
                <w:sz w:val="18"/>
                <w:szCs w:val="20"/>
              </w:rPr>
            </w:pPr>
            <w:r w:rsidRPr="00C06349">
              <w:rPr>
                <w:b/>
                <w:color w:val="000000"/>
                <w:sz w:val="18"/>
                <w:szCs w:val="20"/>
              </w:rPr>
              <w:t>Total</w:t>
            </w:r>
          </w:p>
          <w:p w14:paraId="1C9A19CC" w14:textId="77777777" w:rsidR="007F6FC9" w:rsidRPr="00C06349" w:rsidRDefault="007F6FC9" w:rsidP="00D85CE5">
            <w:pPr>
              <w:keepNext/>
              <w:keepLines/>
              <w:snapToGrid/>
              <w:spacing w:before="0" w:after="0"/>
              <w:jc w:val="center"/>
              <w:rPr>
                <w:rFonts w:eastAsia="Times New Roman" w:cstheme="minorHAnsi"/>
                <w:b/>
                <w:bCs/>
                <w:color w:val="000000"/>
                <w:sz w:val="18"/>
                <w:szCs w:val="20"/>
              </w:rPr>
            </w:pPr>
            <w:r w:rsidRPr="00C06349">
              <w:rPr>
                <w:b/>
                <w:color w:val="000000"/>
                <w:sz w:val="18"/>
                <w:szCs w:val="20"/>
              </w:rPr>
              <w:t>(USD million)</w:t>
            </w:r>
          </w:p>
        </w:tc>
      </w:tr>
      <w:tr w:rsidR="007F6FC9" w:rsidRPr="00C06349" w14:paraId="728CFBE9" w14:textId="77777777" w:rsidTr="007D62FF">
        <w:trPr>
          <w:trHeight w:val="308"/>
          <w:jc w:val="center"/>
        </w:trPr>
        <w:tc>
          <w:tcPr>
            <w:tcW w:w="846"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4840EA82" w14:textId="596D380A" w:rsidR="007F6FC9" w:rsidRPr="00C06349" w:rsidRDefault="00DD1F44" w:rsidP="00D85CE5">
            <w:pPr>
              <w:keepNext/>
              <w:keepLines/>
              <w:snapToGrid/>
              <w:spacing w:before="0" w:after="0"/>
              <w:jc w:val="left"/>
              <w:rPr>
                <w:rFonts w:eastAsia="Times New Roman" w:cstheme="minorHAnsi"/>
                <w:b/>
                <w:bCs/>
                <w:color w:val="000000"/>
                <w:sz w:val="18"/>
                <w:szCs w:val="20"/>
              </w:rPr>
            </w:pPr>
            <w:r>
              <w:rPr>
                <w:b/>
                <w:color w:val="000000"/>
                <w:sz w:val="18"/>
                <w:szCs w:val="20"/>
              </w:rPr>
              <w:t xml:space="preserve">Fonds fiduciaire </w:t>
            </w:r>
            <w:r w:rsidR="007F6FC9" w:rsidRPr="00C06349">
              <w:rPr>
                <w:b/>
                <w:color w:val="000000"/>
                <w:sz w:val="18"/>
                <w:szCs w:val="20"/>
              </w:rPr>
              <w:t>du GEF</w:t>
            </w:r>
          </w:p>
        </w:tc>
        <w:tc>
          <w:tcPr>
            <w:tcW w:w="3685" w:type="dxa"/>
            <w:tcBorders>
              <w:top w:val="nil"/>
              <w:left w:val="nil"/>
              <w:bottom w:val="single" w:sz="4" w:space="0" w:color="auto"/>
              <w:right w:val="single" w:sz="4" w:space="0" w:color="auto"/>
            </w:tcBorders>
            <w:noWrap/>
            <w:vAlign w:val="bottom"/>
            <w:hideMark/>
          </w:tcPr>
          <w:p w14:paraId="7D714A06" w14:textId="121ECF3D" w:rsidR="007F6FC9" w:rsidRPr="007E0B36" w:rsidRDefault="007F6FC9" w:rsidP="00D85CE5">
            <w:pPr>
              <w:keepNext/>
              <w:keepLines/>
              <w:snapToGrid/>
              <w:spacing w:before="0" w:after="0"/>
              <w:jc w:val="left"/>
              <w:rPr>
                <w:rFonts w:eastAsia="Times New Roman" w:cstheme="minorHAnsi"/>
                <w:b/>
                <w:bCs/>
                <w:color w:val="000000"/>
                <w:spacing w:val="-2"/>
                <w:sz w:val="18"/>
                <w:szCs w:val="20"/>
              </w:rPr>
            </w:pPr>
            <w:r w:rsidRPr="007E0B36">
              <w:rPr>
                <w:b/>
                <w:bCs/>
                <w:spacing w:val="-2"/>
                <w:sz w:val="18"/>
                <w:szCs w:val="20"/>
              </w:rPr>
              <w:t>Ressources STAR du domaine d’intervention «</w:t>
            </w:r>
            <w:r w:rsidR="00824DDE" w:rsidRPr="007E0B36">
              <w:rPr>
                <w:b/>
                <w:bCs/>
                <w:spacing w:val="-2"/>
                <w:sz w:val="18"/>
                <w:szCs w:val="20"/>
              </w:rPr>
              <w:t> </w:t>
            </w:r>
            <w:r w:rsidR="00DD1F44" w:rsidRPr="00DD1F44">
              <w:rPr>
                <w:b/>
                <w:bCs/>
                <w:spacing w:val="-2"/>
                <w:sz w:val="18"/>
                <w:szCs w:val="20"/>
              </w:rPr>
              <w:t>diversité biologique</w:t>
            </w:r>
            <w:r w:rsidR="00824DDE" w:rsidRPr="007E0B36">
              <w:rPr>
                <w:b/>
                <w:bCs/>
                <w:spacing w:val="-2"/>
                <w:sz w:val="18"/>
                <w:szCs w:val="20"/>
              </w:rPr>
              <w:t> </w:t>
            </w:r>
            <w:r w:rsidRPr="007E0B36">
              <w:rPr>
                <w:b/>
                <w:bCs/>
                <w:spacing w:val="-2"/>
                <w:sz w:val="18"/>
                <w:szCs w:val="20"/>
              </w:rPr>
              <w:t>» programmées en dehors des programmes</w:t>
            </w:r>
            <w:r w:rsidR="00824DDE" w:rsidRPr="007E0B36">
              <w:rPr>
                <w:b/>
                <w:bCs/>
                <w:spacing w:val="-2"/>
                <w:sz w:val="18"/>
                <w:szCs w:val="20"/>
              </w:rPr>
              <w:t> </w:t>
            </w:r>
            <w:r w:rsidRPr="007E0B36">
              <w:rPr>
                <w:b/>
                <w:bCs/>
                <w:spacing w:val="-2"/>
                <w:sz w:val="18"/>
                <w:szCs w:val="20"/>
              </w:rPr>
              <w:t>intégrés</w:t>
            </w:r>
            <w:r w:rsidRPr="007E0B36">
              <w:rPr>
                <w:rStyle w:val="FootnoteReference"/>
                <w:rFonts w:eastAsia="Times New Roman" w:cstheme="minorHAnsi"/>
                <w:b/>
                <w:bCs/>
                <w:color w:val="000000"/>
                <w:spacing w:val="-2"/>
                <w:sz w:val="18"/>
                <w:szCs w:val="20"/>
              </w:rPr>
              <w:footnoteReference w:id="8"/>
            </w:r>
          </w:p>
        </w:tc>
        <w:tc>
          <w:tcPr>
            <w:tcW w:w="1418" w:type="dxa"/>
            <w:tcBorders>
              <w:top w:val="nil"/>
              <w:left w:val="nil"/>
              <w:bottom w:val="single" w:sz="4" w:space="0" w:color="auto"/>
              <w:right w:val="single" w:sz="4" w:space="0" w:color="auto"/>
            </w:tcBorders>
            <w:vAlign w:val="center"/>
            <w:hideMark/>
          </w:tcPr>
          <w:p w14:paraId="7E31CF59" w14:textId="77777777"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885,78 </w:t>
            </w:r>
          </w:p>
        </w:tc>
        <w:tc>
          <w:tcPr>
            <w:tcW w:w="1260" w:type="dxa"/>
            <w:tcBorders>
              <w:top w:val="single" w:sz="4" w:space="0" w:color="auto"/>
              <w:bottom w:val="single" w:sz="4" w:space="0" w:color="auto"/>
              <w:right w:val="single" w:sz="4" w:space="0" w:color="auto"/>
            </w:tcBorders>
            <w:vAlign w:val="center"/>
          </w:tcPr>
          <w:p w14:paraId="57EC7D3F" w14:textId="171890D8" w:rsidR="007F6FC9" w:rsidRPr="00C06349" w:rsidRDefault="007F6FC9" w:rsidP="00D85CE5">
            <w:pPr>
              <w:keepNext/>
              <w:keepLines/>
              <w:snapToGrid/>
              <w:spacing w:before="0" w:after="0"/>
              <w:jc w:val="right"/>
              <w:rPr>
                <w:rFonts w:ascii="Calibri" w:hAnsi="Calibri" w:cs="Calibri"/>
                <w:b/>
                <w:bCs/>
                <w:color w:val="000000"/>
                <w:sz w:val="18"/>
                <w:szCs w:val="20"/>
                <w:highlight w:val="yellow"/>
              </w:rPr>
            </w:pPr>
            <w:r w:rsidRPr="00C06349">
              <w:rPr>
                <w:sz w:val="18"/>
                <w:szCs w:val="20"/>
              </w:rPr>
              <w:t>19</w:t>
            </w:r>
            <w:r w:rsidR="00966C17">
              <w:rPr>
                <w:sz w:val="18"/>
                <w:szCs w:val="20"/>
              </w:rPr>
              <w:t> %</w:t>
            </w:r>
          </w:p>
        </w:tc>
        <w:tc>
          <w:tcPr>
            <w:tcW w:w="1575" w:type="dxa"/>
            <w:tcBorders>
              <w:top w:val="nil"/>
              <w:left w:val="single" w:sz="4" w:space="0" w:color="auto"/>
              <w:bottom w:val="single" w:sz="4" w:space="0" w:color="auto"/>
              <w:right w:val="single" w:sz="4" w:space="0" w:color="auto"/>
            </w:tcBorders>
            <w:vAlign w:val="center"/>
            <w:hideMark/>
          </w:tcPr>
          <w:p w14:paraId="268DB3BA" w14:textId="1AF38D6A"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6</w:t>
            </w:r>
            <w:r w:rsidR="00824DDE" w:rsidRPr="00C06349">
              <w:rPr>
                <w:sz w:val="18"/>
                <w:szCs w:val="20"/>
              </w:rPr>
              <w:t> </w:t>
            </w:r>
            <w:r w:rsidRPr="00C06349">
              <w:rPr>
                <w:sz w:val="18"/>
                <w:szCs w:val="20"/>
              </w:rPr>
              <w:t xml:space="preserve">155,58 </w:t>
            </w:r>
          </w:p>
        </w:tc>
        <w:tc>
          <w:tcPr>
            <w:tcW w:w="1212" w:type="dxa"/>
            <w:tcBorders>
              <w:top w:val="nil"/>
              <w:left w:val="nil"/>
              <w:bottom w:val="single" w:sz="4" w:space="0" w:color="auto"/>
              <w:right w:val="single" w:sz="4" w:space="0" w:color="auto"/>
            </w:tcBorders>
            <w:vAlign w:val="center"/>
            <w:hideMark/>
          </w:tcPr>
          <w:p w14:paraId="2534B83E" w14:textId="193FDAD5"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7</w:t>
            </w:r>
            <w:r w:rsidR="00824DDE" w:rsidRPr="00C06349">
              <w:rPr>
                <w:sz w:val="18"/>
                <w:szCs w:val="20"/>
              </w:rPr>
              <w:t> </w:t>
            </w:r>
            <w:r w:rsidRPr="00C06349">
              <w:rPr>
                <w:sz w:val="18"/>
                <w:szCs w:val="20"/>
              </w:rPr>
              <w:t xml:space="preserve">041,36 </w:t>
            </w:r>
          </w:p>
        </w:tc>
      </w:tr>
      <w:tr w:rsidR="007F6FC9" w:rsidRPr="00C06349" w14:paraId="143CC2AF" w14:textId="77777777" w:rsidTr="007D62FF">
        <w:trPr>
          <w:trHeight w:val="293"/>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5A90E3C"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noWrap/>
            <w:vAlign w:val="bottom"/>
            <w:hideMark/>
          </w:tcPr>
          <w:p w14:paraId="6193DF8C" w14:textId="4A862789" w:rsidR="007F6FC9" w:rsidRPr="007E0B36" w:rsidRDefault="007F6FC9" w:rsidP="00D85CE5">
            <w:pPr>
              <w:keepNext/>
              <w:keepLines/>
              <w:snapToGrid/>
              <w:spacing w:before="0" w:after="0"/>
              <w:jc w:val="left"/>
              <w:rPr>
                <w:rFonts w:eastAsia="Times New Roman" w:cstheme="minorHAnsi"/>
                <w:b/>
                <w:bCs/>
                <w:color w:val="000000"/>
                <w:spacing w:val="-2"/>
                <w:sz w:val="18"/>
                <w:szCs w:val="20"/>
              </w:rPr>
            </w:pPr>
            <w:r w:rsidRPr="007E0B36">
              <w:rPr>
                <w:b/>
                <w:color w:val="000000"/>
                <w:spacing w:val="-2"/>
                <w:sz w:val="18"/>
                <w:szCs w:val="20"/>
              </w:rPr>
              <w:t>Programmes intégrés</w:t>
            </w:r>
            <w:r w:rsidRPr="007E0B36">
              <w:rPr>
                <w:rStyle w:val="FootnoteReference"/>
                <w:rFonts w:eastAsia="Times New Roman" w:cstheme="minorHAnsi"/>
                <w:b/>
                <w:bCs/>
                <w:color w:val="000000"/>
                <w:spacing w:val="-2"/>
                <w:sz w:val="18"/>
                <w:szCs w:val="20"/>
              </w:rPr>
              <w:footnoteReference w:id="9"/>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00F3F034" w14:textId="2760F36B"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w:t>
            </w:r>
            <w:r w:rsidR="00824DDE" w:rsidRPr="00C06349">
              <w:rPr>
                <w:sz w:val="18"/>
                <w:szCs w:val="20"/>
              </w:rPr>
              <w:t> </w:t>
            </w:r>
            <w:r w:rsidRPr="00C06349">
              <w:rPr>
                <w:sz w:val="18"/>
                <w:szCs w:val="20"/>
              </w:rPr>
              <w:t xml:space="preserve">635,59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2952B569" w14:textId="5F6775D1" w:rsidR="007F6FC9" w:rsidRPr="00C06349" w:rsidRDefault="007F6FC9" w:rsidP="00D85CE5">
            <w:pPr>
              <w:keepNext/>
              <w:keepLines/>
              <w:snapToGrid/>
              <w:spacing w:before="0" w:after="0"/>
              <w:jc w:val="right"/>
              <w:rPr>
                <w:rFonts w:ascii="Calibri" w:hAnsi="Calibri" w:cs="Calibri"/>
                <w:b/>
                <w:bCs/>
                <w:color w:val="000000"/>
                <w:sz w:val="18"/>
                <w:szCs w:val="20"/>
                <w:highlight w:val="yellow"/>
              </w:rPr>
            </w:pPr>
            <w:r w:rsidRPr="00C06349">
              <w:rPr>
                <w:sz w:val="18"/>
                <w:szCs w:val="20"/>
              </w:rPr>
              <w:t>35</w:t>
            </w:r>
            <w:r w:rsidR="00966C17">
              <w:rPr>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650651AA" w14:textId="797578E4"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11</w:t>
            </w:r>
            <w:r w:rsidR="00824DDE" w:rsidRPr="00C06349">
              <w:rPr>
                <w:sz w:val="18"/>
                <w:szCs w:val="20"/>
              </w:rPr>
              <w:t> </w:t>
            </w:r>
            <w:r w:rsidRPr="00C06349">
              <w:rPr>
                <w:sz w:val="18"/>
                <w:szCs w:val="20"/>
              </w:rPr>
              <w:t xml:space="preserve">853,59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3E77C7E7" w14:textId="6B419CF6"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13</w:t>
            </w:r>
            <w:r w:rsidR="00824DDE" w:rsidRPr="00C06349">
              <w:rPr>
                <w:sz w:val="18"/>
                <w:szCs w:val="20"/>
              </w:rPr>
              <w:t> </w:t>
            </w:r>
            <w:r w:rsidRPr="00C06349">
              <w:rPr>
                <w:sz w:val="18"/>
                <w:szCs w:val="20"/>
              </w:rPr>
              <w:t xml:space="preserve">489,18 </w:t>
            </w:r>
          </w:p>
        </w:tc>
      </w:tr>
      <w:tr w:rsidR="007F6FC9" w:rsidRPr="00C06349" w14:paraId="6AF93844" w14:textId="77777777" w:rsidTr="007D62FF">
        <w:trPr>
          <w:trHeight w:val="293"/>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A057E46"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vAlign w:val="center"/>
            <w:hideMark/>
          </w:tcPr>
          <w:p w14:paraId="3FCA474E" w14:textId="77777777" w:rsidR="007F6FC9" w:rsidRPr="007E0B36" w:rsidRDefault="007F6FC9" w:rsidP="007E0B36">
            <w:pPr>
              <w:keepNext/>
              <w:keepLines/>
              <w:snapToGrid/>
              <w:spacing w:before="0" w:after="0"/>
              <w:ind w:firstLineChars="200" w:firstLine="356"/>
              <w:jc w:val="left"/>
              <w:rPr>
                <w:rFonts w:eastAsia="Times New Roman" w:cstheme="minorHAnsi"/>
                <w:i/>
                <w:color w:val="000000"/>
                <w:spacing w:val="-2"/>
                <w:sz w:val="18"/>
                <w:szCs w:val="20"/>
              </w:rPr>
            </w:pPr>
            <w:r w:rsidRPr="007E0B36">
              <w:rPr>
                <w:i/>
                <w:color w:val="000000"/>
                <w:spacing w:val="-2"/>
                <w:sz w:val="18"/>
                <w:szCs w:val="20"/>
              </w:rPr>
              <w:t xml:space="preserve">Systèmes alimentaires </w:t>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4E1E4930"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284,17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7AEA85B5" w14:textId="21136042" w:rsidR="007F6FC9" w:rsidRPr="00C06349" w:rsidRDefault="007F6FC9" w:rsidP="00D85CE5">
            <w:pPr>
              <w:keepNext/>
              <w:keepLines/>
              <w:snapToGrid/>
              <w:spacing w:before="0" w:after="0"/>
              <w:jc w:val="right"/>
              <w:rPr>
                <w:rFonts w:ascii="Calibri" w:hAnsi="Calibri" w:cs="Calibri"/>
                <w:i/>
                <w:iCs/>
                <w:color w:val="000000"/>
                <w:sz w:val="18"/>
                <w:szCs w:val="20"/>
                <w:highlight w:val="yellow"/>
              </w:rPr>
            </w:pPr>
            <w:r w:rsidRPr="00C06349">
              <w:rPr>
                <w:i/>
                <w:sz w:val="18"/>
                <w:szCs w:val="20"/>
              </w:rPr>
              <w:t>6</w:t>
            </w:r>
            <w:r w:rsidR="00966C17">
              <w:rPr>
                <w:i/>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121877B4" w14:textId="14C2BC73"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2</w:t>
            </w:r>
            <w:r w:rsidR="00824DDE" w:rsidRPr="00C06349">
              <w:rPr>
                <w:i/>
                <w:sz w:val="18"/>
                <w:szCs w:val="20"/>
              </w:rPr>
              <w:t> </w:t>
            </w:r>
            <w:r w:rsidRPr="00C06349">
              <w:rPr>
                <w:i/>
                <w:sz w:val="18"/>
                <w:szCs w:val="20"/>
              </w:rPr>
              <w:t xml:space="preserve">061,20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4FB4ED1C" w14:textId="18918E4A"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2</w:t>
            </w:r>
            <w:r w:rsidR="00824DDE" w:rsidRPr="00C06349">
              <w:rPr>
                <w:i/>
                <w:sz w:val="18"/>
                <w:szCs w:val="20"/>
              </w:rPr>
              <w:t> </w:t>
            </w:r>
            <w:r w:rsidRPr="00C06349">
              <w:rPr>
                <w:i/>
                <w:sz w:val="18"/>
                <w:szCs w:val="20"/>
              </w:rPr>
              <w:t xml:space="preserve">345,37 </w:t>
            </w:r>
          </w:p>
        </w:tc>
      </w:tr>
      <w:tr w:rsidR="007F6FC9" w:rsidRPr="00C06349" w14:paraId="290FD72B" w14:textId="77777777" w:rsidTr="007D62FF">
        <w:trPr>
          <w:trHeight w:val="293"/>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5F07486"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vAlign w:val="center"/>
            <w:hideMark/>
          </w:tcPr>
          <w:p w14:paraId="24B32135" w14:textId="77777777" w:rsidR="007F6FC9" w:rsidRPr="007E0B36" w:rsidRDefault="007F6FC9" w:rsidP="007E0B36">
            <w:pPr>
              <w:keepNext/>
              <w:keepLines/>
              <w:snapToGrid/>
              <w:spacing w:before="0" w:after="0"/>
              <w:ind w:firstLineChars="200" w:firstLine="356"/>
              <w:jc w:val="left"/>
              <w:rPr>
                <w:rFonts w:eastAsia="Times New Roman" w:cstheme="minorHAnsi"/>
                <w:i/>
                <w:color w:val="000000"/>
                <w:spacing w:val="-2"/>
                <w:sz w:val="18"/>
                <w:szCs w:val="20"/>
              </w:rPr>
            </w:pPr>
            <w:r w:rsidRPr="007E0B36">
              <w:rPr>
                <w:i/>
                <w:color w:val="000000"/>
                <w:spacing w:val="-2"/>
                <w:sz w:val="18"/>
                <w:szCs w:val="20"/>
              </w:rPr>
              <w:t>Restauration des écosystèmes</w:t>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070DB0B8"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205,04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33413ABE" w14:textId="3828D162" w:rsidR="007F6FC9" w:rsidRPr="00C06349" w:rsidRDefault="007F6FC9" w:rsidP="00D85CE5">
            <w:pPr>
              <w:keepNext/>
              <w:keepLines/>
              <w:snapToGrid/>
              <w:spacing w:before="0" w:after="0"/>
              <w:jc w:val="right"/>
              <w:rPr>
                <w:rFonts w:ascii="Calibri" w:hAnsi="Calibri" w:cs="Calibri"/>
                <w:i/>
                <w:iCs/>
                <w:color w:val="000000"/>
                <w:sz w:val="18"/>
                <w:szCs w:val="20"/>
                <w:highlight w:val="yellow"/>
              </w:rPr>
            </w:pPr>
            <w:r w:rsidRPr="00C06349">
              <w:rPr>
                <w:i/>
                <w:sz w:val="18"/>
                <w:szCs w:val="20"/>
              </w:rPr>
              <w:t>4</w:t>
            </w:r>
            <w:r w:rsidR="00966C17">
              <w:rPr>
                <w:i/>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687751D4" w14:textId="71E05B31"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w:t>
            </w:r>
            <w:r w:rsidR="00824DDE" w:rsidRPr="00C06349">
              <w:rPr>
                <w:i/>
                <w:sz w:val="18"/>
                <w:szCs w:val="20"/>
              </w:rPr>
              <w:t> </w:t>
            </w:r>
            <w:r w:rsidRPr="00C06349">
              <w:rPr>
                <w:i/>
                <w:sz w:val="18"/>
                <w:szCs w:val="20"/>
              </w:rPr>
              <w:t xml:space="preserve">903,23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448B24CE" w14:textId="6A7F72DF"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2</w:t>
            </w:r>
            <w:r w:rsidR="00824DDE" w:rsidRPr="00C06349">
              <w:rPr>
                <w:i/>
                <w:sz w:val="18"/>
                <w:szCs w:val="20"/>
              </w:rPr>
              <w:t> </w:t>
            </w:r>
            <w:r w:rsidRPr="00C06349">
              <w:rPr>
                <w:i/>
                <w:sz w:val="18"/>
                <w:szCs w:val="20"/>
              </w:rPr>
              <w:t xml:space="preserve">108,27 </w:t>
            </w:r>
          </w:p>
        </w:tc>
      </w:tr>
      <w:tr w:rsidR="007F6FC9" w:rsidRPr="00C06349" w14:paraId="3077EBD5" w14:textId="77777777" w:rsidTr="007D62FF">
        <w:trPr>
          <w:trHeight w:val="293"/>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BE486A"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vAlign w:val="center"/>
            <w:hideMark/>
          </w:tcPr>
          <w:p w14:paraId="21ECE267" w14:textId="77777777" w:rsidR="007F6FC9" w:rsidRPr="007E0B36" w:rsidRDefault="007F6FC9" w:rsidP="007E0B36">
            <w:pPr>
              <w:keepNext/>
              <w:keepLines/>
              <w:snapToGrid/>
              <w:spacing w:before="0" w:after="0"/>
              <w:ind w:firstLineChars="200" w:firstLine="356"/>
              <w:jc w:val="left"/>
              <w:rPr>
                <w:rFonts w:eastAsia="Times New Roman" w:cstheme="minorHAnsi"/>
                <w:i/>
                <w:color w:val="000000"/>
                <w:spacing w:val="-2"/>
                <w:sz w:val="18"/>
                <w:szCs w:val="20"/>
              </w:rPr>
            </w:pPr>
            <w:r w:rsidRPr="007E0B36">
              <w:rPr>
                <w:i/>
                <w:color w:val="000000"/>
                <w:spacing w:val="-2"/>
                <w:sz w:val="18"/>
                <w:szCs w:val="20"/>
              </w:rPr>
              <w:t>Villes durables</w:t>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17B63F5E"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169,34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45A9CA98" w14:textId="3399E10D" w:rsidR="007F6FC9" w:rsidRPr="00C06349" w:rsidRDefault="007F6FC9" w:rsidP="00D85CE5">
            <w:pPr>
              <w:keepNext/>
              <w:keepLines/>
              <w:snapToGrid/>
              <w:spacing w:before="0" w:after="0"/>
              <w:jc w:val="right"/>
              <w:rPr>
                <w:rFonts w:ascii="Calibri" w:hAnsi="Calibri" w:cs="Calibri"/>
                <w:i/>
                <w:iCs/>
                <w:color w:val="000000"/>
                <w:sz w:val="18"/>
                <w:szCs w:val="20"/>
                <w:highlight w:val="yellow"/>
              </w:rPr>
            </w:pPr>
            <w:r w:rsidRPr="00C06349">
              <w:rPr>
                <w:i/>
                <w:sz w:val="18"/>
                <w:szCs w:val="20"/>
              </w:rPr>
              <w:t>4</w:t>
            </w:r>
            <w:r w:rsidR="00966C17">
              <w:rPr>
                <w:i/>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1DCE1412" w14:textId="12BC9726"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w:t>
            </w:r>
            <w:r w:rsidR="00FC1FFE" w:rsidRPr="00C06349">
              <w:rPr>
                <w:i/>
                <w:sz w:val="18"/>
                <w:szCs w:val="20"/>
              </w:rPr>
              <w:t> </w:t>
            </w:r>
            <w:r w:rsidRPr="00C06349">
              <w:rPr>
                <w:i/>
                <w:sz w:val="18"/>
                <w:szCs w:val="20"/>
              </w:rPr>
              <w:t xml:space="preserve">615,23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05E4AAC5" w14:textId="29D2934B"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w:t>
            </w:r>
            <w:r w:rsidR="00FC1FFE" w:rsidRPr="00C06349">
              <w:rPr>
                <w:i/>
                <w:sz w:val="18"/>
                <w:szCs w:val="20"/>
              </w:rPr>
              <w:t> </w:t>
            </w:r>
            <w:r w:rsidRPr="00C06349">
              <w:rPr>
                <w:i/>
                <w:sz w:val="18"/>
                <w:szCs w:val="20"/>
              </w:rPr>
              <w:t xml:space="preserve">784,57 </w:t>
            </w:r>
          </w:p>
        </w:tc>
      </w:tr>
      <w:tr w:rsidR="007F6FC9" w:rsidRPr="00C06349" w14:paraId="1D520AEC" w14:textId="77777777" w:rsidTr="007D62FF">
        <w:trPr>
          <w:trHeight w:val="342"/>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39F20ED"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vAlign w:val="center"/>
            <w:hideMark/>
          </w:tcPr>
          <w:p w14:paraId="0ABECFB6" w14:textId="0131CA1F" w:rsidR="007F6FC9" w:rsidRPr="007E0B36" w:rsidRDefault="007F6FC9" w:rsidP="007E0B36">
            <w:pPr>
              <w:keepNext/>
              <w:keepLines/>
              <w:snapToGrid/>
              <w:spacing w:before="0" w:after="0"/>
              <w:ind w:firstLineChars="200" w:firstLine="356"/>
              <w:jc w:val="left"/>
              <w:rPr>
                <w:rFonts w:eastAsia="Times New Roman" w:cstheme="minorHAnsi"/>
                <w:i/>
                <w:color w:val="000000"/>
                <w:spacing w:val="-2"/>
                <w:sz w:val="18"/>
                <w:szCs w:val="20"/>
              </w:rPr>
            </w:pPr>
            <w:r w:rsidRPr="007E0B36">
              <w:rPr>
                <w:i/>
                <w:color w:val="000000"/>
                <w:spacing w:val="-2"/>
                <w:sz w:val="18"/>
                <w:szCs w:val="20"/>
              </w:rPr>
              <w:t xml:space="preserve">Amazonie, Congo et biomes </w:t>
            </w:r>
            <w:r w:rsidR="00562BD5">
              <w:rPr>
                <w:i/>
                <w:color w:val="000000"/>
                <w:spacing w:val="-2"/>
                <w:sz w:val="18"/>
                <w:szCs w:val="20"/>
              </w:rPr>
              <w:t>forestiers critiques</w:t>
            </w:r>
            <w:r w:rsidRPr="007E0B36">
              <w:rPr>
                <w:i/>
                <w:color w:val="000000"/>
                <w:spacing w:val="-2"/>
                <w:sz w:val="18"/>
                <w:szCs w:val="20"/>
              </w:rPr>
              <w:t xml:space="preserve"> </w:t>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553321A7"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293,54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259EE7C6" w14:textId="1F463029" w:rsidR="007F6FC9" w:rsidRPr="00C06349" w:rsidRDefault="007F6FC9" w:rsidP="00D85CE5">
            <w:pPr>
              <w:keepNext/>
              <w:keepLines/>
              <w:snapToGrid/>
              <w:spacing w:before="0" w:after="0"/>
              <w:jc w:val="right"/>
              <w:rPr>
                <w:rFonts w:ascii="Calibri" w:hAnsi="Calibri" w:cs="Calibri"/>
                <w:i/>
                <w:iCs/>
                <w:color w:val="000000"/>
                <w:sz w:val="18"/>
                <w:szCs w:val="20"/>
                <w:highlight w:val="yellow"/>
              </w:rPr>
            </w:pPr>
            <w:r w:rsidRPr="00C06349">
              <w:rPr>
                <w:i/>
                <w:sz w:val="18"/>
                <w:szCs w:val="20"/>
              </w:rPr>
              <w:t>6</w:t>
            </w:r>
            <w:r w:rsidR="00966C17">
              <w:rPr>
                <w:i/>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5C2E642E" w14:textId="0A76E3A1"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w:t>
            </w:r>
            <w:r w:rsidR="00FC1FFE" w:rsidRPr="00C06349">
              <w:rPr>
                <w:i/>
                <w:sz w:val="18"/>
                <w:szCs w:val="20"/>
              </w:rPr>
              <w:t> </w:t>
            </w:r>
            <w:r w:rsidRPr="00C06349">
              <w:rPr>
                <w:i/>
                <w:sz w:val="18"/>
                <w:szCs w:val="20"/>
              </w:rPr>
              <w:t xml:space="preserve">470,46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7AC61CF6" w14:textId="4560FC30"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w:t>
            </w:r>
            <w:r w:rsidR="00FC1FFE" w:rsidRPr="00C06349">
              <w:rPr>
                <w:i/>
                <w:sz w:val="18"/>
                <w:szCs w:val="20"/>
              </w:rPr>
              <w:t> </w:t>
            </w:r>
            <w:r w:rsidRPr="00C06349">
              <w:rPr>
                <w:i/>
                <w:sz w:val="18"/>
                <w:szCs w:val="20"/>
              </w:rPr>
              <w:t xml:space="preserve">764,00 </w:t>
            </w:r>
          </w:p>
        </w:tc>
      </w:tr>
      <w:tr w:rsidR="007F6FC9" w:rsidRPr="00C06349" w14:paraId="7FCDED26" w14:textId="77777777" w:rsidTr="007D62FF">
        <w:trPr>
          <w:trHeight w:val="293"/>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F79B575"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vAlign w:val="center"/>
            <w:hideMark/>
          </w:tcPr>
          <w:p w14:paraId="2B332C69" w14:textId="77777777" w:rsidR="007F6FC9" w:rsidRPr="007E0B36" w:rsidRDefault="007F6FC9" w:rsidP="007E0B36">
            <w:pPr>
              <w:keepNext/>
              <w:keepLines/>
              <w:snapToGrid/>
              <w:spacing w:before="0" w:after="0"/>
              <w:ind w:firstLineChars="200" w:firstLine="356"/>
              <w:jc w:val="left"/>
              <w:rPr>
                <w:rFonts w:eastAsia="Times New Roman" w:cstheme="minorHAnsi"/>
                <w:i/>
                <w:color w:val="000000"/>
                <w:spacing w:val="-2"/>
                <w:sz w:val="18"/>
                <w:szCs w:val="20"/>
              </w:rPr>
            </w:pPr>
            <w:r w:rsidRPr="007E0B36">
              <w:rPr>
                <w:i/>
                <w:color w:val="000000"/>
                <w:spacing w:val="-2"/>
                <w:sz w:val="18"/>
                <w:szCs w:val="20"/>
              </w:rPr>
              <w:t xml:space="preserve">Solutions circulaires à la pollution par les plastiques  </w:t>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653B88FD"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107,94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380351BD" w14:textId="6E32E34D" w:rsidR="007F6FC9" w:rsidRPr="00C06349" w:rsidRDefault="007F6FC9" w:rsidP="00D85CE5">
            <w:pPr>
              <w:keepNext/>
              <w:keepLines/>
              <w:snapToGrid/>
              <w:spacing w:before="0" w:after="0"/>
              <w:jc w:val="right"/>
              <w:rPr>
                <w:rFonts w:ascii="Calibri" w:hAnsi="Calibri" w:cs="Calibri"/>
                <w:i/>
                <w:iCs/>
                <w:color w:val="000000"/>
                <w:sz w:val="18"/>
                <w:szCs w:val="20"/>
                <w:highlight w:val="yellow"/>
              </w:rPr>
            </w:pPr>
            <w:r w:rsidRPr="00C06349">
              <w:rPr>
                <w:i/>
                <w:sz w:val="18"/>
                <w:szCs w:val="20"/>
              </w:rPr>
              <w:t>2</w:t>
            </w:r>
            <w:r w:rsidR="00966C17">
              <w:rPr>
                <w:i/>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726394DA"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875,09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71525D30"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983,03 </w:t>
            </w:r>
          </w:p>
        </w:tc>
      </w:tr>
      <w:tr w:rsidR="007F6FC9" w:rsidRPr="00C06349" w14:paraId="7F3C662A" w14:textId="77777777" w:rsidTr="007D62FF">
        <w:trPr>
          <w:trHeight w:val="293"/>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A0FCE9B"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vAlign w:val="center"/>
            <w:hideMark/>
          </w:tcPr>
          <w:p w14:paraId="6B75D743" w14:textId="4D048CB9" w:rsidR="007F6FC9" w:rsidRPr="007E0B36" w:rsidRDefault="008F72A4" w:rsidP="007E0B36">
            <w:pPr>
              <w:keepNext/>
              <w:keepLines/>
              <w:snapToGrid/>
              <w:spacing w:before="0" w:after="0"/>
              <w:ind w:firstLineChars="200" w:firstLine="356"/>
              <w:jc w:val="left"/>
              <w:rPr>
                <w:rFonts w:eastAsia="Times New Roman" w:cstheme="minorHAnsi"/>
                <w:i/>
                <w:color w:val="000000"/>
                <w:spacing w:val="-2"/>
                <w:sz w:val="18"/>
                <w:szCs w:val="20"/>
              </w:rPr>
            </w:pPr>
            <w:r w:rsidRPr="007E0B36">
              <w:rPr>
                <w:i/>
                <w:color w:val="000000"/>
                <w:spacing w:val="-2"/>
                <w:sz w:val="18"/>
                <w:szCs w:val="20"/>
              </w:rPr>
              <w:t>Î</w:t>
            </w:r>
            <w:r w:rsidR="007F6FC9" w:rsidRPr="007E0B36">
              <w:rPr>
                <w:i/>
                <w:color w:val="000000"/>
                <w:spacing w:val="-2"/>
                <w:sz w:val="18"/>
                <w:szCs w:val="20"/>
              </w:rPr>
              <w:t xml:space="preserve">les bleues et vertes </w:t>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22D02612"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135,63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2651366A" w14:textId="08059B23" w:rsidR="007F6FC9" w:rsidRPr="00C06349" w:rsidRDefault="007F6FC9" w:rsidP="00D85CE5">
            <w:pPr>
              <w:keepNext/>
              <w:keepLines/>
              <w:snapToGrid/>
              <w:spacing w:before="0" w:after="0"/>
              <w:jc w:val="right"/>
              <w:rPr>
                <w:rFonts w:ascii="Calibri" w:hAnsi="Calibri" w:cs="Calibri"/>
                <w:i/>
                <w:iCs/>
                <w:color w:val="000000"/>
                <w:sz w:val="18"/>
                <w:szCs w:val="20"/>
                <w:highlight w:val="yellow"/>
              </w:rPr>
            </w:pPr>
            <w:r w:rsidRPr="00C06349">
              <w:rPr>
                <w:i/>
                <w:sz w:val="18"/>
                <w:szCs w:val="20"/>
              </w:rPr>
              <w:t>3</w:t>
            </w:r>
            <w:r w:rsidR="00966C17">
              <w:rPr>
                <w:i/>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14A14AFD"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610,60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0AC69485"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746,23 </w:t>
            </w:r>
          </w:p>
        </w:tc>
      </w:tr>
      <w:tr w:rsidR="007F6FC9" w:rsidRPr="00C06349" w14:paraId="03C9397A" w14:textId="77777777" w:rsidTr="007D62FF">
        <w:trPr>
          <w:trHeight w:val="293"/>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B284DC5"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vAlign w:val="center"/>
            <w:hideMark/>
          </w:tcPr>
          <w:p w14:paraId="643C69C9" w14:textId="77777777" w:rsidR="007F6FC9" w:rsidRPr="007E0B36" w:rsidRDefault="007F6FC9" w:rsidP="007E0B36">
            <w:pPr>
              <w:keepNext/>
              <w:keepLines/>
              <w:snapToGrid/>
              <w:spacing w:before="0" w:after="0"/>
              <w:ind w:firstLineChars="200" w:firstLine="356"/>
              <w:jc w:val="left"/>
              <w:rPr>
                <w:rFonts w:eastAsia="Times New Roman" w:cstheme="minorHAnsi"/>
                <w:i/>
                <w:color w:val="000000"/>
                <w:spacing w:val="-2"/>
                <w:sz w:val="18"/>
                <w:szCs w:val="20"/>
              </w:rPr>
            </w:pPr>
            <w:r w:rsidRPr="007E0B36">
              <w:rPr>
                <w:i/>
                <w:color w:val="000000"/>
                <w:spacing w:val="-2"/>
                <w:sz w:val="18"/>
                <w:szCs w:val="20"/>
              </w:rPr>
              <w:t>Océans propres et sains</w:t>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7CB34172"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109,37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03E2B52B" w14:textId="31B94B30" w:rsidR="007F6FC9" w:rsidRPr="00C06349" w:rsidRDefault="007F6FC9" w:rsidP="00D85CE5">
            <w:pPr>
              <w:keepNext/>
              <w:keepLines/>
              <w:snapToGrid/>
              <w:spacing w:before="0" w:after="0"/>
              <w:jc w:val="right"/>
              <w:rPr>
                <w:rFonts w:ascii="Calibri" w:hAnsi="Calibri" w:cs="Calibri"/>
                <w:i/>
                <w:iCs/>
                <w:color w:val="000000"/>
                <w:sz w:val="18"/>
                <w:szCs w:val="20"/>
                <w:highlight w:val="yellow"/>
              </w:rPr>
            </w:pPr>
            <w:r w:rsidRPr="00C06349">
              <w:rPr>
                <w:i/>
                <w:sz w:val="18"/>
                <w:szCs w:val="20"/>
              </w:rPr>
              <w:t>2</w:t>
            </w:r>
            <w:r w:rsidR="00966C17">
              <w:rPr>
                <w:i/>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2B4CE4C0"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821,50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3FF06115"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930,87 </w:t>
            </w:r>
          </w:p>
        </w:tc>
      </w:tr>
      <w:tr w:rsidR="007F6FC9" w:rsidRPr="00C06349" w14:paraId="7CA82652" w14:textId="77777777" w:rsidTr="007D62FF">
        <w:trPr>
          <w:trHeight w:val="293"/>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9AE9E70"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vAlign w:val="center"/>
            <w:hideMark/>
          </w:tcPr>
          <w:p w14:paraId="1B011378" w14:textId="77777777" w:rsidR="007F6FC9" w:rsidRPr="007E0B36" w:rsidRDefault="007F6FC9" w:rsidP="007E0B36">
            <w:pPr>
              <w:keepNext/>
              <w:keepLines/>
              <w:snapToGrid/>
              <w:spacing w:before="0" w:after="0"/>
              <w:ind w:firstLineChars="200" w:firstLine="356"/>
              <w:jc w:val="left"/>
              <w:rPr>
                <w:rFonts w:eastAsia="Times New Roman" w:cstheme="minorHAnsi"/>
                <w:i/>
                <w:color w:val="000000"/>
                <w:spacing w:val="-2"/>
                <w:sz w:val="18"/>
                <w:szCs w:val="20"/>
              </w:rPr>
            </w:pPr>
            <w:r w:rsidRPr="007E0B36">
              <w:rPr>
                <w:i/>
                <w:color w:val="000000"/>
                <w:spacing w:val="-2"/>
                <w:sz w:val="18"/>
                <w:szCs w:val="20"/>
              </w:rPr>
              <w:t xml:space="preserve">Accélérateur net zéro </w:t>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1354A1D6"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109,97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30D14DE8" w14:textId="32F6E458" w:rsidR="007F6FC9" w:rsidRPr="00C06349" w:rsidRDefault="007F6FC9" w:rsidP="00D85CE5">
            <w:pPr>
              <w:keepNext/>
              <w:keepLines/>
              <w:snapToGrid/>
              <w:spacing w:before="0" w:after="0"/>
              <w:jc w:val="right"/>
              <w:rPr>
                <w:rFonts w:ascii="Calibri" w:hAnsi="Calibri" w:cs="Calibri"/>
                <w:i/>
                <w:iCs/>
                <w:color w:val="000000"/>
                <w:sz w:val="18"/>
                <w:szCs w:val="20"/>
                <w:highlight w:val="yellow"/>
              </w:rPr>
            </w:pPr>
            <w:r w:rsidRPr="00C06349">
              <w:rPr>
                <w:i/>
                <w:sz w:val="18"/>
                <w:szCs w:val="20"/>
              </w:rPr>
              <w:t>2</w:t>
            </w:r>
            <w:r w:rsidR="00966C17">
              <w:rPr>
                <w:i/>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68A69BD7" w14:textId="1104E1A9"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w:t>
            </w:r>
            <w:r w:rsidR="00FC1FFE" w:rsidRPr="00C06349">
              <w:rPr>
                <w:i/>
                <w:sz w:val="18"/>
                <w:szCs w:val="20"/>
              </w:rPr>
              <w:t> </w:t>
            </w:r>
            <w:r w:rsidRPr="00C06349">
              <w:rPr>
                <w:i/>
                <w:sz w:val="18"/>
                <w:szCs w:val="20"/>
              </w:rPr>
              <w:t xml:space="preserve">004,51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5AB569C9" w14:textId="7B7D155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w:t>
            </w:r>
            <w:r w:rsidR="00FC1FFE" w:rsidRPr="00C06349">
              <w:rPr>
                <w:i/>
                <w:sz w:val="18"/>
                <w:szCs w:val="20"/>
              </w:rPr>
              <w:t> </w:t>
            </w:r>
            <w:r w:rsidRPr="00C06349">
              <w:rPr>
                <w:i/>
                <w:sz w:val="18"/>
                <w:szCs w:val="20"/>
              </w:rPr>
              <w:t xml:space="preserve">114,47 </w:t>
            </w:r>
          </w:p>
        </w:tc>
      </w:tr>
      <w:tr w:rsidR="007F6FC9" w:rsidRPr="00C06349" w14:paraId="7789858F" w14:textId="77777777" w:rsidTr="007D62FF">
        <w:trPr>
          <w:trHeight w:val="293"/>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9D323FB"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vAlign w:val="center"/>
            <w:hideMark/>
          </w:tcPr>
          <w:p w14:paraId="14182855" w14:textId="77777777" w:rsidR="007F6FC9" w:rsidRPr="007E0B36" w:rsidRDefault="007F6FC9" w:rsidP="007E0B36">
            <w:pPr>
              <w:keepNext/>
              <w:keepLines/>
              <w:snapToGrid/>
              <w:spacing w:before="0" w:after="0"/>
              <w:ind w:firstLineChars="200" w:firstLine="356"/>
              <w:jc w:val="left"/>
              <w:rPr>
                <w:rFonts w:eastAsia="Times New Roman" w:cstheme="minorHAnsi"/>
                <w:i/>
                <w:color w:val="000000"/>
                <w:spacing w:val="-2"/>
                <w:sz w:val="18"/>
                <w:szCs w:val="20"/>
              </w:rPr>
            </w:pPr>
            <w:r w:rsidRPr="007E0B36">
              <w:rPr>
                <w:i/>
                <w:color w:val="000000"/>
                <w:spacing w:val="-2"/>
                <w:sz w:val="18"/>
                <w:szCs w:val="20"/>
              </w:rPr>
              <w:t xml:space="preserve">Conservation des espèces sauvages pour le développement </w:t>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7DCFF7AD"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142,45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2E5DADE5" w14:textId="32E870A1" w:rsidR="007F6FC9" w:rsidRPr="00C06349" w:rsidRDefault="007F6FC9" w:rsidP="00D85CE5">
            <w:pPr>
              <w:keepNext/>
              <w:keepLines/>
              <w:snapToGrid/>
              <w:spacing w:before="0" w:after="0"/>
              <w:jc w:val="right"/>
              <w:rPr>
                <w:rFonts w:ascii="Calibri" w:hAnsi="Calibri" w:cs="Calibri"/>
                <w:i/>
                <w:iCs/>
                <w:color w:val="000000"/>
                <w:sz w:val="18"/>
                <w:szCs w:val="20"/>
                <w:highlight w:val="yellow"/>
              </w:rPr>
            </w:pPr>
            <w:r w:rsidRPr="00C06349">
              <w:rPr>
                <w:i/>
                <w:sz w:val="18"/>
                <w:szCs w:val="20"/>
              </w:rPr>
              <w:t>3</w:t>
            </w:r>
            <w:r w:rsidR="00966C17">
              <w:rPr>
                <w:i/>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5AE50261"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662,44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1E993B6D"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804,88 </w:t>
            </w:r>
          </w:p>
        </w:tc>
      </w:tr>
      <w:tr w:rsidR="007F6FC9" w:rsidRPr="00C06349" w14:paraId="0737D74F" w14:textId="77777777" w:rsidTr="007D62FF">
        <w:trPr>
          <w:trHeight w:val="499"/>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1D5AB4B"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vAlign w:val="center"/>
            <w:hideMark/>
          </w:tcPr>
          <w:p w14:paraId="2D194F43" w14:textId="77777777" w:rsidR="007F6FC9" w:rsidRPr="007E0B36" w:rsidRDefault="007F6FC9" w:rsidP="007E0B36">
            <w:pPr>
              <w:keepNext/>
              <w:keepLines/>
              <w:snapToGrid/>
              <w:spacing w:before="0" w:after="0"/>
              <w:ind w:firstLineChars="200" w:firstLine="356"/>
              <w:jc w:val="left"/>
              <w:rPr>
                <w:rFonts w:eastAsia="Times New Roman" w:cstheme="minorHAnsi"/>
                <w:i/>
                <w:color w:val="000000"/>
                <w:spacing w:val="-2"/>
                <w:sz w:val="18"/>
                <w:szCs w:val="20"/>
              </w:rPr>
            </w:pPr>
            <w:r w:rsidRPr="007E0B36">
              <w:rPr>
                <w:i/>
                <w:color w:val="000000"/>
                <w:spacing w:val="-2"/>
                <w:sz w:val="18"/>
                <w:szCs w:val="20"/>
              </w:rPr>
              <w:t>Développement d’une infrastructure de transport verte</w:t>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3F029049"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26,84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60661D47" w14:textId="14E02C34" w:rsidR="007F6FC9" w:rsidRPr="00C06349" w:rsidRDefault="007F6FC9" w:rsidP="00D85CE5">
            <w:pPr>
              <w:keepNext/>
              <w:keepLines/>
              <w:snapToGrid/>
              <w:spacing w:before="0" w:after="0"/>
              <w:jc w:val="right"/>
              <w:rPr>
                <w:rFonts w:ascii="Calibri" w:hAnsi="Calibri" w:cs="Calibri"/>
                <w:i/>
                <w:iCs/>
                <w:color w:val="000000"/>
                <w:sz w:val="18"/>
                <w:szCs w:val="20"/>
                <w:highlight w:val="yellow"/>
              </w:rPr>
            </w:pPr>
            <w:r w:rsidRPr="00C06349">
              <w:rPr>
                <w:i/>
                <w:sz w:val="18"/>
                <w:szCs w:val="20"/>
              </w:rPr>
              <w:t>1</w:t>
            </w:r>
            <w:r w:rsidR="00966C17">
              <w:rPr>
                <w:i/>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487E280D"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391,53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2AD34CD8"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418,36 </w:t>
            </w:r>
          </w:p>
        </w:tc>
      </w:tr>
      <w:tr w:rsidR="007F6FC9" w:rsidRPr="00C06349" w14:paraId="34FBFDD0" w14:textId="77777777" w:rsidTr="007D62FF">
        <w:trPr>
          <w:trHeight w:val="499"/>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44BA734"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EDEDED" w:themeFill="accent3" w:themeFillTint="33"/>
            <w:vAlign w:val="center"/>
            <w:hideMark/>
          </w:tcPr>
          <w:p w14:paraId="655A1D87" w14:textId="220AA777" w:rsidR="007F6FC9" w:rsidRPr="007E0B36" w:rsidRDefault="007F6FC9" w:rsidP="007E0B36">
            <w:pPr>
              <w:keepNext/>
              <w:keepLines/>
              <w:snapToGrid/>
              <w:spacing w:before="0" w:after="0"/>
              <w:ind w:firstLineChars="200" w:firstLine="356"/>
              <w:jc w:val="left"/>
              <w:rPr>
                <w:rFonts w:eastAsia="Times New Roman" w:cstheme="minorHAnsi"/>
                <w:i/>
                <w:color w:val="000000"/>
                <w:spacing w:val="-2"/>
                <w:sz w:val="18"/>
                <w:szCs w:val="20"/>
              </w:rPr>
            </w:pPr>
            <w:r w:rsidRPr="007E0B36">
              <w:rPr>
                <w:i/>
                <w:color w:val="000000"/>
                <w:spacing w:val="-2"/>
                <w:sz w:val="18"/>
                <w:szCs w:val="20"/>
              </w:rPr>
              <w:t>Élimination des substances chimiques dangereuses des cha</w:t>
            </w:r>
            <w:r w:rsidR="008F72A4" w:rsidRPr="007E0B36">
              <w:rPr>
                <w:i/>
                <w:color w:val="000000"/>
                <w:spacing w:val="-2"/>
                <w:sz w:val="18"/>
                <w:szCs w:val="20"/>
              </w:rPr>
              <w:t>î</w:t>
            </w:r>
            <w:r w:rsidRPr="007E0B36">
              <w:rPr>
                <w:i/>
                <w:color w:val="000000"/>
                <w:spacing w:val="-2"/>
                <w:sz w:val="18"/>
                <w:szCs w:val="20"/>
              </w:rPr>
              <w:t>nes d’approvisionnement</w:t>
            </w:r>
          </w:p>
        </w:tc>
        <w:tc>
          <w:tcPr>
            <w:tcW w:w="1418" w:type="dxa"/>
            <w:tcBorders>
              <w:top w:val="nil"/>
              <w:left w:val="nil"/>
              <w:bottom w:val="single" w:sz="4" w:space="0" w:color="auto"/>
              <w:right w:val="single" w:sz="4" w:space="0" w:color="auto"/>
            </w:tcBorders>
            <w:shd w:val="clear" w:color="auto" w:fill="EDEDED" w:themeFill="accent3" w:themeFillTint="33"/>
            <w:vAlign w:val="center"/>
            <w:hideMark/>
          </w:tcPr>
          <w:p w14:paraId="4D2BA141"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51,31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1DD612F5" w14:textId="3620C9EA" w:rsidR="007F6FC9" w:rsidRPr="00C06349" w:rsidRDefault="007F6FC9" w:rsidP="00D85CE5">
            <w:pPr>
              <w:keepNext/>
              <w:keepLines/>
              <w:snapToGrid/>
              <w:spacing w:before="0" w:after="0"/>
              <w:jc w:val="right"/>
              <w:rPr>
                <w:rFonts w:ascii="Calibri" w:hAnsi="Calibri" w:cs="Calibri"/>
                <w:i/>
                <w:iCs/>
                <w:color w:val="000000"/>
                <w:sz w:val="18"/>
                <w:szCs w:val="20"/>
                <w:highlight w:val="yellow"/>
              </w:rPr>
            </w:pPr>
            <w:r w:rsidRPr="00C06349">
              <w:rPr>
                <w:i/>
                <w:sz w:val="18"/>
                <w:szCs w:val="20"/>
              </w:rPr>
              <w:t>1</w:t>
            </w:r>
            <w:r w:rsidR="00966C17">
              <w:rPr>
                <w:i/>
                <w:sz w:val="18"/>
                <w:szCs w:val="20"/>
              </w:rPr>
              <w:t> %</w:t>
            </w:r>
          </w:p>
        </w:tc>
        <w:tc>
          <w:tcPr>
            <w:tcW w:w="1575"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38A1FA66"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437,81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390FFA24" w14:textId="77777777" w:rsidR="007F6FC9" w:rsidRPr="00C06349" w:rsidRDefault="007F6FC9" w:rsidP="00D85CE5">
            <w:pPr>
              <w:keepNext/>
              <w:keepLines/>
              <w:snapToGrid/>
              <w:spacing w:before="0" w:after="0"/>
              <w:jc w:val="right"/>
              <w:rPr>
                <w:rFonts w:eastAsia="Times New Roman" w:cstheme="minorHAnsi"/>
                <w:i/>
                <w:iCs/>
                <w:color w:val="000000" w:themeColor="text1"/>
                <w:sz w:val="18"/>
                <w:szCs w:val="20"/>
                <w:highlight w:val="yellow"/>
              </w:rPr>
            </w:pPr>
            <w:r w:rsidRPr="00C06349">
              <w:rPr>
                <w:i/>
                <w:sz w:val="18"/>
                <w:szCs w:val="20"/>
              </w:rPr>
              <w:t xml:space="preserve"> 489,12 </w:t>
            </w:r>
          </w:p>
        </w:tc>
      </w:tr>
      <w:tr w:rsidR="007F6FC9" w:rsidRPr="00C06349" w14:paraId="4FB8D64B" w14:textId="77777777" w:rsidTr="007D62FF">
        <w:trPr>
          <w:trHeight w:val="1057"/>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244DA05"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FFFFFF" w:themeFill="background1"/>
            <w:vAlign w:val="center"/>
            <w:hideMark/>
          </w:tcPr>
          <w:p w14:paraId="666CDA44" w14:textId="17A797ED" w:rsidR="007F6FC9" w:rsidRPr="007E0B36" w:rsidRDefault="007F6FC9" w:rsidP="00D85CE5">
            <w:pPr>
              <w:keepNext/>
              <w:keepLines/>
              <w:snapToGrid/>
              <w:spacing w:before="0" w:after="0"/>
              <w:jc w:val="left"/>
              <w:rPr>
                <w:rFonts w:eastAsia="Times New Roman" w:cstheme="minorHAnsi"/>
                <w:b/>
                <w:bCs/>
                <w:color w:val="000000"/>
                <w:spacing w:val="-2"/>
                <w:sz w:val="18"/>
                <w:szCs w:val="20"/>
              </w:rPr>
            </w:pPr>
            <w:r w:rsidRPr="007E0B36">
              <w:rPr>
                <w:b/>
                <w:bCs/>
                <w:spacing w:val="-2"/>
                <w:sz w:val="18"/>
                <w:szCs w:val="20"/>
              </w:rPr>
              <w:t>Ressources des autres domaines d’intervention (changements climatiques, dégradation des terres, eaux internationales, produits chimiques et déchets) programmées hors programmes intégrés</w:t>
            </w:r>
            <w:r w:rsidRPr="007E0B36">
              <w:rPr>
                <w:rStyle w:val="FootnoteReference"/>
                <w:rFonts w:eastAsia="Times New Roman" w:cstheme="minorHAnsi"/>
                <w:b/>
                <w:bCs/>
                <w:color w:val="000000"/>
                <w:spacing w:val="-2"/>
                <w:sz w:val="18"/>
                <w:szCs w:val="20"/>
              </w:rPr>
              <w:footnoteReference w:id="10"/>
            </w:r>
          </w:p>
        </w:tc>
        <w:tc>
          <w:tcPr>
            <w:tcW w:w="1418" w:type="dxa"/>
            <w:tcBorders>
              <w:top w:val="nil"/>
              <w:left w:val="nil"/>
              <w:bottom w:val="single" w:sz="4" w:space="0" w:color="auto"/>
              <w:right w:val="single" w:sz="4" w:space="0" w:color="auto"/>
            </w:tcBorders>
            <w:shd w:val="clear" w:color="auto" w:fill="FFFFFF" w:themeFill="background1"/>
            <w:vAlign w:val="center"/>
            <w:hideMark/>
          </w:tcPr>
          <w:p w14:paraId="78FE447B" w14:textId="66559738"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w:t>
            </w:r>
            <w:r w:rsidR="00FC1FFE" w:rsidRPr="00C06349">
              <w:rPr>
                <w:sz w:val="18"/>
                <w:szCs w:val="20"/>
              </w:rPr>
              <w:t> </w:t>
            </w:r>
            <w:r w:rsidRPr="00C06349">
              <w:rPr>
                <w:sz w:val="18"/>
                <w:szCs w:val="20"/>
              </w:rPr>
              <w:t xml:space="preserve">016,19 </w:t>
            </w:r>
          </w:p>
        </w:tc>
        <w:tc>
          <w:tcPr>
            <w:tcW w:w="1260" w:type="dxa"/>
            <w:tcBorders>
              <w:top w:val="single" w:sz="4" w:space="0" w:color="auto"/>
              <w:bottom w:val="single" w:sz="4" w:space="0" w:color="auto"/>
              <w:right w:val="single" w:sz="4" w:space="0" w:color="auto"/>
            </w:tcBorders>
            <w:shd w:val="clear" w:color="auto" w:fill="FFFFFF" w:themeFill="background1"/>
            <w:vAlign w:val="center"/>
          </w:tcPr>
          <w:p w14:paraId="4D962475" w14:textId="422C783F" w:rsidR="007F6FC9" w:rsidRPr="00C06349" w:rsidRDefault="007F6FC9" w:rsidP="00D85CE5">
            <w:pPr>
              <w:keepNext/>
              <w:keepLines/>
              <w:snapToGrid/>
              <w:spacing w:before="0" w:after="0"/>
              <w:jc w:val="right"/>
              <w:rPr>
                <w:rFonts w:ascii="Calibri" w:hAnsi="Calibri" w:cs="Calibri"/>
                <w:b/>
                <w:bCs/>
                <w:color w:val="000000"/>
                <w:sz w:val="18"/>
                <w:szCs w:val="20"/>
                <w:highlight w:val="yellow"/>
              </w:rPr>
            </w:pPr>
            <w:r w:rsidRPr="00C06349">
              <w:rPr>
                <w:sz w:val="18"/>
                <w:szCs w:val="20"/>
              </w:rPr>
              <w:t>22</w:t>
            </w:r>
            <w:r w:rsidR="00966C17">
              <w:rPr>
                <w:sz w:val="18"/>
                <w:szCs w:val="20"/>
              </w:rPr>
              <w:t> %</w:t>
            </w:r>
          </w:p>
        </w:tc>
        <w:tc>
          <w:tcPr>
            <w:tcW w:w="1575" w:type="dxa"/>
            <w:tcBorders>
              <w:top w:val="nil"/>
              <w:left w:val="single" w:sz="4" w:space="0" w:color="auto"/>
              <w:bottom w:val="single" w:sz="4" w:space="0" w:color="auto"/>
              <w:right w:val="single" w:sz="4" w:space="0" w:color="auto"/>
            </w:tcBorders>
            <w:shd w:val="clear" w:color="auto" w:fill="FFFFFF" w:themeFill="background1"/>
            <w:vAlign w:val="center"/>
            <w:hideMark/>
          </w:tcPr>
          <w:p w14:paraId="14018D6D" w14:textId="5815516A"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5</w:t>
            </w:r>
            <w:r w:rsidR="00FC1FFE" w:rsidRPr="00C06349">
              <w:rPr>
                <w:sz w:val="18"/>
                <w:szCs w:val="20"/>
              </w:rPr>
              <w:t> </w:t>
            </w:r>
            <w:r w:rsidRPr="00C06349">
              <w:rPr>
                <w:sz w:val="18"/>
                <w:szCs w:val="20"/>
              </w:rPr>
              <w:t xml:space="preserve">786,93 </w:t>
            </w:r>
          </w:p>
        </w:tc>
        <w:tc>
          <w:tcPr>
            <w:tcW w:w="1212" w:type="dxa"/>
            <w:tcBorders>
              <w:top w:val="nil"/>
              <w:left w:val="nil"/>
              <w:bottom w:val="single" w:sz="4" w:space="0" w:color="auto"/>
              <w:right w:val="single" w:sz="4" w:space="0" w:color="auto"/>
            </w:tcBorders>
            <w:shd w:val="clear" w:color="auto" w:fill="FFFFFF" w:themeFill="background1"/>
            <w:vAlign w:val="center"/>
            <w:hideMark/>
          </w:tcPr>
          <w:p w14:paraId="1A9B37D0" w14:textId="47D60FF3"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6</w:t>
            </w:r>
            <w:r w:rsidR="00FC1FFE" w:rsidRPr="00C06349">
              <w:rPr>
                <w:sz w:val="18"/>
                <w:szCs w:val="20"/>
              </w:rPr>
              <w:t> </w:t>
            </w:r>
            <w:r w:rsidRPr="00C06349">
              <w:rPr>
                <w:sz w:val="18"/>
                <w:szCs w:val="20"/>
              </w:rPr>
              <w:t xml:space="preserve">803,12 </w:t>
            </w:r>
          </w:p>
        </w:tc>
      </w:tr>
      <w:tr w:rsidR="007F6FC9" w:rsidRPr="00C06349" w14:paraId="5DEF5A97" w14:textId="77777777" w:rsidTr="007D62FF">
        <w:trPr>
          <w:trHeight w:val="308"/>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101C9C6"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F2F2F2" w:themeFill="background1" w:themeFillShade="F2"/>
            <w:vAlign w:val="center"/>
            <w:hideMark/>
          </w:tcPr>
          <w:p w14:paraId="3CA67231" w14:textId="77777777" w:rsidR="007F6FC9" w:rsidRPr="007E0B36" w:rsidRDefault="007F6FC9" w:rsidP="00D85CE5">
            <w:pPr>
              <w:keepNext/>
              <w:keepLines/>
              <w:snapToGrid/>
              <w:spacing w:before="0" w:after="0"/>
              <w:jc w:val="left"/>
              <w:rPr>
                <w:rFonts w:eastAsia="Times New Roman" w:cstheme="minorHAnsi"/>
                <w:b/>
                <w:bCs/>
                <w:color w:val="000000"/>
                <w:spacing w:val="-2"/>
                <w:sz w:val="18"/>
                <w:szCs w:val="20"/>
              </w:rPr>
            </w:pPr>
            <w:r w:rsidRPr="007E0B36">
              <w:rPr>
                <w:b/>
                <w:color w:val="000000"/>
                <w:spacing w:val="-2"/>
                <w:sz w:val="18"/>
                <w:szCs w:val="20"/>
              </w:rPr>
              <w:t>Programme de microfinancement (ressources de base)</w:t>
            </w:r>
          </w:p>
        </w:tc>
        <w:tc>
          <w:tcPr>
            <w:tcW w:w="1418" w:type="dxa"/>
            <w:tcBorders>
              <w:top w:val="nil"/>
              <w:left w:val="nil"/>
              <w:bottom w:val="single" w:sz="4" w:space="0" w:color="auto"/>
              <w:right w:val="single" w:sz="4" w:space="0" w:color="auto"/>
            </w:tcBorders>
            <w:shd w:val="clear" w:color="auto" w:fill="F2F2F2" w:themeFill="background1" w:themeFillShade="F2"/>
            <w:vAlign w:val="center"/>
            <w:hideMark/>
          </w:tcPr>
          <w:p w14:paraId="5877A3A8" w14:textId="77777777"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154,86 </w:t>
            </w:r>
          </w:p>
        </w:tc>
        <w:tc>
          <w:tcPr>
            <w:tcW w:w="1260" w:type="dxa"/>
            <w:tcBorders>
              <w:top w:val="single" w:sz="4" w:space="0" w:color="auto"/>
              <w:bottom w:val="single" w:sz="4" w:space="0" w:color="auto"/>
              <w:right w:val="single" w:sz="4" w:space="0" w:color="auto"/>
            </w:tcBorders>
            <w:shd w:val="clear" w:color="auto" w:fill="F2F2F2" w:themeFill="background1" w:themeFillShade="F2"/>
            <w:vAlign w:val="center"/>
          </w:tcPr>
          <w:p w14:paraId="00CE51E1" w14:textId="1418BBBA" w:rsidR="007F6FC9" w:rsidRPr="00C06349" w:rsidRDefault="007F6FC9" w:rsidP="00D85CE5">
            <w:pPr>
              <w:keepNext/>
              <w:keepLines/>
              <w:snapToGrid/>
              <w:spacing w:before="0" w:after="0"/>
              <w:jc w:val="right"/>
              <w:rPr>
                <w:rFonts w:ascii="Calibri" w:hAnsi="Calibri" w:cs="Calibri"/>
                <w:b/>
                <w:bCs/>
                <w:color w:val="000000"/>
                <w:sz w:val="18"/>
                <w:szCs w:val="20"/>
                <w:highlight w:val="yellow"/>
              </w:rPr>
            </w:pPr>
            <w:r w:rsidRPr="00C06349">
              <w:rPr>
                <w:sz w:val="18"/>
                <w:szCs w:val="20"/>
              </w:rPr>
              <w:t>3</w:t>
            </w:r>
            <w:r w:rsidR="00966C17">
              <w:rPr>
                <w:sz w:val="18"/>
                <w:szCs w:val="20"/>
              </w:rPr>
              <w:t> %</w:t>
            </w:r>
          </w:p>
        </w:tc>
        <w:tc>
          <w:tcPr>
            <w:tcW w:w="157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627E328" w14:textId="77777777"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931,33 </w:t>
            </w:r>
          </w:p>
        </w:tc>
        <w:tc>
          <w:tcPr>
            <w:tcW w:w="1212" w:type="dxa"/>
            <w:tcBorders>
              <w:top w:val="nil"/>
              <w:left w:val="nil"/>
              <w:bottom w:val="single" w:sz="4" w:space="0" w:color="auto"/>
              <w:right w:val="single" w:sz="4" w:space="0" w:color="auto"/>
            </w:tcBorders>
            <w:shd w:val="clear" w:color="auto" w:fill="F2F2F2" w:themeFill="background1" w:themeFillShade="F2"/>
            <w:vAlign w:val="center"/>
            <w:hideMark/>
          </w:tcPr>
          <w:p w14:paraId="434234C6" w14:textId="4444296D"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w:t>
            </w:r>
            <w:r w:rsidR="00FC1FFE" w:rsidRPr="00C06349">
              <w:rPr>
                <w:sz w:val="18"/>
                <w:szCs w:val="20"/>
              </w:rPr>
              <w:t> </w:t>
            </w:r>
            <w:r w:rsidRPr="00C06349">
              <w:rPr>
                <w:sz w:val="18"/>
                <w:szCs w:val="20"/>
              </w:rPr>
              <w:t xml:space="preserve">086,19 </w:t>
            </w:r>
          </w:p>
        </w:tc>
      </w:tr>
      <w:tr w:rsidR="007F6FC9" w:rsidRPr="00C06349" w14:paraId="37DD47C5" w14:textId="77777777" w:rsidTr="007D62FF">
        <w:trPr>
          <w:trHeight w:val="308"/>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2733875"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FFFFFF" w:themeFill="background1"/>
            <w:vAlign w:val="center"/>
            <w:hideMark/>
          </w:tcPr>
          <w:p w14:paraId="5949C608" w14:textId="77777777" w:rsidR="007F6FC9" w:rsidRPr="007E0B36" w:rsidRDefault="007F6FC9" w:rsidP="00D85CE5">
            <w:pPr>
              <w:keepNext/>
              <w:keepLines/>
              <w:snapToGrid/>
              <w:spacing w:before="0" w:after="0"/>
              <w:rPr>
                <w:rFonts w:eastAsia="Times New Roman" w:cstheme="minorHAnsi"/>
                <w:b/>
                <w:bCs/>
                <w:color w:val="000000"/>
                <w:spacing w:val="-2"/>
                <w:sz w:val="18"/>
                <w:szCs w:val="20"/>
              </w:rPr>
            </w:pPr>
            <w:r w:rsidRPr="007E0B36">
              <w:rPr>
                <w:b/>
                <w:color w:val="000000"/>
                <w:spacing w:val="-2"/>
                <w:sz w:val="18"/>
                <w:szCs w:val="20"/>
              </w:rPr>
              <w:t>Instruments financiers autres que les aides directes (financement mixte)</w:t>
            </w:r>
          </w:p>
        </w:tc>
        <w:tc>
          <w:tcPr>
            <w:tcW w:w="1418" w:type="dxa"/>
            <w:tcBorders>
              <w:top w:val="nil"/>
              <w:left w:val="nil"/>
              <w:bottom w:val="single" w:sz="4" w:space="0" w:color="auto"/>
              <w:right w:val="single" w:sz="4" w:space="0" w:color="auto"/>
            </w:tcBorders>
            <w:shd w:val="clear" w:color="auto" w:fill="FFFFFF" w:themeFill="background1"/>
            <w:vAlign w:val="center"/>
            <w:hideMark/>
          </w:tcPr>
          <w:p w14:paraId="7E3EFF76" w14:textId="77777777"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108,54 </w:t>
            </w:r>
          </w:p>
        </w:tc>
        <w:tc>
          <w:tcPr>
            <w:tcW w:w="1260" w:type="dxa"/>
            <w:tcBorders>
              <w:top w:val="single" w:sz="4" w:space="0" w:color="auto"/>
              <w:bottom w:val="single" w:sz="4" w:space="0" w:color="auto"/>
              <w:right w:val="single" w:sz="4" w:space="0" w:color="auto"/>
            </w:tcBorders>
            <w:shd w:val="clear" w:color="auto" w:fill="FFFFFF" w:themeFill="background1"/>
            <w:vAlign w:val="center"/>
          </w:tcPr>
          <w:p w14:paraId="51DB5AE9" w14:textId="0DA79191" w:rsidR="007F6FC9" w:rsidRPr="00C06349" w:rsidRDefault="007F6FC9" w:rsidP="00D85CE5">
            <w:pPr>
              <w:keepNext/>
              <w:keepLines/>
              <w:snapToGrid/>
              <w:spacing w:before="0" w:after="0"/>
              <w:jc w:val="right"/>
              <w:rPr>
                <w:rFonts w:ascii="Calibri" w:hAnsi="Calibri" w:cs="Calibri"/>
                <w:b/>
                <w:bCs/>
                <w:color w:val="000000"/>
                <w:sz w:val="18"/>
                <w:szCs w:val="20"/>
                <w:highlight w:val="yellow"/>
              </w:rPr>
            </w:pPr>
            <w:r w:rsidRPr="00C06349">
              <w:rPr>
                <w:sz w:val="18"/>
                <w:szCs w:val="20"/>
              </w:rPr>
              <w:t>2</w:t>
            </w:r>
            <w:r w:rsidR="00966C17">
              <w:rPr>
                <w:sz w:val="18"/>
                <w:szCs w:val="20"/>
              </w:rPr>
              <w:t> %</w:t>
            </w:r>
          </w:p>
        </w:tc>
        <w:tc>
          <w:tcPr>
            <w:tcW w:w="1575" w:type="dxa"/>
            <w:tcBorders>
              <w:top w:val="nil"/>
              <w:left w:val="single" w:sz="4" w:space="0" w:color="auto"/>
              <w:bottom w:val="single" w:sz="4" w:space="0" w:color="auto"/>
              <w:right w:val="single" w:sz="4" w:space="0" w:color="auto"/>
            </w:tcBorders>
            <w:shd w:val="clear" w:color="auto" w:fill="FFFFFF" w:themeFill="background1"/>
            <w:vAlign w:val="center"/>
            <w:hideMark/>
          </w:tcPr>
          <w:p w14:paraId="673B7F06" w14:textId="3E14366E"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w:t>
            </w:r>
            <w:r w:rsidR="00FC1FFE" w:rsidRPr="00C06349">
              <w:rPr>
                <w:sz w:val="18"/>
                <w:szCs w:val="20"/>
              </w:rPr>
              <w:t> </w:t>
            </w:r>
            <w:r w:rsidRPr="00C06349">
              <w:rPr>
                <w:sz w:val="18"/>
                <w:szCs w:val="20"/>
              </w:rPr>
              <w:t xml:space="preserve">843,50 </w:t>
            </w:r>
          </w:p>
        </w:tc>
        <w:tc>
          <w:tcPr>
            <w:tcW w:w="1212" w:type="dxa"/>
            <w:tcBorders>
              <w:top w:val="nil"/>
              <w:left w:val="nil"/>
              <w:bottom w:val="single" w:sz="4" w:space="0" w:color="auto"/>
              <w:right w:val="single" w:sz="4" w:space="0" w:color="auto"/>
            </w:tcBorders>
            <w:shd w:val="clear" w:color="auto" w:fill="FFFFFF" w:themeFill="background1"/>
            <w:vAlign w:val="center"/>
            <w:hideMark/>
          </w:tcPr>
          <w:p w14:paraId="7084F5F9" w14:textId="6B287EFB"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w:t>
            </w:r>
            <w:r w:rsidR="00FC1FFE" w:rsidRPr="00C06349">
              <w:rPr>
                <w:sz w:val="18"/>
                <w:szCs w:val="20"/>
              </w:rPr>
              <w:t> </w:t>
            </w:r>
            <w:r w:rsidRPr="00C06349">
              <w:rPr>
                <w:sz w:val="18"/>
                <w:szCs w:val="20"/>
              </w:rPr>
              <w:t xml:space="preserve">952,04 </w:t>
            </w:r>
          </w:p>
        </w:tc>
      </w:tr>
      <w:tr w:rsidR="007F6FC9" w:rsidRPr="00C06349" w14:paraId="6B16EDC6" w14:textId="77777777" w:rsidTr="007D62FF">
        <w:trPr>
          <w:trHeight w:val="293"/>
          <w:jc w:val="center"/>
        </w:trPr>
        <w:tc>
          <w:tcPr>
            <w:tcW w:w="846"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F172336" w14:textId="77777777" w:rsidR="007F6FC9" w:rsidRPr="00C06349" w:rsidRDefault="007F6FC9" w:rsidP="00D85CE5">
            <w:pPr>
              <w:keepNext/>
              <w:keepLines/>
              <w:snapToGrid/>
              <w:spacing w:before="0" w:after="0"/>
              <w:jc w:val="left"/>
              <w:rPr>
                <w:rFonts w:eastAsia="Times New Roman" w:cstheme="minorHAnsi"/>
                <w:b/>
                <w:bCs/>
                <w:color w:val="000000"/>
                <w:sz w:val="18"/>
                <w:szCs w:val="20"/>
              </w:rPr>
            </w:pPr>
          </w:p>
        </w:tc>
        <w:tc>
          <w:tcPr>
            <w:tcW w:w="3685" w:type="dxa"/>
            <w:tcBorders>
              <w:top w:val="nil"/>
              <w:left w:val="nil"/>
              <w:bottom w:val="single" w:sz="4" w:space="0" w:color="auto"/>
              <w:right w:val="single" w:sz="4" w:space="0" w:color="auto"/>
            </w:tcBorders>
            <w:shd w:val="clear" w:color="auto" w:fill="F2F2F2" w:themeFill="background1" w:themeFillShade="F2"/>
            <w:vAlign w:val="center"/>
            <w:hideMark/>
          </w:tcPr>
          <w:p w14:paraId="75AEB5DE" w14:textId="77777777" w:rsidR="007F6FC9" w:rsidRPr="007E0B36" w:rsidRDefault="007F6FC9" w:rsidP="00D85CE5">
            <w:pPr>
              <w:keepNext/>
              <w:keepLines/>
              <w:snapToGrid/>
              <w:spacing w:before="0" w:after="0"/>
              <w:rPr>
                <w:rFonts w:eastAsia="Times New Roman" w:cstheme="minorHAnsi"/>
                <w:b/>
                <w:bCs/>
                <w:color w:val="000000"/>
                <w:spacing w:val="-2"/>
                <w:sz w:val="18"/>
                <w:szCs w:val="20"/>
              </w:rPr>
            </w:pPr>
            <w:r w:rsidRPr="007E0B36">
              <w:rPr>
                <w:b/>
                <w:color w:val="000000"/>
                <w:spacing w:val="-2"/>
                <w:sz w:val="18"/>
                <w:szCs w:val="20"/>
              </w:rPr>
              <w:t>Guichet innovation</w:t>
            </w:r>
          </w:p>
        </w:tc>
        <w:tc>
          <w:tcPr>
            <w:tcW w:w="1418" w:type="dxa"/>
            <w:tcBorders>
              <w:top w:val="nil"/>
              <w:left w:val="nil"/>
              <w:bottom w:val="single" w:sz="4" w:space="0" w:color="auto"/>
              <w:right w:val="single" w:sz="4" w:space="0" w:color="auto"/>
            </w:tcBorders>
            <w:shd w:val="clear" w:color="auto" w:fill="F2F2F2" w:themeFill="background1" w:themeFillShade="F2"/>
            <w:vAlign w:val="center"/>
            <w:hideMark/>
          </w:tcPr>
          <w:p w14:paraId="4A83EB07" w14:textId="77777777"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10,32 </w:t>
            </w:r>
          </w:p>
        </w:tc>
        <w:tc>
          <w:tcPr>
            <w:tcW w:w="1260" w:type="dxa"/>
            <w:tcBorders>
              <w:top w:val="single" w:sz="4" w:space="0" w:color="auto"/>
              <w:bottom w:val="single" w:sz="4" w:space="0" w:color="auto"/>
              <w:right w:val="single" w:sz="4" w:space="0" w:color="auto"/>
            </w:tcBorders>
            <w:shd w:val="clear" w:color="auto" w:fill="F2F2F2" w:themeFill="background1" w:themeFillShade="F2"/>
            <w:vAlign w:val="center"/>
          </w:tcPr>
          <w:p w14:paraId="41DC3C3E" w14:textId="3412CFF9" w:rsidR="007F6FC9" w:rsidRPr="00C06349" w:rsidRDefault="007F6FC9" w:rsidP="00D85CE5">
            <w:pPr>
              <w:keepNext/>
              <w:keepLines/>
              <w:snapToGrid/>
              <w:spacing w:before="0" w:after="0"/>
              <w:jc w:val="right"/>
              <w:rPr>
                <w:rFonts w:ascii="Calibri" w:hAnsi="Calibri" w:cs="Calibri"/>
                <w:b/>
                <w:bCs/>
                <w:color w:val="000000"/>
                <w:sz w:val="18"/>
                <w:szCs w:val="20"/>
                <w:highlight w:val="yellow"/>
              </w:rPr>
            </w:pPr>
            <w:r w:rsidRPr="00C06349">
              <w:rPr>
                <w:sz w:val="18"/>
                <w:szCs w:val="20"/>
              </w:rPr>
              <w:t>0,2</w:t>
            </w:r>
            <w:r w:rsidR="00966C17">
              <w:rPr>
                <w:sz w:val="18"/>
                <w:szCs w:val="20"/>
              </w:rPr>
              <w:t> %</w:t>
            </w:r>
          </w:p>
        </w:tc>
        <w:tc>
          <w:tcPr>
            <w:tcW w:w="157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8FFE20D" w14:textId="77777777"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14,87 </w:t>
            </w:r>
          </w:p>
        </w:tc>
        <w:tc>
          <w:tcPr>
            <w:tcW w:w="1212" w:type="dxa"/>
            <w:tcBorders>
              <w:top w:val="nil"/>
              <w:left w:val="nil"/>
              <w:bottom w:val="single" w:sz="4" w:space="0" w:color="auto"/>
              <w:right w:val="single" w:sz="4" w:space="0" w:color="auto"/>
            </w:tcBorders>
            <w:shd w:val="clear" w:color="auto" w:fill="F2F2F2" w:themeFill="background1" w:themeFillShade="F2"/>
            <w:vAlign w:val="center"/>
            <w:hideMark/>
          </w:tcPr>
          <w:p w14:paraId="4B8FEA28" w14:textId="77777777"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25,19 </w:t>
            </w:r>
          </w:p>
        </w:tc>
      </w:tr>
      <w:tr w:rsidR="007F6FC9" w:rsidRPr="00C06349" w14:paraId="4FF59E30" w14:textId="77777777" w:rsidTr="007D62FF">
        <w:trPr>
          <w:trHeight w:val="293"/>
          <w:jc w:val="center"/>
        </w:trPr>
        <w:tc>
          <w:tcPr>
            <w:tcW w:w="84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ACBEB0" w14:textId="77777777" w:rsidR="007F6FC9" w:rsidRPr="00C06349" w:rsidRDefault="007F6FC9" w:rsidP="00D85CE5">
            <w:pPr>
              <w:keepNext/>
              <w:keepLines/>
              <w:snapToGrid/>
              <w:spacing w:before="0" w:after="0"/>
              <w:rPr>
                <w:rFonts w:eastAsia="Times New Roman" w:cstheme="minorHAnsi"/>
                <w:b/>
                <w:bCs/>
                <w:color w:val="000000"/>
                <w:sz w:val="18"/>
                <w:szCs w:val="20"/>
              </w:rPr>
            </w:pPr>
            <w:r w:rsidRPr="00C06349">
              <w:rPr>
                <w:b/>
                <w:color w:val="000000"/>
                <w:sz w:val="18"/>
                <w:szCs w:val="20"/>
              </w:rPr>
              <w:t>GBFF</w:t>
            </w:r>
          </w:p>
        </w:tc>
        <w:tc>
          <w:tcPr>
            <w:tcW w:w="3685" w:type="dxa"/>
            <w:tcBorders>
              <w:top w:val="nil"/>
              <w:left w:val="nil"/>
              <w:bottom w:val="single" w:sz="4" w:space="0" w:color="auto"/>
              <w:right w:val="single" w:sz="4" w:space="0" w:color="auto"/>
            </w:tcBorders>
            <w:shd w:val="clear" w:color="auto" w:fill="FFFFFF" w:themeFill="background1"/>
            <w:vAlign w:val="center"/>
            <w:hideMark/>
          </w:tcPr>
          <w:p w14:paraId="231C4639" w14:textId="77777777" w:rsidR="007F6FC9" w:rsidRPr="00C06349" w:rsidRDefault="007F6FC9" w:rsidP="00D85CE5">
            <w:pPr>
              <w:keepNext/>
              <w:keepLines/>
              <w:snapToGrid/>
              <w:spacing w:before="0" w:after="0"/>
              <w:rPr>
                <w:rFonts w:eastAsia="Times New Roman" w:cstheme="minorHAnsi"/>
                <w:b/>
                <w:bCs/>
                <w:color w:val="000000"/>
                <w:sz w:val="18"/>
                <w:szCs w:val="20"/>
              </w:rPr>
            </w:pPr>
            <w:r w:rsidRPr="00C06349">
              <w:rPr>
                <w:b/>
                <w:color w:val="000000"/>
                <w:sz w:val="18"/>
                <w:szCs w:val="20"/>
              </w:rPr>
              <w:t> </w:t>
            </w:r>
          </w:p>
        </w:tc>
        <w:tc>
          <w:tcPr>
            <w:tcW w:w="1418" w:type="dxa"/>
            <w:tcBorders>
              <w:top w:val="nil"/>
              <w:left w:val="nil"/>
              <w:bottom w:val="single" w:sz="4" w:space="0" w:color="auto"/>
              <w:right w:val="single" w:sz="4" w:space="0" w:color="auto"/>
            </w:tcBorders>
            <w:shd w:val="clear" w:color="auto" w:fill="FFFFFF" w:themeFill="background1"/>
            <w:vAlign w:val="center"/>
            <w:hideMark/>
          </w:tcPr>
          <w:p w14:paraId="0EBEBBD9" w14:textId="77777777"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362,13 </w:t>
            </w:r>
          </w:p>
        </w:tc>
        <w:tc>
          <w:tcPr>
            <w:tcW w:w="1260" w:type="dxa"/>
            <w:tcBorders>
              <w:top w:val="single" w:sz="4" w:space="0" w:color="auto"/>
              <w:bottom w:val="single" w:sz="4" w:space="0" w:color="auto"/>
              <w:right w:val="single" w:sz="4" w:space="0" w:color="auto"/>
            </w:tcBorders>
            <w:shd w:val="clear" w:color="auto" w:fill="FFFFFF" w:themeFill="background1"/>
            <w:vAlign w:val="center"/>
          </w:tcPr>
          <w:p w14:paraId="46391DB8" w14:textId="2569FB2E" w:rsidR="007F6FC9" w:rsidRPr="00C06349" w:rsidRDefault="007F6FC9" w:rsidP="00D85CE5">
            <w:pPr>
              <w:keepNext/>
              <w:keepLines/>
              <w:snapToGrid/>
              <w:spacing w:before="0" w:after="0"/>
              <w:jc w:val="right"/>
              <w:rPr>
                <w:rFonts w:ascii="Calibri" w:hAnsi="Calibri" w:cs="Calibri"/>
                <w:b/>
                <w:bCs/>
                <w:color w:val="000000"/>
                <w:sz w:val="18"/>
                <w:szCs w:val="20"/>
                <w:highlight w:val="yellow"/>
              </w:rPr>
            </w:pPr>
            <w:r w:rsidRPr="00C06349">
              <w:rPr>
                <w:sz w:val="18"/>
                <w:szCs w:val="20"/>
              </w:rPr>
              <w:t>7,8</w:t>
            </w:r>
            <w:r w:rsidR="00966C17">
              <w:rPr>
                <w:sz w:val="18"/>
                <w:szCs w:val="20"/>
              </w:rPr>
              <w:t> %</w:t>
            </w:r>
          </w:p>
        </w:tc>
        <w:tc>
          <w:tcPr>
            <w:tcW w:w="1575" w:type="dxa"/>
            <w:tcBorders>
              <w:top w:val="nil"/>
              <w:left w:val="single" w:sz="4" w:space="0" w:color="auto"/>
              <w:bottom w:val="single" w:sz="4" w:space="0" w:color="auto"/>
              <w:right w:val="single" w:sz="4" w:space="0" w:color="auto"/>
            </w:tcBorders>
            <w:shd w:val="clear" w:color="auto" w:fill="FFFFFF" w:themeFill="background1"/>
            <w:vAlign w:val="center"/>
            <w:hideMark/>
          </w:tcPr>
          <w:p w14:paraId="1835E3ED" w14:textId="3D264DDD"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w:t>
            </w:r>
            <w:r w:rsidR="00FC1FFE" w:rsidRPr="00C06349">
              <w:rPr>
                <w:sz w:val="18"/>
                <w:szCs w:val="20"/>
              </w:rPr>
              <w:t> </w:t>
            </w:r>
            <w:r w:rsidRPr="00C06349">
              <w:rPr>
                <w:sz w:val="18"/>
                <w:szCs w:val="20"/>
              </w:rPr>
              <w:t xml:space="preserve">441,02 </w:t>
            </w:r>
          </w:p>
        </w:tc>
        <w:tc>
          <w:tcPr>
            <w:tcW w:w="1212" w:type="dxa"/>
            <w:tcBorders>
              <w:top w:val="nil"/>
              <w:left w:val="nil"/>
              <w:bottom w:val="single" w:sz="4" w:space="0" w:color="auto"/>
              <w:right w:val="single" w:sz="4" w:space="0" w:color="auto"/>
            </w:tcBorders>
            <w:shd w:val="clear" w:color="auto" w:fill="FFFFFF" w:themeFill="background1"/>
            <w:vAlign w:val="center"/>
            <w:hideMark/>
          </w:tcPr>
          <w:p w14:paraId="6675CAE5" w14:textId="74B54074"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w:t>
            </w:r>
            <w:r w:rsidR="00FC1FFE" w:rsidRPr="00C06349">
              <w:rPr>
                <w:sz w:val="18"/>
                <w:szCs w:val="20"/>
              </w:rPr>
              <w:t> </w:t>
            </w:r>
            <w:r w:rsidRPr="00C06349">
              <w:rPr>
                <w:sz w:val="18"/>
                <w:szCs w:val="20"/>
              </w:rPr>
              <w:t xml:space="preserve">803,14 </w:t>
            </w:r>
          </w:p>
        </w:tc>
      </w:tr>
      <w:tr w:rsidR="007F6FC9" w:rsidRPr="00C06349" w14:paraId="23EC36A8" w14:textId="77777777" w:rsidTr="007D62FF">
        <w:trPr>
          <w:trHeight w:val="293"/>
          <w:jc w:val="center"/>
        </w:trPr>
        <w:tc>
          <w:tcPr>
            <w:tcW w:w="84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CC27FF7" w14:textId="77777777" w:rsidR="007F6FC9" w:rsidRPr="00C06349" w:rsidRDefault="007F6FC9" w:rsidP="00D85CE5">
            <w:pPr>
              <w:keepNext/>
              <w:keepLines/>
              <w:snapToGrid/>
              <w:spacing w:before="0" w:after="0"/>
              <w:rPr>
                <w:rFonts w:eastAsia="Times New Roman" w:cstheme="minorHAnsi"/>
                <w:b/>
                <w:bCs/>
                <w:color w:val="000000"/>
                <w:sz w:val="18"/>
                <w:szCs w:val="20"/>
              </w:rPr>
            </w:pPr>
            <w:r w:rsidRPr="00C06349">
              <w:rPr>
                <w:b/>
                <w:color w:val="000000"/>
                <w:sz w:val="18"/>
                <w:szCs w:val="20"/>
              </w:rPr>
              <w:t>FPMA/FSCC</w:t>
            </w:r>
          </w:p>
        </w:tc>
        <w:tc>
          <w:tcPr>
            <w:tcW w:w="3685" w:type="dxa"/>
            <w:tcBorders>
              <w:top w:val="nil"/>
              <w:left w:val="nil"/>
              <w:bottom w:val="single" w:sz="4" w:space="0" w:color="auto"/>
              <w:right w:val="single" w:sz="4" w:space="0" w:color="auto"/>
            </w:tcBorders>
            <w:shd w:val="clear" w:color="auto" w:fill="F2F2F2" w:themeFill="background1" w:themeFillShade="F2"/>
            <w:vAlign w:val="center"/>
            <w:hideMark/>
          </w:tcPr>
          <w:p w14:paraId="6CB3E91D" w14:textId="77777777" w:rsidR="007F6FC9" w:rsidRPr="00C06349" w:rsidRDefault="007F6FC9" w:rsidP="00D85CE5">
            <w:pPr>
              <w:keepNext/>
              <w:keepLines/>
              <w:snapToGrid/>
              <w:spacing w:before="0" w:after="0"/>
              <w:rPr>
                <w:rFonts w:eastAsia="Times New Roman" w:cstheme="minorHAnsi"/>
                <w:b/>
                <w:bCs/>
                <w:color w:val="000000"/>
                <w:sz w:val="18"/>
                <w:szCs w:val="20"/>
              </w:rPr>
            </w:pPr>
            <w:r w:rsidRPr="00C06349">
              <w:rPr>
                <w:b/>
                <w:color w:val="000000"/>
                <w:sz w:val="18"/>
                <w:szCs w:val="20"/>
              </w:rPr>
              <w:t> </w:t>
            </w:r>
          </w:p>
        </w:tc>
        <w:tc>
          <w:tcPr>
            <w:tcW w:w="1418" w:type="dxa"/>
            <w:tcBorders>
              <w:top w:val="nil"/>
              <w:left w:val="nil"/>
              <w:bottom w:val="single" w:sz="4" w:space="0" w:color="auto"/>
              <w:right w:val="single" w:sz="4" w:space="0" w:color="auto"/>
            </w:tcBorders>
            <w:shd w:val="clear" w:color="auto" w:fill="F2F2F2" w:themeFill="background1" w:themeFillShade="F2"/>
            <w:vAlign w:val="center"/>
            <w:hideMark/>
          </w:tcPr>
          <w:p w14:paraId="4D02FB30" w14:textId="77777777"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466,76 </w:t>
            </w:r>
          </w:p>
        </w:tc>
        <w:tc>
          <w:tcPr>
            <w:tcW w:w="1260" w:type="dxa"/>
            <w:tcBorders>
              <w:top w:val="single" w:sz="4" w:space="0" w:color="auto"/>
              <w:bottom w:val="single" w:sz="4" w:space="0" w:color="auto"/>
              <w:right w:val="single" w:sz="4" w:space="0" w:color="auto"/>
            </w:tcBorders>
            <w:shd w:val="clear" w:color="auto" w:fill="F2F2F2" w:themeFill="background1" w:themeFillShade="F2"/>
            <w:vAlign w:val="center"/>
          </w:tcPr>
          <w:p w14:paraId="066B51CF" w14:textId="3FA2F2F4" w:rsidR="007F6FC9" w:rsidRPr="00C06349" w:rsidRDefault="007F6FC9" w:rsidP="00D85CE5">
            <w:pPr>
              <w:keepNext/>
              <w:keepLines/>
              <w:snapToGrid/>
              <w:spacing w:before="0" w:after="0"/>
              <w:jc w:val="right"/>
              <w:rPr>
                <w:rFonts w:ascii="Calibri" w:hAnsi="Calibri" w:cs="Calibri"/>
                <w:b/>
                <w:bCs/>
                <w:color w:val="000000"/>
                <w:sz w:val="18"/>
                <w:szCs w:val="20"/>
                <w:highlight w:val="yellow"/>
              </w:rPr>
            </w:pPr>
            <w:r w:rsidRPr="00C06349">
              <w:rPr>
                <w:sz w:val="18"/>
                <w:szCs w:val="20"/>
              </w:rPr>
              <w:t>10,1</w:t>
            </w:r>
            <w:r w:rsidR="00966C17">
              <w:rPr>
                <w:sz w:val="18"/>
                <w:szCs w:val="20"/>
              </w:rPr>
              <w:t> %</w:t>
            </w:r>
          </w:p>
        </w:tc>
        <w:tc>
          <w:tcPr>
            <w:tcW w:w="157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E2E1EDB" w14:textId="65DDE7CE"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1</w:t>
            </w:r>
            <w:r w:rsidR="00FC1FFE" w:rsidRPr="00C06349">
              <w:rPr>
                <w:sz w:val="18"/>
                <w:szCs w:val="20"/>
              </w:rPr>
              <w:t> </w:t>
            </w:r>
            <w:r w:rsidRPr="00C06349">
              <w:rPr>
                <w:sz w:val="18"/>
                <w:szCs w:val="20"/>
              </w:rPr>
              <w:t xml:space="preserve">668,12 </w:t>
            </w:r>
          </w:p>
        </w:tc>
        <w:tc>
          <w:tcPr>
            <w:tcW w:w="1212" w:type="dxa"/>
            <w:tcBorders>
              <w:top w:val="nil"/>
              <w:left w:val="nil"/>
              <w:bottom w:val="single" w:sz="4" w:space="0" w:color="auto"/>
              <w:right w:val="single" w:sz="4" w:space="0" w:color="auto"/>
            </w:tcBorders>
            <w:shd w:val="clear" w:color="auto" w:fill="F2F2F2" w:themeFill="background1" w:themeFillShade="F2"/>
            <w:vAlign w:val="center"/>
            <w:hideMark/>
          </w:tcPr>
          <w:p w14:paraId="2A629B4A" w14:textId="7A016C89"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2</w:t>
            </w:r>
            <w:r w:rsidR="00FC1FFE" w:rsidRPr="00C06349">
              <w:rPr>
                <w:sz w:val="18"/>
                <w:szCs w:val="20"/>
              </w:rPr>
              <w:t> </w:t>
            </w:r>
            <w:r w:rsidRPr="00C06349">
              <w:rPr>
                <w:sz w:val="18"/>
                <w:szCs w:val="20"/>
              </w:rPr>
              <w:t xml:space="preserve">134,88 </w:t>
            </w:r>
          </w:p>
        </w:tc>
      </w:tr>
      <w:tr w:rsidR="007F6FC9" w:rsidRPr="00C06349" w14:paraId="6A402883" w14:textId="77777777" w:rsidTr="007D62FF">
        <w:trPr>
          <w:trHeight w:val="293"/>
          <w:jc w:val="center"/>
        </w:trPr>
        <w:tc>
          <w:tcPr>
            <w:tcW w:w="45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F99D87" w14:textId="77777777" w:rsidR="007F6FC9" w:rsidRPr="00C06349" w:rsidRDefault="007F6FC9" w:rsidP="00D85CE5">
            <w:pPr>
              <w:keepNext/>
              <w:keepLines/>
              <w:snapToGrid/>
              <w:spacing w:before="0" w:after="0"/>
              <w:jc w:val="center"/>
              <w:rPr>
                <w:rFonts w:eastAsia="Times New Roman" w:cstheme="minorHAnsi"/>
                <w:b/>
                <w:color w:val="000000"/>
                <w:sz w:val="18"/>
                <w:szCs w:val="20"/>
              </w:rPr>
            </w:pPr>
            <w:r w:rsidRPr="00C06349">
              <w:rPr>
                <w:b/>
                <w:color w:val="000000"/>
                <w:sz w:val="18"/>
                <w:szCs w:val="20"/>
              </w:rPr>
              <w:t>Total des ressources à l’appui du KMBGF</w:t>
            </w:r>
          </w:p>
        </w:tc>
        <w:tc>
          <w:tcPr>
            <w:tcW w:w="1418" w:type="dxa"/>
            <w:tcBorders>
              <w:top w:val="nil"/>
              <w:left w:val="nil"/>
              <w:bottom w:val="single" w:sz="4" w:space="0" w:color="auto"/>
              <w:right w:val="single" w:sz="4" w:space="0" w:color="auto"/>
            </w:tcBorders>
            <w:shd w:val="clear" w:color="auto" w:fill="FFFFFF" w:themeFill="background1"/>
            <w:vAlign w:val="center"/>
            <w:hideMark/>
          </w:tcPr>
          <w:p w14:paraId="7E1D1D5B" w14:textId="39CB9960"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4</w:t>
            </w:r>
            <w:r w:rsidR="00FC1FFE" w:rsidRPr="00C06349">
              <w:rPr>
                <w:sz w:val="18"/>
                <w:szCs w:val="20"/>
              </w:rPr>
              <w:t> </w:t>
            </w:r>
            <w:r w:rsidRPr="00C06349">
              <w:rPr>
                <w:sz w:val="18"/>
                <w:szCs w:val="20"/>
              </w:rPr>
              <w:t xml:space="preserve">640,17 </w:t>
            </w:r>
          </w:p>
        </w:tc>
        <w:tc>
          <w:tcPr>
            <w:tcW w:w="1260" w:type="dxa"/>
            <w:tcBorders>
              <w:top w:val="single" w:sz="4" w:space="0" w:color="auto"/>
              <w:bottom w:val="single" w:sz="4" w:space="0" w:color="auto"/>
              <w:right w:val="single" w:sz="4" w:space="0" w:color="auto"/>
            </w:tcBorders>
            <w:shd w:val="clear" w:color="auto" w:fill="FFFFFF" w:themeFill="background1"/>
            <w:vAlign w:val="center"/>
          </w:tcPr>
          <w:p w14:paraId="3DFC19AE" w14:textId="20216A1F" w:rsidR="007F6FC9" w:rsidRPr="00C06349" w:rsidRDefault="007F6FC9" w:rsidP="00D85CE5">
            <w:pPr>
              <w:keepNext/>
              <w:keepLines/>
              <w:snapToGrid/>
              <w:spacing w:before="0" w:after="0"/>
              <w:jc w:val="right"/>
              <w:rPr>
                <w:rFonts w:eastAsia="Times New Roman" w:cstheme="minorHAnsi"/>
                <w:b/>
                <w:bCs/>
                <w:color w:val="000000" w:themeColor="text1"/>
                <w:sz w:val="18"/>
                <w:szCs w:val="20"/>
                <w:highlight w:val="yellow"/>
              </w:rPr>
            </w:pPr>
            <w:r w:rsidRPr="00C06349">
              <w:rPr>
                <w:sz w:val="18"/>
                <w:szCs w:val="20"/>
              </w:rPr>
              <w:t>100</w:t>
            </w:r>
            <w:r w:rsidR="00966C17">
              <w:rPr>
                <w:sz w:val="18"/>
                <w:szCs w:val="20"/>
              </w:rPr>
              <w:t> %</w:t>
            </w:r>
          </w:p>
        </w:tc>
        <w:tc>
          <w:tcPr>
            <w:tcW w:w="1575"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71F82A" w14:textId="20BEA584" w:rsidR="007F6FC9" w:rsidRPr="00C06349" w:rsidRDefault="007F6FC9" w:rsidP="00D85CE5">
            <w:pPr>
              <w:keepNext/>
              <w:keepLines/>
              <w:snapToGrid/>
              <w:spacing w:before="0" w:after="0"/>
              <w:jc w:val="right"/>
              <w:rPr>
                <w:rFonts w:ascii="Calibri" w:hAnsi="Calibri" w:cs="Calibri"/>
                <w:b/>
                <w:color w:val="000000"/>
                <w:sz w:val="18"/>
                <w:szCs w:val="20"/>
                <w:highlight w:val="yellow"/>
              </w:rPr>
            </w:pPr>
            <w:r w:rsidRPr="00C06349">
              <w:rPr>
                <w:sz w:val="18"/>
                <w:szCs w:val="20"/>
              </w:rPr>
              <w:t xml:space="preserve"> 29</w:t>
            </w:r>
            <w:r w:rsidR="00FC1FFE" w:rsidRPr="00C06349">
              <w:rPr>
                <w:sz w:val="18"/>
                <w:szCs w:val="20"/>
              </w:rPr>
              <w:t> </w:t>
            </w:r>
            <w:r w:rsidRPr="00C06349">
              <w:rPr>
                <w:sz w:val="18"/>
                <w:szCs w:val="20"/>
              </w:rPr>
              <w:t xml:space="preserve">694,93 </w:t>
            </w:r>
          </w:p>
        </w:tc>
        <w:tc>
          <w:tcPr>
            <w:tcW w:w="1212" w:type="dxa"/>
            <w:tcBorders>
              <w:top w:val="nil"/>
              <w:left w:val="nil"/>
              <w:bottom w:val="single" w:sz="4" w:space="0" w:color="auto"/>
              <w:right w:val="single" w:sz="4" w:space="0" w:color="auto"/>
            </w:tcBorders>
            <w:shd w:val="clear" w:color="auto" w:fill="FFFFFF" w:themeFill="background1"/>
            <w:vAlign w:val="center"/>
            <w:hideMark/>
          </w:tcPr>
          <w:p w14:paraId="2E4A0F78" w14:textId="76F2D778" w:rsidR="007F6FC9" w:rsidRPr="00C06349" w:rsidRDefault="007F6FC9" w:rsidP="00D85CE5">
            <w:pPr>
              <w:keepNext/>
              <w:keepLines/>
              <w:snapToGrid/>
              <w:spacing w:before="0" w:after="0"/>
              <w:jc w:val="right"/>
              <w:rPr>
                <w:rFonts w:eastAsia="Times New Roman" w:cstheme="minorHAnsi"/>
                <w:b/>
                <w:color w:val="000000" w:themeColor="text1"/>
                <w:sz w:val="18"/>
                <w:szCs w:val="20"/>
                <w:highlight w:val="yellow"/>
              </w:rPr>
            </w:pPr>
            <w:r w:rsidRPr="00C06349">
              <w:rPr>
                <w:sz w:val="18"/>
                <w:szCs w:val="20"/>
              </w:rPr>
              <w:t xml:space="preserve"> 34</w:t>
            </w:r>
            <w:r w:rsidR="00FC1FFE" w:rsidRPr="00C06349">
              <w:rPr>
                <w:sz w:val="18"/>
                <w:szCs w:val="20"/>
              </w:rPr>
              <w:t> </w:t>
            </w:r>
            <w:r w:rsidRPr="00C06349">
              <w:rPr>
                <w:sz w:val="18"/>
                <w:szCs w:val="20"/>
              </w:rPr>
              <w:t xml:space="preserve">335,10 </w:t>
            </w:r>
          </w:p>
        </w:tc>
      </w:tr>
    </w:tbl>
    <w:p w14:paraId="7A37DD89" w14:textId="7A99B4F4" w:rsidR="0064496B" w:rsidRPr="00C67737" w:rsidRDefault="00C2649D" w:rsidP="000B33CF">
      <w:pPr>
        <w:pStyle w:val="ListParagraph"/>
      </w:pPr>
      <w:r>
        <w:t>Le niveau élevé des contributions au KMGBF provenant d</w:t>
      </w:r>
      <w:r w:rsidR="00CA65E4">
        <w:t>’activités de</w:t>
      </w:r>
      <w:r>
        <w:t xml:space="preserve"> programmation </w:t>
      </w:r>
      <w:r w:rsidR="00CA65E4">
        <w:t xml:space="preserve">relevant d’autres </w:t>
      </w:r>
      <w:r>
        <w:t>domaine</w:t>
      </w:r>
      <w:r w:rsidR="00CA65E4">
        <w:t xml:space="preserve">s que le domaine </w:t>
      </w:r>
      <w:r>
        <w:t>d’intervention «</w:t>
      </w:r>
      <w:r w:rsidR="00FC1FFE">
        <w:t> </w:t>
      </w:r>
      <w:r w:rsidR="00DD1F44">
        <w:t>diversité biologique</w:t>
      </w:r>
      <w:r w:rsidR="00FC1FFE">
        <w:t> </w:t>
      </w:r>
      <w:r>
        <w:t xml:space="preserve">» reflète la cible </w:t>
      </w:r>
      <w:r>
        <w:lastRenderedPageBreak/>
        <w:t xml:space="preserve">fixée par le Conseil du GEF pour </w:t>
      </w:r>
      <w:r w:rsidR="00CD3559">
        <w:t xml:space="preserve">le fonds fiduciaire </w:t>
      </w:r>
      <w:r>
        <w:t xml:space="preserve">du GEF au cours de </w:t>
      </w:r>
      <w:r w:rsidR="00376C22">
        <w:t>GEF</w:t>
      </w:r>
      <w:r w:rsidR="00376C22">
        <w:noBreakHyphen/>
      </w:r>
      <w:r>
        <w:t>8</w:t>
      </w:r>
      <w:r w:rsidR="002B036F">
        <w:t>, à savoir que</w:t>
      </w:r>
      <w:r w:rsidR="00CA65E4">
        <w:t xml:space="preserve"> </w:t>
      </w:r>
      <w:r>
        <w:t>60</w:t>
      </w:r>
      <w:r w:rsidR="00966C17">
        <w:t> %</w:t>
      </w:r>
      <w:r>
        <w:t xml:space="preserve"> d</w:t>
      </w:r>
      <w:r w:rsidR="002B036F">
        <w:t>es</w:t>
      </w:r>
      <w:r>
        <w:t xml:space="preserve"> financements du GEF doivent contribuer à la </w:t>
      </w:r>
      <w:r w:rsidR="00983349">
        <w:t xml:space="preserve">Biodiversité </w:t>
      </w:r>
      <w:r>
        <w:t xml:space="preserve">à titre d’objectif principal ou d’objectif significatif, </w:t>
      </w:r>
      <w:r w:rsidR="000E103B">
        <w:t>selon</w:t>
      </w:r>
      <w:r>
        <w:t xml:space="preserve"> la méthodologie des marqueurs de Rio du CAD de l’OCDE. Cette cible </w:t>
      </w:r>
      <w:r w:rsidR="00AB7698">
        <w:t>faisait suite</w:t>
      </w:r>
      <w:r>
        <w:t xml:space="preserve"> aux orientations de la Conférence des Parties à la CDB, qui </w:t>
      </w:r>
      <w:r w:rsidR="00AB7698">
        <w:t>invitaient le</w:t>
      </w:r>
      <w:r>
        <w:t xml:space="preserve"> </w:t>
      </w:r>
      <w:r w:rsidR="00644840">
        <w:t xml:space="preserve">GEF à favoriser, au cours de </w:t>
      </w:r>
      <w:r w:rsidR="00376C22">
        <w:t>GEF</w:t>
      </w:r>
      <w:r w:rsidR="00376C22">
        <w:noBreakHyphen/>
      </w:r>
      <w:r>
        <w:t>8</w:t>
      </w:r>
      <w:r w:rsidR="00644840">
        <w:t>,</w:t>
      </w:r>
      <w:r>
        <w:t xml:space="preserve"> les synergies dans la mise en œuvre des conventions </w:t>
      </w:r>
      <w:r w:rsidR="000861D5">
        <w:t>qu’il dessert</w:t>
      </w:r>
      <w:r>
        <w:t xml:space="preserve">. Cette cible a été dépassée au cours de </w:t>
      </w:r>
      <w:r w:rsidR="00376C22">
        <w:t>GEF</w:t>
      </w:r>
      <w:r w:rsidR="00376C22">
        <w:noBreakHyphen/>
      </w:r>
      <w:r>
        <w:t>8</w:t>
      </w:r>
      <w:r w:rsidR="006E54C7">
        <w:t> :</w:t>
      </w:r>
      <w:r>
        <w:t xml:space="preserve"> 71</w:t>
      </w:r>
      <w:r w:rsidR="00966C17">
        <w:t> %</w:t>
      </w:r>
      <w:r>
        <w:t xml:space="preserve"> de la programmation </w:t>
      </w:r>
      <w:r w:rsidR="00851485">
        <w:t>du Fonds Fiduciaire</w:t>
      </w:r>
      <w:r>
        <w:t xml:space="preserve"> du</w:t>
      </w:r>
      <w:r w:rsidR="00CD3559">
        <w:t xml:space="preserve"> GEF </w:t>
      </w:r>
      <w:r>
        <w:t xml:space="preserve">ont été considérés comme </w:t>
      </w:r>
      <w:r w:rsidR="000861D5">
        <w:t>contribuant à</w:t>
      </w:r>
      <w:r>
        <w:t xml:space="preserve"> la </w:t>
      </w:r>
      <w:r w:rsidR="00851485">
        <w:t>Biodiversité</w:t>
      </w:r>
      <w:r>
        <w:t>.</w:t>
      </w:r>
    </w:p>
    <w:p w14:paraId="1F884953" w14:textId="649E1E92" w:rsidR="00030632" w:rsidRPr="00C67737" w:rsidRDefault="00030632" w:rsidP="00030632">
      <w:pPr>
        <w:pStyle w:val="Caption"/>
      </w:pPr>
      <w:bookmarkStart w:id="27" w:name="_Toc233725828"/>
      <w:bookmarkStart w:id="28" w:name="_Toc242183484"/>
      <w:r>
        <w:t>Tableau</w:t>
      </w:r>
      <w:r w:rsidR="00FC1FFE">
        <w:t> </w:t>
      </w:r>
      <w:r w:rsidRPr="00C67737">
        <w:fldChar w:fldCharType="begin"/>
      </w:r>
      <w:r w:rsidRPr="00C67737">
        <w:instrText>SEQ Table \* ARABIC</w:instrText>
      </w:r>
      <w:r w:rsidRPr="00C67737">
        <w:fldChar w:fldCharType="separate"/>
      </w:r>
      <w:r w:rsidR="006C2F5A">
        <w:rPr>
          <w:noProof/>
        </w:rPr>
        <w:t>2</w:t>
      </w:r>
      <w:r w:rsidRPr="00C67737">
        <w:fldChar w:fldCharType="end"/>
      </w:r>
      <w:r>
        <w:t xml:space="preserve">. </w:t>
      </w:r>
      <w:r w:rsidR="0099624E">
        <w:t>Ventilation</w:t>
      </w:r>
      <w:r>
        <w:t xml:space="preserve"> du cofinancement par source dans les projets soutenant le KMGBF au sein de la famille de fonds du GEF durant la période considérée (1</w:t>
      </w:r>
      <w:r>
        <w:rPr>
          <w:vertAlign w:val="superscript"/>
        </w:rPr>
        <w:t>er</w:t>
      </w:r>
      <w:r w:rsidR="00FC1FFE">
        <w:t> </w:t>
      </w:r>
      <w:r>
        <w:t>juillet 2022 - 30</w:t>
      </w:r>
      <w:r w:rsidR="00FC1FFE">
        <w:t> </w:t>
      </w:r>
      <w:r>
        <w:t>juin 2026)</w:t>
      </w:r>
      <w:bookmarkEnd w:id="27"/>
      <w:bookmarkEnd w:id="28"/>
    </w:p>
    <w:tbl>
      <w:tblPr>
        <w:tblW w:w="6560" w:type="dxa"/>
        <w:jc w:val="center"/>
        <w:tblLook w:val="04A0" w:firstRow="1" w:lastRow="0" w:firstColumn="1" w:lastColumn="0" w:noHBand="0" w:noVBand="1"/>
      </w:tblPr>
      <w:tblGrid>
        <w:gridCol w:w="2952"/>
        <w:gridCol w:w="1808"/>
        <w:gridCol w:w="1800"/>
      </w:tblGrid>
      <w:tr w:rsidR="00030632" w:rsidRPr="00C67737" w14:paraId="70F3B27C" w14:textId="77777777" w:rsidTr="000B1574">
        <w:trPr>
          <w:trHeight w:val="645"/>
          <w:jc w:val="center"/>
        </w:trPr>
        <w:tc>
          <w:tcPr>
            <w:tcW w:w="2952" w:type="dxa"/>
            <w:tcBorders>
              <w:top w:val="single" w:sz="8" w:space="0" w:color="auto"/>
              <w:left w:val="single" w:sz="8" w:space="0" w:color="auto"/>
              <w:bottom w:val="single" w:sz="8" w:space="0" w:color="auto"/>
              <w:right w:val="single" w:sz="8" w:space="0" w:color="auto"/>
            </w:tcBorders>
            <w:vAlign w:val="center"/>
            <w:hideMark/>
          </w:tcPr>
          <w:p w14:paraId="4A71C793" w14:textId="137C1AD2" w:rsidR="00030632" w:rsidRPr="00C67737" w:rsidRDefault="00030632" w:rsidP="000B1574">
            <w:pPr>
              <w:snapToGrid/>
              <w:spacing w:before="0" w:after="0"/>
              <w:jc w:val="center"/>
              <w:rPr>
                <w:rFonts w:ascii="Calibri" w:eastAsia="Times New Roman" w:hAnsi="Calibri" w:cs="Calibri"/>
                <w:b/>
                <w:color w:val="000000" w:themeColor="text1"/>
                <w:sz w:val="24"/>
                <w:szCs w:val="24"/>
              </w:rPr>
            </w:pPr>
            <w:r>
              <w:rPr>
                <w:rFonts w:ascii="Calibri" w:hAnsi="Calibri"/>
                <w:b/>
                <w:color w:val="000000" w:themeColor="text1"/>
                <w:sz w:val="24"/>
              </w:rPr>
              <w:t xml:space="preserve">Source du </w:t>
            </w:r>
            <w:proofErr w:type="spellStart"/>
            <w:r>
              <w:rPr>
                <w:rFonts w:ascii="Calibri" w:hAnsi="Calibri"/>
                <w:b/>
                <w:color w:val="000000" w:themeColor="text1"/>
                <w:sz w:val="24"/>
              </w:rPr>
              <w:t>cofinancement</w:t>
            </w:r>
            <w:r>
              <w:rPr>
                <w:rFonts w:ascii="ZWAdobeF" w:hAnsi="ZWAdobeF"/>
                <w:sz w:val="2"/>
              </w:rPr>
              <w:t>F</w:t>
            </w:r>
            <w:proofErr w:type="spellEnd"/>
            <w:r w:rsidRPr="00C67737">
              <w:rPr>
                <w:rStyle w:val="FootnoteReference"/>
                <w:rFonts w:ascii="Calibri" w:eastAsia="Times New Roman" w:hAnsi="Calibri" w:cs="Calibri"/>
                <w:b/>
                <w:color w:val="000000" w:themeColor="text1"/>
                <w:sz w:val="24"/>
                <w:szCs w:val="24"/>
              </w:rPr>
              <w:footnoteReference w:id="11"/>
            </w:r>
            <w:r>
              <w:rPr>
                <w:rFonts w:ascii="ZWAdobeF" w:hAnsi="ZWAdobeF"/>
                <w:sz w:val="2"/>
              </w:rPr>
              <w:t>.</w:t>
            </w:r>
          </w:p>
        </w:tc>
        <w:tc>
          <w:tcPr>
            <w:tcW w:w="1808" w:type="dxa"/>
            <w:tcBorders>
              <w:top w:val="single" w:sz="8" w:space="0" w:color="auto"/>
              <w:left w:val="nil"/>
              <w:bottom w:val="single" w:sz="8" w:space="0" w:color="auto"/>
              <w:right w:val="single" w:sz="8" w:space="0" w:color="auto"/>
            </w:tcBorders>
            <w:vAlign w:val="center"/>
            <w:hideMark/>
          </w:tcPr>
          <w:p w14:paraId="0A0224C1" w14:textId="77777777" w:rsidR="00030632" w:rsidRPr="00C67737" w:rsidRDefault="00030632" w:rsidP="000B1574">
            <w:pPr>
              <w:snapToGrid/>
              <w:spacing w:before="0" w:after="0"/>
              <w:jc w:val="center"/>
              <w:rPr>
                <w:rFonts w:ascii="Calibri" w:eastAsia="Times New Roman" w:hAnsi="Calibri" w:cs="Calibri"/>
                <w:b/>
                <w:color w:val="000000" w:themeColor="text1"/>
                <w:sz w:val="24"/>
                <w:szCs w:val="24"/>
              </w:rPr>
            </w:pPr>
            <w:r>
              <w:rPr>
                <w:rFonts w:ascii="Calibri" w:hAnsi="Calibri"/>
                <w:b/>
                <w:color w:val="000000" w:themeColor="text1"/>
                <w:sz w:val="24"/>
              </w:rPr>
              <w:t>Cofinancement (USD million)</w:t>
            </w:r>
          </w:p>
        </w:tc>
        <w:tc>
          <w:tcPr>
            <w:tcW w:w="1800" w:type="dxa"/>
            <w:tcBorders>
              <w:top w:val="single" w:sz="8" w:space="0" w:color="auto"/>
              <w:left w:val="single" w:sz="8" w:space="0" w:color="auto"/>
              <w:bottom w:val="single" w:sz="8" w:space="0" w:color="auto"/>
              <w:right w:val="single" w:sz="8" w:space="0" w:color="auto"/>
            </w:tcBorders>
            <w:vAlign w:val="center"/>
          </w:tcPr>
          <w:p w14:paraId="0F48A522" w14:textId="77777777" w:rsidR="00030632" w:rsidRPr="00C67737" w:rsidRDefault="00030632" w:rsidP="000B1574">
            <w:pPr>
              <w:snapToGrid/>
              <w:spacing w:before="0" w:after="0"/>
              <w:jc w:val="center"/>
              <w:rPr>
                <w:rFonts w:ascii="Calibri" w:eastAsia="Times New Roman" w:hAnsi="Calibri" w:cs="Calibri"/>
                <w:b/>
                <w:bCs/>
                <w:color w:val="000000" w:themeColor="text1"/>
                <w:sz w:val="24"/>
                <w:szCs w:val="24"/>
              </w:rPr>
            </w:pPr>
            <w:r>
              <w:rPr>
                <w:rFonts w:ascii="Calibri" w:hAnsi="Calibri"/>
                <w:b/>
                <w:color w:val="000000" w:themeColor="text1"/>
                <w:sz w:val="24"/>
              </w:rPr>
              <w:t>Part du cofinancement</w:t>
            </w:r>
          </w:p>
        </w:tc>
      </w:tr>
      <w:tr w:rsidR="003F40F8" w:rsidRPr="00C67737" w14:paraId="3A16AADB" w14:textId="77777777" w:rsidTr="009261A4">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50133489" w14:textId="77777777" w:rsidR="003F40F8" w:rsidRPr="00C67737" w:rsidRDefault="003F40F8" w:rsidP="009261A4">
            <w:pPr>
              <w:snapToGrid/>
              <w:spacing w:before="0" w:after="0"/>
              <w:jc w:val="center"/>
              <w:rPr>
                <w:rFonts w:eastAsia="Times New Roman" w:cstheme="minorHAnsi"/>
                <w:color w:val="000000" w:themeColor="text1"/>
              </w:rPr>
            </w:pPr>
            <w:r>
              <w:rPr>
                <w:color w:val="000000"/>
              </w:rPr>
              <w:t>Gouvernement du pays bénéficiaire</w:t>
            </w:r>
          </w:p>
        </w:tc>
        <w:tc>
          <w:tcPr>
            <w:tcW w:w="1808" w:type="dxa"/>
            <w:tcBorders>
              <w:top w:val="nil"/>
              <w:left w:val="nil"/>
              <w:bottom w:val="single" w:sz="8" w:space="0" w:color="auto"/>
              <w:right w:val="single" w:sz="8" w:space="0" w:color="auto"/>
            </w:tcBorders>
            <w:vAlign w:val="center"/>
            <w:hideMark/>
          </w:tcPr>
          <w:p w14:paraId="0BD33E6B" w14:textId="51CCE5A5" w:rsidR="003F40F8" w:rsidRPr="00C67737" w:rsidRDefault="003F40F8" w:rsidP="003F40F8">
            <w:pPr>
              <w:snapToGrid/>
              <w:spacing w:before="0" w:after="0"/>
              <w:jc w:val="right"/>
              <w:rPr>
                <w:rFonts w:eastAsia="Times New Roman" w:cstheme="minorHAnsi"/>
                <w:color w:val="000000" w:themeColor="text1"/>
              </w:rPr>
            </w:pPr>
            <w:r>
              <w:rPr>
                <w:color w:val="000000"/>
              </w:rPr>
              <w:t>13</w:t>
            </w:r>
            <w:r w:rsidR="00FC1FFE">
              <w:rPr>
                <w:color w:val="000000"/>
              </w:rPr>
              <w:t> </w:t>
            </w:r>
            <w:r>
              <w:rPr>
                <w:color w:val="000000"/>
              </w:rPr>
              <w:t>051,11</w:t>
            </w:r>
          </w:p>
        </w:tc>
        <w:tc>
          <w:tcPr>
            <w:tcW w:w="1800" w:type="dxa"/>
            <w:tcBorders>
              <w:top w:val="single" w:sz="8" w:space="0" w:color="auto"/>
              <w:left w:val="single" w:sz="8" w:space="0" w:color="auto"/>
              <w:bottom w:val="single" w:sz="8" w:space="0" w:color="auto"/>
              <w:right w:val="single" w:sz="8" w:space="0" w:color="auto"/>
            </w:tcBorders>
            <w:vAlign w:val="center"/>
          </w:tcPr>
          <w:p w14:paraId="420E4FC2" w14:textId="4CDA9F2A" w:rsidR="003F40F8" w:rsidRPr="00C67737" w:rsidRDefault="003F40F8" w:rsidP="003F40F8">
            <w:pPr>
              <w:snapToGrid/>
              <w:spacing w:before="0" w:after="0"/>
              <w:jc w:val="center"/>
              <w:rPr>
                <w:rFonts w:eastAsia="Times New Roman" w:cstheme="minorHAnsi"/>
                <w:color w:val="000000" w:themeColor="text1"/>
              </w:rPr>
            </w:pPr>
            <w:r>
              <w:t>44,0</w:t>
            </w:r>
            <w:r w:rsidR="00966C17">
              <w:t> %</w:t>
            </w:r>
          </w:p>
        </w:tc>
      </w:tr>
      <w:tr w:rsidR="003F40F8" w:rsidRPr="00C67737" w14:paraId="4E4785CD" w14:textId="77777777" w:rsidTr="009261A4">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2A5642F" w14:textId="214A05EF" w:rsidR="003F40F8" w:rsidRPr="00C67737" w:rsidRDefault="00F52D3D" w:rsidP="009261A4">
            <w:pPr>
              <w:snapToGrid/>
              <w:spacing w:before="0" w:after="0"/>
              <w:jc w:val="center"/>
              <w:rPr>
                <w:rFonts w:eastAsia="Times New Roman" w:cstheme="minorHAnsi"/>
                <w:color w:val="000000" w:themeColor="text1"/>
              </w:rPr>
            </w:pPr>
            <w:r>
              <w:rPr>
                <w:color w:val="000000"/>
              </w:rPr>
              <w:t>Agence</w:t>
            </w:r>
            <w:r w:rsidR="003F40F8">
              <w:rPr>
                <w:color w:val="000000"/>
              </w:rPr>
              <w:t xml:space="preserve"> du GEF</w:t>
            </w:r>
          </w:p>
        </w:tc>
        <w:tc>
          <w:tcPr>
            <w:tcW w:w="1808" w:type="dxa"/>
            <w:tcBorders>
              <w:top w:val="nil"/>
              <w:left w:val="nil"/>
              <w:bottom w:val="single" w:sz="8" w:space="0" w:color="auto"/>
              <w:right w:val="single" w:sz="8" w:space="0" w:color="auto"/>
            </w:tcBorders>
            <w:shd w:val="clear" w:color="auto" w:fill="F2F2F2" w:themeFill="background1" w:themeFillShade="F2"/>
            <w:vAlign w:val="center"/>
            <w:hideMark/>
          </w:tcPr>
          <w:p w14:paraId="6E0123A2" w14:textId="66C64C77" w:rsidR="003F40F8" w:rsidRPr="00C67737" w:rsidRDefault="003F40F8" w:rsidP="003F40F8">
            <w:pPr>
              <w:snapToGrid/>
              <w:spacing w:before="0" w:after="0"/>
              <w:jc w:val="right"/>
              <w:rPr>
                <w:rFonts w:eastAsia="Times New Roman" w:cstheme="minorHAnsi"/>
                <w:color w:val="000000" w:themeColor="text1"/>
              </w:rPr>
            </w:pPr>
            <w:r>
              <w:rPr>
                <w:color w:val="000000"/>
              </w:rPr>
              <w:t>9</w:t>
            </w:r>
            <w:r w:rsidR="00FC1FFE">
              <w:rPr>
                <w:color w:val="000000"/>
              </w:rPr>
              <w:t> </w:t>
            </w:r>
            <w:r>
              <w:rPr>
                <w:color w:val="000000"/>
              </w:rPr>
              <w:t>520,77</w:t>
            </w:r>
          </w:p>
        </w:tc>
        <w:tc>
          <w:tcPr>
            <w:tcW w:w="18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3CC0DF69" w14:textId="267630CF" w:rsidR="003F40F8" w:rsidRPr="00C67737" w:rsidRDefault="003F40F8" w:rsidP="003F40F8">
            <w:pPr>
              <w:snapToGrid/>
              <w:spacing w:before="0" w:after="0"/>
              <w:jc w:val="center"/>
              <w:rPr>
                <w:rFonts w:eastAsia="Times New Roman" w:cstheme="minorHAnsi"/>
                <w:color w:val="000000" w:themeColor="text1"/>
              </w:rPr>
            </w:pPr>
            <w:r>
              <w:t>32,1</w:t>
            </w:r>
            <w:r w:rsidR="00966C17">
              <w:t> %</w:t>
            </w:r>
          </w:p>
        </w:tc>
      </w:tr>
      <w:tr w:rsidR="003F40F8" w:rsidRPr="00C67737" w14:paraId="73FE39F7" w14:textId="77777777" w:rsidTr="009261A4">
        <w:trPr>
          <w:trHeight w:val="331"/>
          <w:jc w:val="center"/>
        </w:trPr>
        <w:tc>
          <w:tcPr>
            <w:tcW w:w="2952" w:type="dxa"/>
            <w:tcBorders>
              <w:top w:val="nil"/>
              <w:left w:val="single" w:sz="8" w:space="0" w:color="auto"/>
              <w:bottom w:val="single" w:sz="8" w:space="0" w:color="auto"/>
              <w:right w:val="single" w:sz="8" w:space="0" w:color="auto"/>
            </w:tcBorders>
            <w:vAlign w:val="center"/>
            <w:hideMark/>
          </w:tcPr>
          <w:p w14:paraId="28E4EE54" w14:textId="77777777" w:rsidR="003F40F8" w:rsidRPr="00C67737" w:rsidRDefault="003F40F8" w:rsidP="009261A4">
            <w:pPr>
              <w:snapToGrid/>
              <w:spacing w:before="0" w:after="0"/>
              <w:jc w:val="center"/>
              <w:rPr>
                <w:rFonts w:eastAsia="Times New Roman" w:cstheme="minorHAnsi"/>
                <w:color w:val="000000" w:themeColor="text1"/>
              </w:rPr>
            </w:pPr>
            <w:r>
              <w:rPr>
                <w:color w:val="000000"/>
              </w:rPr>
              <w:t>Secteur privé</w:t>
            </w:r>
          </w:p>
        </w:tc>
        <w:tc>
          <w:tcPr>
            <w:tcW w:w="1808" w:type="dxa"/>
            <w:tcBorders>
              <w:top w:val="nil"/>
              <w:left w:val="nil"/>
              <w:bottom w:val="single" w:sz="8" w:space="0" w:color="auto"/>
              <w:right w:val="single" w:sz="8" w:space="0" w:color="auto"/>
            </w:tcBorders>
            <w:vAlign w:val="center"/>
            <w:hideMark/>
          </w:tcPr>
          <w:p w14:paraId="7197D2B9" w14:textId="7CBD70E7" w:rsidR="003F40F8" w:rsidRPr="00C67737" w:rsidRDefault="003F40F8" w:rsidP="003F40F8">
            <w:pPr>
              <w:snapToGrid/>
              <w:spacing w:before="0" w:after="0"/>
              <w:jc w:val="right"/>
              <w:rPr>
                <w:rFonts w:eastAsia="Times New Roman" w:cstheme="minorHAnsi"/>
                <w:color w:val="000000" w:themeColor="text1"/>
              </w:rPr>
            </w:pPr>
            <w:r>
              <w:rPr>
                <w:color w:val="000000"/>
              </w:rPr>
              <w:t>2</w:t>
            </w:r>
            <w:r w:rsidR="00FC1FFE">
              <w:rPr>
                <w:color w:val="000000"/>
              </w:rPr>
              <w:t> </w:t>
            </w:r>
            <w:r>
              <w:rPr>
                <w:color w:val="000000"/>
              </w:rPr>
              <w:t>413,46</w:t>
            </w:r>
          </w:p>
        </w:tc>
        <w:tc>
          <w:tcPr>
            <w:tcW w:w="1800" w:type="dxa"/>
            <w:tcBorders>
              <w:top w:val="single" w:sz="8" w:space="0" w:color="auto"/>
              <w:left w:val="single" w:sz="8" w:space="0" w:color="auto"/>
              <w:bottom w:val="single" w:sz="8" w:space="0" w:color="auto"/>
              <w:right w:val="single" w:sz="8" w:space="0" w:color="auto"/>
            </w:tcBorders>
            <w:vAlign w:val="center"/>
          </w:tcPr>
          <w:p w14:paraId="687BE49D" w14:textId="41260660" w:rsidR="003F40F8" w:rsidRPr="00C67737" w:rsidRDefault="003F40F8" w:rsidP="003F40F8">
            <w:pPr>
              <w:snapToGrid/>
              <w:spacing w:before="0" w:after="0"/>
              <w:jc w:val="center"/>
              <w:rPr>
                <w:rFonts w:eastAsia="Times New Roman" w:cstheme="minorHAnsi"/>
                <w:color w:val="000000" w:themeColor="text1"/>
              </w:rPr>
            </w:pPr>
            <w:r>
              <w:t>8,1</w:t>
            </w:r>
            <w:r w:rsidR="00966C17">
              <w:t> %</w:t>
            </w:r>
          </w:p>
        </w:tc>
      </w:tr>
      <w:tr w:rsidR="003F40F8" w:rsidRPr="00C67737" w14:paraId="456C8251" w14:textId="77777777" w:rsidTr="009261A4">
        <w:trPr>
          <w:trHeight w:val="421"/>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7B02BE40" w14:textId="77777777" w:rsidR="003F40F8" w:rsidRPr="00C67737" w:rsidRDefault="003F40F8" w:rsidP="009261A4">
            <w:pPr>
              <w:snapToGrid/>
              <w:spacing w:before="0" w:after="0"/>
              <w:jc w:val="center"/>
              <w:rPr>
                <w:rFonts w:eastAsia="Times New Roman" w:cstheme="minorHAnsi"/>
                <w:color w:val="000000" w:themeColor="text1"/>
              </w:rPr>
            </w:pPr>
            <w:r>
              <w:rPr>
                <w:color w:val="000000"/>
              </w:rPr>
              <w:t>Organisme donateur</w:t>
            </w:r>
          </w:p>
        </w:tc>
        <w:tc>
          <w:tcPr>
            <w:tcW w:w="1808" w:type="dxa"/>
            <w:tcBorders>
              <w:top w:val="nil"/>
              <w:left w:val="nil"/>
              <w:bottom w:val="single" w:sz="8" w:space="0" w:color="auto"/>
              <w:right w:val="single" w:sz="8" w:space="0" w:color="auto"/>
            </w:tcBorders>
            <w:shd w:val="clear" w:color="auto" w:fill="F2F2F2" w:themeFill="background1" w:themeFillShade="F2"/>
            <w:vAlign w:val="center"/>
            <w:hideMark/>
          </w:tcPr>
          <w:p w14:paraId="33499177" w14:textId="5D2C4529" w:rsidR="003F40F8" w:rsidRPr="00C67737" w:rsidRDefault="003F40F8" w:rsidP="003F40F8">
            <w:pPr>
              <w:snapToGrid/>
              <w:spacing w:before="0" w:after="0"/>
              <w:jc w:val="right"/>
              <w:rPr>
                <w:rFonts w:eastAsia="Times New Roman" w:cstheme="minorHAnsi"/>
                <w:color w:val="000000" w:themeColor="text1"/>
              </w:rPr>
            </w:pPr>
            <w:r>
              <w:rPr>
                <w:color w:val="000000"/>
              </w:rPr>
              <w:t>1</w:t>
            </w:r>
            <w:r w:rsidR="00FC1FFE">
              <w:rPr>
                <w:color w:val="000000"/>
              </w:rPr>
              <w:t> </w:t>
            </w:r>
            <w:r>
              <w:rPr>
                <w:color w:val="000000"/>
              </w:rPr>
              <w:t>754,10</w:t>
            </w:r>
          </w:p>
        </w:tc>
        <w:tc>
          <w:tcPr>
            <w:tcW w:w="18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85E5195" w14:textId="308E938D" w:rsidR="003F40F8" w:rsidRPr="00C67737" w:rsidRDefault="003F40F8" w:rsidP="003F40F8">
            <w:pPr>
              <w:snapToGrid/>
              <w:spacing w:before="0" w:after="0"/>
              <w:jc w:val="center"/>
              <w:rPr>
                <w:rFonts w:eastAsia="Times New Roman" w:cstheme="minorHAnsi"/>
                <w:color w:val="000000" w:themeColor="text1"/>
              </w:rPr>
            </w:pPr>
            <w:r>
              <w:t>5,9</w:t>
            </w:r>
            <w:r w:rsidR="00966C17">
              <w:t> %</w:t>
            </w:r>
          </w:p>
        </w:tc>
      </w:tr>
      <w:tr w:rsidR="003F40F8" w:rsidRPr="00C67737" w14:paraId="16A3D2C5" w14:textId="77777777" w:rsidTr="009261A4">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6ED03850" w14:textId="2A142B77" w:rsidR="003F40F8" w:rsidRPr="00C67737" w:rsidRDefault="003F40F8" w:rsidP="009261A4">
            <w:pPr>
              <w:snapToGrid/>
              <w:spacing w:before="0" w:after="0"/>
              <w:jc w:val="center"/>
              <w:rPr>
                <w:rFonts w:eastAsia="Times New Roman" w:cstheme="minorHAnsi"/>
                <w:color w:val="000000" w:themeColor="text1"/>
              </w:rPr>
            </w:pPr>
            <w:r>
              <w:rPr>
                <w:color w:val="000000"/>
              </w:rPr>
              <w:t>Organisation de la société civile</w:t>
            </w:r>
          </w:p>
        </w:tc>
        <w:tc>
          <w:tcPr>
            <w:tcW w:w="1808" w:type="dxa"/>
            <w:tcBorders>
              <w:top w:val="nil"/>
              <w:left w:val="nil"/>
              <w:bottom w:val="single" w:sz="8" w:space="0" w:color="auto"/>
              <w:right w:val="single" w:sz="8" w:space="0" w:color="auto"/>
            </w:tcBorders>
            <w:vAlign w:val="center"/>
            <w:hideMark/>
          </w:tcPr>
          <w:p w14:paraId="450D3B90" w14:textId="2DDB1645" w:rsidR="003F40F8" w:rsidRPr="00C67737" w:rsidRDefault="003F40F8" w:rsidP="003F40F8">
            <w:pPr>
              <w:snapToGrid/>
              <w:spacing w:before="0" w:after="0"/>
              <w:jc w:val="right"/>
              <w:rPr>
                <w:rFonts w:eastAsia="Times New Roman" w:cstheme="minorHAnsi"/>
                <w:color w:val="000000" w:themeColor="text1"/>
              </w:rPr>
            </w:pPr>
            <w:r>
              <w:rPr>
                <w:color w:val="000000"/>
              </w:rPr>
              <w:t>1</w:t>
            </w:r>
            <w:r w:rsidR="00FC1FFE">
              <w:rPr>
                <w:color w:val="000000"/>
              </w:rPr>
              <w:t> </w:t>
            </w:r>
            <w:r>
              <w:rPr>
                <w:color w:val="000000"/>
              </w:rPr>
              <w:t>415,66</w:t>
            </w:r>
          </w:p>
        </w:tc>
        <w:tc>
          <w:tcPr>
            <w:tcW w:w="1800" w:type="dxa"/>
            <w:tcBorders>
              <w:top w:val="single" w:sz="8" w:space="0" w:color="auto"/>
              <w:left w:val="single" w:sz="8" w:space="0" w:color="auto"/>
              <w:bottom w:val="single" w:sz="8" w:space="0" w:color="auto"/>
              <w:right w:val="single" w:sz="8" w:space="0" w:color="auto"/>
            </w:tcBorders>
            <w:vAlign w:val="center"/>
          </w:tcPr>
          <w:p w14:paraId="27B2EFBC" w14:textId="11B74AC3" w:rsidR="003F40F8" w:rsidRPr="00C67737" w:rsidRDefault="003F40F8" w:rsidP="003F40F8">
            <w:pPr>
              <w:snapToGrid/>
              <w:spacing w:before="0" w:after="0"/>
              <w:jc w:val="center"/>
              <w:rPr>
                <w:rFonts w:eastAsia="Times New Roman" w:cstheme="minorHAnsi"/>
                <w:color w:val="000000" w:themeColor="text1"/>
              </w:rPr>
            </w:pPr>
            <w:r>
              <w:t>4,8</w:t>
            </w:r>
            <w:r w:rsidR="00966C17">
              <w:t> %</w:t>
            </w:r>
          </w:p>
        </w:tc>
      </w:tr>
      <w:tr w:rsidR="003F40F8" w:rsidRPr="00C67737" w14:paraId="52EE26E8" w14:textId="77777777" w:rsidTr="009261A4">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5D99062" w14:textId="3B053AC5" w:rsidR="003F40F8" w:rsidRPr="00C67737" w:rsidRDefault="003F40F8" w:rsidP="009261A4">
            <w:pPr>
              <w:snapToGrid/>
              <w:spacing w:before="0" w:after="0"/>
              <w:jc w:val="center"/>
              <w:rPr>
                <w:rFonts w:eastAsia="Times New Roman" w:cstheme="minorHAnsi"/>
                <w:bCs/>
                <w:color w:val="000000" w:themeColor="text1"/>
                <w:sz w:val="24"/>
                <w:szCs w:val="24"/>
              </w:rPr>
            </w:pPr>
            <w:r>
              <w:rPr>
                <w:color w:val="000000"/>
              </w:rPr>
              <w:t>Autres</w:t>
            </w:r>
          </w:p>
        </w:tc>
        <w:tc>
          <w:tcPr>
            <w:tcW w:w="1808" w:type="dxa"/>
            <w:tcBorders>
              <w:top w:val="nil"/>
              <w:left w:val="nil"/>
              <w:bottom w:val="single" w:sz="8" w:space="0" w:color="auto"/>
              <w:right w:val="single" w:sz="8" w:space="0" w:color="auto"/>
            </w:tcBorders>
            <w:shd w:val="clear" w:color="auto" w:fill="F2F2F2" w:themeFill="background1" w:themeFillShade="F2"/>
            <w:vAlign w:val="center"/>
            <w:hideMark/>
          </w:tcPr>
          <w:p w14:paraId="2684B7A6" w14:textId="354AE469" w:rsidR="003F40F8" w:rsidRPr="00C67737" w:rsidRDefault="003F40F8" w:rsidP="003F40F8">
            <w:pPr>
              <w:snapToGrid/>
              <w:spacing w:before="0" w:after="0"/>
              <w:jc w:val="right"/>
              <w:rPr>
                <w:rFonts w:eastAsia="Times New Roman" w:cstheme="minorHAnsi"/>
                <w:bCs/>
                <w:color w:val="000000" w:themeColor="text1"/>
                <w:sz w:val="24"/>
                <w:szCs w:val="24"/>
              </w:rPr>
            </w:pPr>
            <w:r>
              <w:rPr>
                <w:color w:val="000000"/>
              </w:rPr>
              <w:t>1</w:t>
            </w:r>
            <w:r w:rsidR="00FC1FFE">
              <w:rPr>
                <w:color w:val="000000"/>
              </w:rPr>
              <w:t> </w:t>
            </w:r>
            <w:r>
              <w:rPr>
                <w:color w:val="000000"/>
              </w:rPr>
              <w:t>393,02</w:t>
            </w:r>
          </w:p>
        </w:tc>
        <w:tc>
          <w:tcPr>
            <w:tcW w:w="18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C86300C" w14:textId="2536F075" w:rsidR="003F40F8" w:rsidRPr="00C67737" w:rsidRDefault="003F40F8" w:rsidP="003F40F8">
            <w:pPr>
              <w:snapToGrid/>
              <w:spacing w:before="0" w:after="0"/>
              <w:jc w:val="center"/>
              <w:rPr>
                <w:rFonts w:cstheme="minorHAnsi"/>
                <w:bCs/>
                <w:color w:val="000000" w:themeColor="text1"/>
                <w:sz w:val="24"/>
                <w:szCs w:val="24"/>
              </w:rPr>
            </w:pPr>
            <w:r>
              <w:t>4,7</w:t>
            </w:r>
            <w:r w:rsidR="00966C17">
              <w:t> %</w:t>
            </w:r>
          </w:p>
        </w:tc>
      </w:tr>
      <w:tr w:rsidR="003F40F8" w:rsidRPr="00C67737" w14:paraId="0D9E8EA0" w14:textId="77777777" w:rsidTr="009261A4">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1557775D" w14:textId="77777777" w:rsidR="003F40F8" w:rsidRPr="00C67737" w:rsidRDefault="003F40F8" w:rsidP="009261A4">
            <w:pPr>
              <w:snapToGrid/>
              <w:spacing w:before="0" w:after="0"/>
              <w:jc w:val="center"/>
              <w:rPr>
                <w:rFonts w:eastAsia="Times New Roman" w:cstheme="minorHAnsi"/>
                <w:color w:val="000000" w:themeColor="text1"/>
              </w:rPr>
            </w:pPr>
            <w:r>
              <w:rPr>
                <w:color w:val="000000"/>
              </w:rPr>
              <w:t>Bénéficiaires</w:t>
            </w:r>
          </w:p>
        </w:tc>
        <w:tc>
          <w:tcPr>
            <w:tcW w:w="1808" w:type="dxa"/>
            <w:tcBorders>
              <w:top w:val="nil"/>
              <w:left w:val="nil"/>
              <w:bottom w:val="single" w:sz="8" w:space="0" w:color="auto"/>
              <w:right w:val="single" w:sz="8" w:space="0" w:color="auto"/>
            </w:tcBorders>
            <w:vAlign w:val="center"/>
            <w:hideMark/>
          </w:tcPr>
          <w:p w14:paraId="578ADF89" w14:textId="5A78C4C0" w:rsidR="003F40F8" w:rsidRPr="00C67737" w:rsidRDefault="003F40F8" w:rsidP="003F40F8">
            <w:pPr>
              <w:snapToGrid/>
              <w:spacing w:before="0" w:after="0"/>
              <w:jc w:val="right"/>
              <w:rPr>
                <w:rFonts w:eastAsia="Times New Roman" w:cstheme="minorHAnsi"/>
                <w:color w:val="000000" w:themeColor="text1"/>
              </w:rPr>
            </w:pPr>
            <w:r>
              <w:rPr>
                <w:color w:val="000000"/>
              </w:rPr>
              <w:t>146,82</w:t>
            </w:r>
          </w:p>
        </w:tc>
        <w:tc>
          <w:tcPr>
            <w:tcW w:w="1800" w:type="dxa"/>
            <w:tcBorders>
              <w:top w:val="single" w:sz="8" w:space="0" w:color="auto"/>
              <w:left w:val="single" w:sz="8" w:space="0" w:color="auto"/>
              <w:bottom w:val="single" w:sz="8" w:space="0" w:color="auto"/>
              <w:right w:val="single" w:sz="8" w:space="0" w:color="auto"/>
            </w:tcBorders>
            <w:vAlign w:val="center"/>
          </w:tcPr>
          <w:p w14:paraId="05AE5FD1" w14:textId="4E3314F4" w:rsidR="003F40F8" w:rsidRPr="00C67737" w:rsidRDefault="003F40F8" w:rsidP="003F40F8">
            <w:pPr>
              <w:snapToGrid/>
              <w:spacing w:before="0" w:after="0"/>
              <w:jc w:val="center"/>
              <w:rPr>
                <w:rFonts w:eastAsia="Times New Roman" w:cstheme="minorHAnsi"/>
                <w:color w:val="000000" w:themeColor="text1"/>
              </w:rPr>
            </w:pPr>
            <w:r>
              <w:t>0,5</w:t>
            </w:r>
            <w:r w:rsidR="00966C17">
              <w:t> %</w:t>
            </w:r>
          </w:p>
        </w:tc>
      </w:tr>
      <w:tr w:rsidR="00030632" w:rsidRPr="00C67737" w14:paraId="1628EF6B" w14:textId="77777777" w:rsidTr="000B1574">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6D23E5C" w14:textId="77777777" w:rsidR="00030632" w:rsidRPr="00C67737" w:rsidRDefault="00030632" w:rsidP="000B1574">
            <w:pPr>
              <w:snapToGrid/>
              <w:spacing w:before="0" w:after="0"/>
              <w:jc w:val="center"/>
              <w:rPr>
                <w:rFonts w:eastAsia="Times New Roman" w:cstheme="minorHAnsi"/>
                <w:b/>
                <w:bCs/>
                <w:color w:val="000000" w:themeColor="text1"/>
              </w:rPr>
            </w:pPr>
            <w:r>
              <w:rPr>
                <w:b/>
                <w:color w:val="000000" w:themeColor="text1"/>
              </w:rPr>
              <w:t>Total</w:t>
            </w:r>
          </w:p>
        </w:tc>
        <w:tc>
          <w:tcPr>
            <w:tcW w:w="1808" w:type="dxa"/>
            <w:tcBorders>
              <w:top w:val="nil"/>
              <w:left w:val="nil"/>
              <w:bottom w:val="single" w:sz="8" w:space="0" w:color="auto"/>
              <w:right w:val="single" w:sz="8" w:space="0" w:color="auto"/>
            </w:tcBorders>
            <w:shd w:val="clear" w:color="auto" w:fill="F2F2F2" w:themeFill="background1" w:themeFillShade="F2"/>
            <w:vAlign w:val="center"/>
            <w:hideMark/>
          </w:tcPr>
          <w:p w14:paraId="1AAF05AC" w14:textId="4BEDAF9A" w:rsidR="00030632" w:rsidRPr="00C67737" w:rsidRDefault="00030632" w:rsidP="000B1574">
            <w:pPr>
              <w:snapToGrid/>
              <w:spacing w:before="0" w:after="0"/>
              <w:jc w:val="right"/>
              <w:rPr>
                <w:rFonts w:eastAsia="Times New Roman" w:cstheme="minorHAnsi"/>
                <w:b/>
                <w:bCs/>
                <w:color w:val="000000" w:themeColor="text1"/>
              </w:rPr>
            </w:pPr>
            <w:r>
              <w:rPr>
                <w:b/>
                <w:color w:val="000000"/>
              </w:rPr>
              <w:t>29</w:t>
            </w:r>
            <w:r w:rsidR="00FC1FFE">
              <w:rPr>
                <w:b/>
                <w:color w:val="000000"/>
              </w:rPr>
              <w:t> </w:t>
            </w:r>
            <w:r>
              <w:rPr>
                <w:b/>
                <w:color w:val="000000"/>
              </w:rPr>
              <w:t>694,93</w:t>
            </w:r>
          </w:p>
        </w:tc>
        <w:tc>
          <w:tcPr>
            <w:tcW w:w="18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7795E71" w14:textId="581548B8" w:rsidR="00030632" w:rsidRPr="00C67737" w:rsidRDefault="00030632" w:rsidP="000B1574">
            <w:pPr>
              <w:snapToGrid/>
              <w:spacing w:before="0" w:after="0"/>
              <w:jc w:val="center"/>
              <w:rPr>
                <w:rFonts w:eastAsia="Times New Roman" w:cstheme="minorHAnsi"/>
                <w:b/>
                <w:bCs/>
                <w:color w:val="000000" w:themeColor="text1"/>
              </w:rPr>
            </w:pPr>
            <w:r>
              <w:rPr>
                <w:b/>
                <w:color w:val="000000"/>
              </w:rPr>
              <w:t>100</w:t>
            </w:r>
            <w:r w:rsidR="00966C17">
              <w:rPr>
                <w:b/>
                <w:color w:val="000000"/>
              </w:rPr>
              <w:t> %</w:t>
            </w:r>
          </w:p>
        </w:tc>
      </w:tr>
    </w:tbl>
    <w:p w14:paraId="36E41134" w14:textId="77777777" w:rsidR="00030632" w:rsidRPr="00C67737" w:rsidRDefault="00030632" w:rsidP="00680831"/>
    <w:p w14:paraId="2F9A42DB" w14:textId="09B1E114" w:rsidR="007F6FC9" w:rsidRPr="00C67737" w:rsidRDefault="00D5028F" w:rsidP="000B33CF">
      <w:pPr>
        <w:pStyle w:val="ListParagraph"/>
      </w:pPr>
      <w:r>
        <w:t>La répartition régionale est présentée dans le tableau</w:t>
      </w:r>
      <w:r w:rsidR="00D835F3">
        <w:t> </w:t>
      </w:r>
      <w:r>
        <w:t>3, de même que le montant et la part des ressources du GEF allouées aux petits États insulaires en développement (PEID) et aux pays les moins avancés (PMA), ainsi que le cofinancement correspondant. Un tiers (33,3</w:t>
      </w:r>
      <w:r w:rsidR="00966C17">
        <w:t> %</w:t>
      </w:r>
      <w:r>
        <w:t>) des ressources programmées au titre de projets pertinents pour la diversité biologique a bénéficié à l’Afrique</w:t>
      </w:r>
      <w:r w:rsidR="00BF2A9A">
        <w:t>.</w:t>
      </w:r>
      <w:r>
        <w:t xml:space="preserve"> </w:t>
      </w:r>
      <w:r w:rsidR="006403D0">
        <w:t>L</w:t>
      </w:r>
      <w:r>
        <w:t>’Amérique latine et les Caraïbes en ont reçu près d’un quart (24,6</w:t>
      </w:r>
      <w:r w:rsidR="00966C17">
        <w:t> %</w:t>
      </w:r>
      <w:r>
        <w:t xml:space="preserve">), suivies de l’Asie </w:t>
      </w:r>
      <w:r>
        <w:lastRenderedPageBreak/>
        <w:t>(24,1</w:t>
      </w:r>
      <w:r w:rsidR="00966C17">
        <w:t> %</w:t>
      </w:r>
      <w:r>
        <w:t>) et de l’Europe et de l’Asie centrale (4,7</w:t>
      </w:r>
      <w:r w:rsidR="00966C17">
        <w:t> %</w:t>
      </w:r>
      <w:r>
        <w:t>). Ensemble, les petits États insulaires en développement (PEID) et les pays les moins avancés (PMA) ont bénéficié de 41,6</w:t>
      </w:r>
      <w:r w:rsidR="00966C17">
        <w:t> %</w:t>
      </w:r>
      <w:r>
        <w:t xml:space="preserve"> des financements pertinents pour la diversité biologique programmés dans les différents fonds et </w:t>
      </w:r>
      <w:r w:rsidR="004630E3">
        <w:t>volet</w:t>
      </w:r>
      <w:r>
        <w:t xml:space="preserve">s de programmation au cours de la période considérée. </w:t>
      </w:r>
    </w:p>
    <w:p w14:paraId="4C03A433" w14:textId="7E664A4B" w:rsidR="007F6FC9" w:rsidRPr="00C67737" w:rsidRDefault="007F6FC9" w:rsidP="00A21FBC">
      <w:pPr>
        <w:pStyle w:val="Caption"/>
      </w:pPr>
      <w:bookmarkStart w:id="29" w:name="_Toc242183485"/>
      <w:r>
        <w:t>Tableau</w:t>
      </w:r>
      <w:r w:rsidR="00D835F3">
        <w:t> </w:t>
      </w:r>
      <w:r w:rsidRPr="00C67737">
        <w:fldChar w:fldCharType="begin"/>
      </w:r>
      <w:r w:rsidRPr="00C67737">
        <w:instrText>SEQ Table \* ARABIC</w:instrText>
      </w:r>
      <w:r w:rsidRPr="00C67737">
        <w:fldChar w:fldCharType="separate"/>
      </w:r>
      <w:r w:rsidR="006C2F5A">
        <w:rPr>
          <w:noProof/>
        </w:rPr>
        <w:t>3</w:t>
      </w:r>
      <w:r w:rsidRPr="00C67737">
        <w:fldChar w:fldCharType="end"/>
      </w:r>
      <w:r>
        <w:t xml:space="preserve">. </w:t>
      </w:r>
      <w:r w:rsidR="00F3028E">
        <w:t>Ventilation</w:t>
      </w:r>
      <w:r>
        <w:t xml:space="preserve">, par région et groupes de pays, de l’appui </w:t>
      </w:r>
      <w:r w:rsidR="007C22A6">
        <w:t xml:space="preserve">apporté par la programmation du </w:t>
      </w:r>
      <w:r>
        <w:t xml:space="preserve">GEF </w:t>
      </w:r>
      <w:r w:rsidR="00D22865">
        <w:t xml:space="preserve">à la mise en œuvre </w:t>
      </w:r>
      <w:r>
        <w:t>du KMGBF au cours de la période considérée (1</w:t>
      </w:r>
      <w:r>
        <w:rPr>
          <w:vertAlign w:val="superscript"/>
        </w:rPr>
        <w:t>er</w:t>
      </w:r>
      <w:r w:rsidR="00D835F3">
        <w:t> </w:t>
      </w:r>
      <w:r>
        <w:t>juillet 2022 - 30</w:t>
      </w:r>
      <w:r w:rsidR="00D835F3">
        <w:t> </w:t>
      </w:r>
      <w:r>
        <w:t>juin 2026)</w:t>
      </w:r>
      <w:r w:rsidRPr="00C67737">
        <w:rPr>
          <w:vertAlign w:val="superscript"/>
        </w:rPr>
        <w:footnoteReference w:id="12"/>
      </w:r>
      <w:bookmarkEnd w:id="29"/>
    </w:p>
    <w:tbl>
      <w:tblPr>
        <w:tblW w:w="9340" w:type="dxa"/>
        <w:jc w:val="center"/>
        <w:tblLook w:val="04A0" w:firstRow="1" w:lastRow="0" w:firstColumn="1" w:lastColumn="0" w:noHBand="0" w:noVBand="1"/>
      </w:tblPr>
      <w:tblGrid>
        <w:gridCol w:w="2952"/>
        <w:gridCol w:w="2283"/>
        <w:gridCol w:w="1701"/>
        <w:gridCol w:w="2404"/>
      </w:tblGrid>
      <w:tr w:rsidR="007F6FC9" w:rsidRPr="00C67737" w14:paraId="13430CBD" w14:textId="77777777" w:rsidTr="00D22865">
        <w:trPr>
          <w:trHeight w:val="645"/>
          <w:jc w:val="center"/>
        </w:trPr>
        <w:tc>
          <w:tcPr>
            <w:tcW w:w="2952" w:type="dxa"/>
            <w:tcBorders>
              <w:top w:val="single" w:sz="8" w:space="0" w:color="auto"/>
              <w:left w:val="single" w:sz="8" w:space="0" w:color="auto"/>
              <w:bottom w:val="single" w:sz="8" w:space="0" w:color="auto"/>
              <w:right w:val="single" w:sz="8" w:space="0" w:color="auto"/>
            </w:tcBorders>
            <w:vAlign w:val="center"/>
            <w:hideMark/>
          </w:tcPr>
          <w:p w14:paraId="42BF0DCC" w14:textId="77777777" w:rsidR="007F6FC9" w:rsidRPr="00C67737" w:rsidRDefault="007F6FC9" w:rsidP="009548A3">
            <w:pPr>
              <w:snapToGrid/>
              <w:spacing w:before="0" w:after="0"/>
              <w:jc w:val="center"/>
              <w:rPr>
                <w:rFonts w:ascii="Calibri" w:eastAsia="Times New Roman" w:hAnsi="Calibri" w:cs="Calibri"/>
                <w:b/>
                <w:color w:val="000000" w:themeColor="text1"/>
                <w:sz w:val="24"/>
                <w:szCs w:val="24"/>
              </w:rPr>
            </w:pPr>
            <w:r>
              <w:rPr>
                <w:rFonts w:ascii="Calibri" w:hAnsi="Calibri"/>
                <w:b/>
                <w:color w:val="000000" w:themeColor="text1"/>
                <w:sz w:val="24"/>
              </w:rPr>
              <w:t>Région/Groupe de pays</w:t>
            </w:r>
          </w:p>
        </w:tc>
        <w:tc>
          <w:tcPr>
            <w:tcW w:w="2283" w:type="dxa"/>
            <w:tcBorders>
              <w:top w:val="single" w:sz="8" w:space="0" w:color="auto"/>
              <w:left w:val="nil"/>
              <w:bottom w:val="single" w:sz="8" w:space="0" w:color="auto"/>
              <w:right w:val="single" w:sz="8" w:space="0" w:color="auto"/>
            </w:tcBorders>
            <w:vAlign w:val="center"/>
            <w:hideMark/>
          </w:tcPr>
          <w:p w14:paraId="368119B6" w14:textId="62ADAA4F" w:rsidR="007F6FC9" w:rsidRPr="00C67737" w:rsidRDefault="007F6FC9" w:rsidP="009548A3">
            <w:pPr>
              <w:snapToGrid/>
              <w:spacing w:before="0" w:after="0"/>
              <w:jc w:val="center"/>
              <w:rPr>
                <w:rFonts w:ascii="Calibri" w:eastAsia="Times New Roman" w:hAnsi="Calibri" w:cs="Calibri"/>
                <w:b/>
                <w:color w:val="000000" w:themeColor="text1"/>
                <w:sz w:val="24"/>
                <w:szCs w:val="24"/>
              </w:rPr>
            </w:pPr>
            <w:r>
              <w:rPr>
                <w:rFonts w:ascii="Calibri" w:hAnsi="Calibri"/>
                <w:b/>
                <w:color w:val="000000" w:themeColor="text1"/>
                <w:sz w:val="24"/>
              </w:rPr>
              <w:t>Financement du GEF (USD million)</w:t>
            </w:r>
            <w:r>
              <w:rPr>
                <w:rFonts w:ascii="Calibri" w:hAnsi="Calibri"/>
                <w:b/>
                <w:color w:val="000000" w:themeColor="text1"/>
                <w:sz w:val="24"/>
                <w:vertAlign w:val="superscript"/>
              </w:rPr>
              <w:t>1</w:t>
            </w:r>
            <w:r w:rsidR="001A30DE">
              <w:rPr>
                <w:rFonts w:ascii="Calibri" w:hAnsi="Calibri"/>
                <w:b/>
                <w:color w:val="000000" w:themeColor="text1"/>
                <w:sz w:val="24"/>
                <w:vertAlign w:val="superscript"/>
              </w:rPr>
              <w:t>0</w:t>
            </w:r>
          </w:p>
        </w:tc>
        <w:tc>
          <w:tcPr>
            <w:tcW w:w="1701" w:type="dxa"/>
            <w:tcBorders>
              <w:top w:val="single" w:sz="8" w:space="0" w:color="auto"/>
              <w:left w:val="single" w:sz="8" w:space="0" w:color="auto"/>
              <w:bottom w:val="single" w:sz="8" w:space="0" w:color="auto"/>
              <w:right w:val="single" w:sz="8" w:space="0" w:color="auto"/>
            </w:tcBorders>
            <w:vAlign w:val="center"/>
          </w:tcPr>
          <w:p w14:paraId="11C4235A" w14:textId="77777777" w:rsidR="007F6FC9" w:rsidRPr="00C67737" w:rsidRDefault="007F6FC9" w:rsidP="009548A3">
            <w:pPr>
              <w:snapToGrid/>
              <w:spacing w:before="0" w:after="0"/>
              <w:jc w:val="center"/>
              <w:rPr>
                <w:rFonts w:ascii="Calibri" w:eastAsia="Times New Roman" w:hAnsi="Calibri" w:cs="Calibri"/>
                <w:b/>
                <w:bCs/>
                <w:color w:val="000000" w:themeColor="text1"/>
                <w:sz w:val="24"/>
                <w:szCs w:val="24"/>
              </w:rPr>
            </w:pPr>
            <w:r>
              <w:rPr>
                <w:rFonts w:ascii="Calibri" w:hAnsi="Calibri"/>
                <w:b/>
                <w:color w:val="000000" w:themeColor="text1"/>
                <w:sz w:val="24"/>
              </w:rPr>
              <w:t>Part du financement du GEF</w:t>
            </w:r>
          </w:p>
        </w:tc>
        <w:tc>
          <w:tcPr>
            <w:tcW w:w="2404" w:type="dxa"/>
            <w:tcBorders>
              <w:top w:val="single" w:sz="8" w:space="0" w:color="auto"/>
              <w:left w:val="single" w:sz="8" w:space="0" w:color="auto"/>
              <w:bottom w:val="single" w:sz="8" w:space="0" w:color="auto"/>
              <w:right w:val="single" w:sz="8" w:space="0" w:color="auto"/>
            </w:tcBorders>
            <w:vAlign w:val="center"/>
            <w:hideMark/>
          </w:tcPr>
          <w:p w14:paraId="2C8CEB12" w14:textId="77777777" w:rsidR="007F6FC9" w:rsidRPr="00C67737" w:rsidRDefault="007F6FC9" w:rsidP="009548A3">
            <w:pPr>
              <w:snapToGrid/>
              <w:spacing w:before="0" w:after="0"/>
              <w:jc w:val="center"/>
              <w:rPr>
                <w:rFonts w:ascii="Calibri" w:eastAsia="Times New Roman" w:hAnsi="Calibri" w:cs="Calibri"/>
                <w:b/>
                <w:color w:val="000000" w:themeColor="text1"/>
                <w:sz w:val="24"/>
                <w:szCs w:val="24"/>
              </w:rPr>
            </w:pPr>
            <w:r>
              <w:rPr>
                <w:rFonts w:ascii="Calibri" w:hAnsi="Calibri"/>
                <w:b/>
                <w:color w:val="000000" w:themeColor="text1"/>
                <w:sz w:val="24"/>
              </w:rPr>
              <w:t>Cofinancement</w:t>
            </w:r>
          </w:p>
          <w:p w14:paraId="3522CDEF" w14:textId="77777777" w:rsidR="007F6FC9" w:rsidRPr="00C67737" w:rsidRDefault="007F6FC9" w:rsidP="009548A3">
            <w:pPr>
              <w:snapToGrid/>
              <w:spacing w:before="0" w:after="0"/>
              <w:jc w:val="center"/>
              <w:rPr>
                <w:rFonts w:ascii="Calibri" w:eastAsia="Times New Roman" w:hAnsi="Calibri" w:cs="Calibri"/>
                <w:b/>
                <w:color w:val="000000" w:themeColor="text1"/>
                <w:sz w:val="24"/>
                <w:szCs w:val="24"/>
              </w:rPr>
            </w:pPr>
            <w:r>
              <w:rPr>
                <w:rFonts w:ascii="Calibri" w:hAnsi="Calibri"/>
                <w:b/>
                <w:color w:val="000000" w:themeColor="text1"/>
                <w:sz w:val="24"/>
              </w:rPr>
              <w:t>(USD million)</w:t>
            </w:r>
          </w:p>
        </w:tc>
      </w:tr>
      <w:tr w:rsidR="007F6FC9" w:rsidRPr="00C67737" w14:paraId="5E04D804" w14:textId="77777777" w:rsidTr="00D22865">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0E4C6A02" w14:textId="77777777" w:rsidR="007F6FC9" w:rsidRPr="00C67737" w:rsidRDefault="007F6FC9" w:rsidP="009548A3">
            <w:pPr>
              <w:snapToGrid/>
              <w:spacing w:before="0" w:after="0"/>
              <w:jc w:val="center"/>
              <w:rPr>
                <w:rFonts w:ascii="Calibri" w:eastAsia="Times New Roman" w:hAnsi="Calibri" w:cs="Calibri"/>
                <w:color w:val="000000" w:themeColor="text1"/>
              </w:rPr>
            </w:pPr>
            <w:r>
              <w:rPr>
                <w:rFonts w:ascii="Calibri" w:hAnsi="Calibri"/>
                <w:color w:val="000000" w:themeColor="text1"/>
              </w:rPr>
              <w:t>Afrique</w:t>
            </w:r>
          </w:p>
        </w:tc>
        <w:tc>
          <w:tcPr>
            <w:tcW w:w="2283" w:type="dxa"/>
            <w:tcBorders>
              <w:top w:val="nil"/>
              <w:left w:val="nil"/>
              <w:bottom w:val="single" w:sz="8" w:space="0" w:color="auto"/>
              <w:right w:val="single" w:sz="8" w:space="0" w:color="auto"/>
            </w:tcBorders>
            <w:hideMark/>
          </w:tcPr>
          <w:p w14:paraId="248B7CCF" w14:textId="6E4E97A4"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1</w:t>
            </w:r>
            <w:r w:rsidR="00D835F3">
              <w:t> </w:t>
            </w:r>
            <w:r>
              <w:t xml:space="preserve">547,14 </w:t>
            </w:r>
          </w:p>
        </w:tc>
        <w:tc>
          <w:tcPr>
            <w:tcW w:w="1701" w:type="dxa"/>
            <w:tcBorders>
              <w:top w:val="single" w:sz="8" w:space="0" w:color="auto"/>
              <w:left w:val="single" w:sz="8" w:space="0" w:color="auto"/>
              <w:bottom w:val="single" w:sz="8" w:space="0" w:color="auto"/>
              <w:right w:val="single" w:sz="8" w:space="0" w:color="auto"/>
            </w:tcBorders>
          </w:tcPr>
          <w:p w14:paraId="163FDFE0" w14:textId="158DC0FD" w:rsidR="007F6FC9" w:rsidRPr="00C67737" w:rsidRDefault="007F6FC9" w:rsidP="009548A3">
            <w:pPr>
              <w:snapToGrid/>
              <w:spacing w:before="0" w:after="0"/>
              <w:jc w:val="right"/>
              <w:rPr>
                <w:rFonts w:eastAsia="Times New Roman" w:cstheme="minorHAnsi"/>
                <w:color w:val="000000" w:themeColor="text1"/>
                <w:highlight w:val="yellow"/>
              </w:rPr>
            </w:pPr>
            <w:r>
              <w:t>33,3</w:t>
            </w:r>
            <w:r w:rsidR="00966C17">
              <w:t> %</w:t>
            </w:r>
          </w:p>
        </w:tc>
        <w:tc>
          <w:tcPr>
            <w:tcW w:w="2404" w:type="dxa"/>
            <w:tcBorders>
              <w:top w:val="nil"/>
              <w:left w:val="single" w:sz="8" w:space="0" w:color="auto"/>
              <w:bottom w:val="single" w:sz="8" w:space="0" w:color="auto"/>
              <w:right w:val="single" w:sz="8" w:space="0" w:color="auto"/>
            </w:tcBorders>
            <w:hideMark/>
          </w:tcPr>
          <w:p w14:paraId="2B7C6393" w14:textId="5FCBEA2B"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10</w:t>
            </w:r>
            <w:r w:rsidR="00D835F3">
              <w:t> </w:t>
            </w:r>
            <w:r>
              <w:t xml:space="preserve">012,99 </w:t>
            </w:r>
          </w:p>
        </w:tc>
      </w:tr>
      <w:tr w:rsidR="007F6FC9" w:rsidRPr="00C67737" w14:paraId="32269956" w14:textId="77777777" w:rsidTr="00D22865">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7ADFF494" w14:textId="77777777" w:rsidR="007F6FC9" w:rsidRPr="00C67737" w:rsidRDefault="007F6FC9" w:rsidP="009548A3">
            <w:pPr>
              <w:snapToGrid/>
              <w:spacing w:before="0" w:after="0"/>
              <w:jc w:val="center"/>
              <w:rPr>
                <w:rFonts w:ascii="Calibri" w:eastAsia="Times New Roman" w:hAnsi="Calibri" w:cs="Calibri"/>
                <w:color w:val="000000" w:themeColor="text1"/>
              </w:rPr>
            </w:pPr>
            <w:r>
              <w:rPr>
                <w:rFonts w:ascii="Calibri" w:hAnsi="Calibri"/>
                <w:color w:val="000000" w:themeColor="text1"/>
              </w:rPr>
              <w:t>Asie</w:t>
            </w:r>
          </w:p>
        </w:tc>
        <w:tc>
          <w:tcPr>
            <w:tcW w:w="2283" w:type="dxa"/>
            <w:tcBorders>
              <w:top w:val="nil"/>
              <w:left w:val="nil"/>
              <w:bottom w:val="single" w:sz="8" w:space="0" w:color="auto"/>
              <w:right w:val="single" w:sz="8" w:space="0" w:color="auto"/>
            </w:tcBorders>
            <w:shd w:val="clear" w:color="auto" w:fill="F2F2F2" w:themeFill="background1" w:themeFillShade="F2"/>
            <w:hideMark/>
          </w:tcPr>
          <w:p w14:paraId="7CB6DDE1" w14:textId="3EB21F16"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1</w:t>
            </w:r>
            <w:r w:rsidR="00D835F3">
              <w:t> </w:t>
            </w:r>
            <w:r>
              <w:t xml:space="preserve">117,12 </w:t>
            </w:r>
          </w:p>
        </w:tc>
        <w:tc>
          <w:tcPr>
            <w:tcW w:w="1701"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0E6AF45B" w14:textId="53A76753" w:rsidR="007F6FC9" w:rsidRPr="00C67737" w:rsidRDefault="007F6FC9" w:rsidP="009548A3">
            <w:pPr>
              <w:snapToGrid/>
              <w:spacing w:before="0" w:after="0"/>
              <w:jc w:val="right"/>
              <w:rPr>
                <w:rFonts w:eastAsia="Times New Roman" w:cstheme="minorHAnsi"/>
                <w:color w:val="000000" w:themeColor="text1"/>
                <w:highlight w:val="yellow"/>
              </w:rPr>
            </w:pPr>
            <w:r>
              <w:t>24,1</w:t>
            </w:r>
            <w:r w:rsidR="00966C17">
              <w:t> %</w:t>
            </w:r>
          </w:p>
        </w:tc>
        <w:tc>
          <w:tcPr>
            <w:tcW w:w="2404" w:type="dxa"/>
            <w:tcBorders>
              <w:top w:val="single" w:sz="8" w:space="0" w:color="auto"/>
              <w:left w:val="single" w:sz="8" w:space="0" w:color="auto"/>
              <w:bottom w:val="single" w:sz="8" w:space="0" w:color="auto"/>
              <w:right w:val="single" w:sz="8" w:space="0" w:color="auto"/>
            </w:tcBorders>
            <w:shd w:val="clear" w:color="auto" w:fill="F2F2F2" w:themeFill="background1" w:themeFillShade="F2"/>
            <w:hideMark/>
          </w:tcPr>
          <w:p w14:paraId="382D0506" w14:textId="0AFD9C2E"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6</w:t>
            </w:r>
            <w:r w:rsidR="00D835F3">
              <w:t> </w:t>
            </w:r>
            <w:r>
              <w:t xml:space="preserve">128,74 </w:t>
            </w:r>
          </w:p>
        </w:tc>
      </w:tr>
      <w:tr w:rsidR="007F6FC9" w:rsidRPr="00C67737" w14:paraId="584CE53F" w14:textId="77777777" w:rsidTr="00D22865">
        <w:trPr>
          <w:trHeight w:val="331"/>
          <w:jc w:val="center"/>
        </w:trPr>
        <w:tc>
          <w:tcPr>
            <w:tcW w:w="2952" w:type="dxa"/>
            <w:tcBorders>
              <w:top w:val="nil"/>
              <w:left w:val="single" w:sz="8" w:space="0" w:color="auto"/>
              <w:bottom w:val="single" w:sz="8" w:space="0" w:color="auto"/>
              <w:right w:val="single" w:sz="8" w:space="0" w:color="auto"/>
            </w:tcBorders>
            <w:vAlign w:val="center"/>
            <w:hideMark/>
          </w:tcPr>
          <w:p w14:paraId="0DD55023" w14:textId="77777777" w:rsidR="007F6FC9" w:rsidRPr="00C67737" w:rsidRDefault="007F6FC9" w:rsidP="009548A3">
            <w:pPr>
              <w:snapToGrid/>
              <w:spacing w:before="0" w:after="0"/>
              <w:jc w:val="center"/>
              <w:rPr>
                <w:rFonts w:ascii="Calibri" w:eastAsia="Times New Roman" w:hAnsi="Calibri" w:cs="Calibri"/>
                <w:color w:val="000000" w:themeColor="text1"/>
              </w:rPr>
            </w:pPr>
            <w:r>
              <w:rPr>
                <w:rFonts w:ascii="Calibri" w:hAnsi="Calibri"/>
                <w:color w:val="000000" w:themeColor="text1"/>
              </w:rPr>
              <w:t>Amérique latine et Caraïbes</w:t>
            </w:r>
          </w:p>
        </w:tc>
        <w:tc>
          <w:tcPr>
            <w:tcW w:w="2283" w:type="dxa"/>
            <w:tcBorders>
              <w:top w:val="nil"/>
              <w:left w:val="nil"/>
              <w:bottom w:val="single" w:sz="8" w:space="0" w:color="auto"/>
              <w:right w:val="single" w:sz="8" w:space="0" w:color="auto"/>
            </w:tcBorders>
            <w:hideMark/>
          </w:tcPr>
          <w:p w14:paraId="4B7004AA" w14:textId="2E7C2D83"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1</w:t>
            </w:r>
            <w:r w:rsidR="00D835F3">
              <w:t> </w:t>
            </w:r>
            <w:r>
              <w:t xml:space="preserve">141,72 </w:t>
            </w:r>
          </w:p>
        </w:tc>
        <w:tc>
          <w:tcPr>
            <w:tcW w:w="1701" w:type="dxa"/>
            <w:tcBorders>
              <w:top w:val="single" w:sz="8" w:space="0" w:color="auto"/>
              <w:left w:val="single" w:sz="8" w:space="0" w:color="auto"/>
              <w:bottom w:val="single" w:sz="8" w:space="0" w:color="auto"/>
              <w:right w:val="single" w:sz="8" w:space="0" w:color="auto"/>
            </w:tcBorders>
          </w:tcPr>
          <w:p w14:paraId="236FBF35" w14:textId="542EB4E0" w:rsidR="007F6FC9" w:rsidRPr="00C67737" w:rsidRDefault="007F6FC9" w:rsidP="009548A3">
            <w:pPr>
              <w:snapToGrid/>
              <w:spacing w:before="0" w:after="0"/>
              <w:jc w:val="right"/>
              <w:rPr>
                <w:rFonts w:eastAsia="Times New Roman" w:cstheme="minorHAnsi"/>
                <w:color w:val="000000" w:themeColor="text1"/>
                <w:highlight w:val="yellow"/>
              </w:rPr>
            </w:pPr>
            <w:r>
              <w:t>24,6</w:t>
            </w:r>
            <w:r w:rsidR="00966C17">
              <w:t> %</w:t>
            </w:r>
          </w:p>
        </w:tc>
        <w:tc>
          <w:tcPr>
            <w:tcW w:w="2404" w:type="dxa"/>
            <w:tcBorders>
              <w:top w:val="nil"/>
              <w:left w:val="single" w:sz="8" w:space="0" w:color="auto"/>
              <w:bottom w:val="single" w:sz="8" w:space="0" w:color="auto"/>
              <w:right w:val="single" w:sz="8" w:space="0" w:color="auto"/>
            </w:tcBorders>
            <w:hideMark/>
          </w:tcPr>
          <w:p w14:paraId="110718BE" w14:textId="654172C1"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6</w:t>
            </w:r>
            <w:r w:rsidR="00D835F3">
              <w:t> </w:t>
            </w:r>
            <w:r>
              <w:t xml:space="preserve">785,20 </w:t>
            </w:r>
          </w:p>
        </w:tc>
      </w:tr>
      <w:tr w:rsidR="007F6FC9" w:rsidRPr="00C67737" w14:paraId="37581C92" w14:textId="77777777" w:rsidTr="00D22865">
        <w:trPr>
          <w:trHeight w:val="421"/>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90392E2" w14:textId="77777777" w:rsidR="007F6FC9" w:rsidRPr="00C67737" w:rsidRDefault="007F6FC9" w:rsidP="009548A3">
            <w:pPr>
              <w:snapToGrid/>
              <w:spacing w:before="0" w:after="0"/>
              <w:jc w:val="center"/>
              <w:rPr>
                <w:rFonts w:ascii="Calibri" w:eastAsia="Times New Roman" w:hAnsi="Calibri" w:cs="Calibri"/>
                <w:color w:val="000000" w:themeColor="text1"/>
              </w:rPr>
            </w:pPr>
            <w:r>
              <w:rPr>
                <w:rFonts w:ascii="Calibri" w:hAnsi="Calibri"/>
                <w:color w:val="000000" w:themeColor="text1"/>
              </w:rPr>
              <w:t>Europe et Asie centrale</w:t>
            </w:r>
          </w:p>
        </w:tc>
        <w:tc>
          <w:tcPr>
            <w:tcW w:w="2283" w:type="dxa"/>
            <w:tcBorders>
              <w:top w:val="nil"/>
              <w:left w:val="nil"/>
              <w:bottom w:val="single" w:sz="8" w:space="0" w:color="auto"/>
              <w:right w:val="single" w:sz="8" w:space="0" w:color="auto"/>
            </w:tcBorders>
            <w:shd w:val="clear" w:color="auto" w:fill="F2F2F2" w:themeFill="background1" w:themeFillShade="F2"/>
            <w:hideMark/>
          </w:tcPr>
          <w:p w14:paraId="39269848"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217,55 </w:t>
            </w:r>
          </w:p>
        </w:tc>
        <w:tc>
          <w:tcPr>
            <w:tcW w:w="1701"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18ACD421" w14:textId="3D498F54" w:rsidR="007F6FC9" w:rsidRPr="00C67737" w:rsidRDefault="007F6FC9" w:rsidP="009548A3">
            <w:pPr>
              <w:snapToGrid/>
              <w:spacing w:before="0" w:after="0"/>
              <w:jc w:val="right"/>
              <w:rPr>
                <w:rFonts w:eastAsia="Times New Roman" w:cstheme="minorHAnsi"/>
                <w:color w:val="000000" w:themeColor="text1"/>
                <w:highlight w:val="yellow"/>
              </w:rPr>
            </w:pPr>
            <w:r>
              <w:t>4,7</w:t>
            </w:r>
            <w:r w:rsidR="00966C17">
              <w:t> %</w:t>
            </w:r>
          </w:p>
        </w:tc>
        <w:tc>
          <w:tcPr>
            <w:tcW w:w="2404" w:type="dxa"/>
            <w:tcBorders>
              <w:top w:val="nil"/>
              <w:left w:val="single" w:sz="8" w:space="0" w:color="auto"/>
              <w:bottom w:val="single" w:sz="8" w:space="0" w:color="auto"/>
              <w:right w:val="single" w:sz="8" w:space="0" w:color="auto"/>
            </w:tcBorders>
            <w:shd w:val="clear" w:color="auto" w:fill="F2F2F2" w:themeFill="background1" w:themeFillShade="F2"/>
            <w:hideMark/>
          </w:tcPr>
          <w:p w14:paraId="3952C4E3" w14:textId="36D1B4E8"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1</w:t>
            </w:r>
            <w:r w:rsidR="00D835F3">
              <w:t> </w:t>
            </w:r>
            <w:r>
              <w:t xml:space="preserve">649,70 </w:t>
            </w:r>
          </w:p>
        </w:tc>
      </w:tr>
      <w:tr w:rsidR="007F6FC9" w:rsidRPr="00C67737" w14:paraId="451408DD" w14:textId="77777777" w:rsidTr="00D22865">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4A4CDA4A" w14:textId="77777777" w:rsidR="007F6FC9" w:rsidRPr="00C67737" w:rsidRDefault="007F6FC9" w:rsidP="009548A3">
            <w:pPr>
              <w:snapToGrid/>
              <w:spacing w:before="0" w:after="0"/>
              <w:jc w:val="center"/>
              <w:rPr>
                <w:rFonts w:ascii="Calibri" w:eastAsia="Times New Roman" w:hAnsi="Calibri" w:cs="Calibri"/>
                <w:color w:val="000000" w:themeColor="text1"/>
              </w:rPr>
            </w:pPr>
            <w:r>
              <w:rPr>
                <w:rFonts w:ascii="Calibri" w:hAnsi="Calibri"/>
                <w:color w:val="000000" w:themeColor="text1"/>
              </w:rPr>
              <w:t>Monde/région</w:t>
            </w:r>
          </w:p>
        </w:tc>
        <w:tc>
          <w:tcPr>
            <w:tcW w:w="2283" w:type="dxa"/>
            <w:tcBorders>
              <w:top w:val="nil"/>
              <w:left w:val="nil"/>
              <w:bottom w:val="single" w:sz="8" w:space="0" w:color="auto"/>
              <w:right w:val="single" w:sz="8" w:space="0" w:color="auto"/>
            </w:tcBorders>
            <w:hideMark/>
          </w:tcPr>
          <w:p w14:paraId="015F2D24"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616,64 </w:t>
            </w:r>
          </w:p>
        </w:tc>
        <w:tc>
          <w:tcPr>
            <w:tcW w:w="1701" w:type="dxa"/>
            <w:tcBorders>
              <w:top w:val="single" w:sz="8" w:space="0" w:color="auto"/>
              <w:left w:val="single" w:sz="8" w:space="0" w:color="auto"/>
              <w:bottom w:val="single" w:sz="8" w:space="0" w:color="auto"/>
              <w:right w:val="single" w:sz="8" w:space="0" w:color="auto"/>
            </w:tcBorders>
          </w:tcPr>
          <w:p w14:paraId="3B5372E7" w14:textId="55838BCD" w:rsidR="007F6FC9" w:rsidRPr="00C67737" w:rsidRDefault="007F6FC9" w:rsidP="009548A3">
            <w:pPr>
              <w:snapToGrid/>
              <w:spacing w:before="0" w:after="0"/>
              <w:jc w:val="right"/>
              <w:rPr>
                <w:rFonts w:eastAsia="Times New Roman" w:cstheme="minorHAnsi"/>
                <w:color w:val="000000" w:themeColor="text1"/>
                <w:highlight w:val="yellow"/>
              </w:rPr>
            </w:pPr>
            <w:r>
              <w:t>13,3</w:t>
            </w:r>
            <w:r w:rsidR="00966C17">
              <w:t> %</w:t>
            </w:r>
          </w:p>
        </w:tc>
        <w:tc>
          <w:tcPr>
            <w:tcW w:w="2404" w:type="dxa"/>
            <w:tcBorders>
              <w:top w:val="nil"/>
              <w:left w:val="single" w:sz="8" w:space="0" w:color="auto"/>
              <w:bottom w:val="single" w:sz="8" w:space="0" w:color="auto"/>
              <w:right w:val="single" w:sz="8" w:space="0" w:color="auto"/>
            </w:tcBorders>
            <w:hideMark/>
          </w:tcPr>
          <w:p w14:paraId="0B6BE3EF" w14:textId="692109F1"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5</w:t>
            </w:r>
            <w:r w:rsidR="00D835F3">
              <w:t> </w:t>
            </w:r>
            <w:r>
              <w:t xml:space="preserve">118,30 </w:t>
            </w:r>
          </w:p>
        </w:tc>
      </w:tr>
      <w:tr w:rsidR="007F6FC9" w:rsidRPr="00C67737" w14:paraId="090B755C" w14:textId="77777777" w:rsidTr="00D22865">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CA4D33D" w14:textId="77777777" w:rsidR="007F6FC9" w:rsidRPr="00C67737" w:rsidRDefault="007F6FC9" w:rsidP="009548A3">
            <w:pPr>
              <w:snapToGrid/>
              <w:spacing w:before="0" w:after="0"/>
              <w:jc w:val="center"/>
              <w:rPr>
                <w:rFonts w:ascii="Calibri" w:eastAsia="Times New Roman" w:hAnsi="Calibri" w:cs="Calibri"/>
                <w:b/>
                <w:color w:val="000000" w:themeColor="text1"/>
                <w:sz w:val="24"/>
                <w:szCs w:val="24"/>
              </w:rPr>
            </w:pPr>
            <w:r>
              <w:rPr>
                <w:rFonts w:ascii="Calibri" w:hAnsi="Calibri"/>
                <w:b/>
                <w:color w:val="000000" w:themeColor="text1"/>
                <w:sz w:val="24"/>
              </w:rPr>
              <w:t>Total</w:t>
            </w:r>
          </w:p>
        </w:tc>
        <w:tc>
          <w:tcPr>
            <w:tcW w:w="2283" w:type="dxa"/>
            <w:tcBorders>
              <w:top w:val="nil"/>
              <w:left w:val="nil"/>
              <w:bottom w:val="single" w:sz="8" w:space="0" w:color="auto"/>
              <w:right w:val="single" w:sz="8" w:space="0" w:color="auto"/>
            </w:tcBorders>
            <w:shd w:val="clear" w:color="auto" w:fill="F2F2F2" w:themeFill="background1" w:themeFillShade="F2"/>
            <w:hideMark/>
          </w:tcPr>
          <w:p w14:paraId="4A48938A" w14:textId="0D6B9DD5" w:rsidR="007F6FC9" w:rsidRPr="00C67737" w:rsidRDefault="007F6FC9" w:rsidP="009548A3">
            <w:pPr>
              <w:snapToGrid/>
              <w:spacing w:before="0" w:after="0"/>
              <w:jc w:val="right"/>
              <w:rPr>
                <w:rFonts w:ascii="Calibri" w:eastAsia="Times New Roman" w:hAnsi="Calibri" w:cs="Calibri"/>
                <w:b/>
                <w:bCs/>
                <w:color w:val="000000" w:themeColor="text1"/>
                <w:sz w:val="24"/>
                <w:szCs w:val="24"/>
                <w:highlight w:val="yellow"/>
              </w:rPr>
            </w:pPr>
            <w:r>
              <w:rPr>
                <w:b/>
              </w:rPr>
              <w:t xml:space="preserve"> 4</w:t>
            </w:r>
            <w:r w:rsidR="00D835F3">
              <w:rPr>
                <w:b/>
              </w:rPr>
              <w:t> </w:t>
            </w:r>
            <w:r>
              <w:rPr>
                <w:b/>
              </w:rPr>
              <w:t xml:space="preserve">640,17 </w:t>
            </w:r>
          </w:p>
        </w:tc>
        <w:tc>
          <w:tcPr>
            <w:tcW w:w="1701"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5D5100CE" w14:textId="6C1D9217" w:rsidR="007F6FC9" w:rsidRPr="00C67737" w:rsidRDefault="007F6FC9" w:rsidP="009548A3">
            <w:pPr>
              <w:snapToGrid/>
              <w:spacing w:before="0" w:after="0"/>
              <w:jc w:val="right"/>
              <w:rPr>
                <w:rFonts w:cstheme="minorHAnsi"/>
                <w:b/>
                <w:bCs/>
                <w:color w:val="000000" w:themeColor="text1"/>
                <w:sz w:val="24"/>
                <w:szCs w:val="24"/>
                <w:highlight w:val="yellow"/>
              </w:rPr>
            </w:pPr>
            <w:r>
              <w:rPr>
                <w:b/>
              </w:rPr>
              <w:t>100,0</w:t>
            </w:r>
            <w:r w:rsidR="00966C17">
              <w:rPr>
                <w:b/>
              </w:rPr>
              <w:t> %</w:t>
            </w:r>
          </w:p>
        </w:tc>
        <w:tc>
          <w:tcPr>
            <w:tcW w:w="2404" w:type="dxa"/>
            <w:tcBorders>
              <w:top w:val="nil"/>
              <w:left w:val="single" w:sz="8" w:space="0" w:color="auto"/>
              <w:bottom w:val="single" w:sz="8" w:space="0" w:color="auto"/>
              <w:right w:val="single" w:sz="8" w:space="0" w:color="auto"/>
            </w:tcBorders>
            <w:shd w:val="clear" w:color="auto" w:fill="F2F2F2" w:themeFill="background1" w:themeFillShade="F2"/>
            <w:hideMark/>
          </w:tcPr>
          <w:p w14:paraId="0798B95A" w14:textId="7DA03259" w:rsidR="007F6FC9" w:rsidRPr="00C67737" w:rsidRDefault="007F6FC9" w:rsidP="009548A3">
            <w:pPr>
              <w:snapToGrid/>
              <w:spacing w:before="0" w:after="0"/>
              <w:jc w:val="right"/>
              <w:rPr>
                <w:rFonts w:ascii="Calibri" w:eastAsia="Times New Roman" w:hAnsi="Calibri" w:cs="Calibri"/>
                <w:b/>
                <w:bCs/>
                <w:color w:val="000000" w:themeColor="text1"/>
                <w:sz w:val="24"/>
                <w:szCs w:val="24"/>
                <w:highlight w:val="yellow"/>
              </w:rPr>
            </w:pPr>
            <w:r>
              <w:rPr>
                <w:b/>
              </w:rPr>
              <w:t xml:space="preserve"> 29</w:t>
            </w:r>
            <w:r w:rsidR="00D835F3">
              <w:rPr>
                <w:b/>
              </w:rPr>
              <w:t> </w:t>
            </w:r>
            <w:r>
              <w:rPr>
                <w:b/>
              </w:rPr>
              <w:t xml:space="preserve">694,93 </w:t>
            </w:r>
          </w:p>
        </w:tc>
      </w:tr>
      <w:tr w:rsidR="007F6FC9" w:rsidRPr="00C67737" w14:paraId="21656288" w14:textId="77777777" w:rsidTr="00D22865">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17A1FEBA" w14:textId="77777777" w:rsidR="007F6FC9" w:rsidRPr="00C67737" w:rsidRDefault="007F6FC9" w:rsidP="009548A3">
            <w:pPr>
              <w:snapToGrid/>
              <w:spacing w:before="0" w:after="0"/>
              <w:jc w:val="center"/>
              <w:rPr>
                <w:rFonts w:ascii="Calibri" w:eastAsia="Times New Roman" w:hAnsi="Calibri" w:cs="Calibri"/>
                <w:color w:val="000000" w:themeColor="text1"/>
              </w:rPr>
            </w:pPr>
            <w:r>
              <w:rPr>
                <w:rFonts w:ascii="Calibri" w:hAnsi="Calibri"/>
                <w:color w:val="000000" w:themeColor="text1"/>
              </w:rPr>
              <w:t>PEID</w:t>
            </w:r>
          </w:p>
        </w:tc>
        <w:tc>
          <w:tcPr>
            <w:tcW w:w="2283" w:type="dxa"/>
            <w:tcBorders>
              <w:top w:val="nil"/>
              <w:left w:val="nil"/>
              <w:bottom w:val="single" w:sz="8" w:space="0" w:color="auto"/>
              <w:right w:val="single" w:sz="8" w:space="0" w:color="auto"/>
            </w:tcBorders>
            <w:hideMark/>
          </w:tcPr>
          <w:p w14:paraId="3CB5D0CE"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675,12 </w:t>
            </w:r>
          </w:p>
        </w:tc>
        <w:tc>
          <w:tcPr>
            <w:tcW w:w="1701" w:type="dxa"/>
            <w:tcBorders>
              <w:top w:val="single" w:sz="8" w:space="0" w:color="auto"/>
              <w:left w:val="single" w:sz="8" w:space="0" w:color="auto"/>
              <w:bottom w:val="single" w:sz="8" w:space="0" w:color="auto"/>
              <w:right w:val="single" w:sz="8" w:space="0" w:color="auto"/>
            </w:tcBorders>
          </w:tcPr>
          <w:p w14:paraId="26184142" w14:textId="0393F388" w:rsidR="007F6FC9" w:rsidRPr="00C67737" w:rsidRDefault="007F6FC9" w:rsidP="009548A3">
            <w:pPr>
              <w:snapToGrid/>
              <w:spacing w:before="0" w:after="0"/>
              <w:jc w:val="right"/>
              <w:rPr>
                <w:rFonts w:eastAsia="Times New Roman" w:cstheme="minorHAnsi"/>
                <w:color w:val="000000" w:themeColor="text1"/>
                <w:highlight w:val="yellow"/>
              </w:rPr>
            </w:pPr>
            <w:r>
              <w:t>14,5</w:t>
            </w:r>
            <w:r w:rsidR="00966C17">
              <w:t> %</w:t>
            </w:r>
          </w:p>
        </w:tc>
        <w:tc>
          <w:tcPr>
            <w:tcW w:w="2404" w:type="dxa"/>
            <w:tcBorders>
              <w:top w:val="nil"/>
              <w:left w:val="single" w:sz="8" w:space="0" w:color="auto"/>
              <w:bottom w:val="single" w:sz="8" w:space="0" w:color="auto"/>
              <w:right w:val="single" w:sz="8" w:space="0" w:color="auto"/>
            </w:tcBorders>
            <w:hideMark/>
          </w:tcPr>
          <w:p w14:paraId="0B8C5354" w14:textId="3AF2816E"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2</w:t>
            </w:r>
            <w:r w:rsidR="00D835F3">
              <w:t> </w:t>
            </w:r>
            <w:r>
              <w:t xml:space="preserve">460,53 </w:t>
            </w:r>
          </w:p>
        </w:tc>
      </w:tr>
      <w:tr w:rsidR="007F6FC9" w:rsidRPr="00C67737" w14:paraId="7CCBA735" w14:textId="77777777" w:rsidTr="00D22865">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981CAE8" w14:textId="77777777" w:rsidR="007F6FC9" w:rsidRPr="00C67737" w:rsidRDefault="007F6FC9" w:rsidP="009548A3">
            <w:pPr>
              <w:snapToGrid/>
              <w:spacing w:before="0" w:after="0"/>
              <w:jc w:val="center"/>
              <w:rPr>
                <w:rFonts w:ascii="Calibri" w:eastAsia="Times New Roman" w:hAnsi="Calibri" w:cs="Calibri"/>
                <w:color w:val="000000" w:themeColor="text1"/>
              </w:rPr>
            </w:pPr>
            <w:r>
              <w:rPr>
                <w:rFonts w:ascii="Calibri" w:hAnsi="Calibri"/>
                <w:color w:val="000000" w:themeColor="text1"/>
              </w:rPr>
              <w:t>PMA</w:t>
            </w:r>
          </w:p>
        </w:tc>
        <w:tc>
          <w:tcPr>
            <w:tcW w:w="2283" w:type="dxa"/>
            <w:tcBorders>
              <w:top w:val="nil"/>
              <w:left w:val="nil"/>
              <w:bottom w:val="single" w:sz="8" w:space="0" w:color="auto"/>
              <w:right w:val="single" w:sz="8" w:space="0" w:color="auto"/>
            </w:tcBorders>
            <w:shd w:val="clear" w:color="auto" w:fill="F2F2F2" w:themeFill="background1" w:themeFillShade="F2"/>
            <w:hideMark/>
          </w:tcPr>
          <w:p w14:paraId="1351F569" w14:textId="7184EA5D"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1</w:t>
            </w:r>
            <w:r w:rsidR="00D835F3">
              <w:t> </w:t>
            </w:r>
            <w:r>
              <w:t xml:space="preserve">258,43 </w:t>
            </w:r>
          </w:p>
        </w:tc>
        <w:tc>
          <w:tcPr>
            <w:tcW w:w="1701"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4A40696D" w14:textId="37344DD5" w:rsidR="007F6FC9" w:rsidRPr="00C67737" w:rsidRDefault="007F6FC9" w:rsidP="009548A3">
            <w:pPr>
              <w:snapToGrid/>
              <w:spacing w:before="0" w:after="0"/>
              <w:jc w:val="right"/>
              <w:rPr>
                <w:rFonts w:eastAsia="Times New Roman" w:cstheme="minorHAnsi"/>
                <w:color w:val="000000" w:themeColor="text1"/>
                <w:highlight w:val="yellow"/>
              </w:rPr>
            </w:pPr>
            <w:r>
              <w:t>27,1</w:t>
            </w:r>
            <w:r w:rsidR="00966C17">
              <w:t> %</w:t>
            </w:r>
          </w:p>
        </w:tc>
        <w:tc>
          <w:tcPr>
            <w:tcW w:w="2404" w:type="dxa"/>
            <w:tcBorders>
              <w:top w:val="nil"/>
              <w:left w:val="single" w:sz="8" w:space="0" w:color="auto"/>
              <w:bottom w:val="single" w:sz="8" w:space="0" w:color="auto"/>
              <w:right w:val="single" w:sz="8" w:space="0" w:color="auto"/>
            </w:tcBorders>
            <w:shd w:val="clear" w:color="auto" w:fill="F2F2F2" w:themeFill="background1" w:themeFillShade="F2"/>
            <w:hideMark/>
          </w:tcPr>
          <w:p w14:paraId="241961DA" w14:textId="19789637" w:rsidR="007F6FC9" w:rsidRPr="00C67737" w:rsidRDefault="007F6FC9" w:rsidP="009548A3">
            <w:pPr>
              <w:snapToGrid/>
              <w:spacing w:before="0" w:after="0"/>
              <w:jc w:val="right"/>
              <w:rPr>
                <w:rFonts w:ascii="Calibri" w:eastAsia="Times New Roman" w:hAnsi="Calibri" w:cs="Calibri"/>
                <w:color w:val="000000" w:themeColor="text1"/>
                <w:highlight w:val="yellow"/>
              </w:rPr>
            </w:pPr>
            <w:r>
              <w:t xml:space="preserve"> 6</w:t>
            </w:r>
            <w:r w:rsidR="00D835F3">
              <w:t> </w:t>
            </w:r>
            <w:r>
              <w:t xml:space="preserve">544,12 </w:t>
            </w:r>
          </w:p>
        </w:tc>
      </w:tr>
    </w:tbl>
    <w:p w14:paraId="4C0A8511" w14:textId="77777777" w:rsidR="007F6FC9" w:rsidRPr="00C67737" w:rsidRDefault="007F6FC9" w:rsidP="006109DD"/>
    <w:p w14:paraId="358F02D8" w14:textId="7C17D32E" w:rsidR="0038049C" w:rsidRPr="00C67737" w:rsidRDefault="0038049C" w:rsidP="000B33CF">
      <w:pPr>
        <w:pStyle w:val="ListParagraph"/>
      </w:pPr>
      <w:r>
        <w:t>Les projets soutenus par la famille de fonds du GEF au cours de la période considérée contribuent à la mise en œuvre de l’ensemble des 23</w:t>
      </w:r>
      <w:r w:rsidR="00D835F3">
        <w:t> </w:t>
      </w:r>
      <w:r>
        <w:t>cibles du KMGBF</w:t>
      </w:r>
      <w:r w:rsidR="00730C4D" w:rsidRPr="00C67737">
        <w:rPr>
          <w:rStyle w:val="FootnoteReference"/>
          <w:lang w:val="en-US"/>
        </w:rPr>
        <w:footnoteReference w:id="13"/>
      </w:r>
      <w:r>
        <w:t>. Le tableau</w:t>
      </w:r>
      <w:r w:rsidR="00D835F3">
        <w:t> </w:t>
      </w:r>
      <w:r>
        <w:t xml:space="preserve">4 présente la contribution des programmes intégrés de </w:t>
      </w:r>
      <w:r w:rsidR="00376C22">
        <w:t>GEF</w:t>
      </w:r>
      <w:r w:rsidR="00376C22">
        <w:noBreakHyphen/>
      </w:r>
      <w:r>
        <w:t>8 à l’atteinte de ces cibles. Les résultats attendus associés aux cibles du KMGBF sont notamment les suivants</w:t>
      </w:r>
      <w:r w:rsidR="006E54C7">
        <w:t> :</w:t>
      </w:r>
    </w:p>
    <w:p w14:paraId="5986F26F" w14:textId="54E6228C" w:rsidR="00220633" w:rsidRPr="00C67737" w:rsidRDefault="00220633" w:rsidP="006F0D68">
      <w:pPr>
        <w:ind w:left="720"/>
        <w:rPr>
          <w:sz w:val="24"/>
          <w:szCs w:val="24"/>
        </w:rPr>
      </w:pPr>
      <w:r>
        <w:rPr>
          <w:sz w:val="24"/>
        </w:rPr>
        <w:t>• Cible</w:t>
      </w:r>
      <w:r w:rsidR="00D835F3">
        <w:rPr>
          <w:sz w:val="24"/>
        </w:rPr>
        <w:t> </w:t>
      </w:r>
      <w:r>
        <w:rPr>
          <w:sz w:val="24"/>
        </w:rPr>
        <w:t xml:space="preserve">1 — </w:t>
      </w:r>
      <w:r>
        <w:rPr>
          <w:i/>
          <w:iCs/>
          <w:sz w:val="24"/>
        </w:rPr>
        <w:t>Planifier et gérer toutes les zones afin de réduire la perte de biodiversité</w:t>
      </w:r>
      <w:r w:rsidR="006E54C7">
        <w:rPr>
          <w:i/>
          <w:iCs/>
          <w:sz w:val="24"/>
        </w:rPr>
        <w:t> :</w:t>
      </w:r>
      <w:r>
        <w:rPr>
          <w:sz w:val="24"/>
        </w:rPr>
        <w:t xml:space="preserve"> au total, 3</w:t>
      </w:r>
      <w:r w:rsidR="00D835F3">
        <w:rPr>
          <w:sz w:val="24"/>
        </w:rPr>
        <w:t> </w:t>
      </w:r>
      <w:r>
        <w:rPr>
          <w:sz w:val="24"/>
        </w:rPr>
        <w:t xml:space="preserve">280,3 millions d’hectares de zones terrestres et marines directement touchés </w:t>
      </w:r>
      <w:r w:rsidR="00254B37">
        <w:rPr>
          <w:sz w:val="24"/>
        </w:rPr>
        <w:t>au profit de la biodiversité</w:t>
      </w:r>
      <w:r w:rsidR="00D835F3">
        <w:rPr>
          <w:sz w:val="24"/>
        </w:rPr>
        <w:t> </w:t>
      </w:r>
      <w:r>
        <w:rPr>
          <w:sz w:val="24"/>
        </w:rPr>
        <w:t>; 80 écosystèmes aquatiques partagés faisant l</w:t>
      </w:r>
      <w:r w:rsidR="00D835F3">
        <w:rPr>
          <w:sz w:val="24"/>
        </w:rPr>
        <w:t>’</w:t>
      </w:r>
      <w:r>
        <w:rPr>
          <w:sz w:val="24"/>
        </w:rPr>
        <w:t>objet d’une gestion améliorée.</w:t>
      </w:r>
    </w:p>
    <w:p w14:paraId="290F77EC" w14:textId="6CBF57A6" w:rsidR="00220633" w:rsidRPr="00C67737" w:rsidRDefault="00220633" w:rsidP="006F0D68">
      <w:pPr>
        <w:ind w:left="720"/>
        <w:rPr>
          <w:sz w:val="24"/>
          <w:szCs w:val="24"/>
        </w:rPr>
      </w:pPr>
      <w:r>
        <w:rPr>
          <w:sz w:val="24"/>
        </w:rPr>
        <w:t>• Cible</w:t>
      </w:r>
      <w:r w:rsidR="00D835F3">
        <w:rPr>
          <w:sz w:val="24"/>
        </w:rPr>
        <w:t> </w:t>
      </w:r>
      <w:r>
        <w:rPr>
          <w:sz w:val="24"/>
        </w:rPr>
        <w:t xml:space="preserve">2 — </w:t>
      </w:r>
      <w:r>
        <w:rPr>
          <w:i/>
          <w:sz w:val="24"/>
        </w:rPr>
        <w:t>Restaurer 30</w:t>
      </w:r>
      <w:r w:rsidR="00966C17">
        <w:rPr>
          <w:i/>
          <w:sz w:val="24"/>
        </w:rPr>
        <w:t> %</w:t>
      </w:r>
      <w:r>
        <w:rPr>
          <w:i/>
          <w:sz w:val="24"/>
        </w:rPr>
        <w:t xml:space="preserve"> de l’ensemble des écosystèmes dégradés</w:t>
      </w:r>
      <w:r w:rsidR="006E54C7">
        <w:rPr>
          <w:i/>
          <w:sz w:val="24"/>
        </w:rPr>
        <w:t> :</w:t>
      </w:r>
      <w:r>
        <w:rPr>
          <w:sz w:val="24"/>
        </w:rPr>
        <w:t xml:space="preserve"> 14,7 millions d’hectares de zones terrestres et d’écosystèmes faisant l’objet de mesures de remise en état.</w:t>
      </w:r>
    </w:p>
    <w:p w14:paraId="51786C47" w14:textId="24E3E40C" w:rsidR="00220633" w:rsidRPr="00C67737" w:rsidRDefault="5B0172D9" w:rsidP="006F0D68">
      <w:pPr>
        <w:ind w:left="720"/>
        <w:rPr>
          <w:sz w:val="24"/>
          <w:szCs w:val="24"/>
        </w:rPr>
      </w:pPr>
      <w:r>
        <w:rPr>
          <w:sz w:val="24"/>
        </w:rPr>
        <w:t>• Cible</w:t>
      </w:r>
      <w:r w:rsidR="00D835F3">
        <w:rPr>
          <w:sz w:val="24"/>
        </w:rPr>
        <w:t> </w:t>
      </w:r>
      <w:r>
        <w:rPr>
          <w:sz w:val="24"/>
        </w:rPr>
        <w:t>3</w:t>
      </w:r>
      <w:r>
        <w:t xml:space="preserve"> — </w:t>
      </w:r>
      <w:r>
        <w:rPr>
          <w:i/>
          <w:sz w:val="24"/>
        </w:rPr>
        <w:t>Conserver 30</w:t>
      </w:r>
      <w:r w:rsidR="00966C17">
        <w:rPr>
          <w:i/>
          <w:sz w:val="24"/>
        </w:rPr>
        <w:t> %</w:t>
      </w:r>
      <w:r>
        <w:rPr>
          <w:i/>
          <w:sz w:val="24"/>
        </w:rPr>
        <w:t xml:space="preserve"> des zones terrestres, des eaux intérieures et des zones marines</w:t>
      </w:r>
      <w:r w:rsidR="006E54C7">
        <w:rPr>
          <w:i/>
          <w:sz w:val="24"/>
        </w:rPr>
        <w:t> :</w:t>
      </w:r>
      <w:r>
        <w:rPr>
          <w:sz w:val="24"/>
        </w:rPr>
        <w:t xml:space="preserve"> 2</w:t>
      </w:r>
      <w:r w:rsidR="00D835F3">
        <w:rPr>
          <w:sz w:val="24"/>
        </w:rPr>
        <w:t> </w:t>
      </w:r>
      <w:r>
        <w:rPr>
          <w:sz w:val="24"/>
        </w:rPr>
        <w:t>247,3 millions d’hectares de zones de conservation créées ou faisant l’objet d</w:t>
      </w:r>
      <w:r w:rsidR="00D835F3">
        <w:rPr>
          <w:sz w:val="24"/>
        </w:rPr>
        <w:t>’</w:t>
      </w:r>
      <w:r>
        <w:rPr>
          <w:sz w:val="24"/>
        </w:rPr>
        <w:t>une gestion améliorée, dont 2</w:t>
      </w:r>
      <w:r w:rsidR="00D835F3">
        <w:rPr>
          <w:sz w:val="24"/>
        </w:rPr>
        <w:t> </w:t>
      </w:r>
      <w:r>
        <w:rPr>
          <w:sz w:val="24"/>
        </w:rPr>
        <w:t>207 millions d’hectares d’aires protégées et 40,2 millions d’hectares d</w:t>
      </w:r>
      <w:r w:rsidR="00D835F3">
        <w:rPr>
          <w:sz w:val="24"/>
        </w:rPr>
        <w:t>’</w:t>
      </w:r>
      <w:r>
        <w:rPr>
          <w:sz w:val="24"/>
        </w:rPr>
        <w:t>autres mesures de conservation efficaces par zone.</w:t>
      </w:r>
    </w:p>
    <w:p w14:paraId="13DECDF1" w14:textId="6CE5785D" w:rsidR="00220633" w:rsidRPr="00C67737" w:rsidRDefault="00220633" w:rsidP="006F0D68">
      <w:pPr>
        <w:ind w:left="720"/>
        <w:rPr>
          <w:sz w:val="24"/>
          <w:szCs w:val="24"/>
        </w:rPr>
      </w:pPr>
      <w:r>
        <w:rPr>
          <w:sz w:val="24"/>
        </w:rPr>
        <w:lastRenderedPageBreak/>
        <w:t>• Cible</w:t>
      </w:r>
      <w:r w:rsidR="00D835F3">
        <w:rPr>
          <w:sz w:val="24"/>
        </w:rPr>
        <w:t> </w:t>
      </w:r>
      <w:r>
        <w:rPr>
          <w:sz w:val="24"/>
        </w:rPr>
        <w:t xml:space="preserve">7 — </w:t>
      </w:r>
      <w:r>
        <w:rPr>
          <w:i/>
          <w:sz w:val="24"/>
        </w:rPr>
        <w:t>Ramener la pollution à des niveaux qui ne nuisent pas à la biodiversité</w:t>
      </w:r>
      <w:r w:rsidR="006E54C7">
        <w:rPr>
          <w:i/>
          <w:sz w:val="24"/>
        </w:rPr>
        <w:t> :</w:t>
      </w:r>
      <w:r>
        <w:rPr>
          <w:sz w:val="24"/>
        </w:rPr>
        <w:t xml:space="preserve"> 242</w:t>
      </w:r>
      <w:r w:rsidR="00D835F3">
        <w:rPr>
          <w:sz w:val="24"/>
        </w:rPr>
        <w:t> 098 </w:t>
      </w:r>
      <w:r>
        <w:rPr>
          <w:sz w:val="24"/>
        </w:rPr>
        <w:t>tonnes de produits chimiques préoccupants à l’échelle mondiale et de déchets connexes réduites, et 4,4 millions de tonnes de déchets plastiques résiduels évitées.</w:t>
      </w:r>
    </w:p>
    <w:p w14:paraId="658F4A79" w14:textId="61DD4D40" w:rsidR="00220633" w:rsidRPr="00C67737" w:rsidRDefault="00220633" w:rsidP="00BA0A0D">
      <w:pPr>
        <w:ind w:left="720"/>
        <w:rPr>
          <w:sz w:val="24"/>
          <w:szCs w:val="24"/>
        </w:rPr>
      </w:pPr>
      <w:r>
        <w:rPr>
          <w:sz w:val="24"/>
        </w:rPr>
        <w:t xml:space="preserve">• Cible 8 — </w:t>
      </w:r>
      <w:r>
        <w:rPr>
          <w:i/>
          <w:sz w:val="24"/>
        </w:rPr>
        <w:t>Réduire au minimum les incidences des changements</w:t>
      </w:r>
      <w:r>
        <w:rPr>
          <w:i/>
          <w:iCs/>
          <w:sz w:val="24"/>
        </w:rPr>
        <w:t xml:space="preserve"> climatiques sur la biodiversité et renforcer la résilience </w:t>
      </w:r>
      <w:r>
        <w:rPr>
          <w:sz w:val="24"/>
        </w:rPr>
        <w:t>et cible</w:t>
      </w:r>
      <w:r w:rsidR="00D835F3">
        <w:rPr>
          <w:sz w:val="24"/>
        </w:rPr>
        <w:t> </w:t>
      </w:r>
      <w:r>
        <w:rPr>
          <w:sz w:val="24"/>
        </w:rPr>
        <w:t xml:space="preserve">11 — </w:t>
      </w:r>
      <w:r>
        <w:rPr>
          <w:i/>
          <w:iCs/>
          <w:sz w:val="24"/>
        </w:rPr>
        <w:t>Restaurer, maintenir et renforcer les contributions de la nature aux populations</w:t>
      </w:r>
      <w:r w:rsidR="006E54C7">
        <w:rPr>
          <w:i/>
          <w:iCs/>
          <w:sz w:val="24"/>
        </w:rPr>
        <w:t> :</w:t>
      </w:r>
      <w:r>
        <w:rPr>
          <w:sz w:val="24"/>
        </w:rPr>
        <w:t xml:space="preserve"> 6</w:t>
      </w:r>
      <w:r w:rsidR="00D835F3">
        <w:rPr>
          <w:sz w:val="24"/>
        </w:rPr>
        <w:t> </w:t>
      </w:r>
      <w:r>
        <w:rPr>
          <w:sz w:val="24"/>
        </w:rPr>
        <w:t>852,8 millions de tonnes d</w:t>
      </w:r>
      <w:r w:rsidR="00D835F3">
        <w:rPr>
          <w:sz w:val="24"/>
        </w:rPr>
        <w:t>’</w:t>
      </w:r>
      <w:r>
        <w:rPr>
          <w:sz w:val="24"/>
        </w:rPr>
        <w:t xml:space="preserve">émissions de gaz à effet de serre (GES) atténuées (t. </w:t>
      </w:r>
      <w:proofErr w:type="spellStart"/>
      <w:r w:rsidR="005C6F40">
        <w:rPr>
          <w:sz w:val="24"/>
        </w:rPr>
        <w:t>é</w:t>
      </w:r>
      <w:r>
        <w:rPr>
          <w:sz w:val="24"/>
        </w:rPr>
        <w:t>q</w:t>
      </w:r>
      <w:proofErr w:type="spellEnd"/>
      <w:r>
        <w:rPr>
          <w:sz w:val="24"/>
        </w:rPr>
        <w:t xml:space="preserve">. </w:t>
      </w:r>
      <w:r w:rsidR="005C6F40">
        <w:rPr>
          <w:sz w:val="24"/>
        </w:rPr>
        <w:t>CO₂</w:t>
      </w:r>
      <w:r>
        <w:rPr>
          <w:sz w:val="24"/>
        </w:rPr>
        <w:t>)</w:t>
      </w:r>
    </w:p>
    <w:p w14:paraId="4528FF70" w14:textId="7335DEE9" w:rsidR="00220633" w:rsidRDefault="00220633" w:rsidP="006F0D68">
      <w:pPr>
        <w:ind w:left="720"/>
        <w:rPr>
          <w:sz w:val="24"/>
        </w:rPr>
      </w:pPr>
      <w:r>
        <w:rPr>
          <w:sz w:val="24"/>
        </w:rPr>
        <w:t>• Cible</w:t>
      </w:r>
      <w:r w:rsidR="00D835F3">
        <w:rPr>
          <w:sz w:val="24"/>
        </w:rPr>
        <w:t> </w:t>
      </w:r>
      <w:r>
        <w:rPr>
          <w:sz w:val="24"/>
        </w:rPr>
        <w:t xml:space="preserve">10 — </w:t>
      </w:r>
      <w:r>
        <w:rPr>
          <w:i/>
          <w:iCs/>
          <w:sz w:val="24"/>
        </w:rPr>
        <w:t>Renforcer la biodiversité et la durabilité dans l’agriculture, l’aquaculture, la pêche et la sylviculture</w:t>
      </w:r>
      <w:r w:rsidR="006E54C7">
        <w:rPr>
          <w:sz w:val="24"/>
        </w:rPr>
        <w:t> :</w:t>
      </w:r>
      <w:r>
        <w:rPr>
          <w:sz w:val="24"/>
        </w:rPr>
        <w:t xml:space="preserve"> 143,1</w:t>
      </w:r>
      <w:r w:rsidR="00D835F3">
        <w:rPr>
          <w:sz w:val="24"/>
        </w:rPr>
        <w:t> </w:t>
      </w:r>
      <w:r>
        <w:rPr>
          <w:sz w:val="24"/>
        </w:rPr>
        <w:t>millions d’hectares de paysages faisant l’objet de pratiques améliorées, 80</w:t>
      </w:r>
      <w:r w:rsidR="00D835F3">
        <w:rPr>
          <w:sz w:val="24"/>
        </w:rPr>
        <w:t> </w:t>
      </w:r>
      <w:r>
        <w:rPr>
          <w:sz w:val="24"/>
        </w:rPr>
        <w:t>écosystèmes d’eau douce partagés faisant l</w:t>
      </w:r>
      <w:r w:rsidR="00D835F3">
        <w:rPr>
          <w:sz w:val="24"/>
        </w:rPr>
        <w:t>’</w:t>
      </w:r>
      <w:r>
        <w:rPr>
          <w:sz w:val="24"/>
        </w:rPr>
        <w:t>objet d’une gestion améliorée, et 2,2</w:t>
      </w:r>
      <w:r w:rsidR="00D835F3">
        <w:rPr>
          <w:sz w:val="24"/>
        </w:rPr>
        <w:t> </w:t>
      </w:r>
      <w:r>
        <w:rPr>
          <w:sz w:val="24"/>
        </w:rPr>
        <w:t xml:space="preserve">millions de tonnes de </w:t>
      </w:r>
      <w:r w:rsidR="00922601">
        <w:rPr>
          <w:sz w:val="24"/>
        </w:rPr>
        <w:t xml:space="preserve">prises issues de </w:t>
      </w:r>
      <w:r>
        <w:rPr>
          <w:sz w:val="24"/>
        </w:rPr>
        <w:t xml:space="preserve">pêcheries marines surexploitées ramenées à des niveaux plus </w:t>
      </w:r>
      <w:r w:rsidR="000A384B">
        <w:rPr>
          <w:sz w:val="24"/>
        </w:rPr>
        <w:t>viables</w:t>
      </w:r>
      <w:r>
        <w:rPr>
          <w:sz w:val="24"/>
        </w:rPr>
        <w:t>.</w:t>
      </w:r>
    </w:p>
    <w:p w14:paraId="356B0FB7" w14:textId="74F89847" w:rsidR="008C283F" w:rsidRPr="00C67737" w:rsidRDefault="008C283F" w:rsidP="008C283F">
      <w:pPr>
        <w:ind w:left="720"/>
        <w:rPr>
          <w:sz w:val="24"/>
          <w:szCs w:val="24"/>
        </w:rPr>
      </w:pPr>
      <w:r>
        <w:rPr>
          <w:sz w:val="24"/>
        </w:rPr>
        <w:t xml:space="preserve">• Cible 19 — </w:t>
      </w:r>
      <w:r>
        <w:rPr>
          <w:i/>
          <w:sz w:val="24"/>
        </w:rPr>
        <w:t>Mobiliser 200 milliards de dollars par an en faveur de la diversité biologique, toutes sources confondues, dont 30 milliards de dollars au moyen du financement international</w:t>
      </w:r>
      <w:r w:rsidR="006E54C7">
        <w:rPr>
          <w:i/>
          <w:sz w:val="24"/>
        </w:rPr>
        <w:t> :</w:t>
      </w:r>
      <w:r>
        <w:rPr>
          <w:sz w:val="24"/>
        </w:rPr>
        <w:t xml:space="preserve"> 29,69 milliards de dollars de cofinancement dont 2,41 milliards provenant du secteur privé, pour un investissement total de 34,34 milliards de dollars dans des projets pertinents pour la biodiversité, selon la méthodologie des marqueurs de Rio</w:t>
      </w:r>
    </w:p>
    <w:p w14:paraId="1251D20A" w14:textId="39B0B66C" w:rsidR="00EE3BE7" w:rsidRDefault="008C283F" w:rsidP="008C283F">
      <w:pPr>
        <w:spacing w:after="120"/>
        <w:ind w:left="720"/>
        <w:rPr>
          <w:sz w:val="24"/>
        </w:rPr>
      </w:pPr>
      <w:r>
        <w:t>•</w:t>
      </w:r>
      <w:r>
        <w:rPr>
          <w:i/>
        </w:rPr>
        <w:t xml:space="preserve"> </w:t>
      </w:r>
      <w:r>
        <w:t>Cible 22</w:t>
      </w:r>
      <w:r>
        <w:rPr>
          <w:i/>
        </w:rPr>
        <w:t xml:space="preserve"> </w:t>
      </w:r>
      <w:r>
        <w:t xml:space="preserve">— </w:t>
      </w:r>
      <w:r>
        <w:rPr>
          <w:i/>
          <w:iCs/>
        </w:rPr>
        <w:t xml:space="preserve">Garantir à tous la participation à la prise de décision et l’accès à la justice et à l’information en matière de biodiversité </w:t>
      </w:r>
      <w:r>
        <w:t>et cible</w:t>
      </w:r>
      <w:r>
        <w:rPr>
          <w:i/>
        </w:rPr>
        <w:t xml:space="preserve"> 23 — </w:t>
      </w:r>
      <w:r>
        <w:rPr>
          <w:i/>
          <w:iCs/>
        </w:rPr>
        <w:t>Garantir l’égalité des genres et une approche tenant compte du genre dans les mesures en faveur de la diversité biologique</w:t>
      </w:r>
      <w:r w:rsidR="006E54C7">
        <w:rPr>
          <w:i/>
        </w:rPr>
        <w:t> :</w:t>
      </w:r>
      <w:r>
        <w:rPr>
          <w:sz w:val="24"/>
        </w:rPr>
        <w:t xml:space="preserve"> 42,0 millions de personnes bénéficiant de la conservation, de l’utilisation durable ou de la restauration de la biodiversité dont 20,9 millions de femmes. </w:t>
      </w:r>
    </w:p>
    <w:p w14:paraId="33A5051E" w14:textId="4BF576CB" w:rsidR="00EE3BE7" w:rsidRDefault="008C283F" w:rsidP="000B33CF">
      <w:pPr>
        <w:pStyle w:val="ListParagraph"/>
      </w:pPr>
      <w:r>
        <w:t xml:space="preserve">Le GEF appuie la réalisation de la cible 6 — </w:t>
      </w:r>
      <w:r w:rsidRPr="00EE3BE7">
        <w:rPr>
          <w:i/>
          <w:iCs/>
        </w:rPr>
        <w:t>réduire d’au moins 50</w:t>
      </w:r>
      <w:r w:rsidR="00966C17">
        <w:rPr>
          <w:i/>
          <w:iCs/>
        </w:rPr>
        <w:t> %</w:t>
      </w:r>
      <w:r w:rsidRPr="00EE3BE7">
        <w:rPr>
          <w:i/>
          <w:iCs/>
        </w:rPr>
        <w:t xml:space="preserve"> l’introduction d’espèces </w:t>
      </w:r>
      <w:r w:rsidR="00781E3C">
        <w:t>invasives</w:t>
      </w:r>
      <w:r w:rsidRPr="00EE3BE7">
        <w:rPr>
          <w:i/>
          <w:iCs/>
        </w:rPr>
        <w:t xml:space="preserve"> et en réduire au minimum les incidences</w:t>
      </w:r>
      <w:r>
        <w:t xml:space="preserve"> — dans au moins 17 pays (Argentine, Bahamas, Barbade, Comores, Fidji, Îles Cook, Îles Marshall, Inde, Indonésie, Madagascar, Nauru, Nioué, Seychelles, Tonga, Tuvalu et Venezuela), au moyen de 14 projets financés par la </w:t>
      </w:r>
      <w:r w:rsidR="00DD1F44">
        <w:t xml:space="preserve">Fonds fiduciaire </w:t>
      </w:r>
      <w:r>
        <w:t xml:space="preserve">du GEF et le </w:t>
      </w:r>
      <w:r w:rsidR="00BA5516">
        <w:t>Fonds du Cadre</w:t>
      </w:r>
      <w:r>
        <w:t xml:space="preserve"> mondial de la biodiversité. Ces projets visent à prévenir, à maîtriser et à gérer les </w:t>
      </w:r>
      <w:r w:rsidR="00781E3C">
        <w:t>espèces invasives</w:t>
      </w:r>
      <w:r>
        <w:t>. Le financement total du GEF s’élève à 81,5 millions de dollars et a permis de mobiliser 366,4 millions de dollars de cofinancemen</w:t>
      </w:r>
      <w:r w:rsidR="00EE3BE7">
        <w:t>t.</w:t>
      </w:r>
    </w:p>
    <w:p w14:paraId="4ECBB4D0" w14:textId="0774A670" w:rsidR="00EE3BE7" w:rsidRPr="00C67737" w:rsidRDefault="00EE3BE7" w:rsidP="000B33CF">
      <w:pPr>
        <w:pStyle w:val="ListParagraph"/>
      </w:pPr>
      <w:r>
        <w:t xml:space="preserve">Le GEF appuie la réalisation de la cible 13 — accroître le partage des avantages découlant de l’utilisation des ressources génétiques, des informations de séquençage numérique et des connaissances traditionnelles associées — dans 15 pays (Belize, Brésil, Burkina Faso, Cambodge, Eswatini, États fédérés de Micronésie, Guinée équatoriale, Honduras, Inde, Indonésie, Malaisie, Pakistan, Sri Lanka, Thaïlande et Yémen), au moyen de 15 projets autonomes financés par la </w:t>
      </w:r>
      <w:r w:rsidR="00DD1F44">
        <w:t xml:space="preserve">Fonds fiduciaire </w:t>
      </w:r>
      <w:r>
        <w:t>du GEF et le GBFF. Ces projets visent à améliorer l’accès aux ressources génétiques et le partage des avantages, notamment en appuyant la ratification du Protocole de Nagoya par le Belize, la Thaïlande et Sri Lanka</w:t>
      </w:r>
      <w:r w:rsidR="000D6D2E">
        <w:t>.</w:t>
      </w:r>
      <w:r>
        <w:t xml:space="preserve"> Ils représentent un financement de projet total du GEF de 57,0 millions de dollars et ont permis de mobiliser 266,3 millions de dollars de cofinancement.</w:t>
      </w:r>
    </w:p>
    <w:p w14:paraId="52BE68C1" w14:textId="77777777" w:rsidR="00EE3BE7" w:rsidRDefault="00EE3BE7">
      <w:pPr>
        <w:snapToGrid/>
        <w:spacing w:before="240" w:after="240"/>
        <w:rPr>
          <w:sz w:val="24"/>
          <w:szCs w:val="24"/>
        </w:rPr>
        <w:sectPr w:rsidR="00EE3BE7" w:rsidSect="008C283F">
          <w:pgSz w:w="12240" w:h="15840"/>
          <w:pgMar w:top="1440" w:right="1440" w:bottom="1440" w:left="1440" w:header="720" w:footer="288" w:gutter="0"/>
          <w:cols w:space="720"/>
          <w:docGrid w:linePitch="360"/>
        </w:sectPr>
      </w:pPr>
    </w:p>
    <w:p w14:paraId="1B764836" w14:textId="7CAB4F90" w:rsidR="006C3F9B" w:rsidRPr="00C67737" w:rsidRDefault="00E8727F" w:rsidP="006C3F9B">
      <w:pPr>
        <w:pStyle w:val="Caption"/>
      </w:pPr>
      <w:r>
        <w:lastRenderedPageBreak/>
        <w:t xml:space="preserve"> </w:t>
      </w:r>
      <w:bookmarkStart w:id="30" w:name="_Toc242183486"/>
      <w:r w:rsidR="006C3F9B">
        <w:t>Tableau</w:t>
      </w:r>
      <w:r w:rsidR="00D835F3">
        <w:t> </w:t>
      </w:r>
      <w:r w:rsidR="006C3F9B" w:rsidRPr="00C67737">
        <w:fldChar w:fldCharType="begin"/>
      </w:r>
      <w:r w:rsidR="006C3F9B" w:rsidRPr="00C67737">
        <w:instrText>SEQ Table \* ARABIC</w:instrText>
      </w:r>
      <w:r w:rsidR="006C3F9B" w:rsidRPr="00C67737">
        <w:fldChar w:fldCharType="separate"/>
      </w:r>
      <w:r w:rsidR="006C2F5A">
        <w:rPr>
          <w:noProof/>
        </w:rPr>
        <w:t>4</w:t>
      </w:r>
      <w:r w:rsidR="006C3F9B" w:rsidRPr="00C67737">
        <w:fldChar w:fldCharType="end"/>
      </w:r>
      <w:r w:rsidR="006C3F9B">
        <w:t xml:space="preserve">. Correspondance entre les cibles d’action du Cadre mondial de la biodiversité de Kunming-Montréal et les programmes intégrés de </w:t>
      </w:r>
      <w:r w:rsidR="00376C22">
        <w:t>GEF</w:t>
      </w:r>
      <w:r w:rsidR="00376C22">
        <w:noBreakHyphen/>
      </w:r>
      <w:r w:rsidR="006C3F9B">
        <w:t>8</w:t>
      </w:r>
      <w:bookmarkEnd w:id="30"/>
    </w:p>
    <w:tbl>
      <w:tblPr>
        <w:tblW w:w="0" w:type="auto"/>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CellMar>
          <w:left w:w="0" w:type="dxa"/>
          <w:right w:w="0" w:type="dxa"/>
        </w:tblCellMar>
        <w:tblLook w:val="01E0" w:firstRow="1" w:lastRow="1" w:firstColumn="1" w:lastColumn="1" w:noHBand="0" w:noVBand="0"/>
      </w:tblPr>
      <w:tblGrid>
        <w:gridCol w:w="6308"/>
        <w:gridCol w:w="226"/>
        <w:gridCol w:w="232"/>
        <w:gridCol w:w="229"/>
        <w:gridCol w:w="232"/>
        <w:gridCol w:w="219"/>
        <w:gridCol w:w="147"/>
        <w:gridCol w:w="219"/>
        <w:gridCol w:w="226"/>
        <w:gridCol w:w="224"/>
        <w:gridCol w:w="333"/>
        <w:gridCol w:w="330"/>
        <w:gridCol w:w="332"/>
        <w:gridCol w:w="329"/>
        <w:gridCol w:w="327"/>
        <w:gridCol w:w="324"/>
        <w:gridCol w:w="326"/>
        <w:gridCol w:w="472"/>
        <w:gridCol w:w="322"/>
        <w:gridCol w:w="317"/>
        <w:gridCol w:w="320"/>
        <w:gridCol w:w="317"/>
        <w:gridCol w:w="302"/>
        <w:gridCol w:w="303"/>
      </w:tblGrid>
      <w:tr w:rsidR="006C3F9B" w:rsidRPr="00C67737" w14:paraId="6660A4FA" w14:textId="77777777" w:rsidTr="00190E23">
        <w:trPr>
          <w:trHeight w:val="544"/>
        </w:trPr>
        <w:tc>
          <w:tcPr>
            <w:tcW w:w="0" w:type="auto"/>
            <w:tcBorders>
              <w:left w:val="nil"/>
              <w:right w:val="single" w:sz="4" w:space="0" w:color="000000"/>
            </w:tcBorders>
            <w:shd w:val="clear" w:color="auto" w:fill="F1F1F1"/>
          </w:tcPr>
          <w:p w14:paraId="23BD077A" w14:textId="77777777" w:rsidR="006C3F9B" w:rsidRPr="00C67737" w:rsidRDefault="006C3F9B" w:rsidP="003C6DA4">
            <w:pPr>
              <w:pStyle w:val="TableParagraph"/>
              <w:rPr>
                <w:rFonts w:ascii="Times New Roman"/>
                <w:sz w:val="20"/>
              </w:rPr>
            </w:pPr>
          </w:p>
        </w:tc>
        <w:tc>
          <w:tcPr>
            <w:tcW w:w="0" w:type="auto"/>
            <w:gridSpan w:val="23"/>
            <w:tcBorders>
              <w:left w:val="single" w:sz="4" w:space="0" w:color="000000"/>
              <w:right w:val="nil"/>
            </w:tcBorders>
            <w:shd w:val="clear" w:color="auto" w:fill="F1F1F1"/>
          </w:tcPr>
          <w:p w14:paraId="25D48E37" w14:textId="440FE6C7" w:rsidR="006C3F9B" w:rsidRPr="00C67737" w:rsidRDefault="006C3F9B" w:rsidP="003C6DA4">
            <w:pPr>
              <w:pStyle w:val="TableParagraph"/>
              <w:spacing w:before="90"/>
              <w:ind w:left="4"/>
              <w:jc w:val="center"/>
              <w:rPr>
                <w:b/>
              </w:rPr>
            </w:pPr>
            <w:r>
              <w:rPr>
                <w:b/>
                <w:bCs/>
              </w:rPr>
              <w:t>Cibles du Cadre mondial de la biodiversité de Kunming-Montréal</w:t>
            </w:r>
            <w:r w:rsidRPr="00C67737">
              <w:rPr>
                <w:rStyle w:val="FootnoteReference"/>
                <w:b/>
                <w:spacing w:val="-2"/>
              </w:rPr>
              <w:footnoteReference w:id="14"/>
            </w:r>
          </w:p>
        </w:tc>
      </w:tr>
      <w:tr w:rsidR="006C3F9B" w:rsidRPr="00C67737" w14:paraId="6203C16A" w14:textId="77777777" w:rsidTr="00190E23">
        <w:trPr>
          <w:trHeight w:val="544"/>
        </w:trPr>
        <w:tc>
          <w:tcPr>
            <w:tcW w:w="0" w:type="auto"/>
            <w:tcBorders>
              <w:left w:val="nil"/>
              <w:right w:val="single" w:sz="4" w:space="0" w:color="000000"/>
            </w:tcBorders>
          </w:tcPr>
          <w:p w14:paraId="24A5F239" w14:textId="77777777" w:rsidR="006C3F9B" w:rsidRPr="00C67737" w:rsidRDefault="006C3F9B" w:rsidP="003C6DA4">
            <w:pPr>
              <w:pStyle w:val="TableParagraph"/>
              <w:spacing w:before="138"/>
              <w:ind w:left="184"/>
              <w:rPr>
                <w:b/>
              </w:rPr>
            </w:pPr>
            <w:r>
              <w:rPr>
                <w:b/>
              </w:rPr>
              <w:t>Programmes intégrés du GEF</w:t>
            </w:r>
          </w:p>
        </w:tc>
        <w:tc>
          <w:tcPr>
            <w:tcW w:w="0" w:type="auto"/>
            <w:tcBorders>
              <w:left w:val="single" w:sz="4" w:space="0" w:color="000000"/>
              <w:right w:val="nil"/>
            </w:tcBorders>
            <w:shd w:val="clear" w:color="auto" w:fill="D9D9D9" w:themeFill="background1" w:themeFillShade="D9"/>
            <w:vAlign w:val="center"/>
          </w:tcPr>
          <w:p w14:paraId="0D4A41A9" w14:textId="77777777" w:rsidR="006C3F9B" w:rsidRPr="00C67737" w:rsidRDefault="006C3F9B" w:rsidP="000A1568">
            <w:pPr>
              <w:pStyle w:val="TableParagraph"/>
              <w:spacing w:before="152"/>
              <w:ind w:left="2" w:right="4"/>
              <w:jc w:val="center"/>
              <w:rPr>
                <w:b/>
                <w:sz w:val="20"/>
              </w:rPr>
            </w:pPr>
            <w:r>
              <w:rPr>
                <w:b/>
                <w:sz w:val="20"/>
              </w:rPr>
              <w:t>1</w:t>
            </w:r>
          </w:p>
        </w:tc>
        <w:tc>
          <w:tcPr>
            <w:tcW w:w="0" w:type="auto"/>
            <w:tcBorders>
              <w:left w:val="nil"/>
              <w:right w:val="nil"/>
            </w:tcBorders>
            <w:vAlign w:val="center"/>
          </w:tcPr>
          <w:p w14:paraId="74C5B8C6" w14:textId="77777777" w:rsidR="006C3F9B" w:rsidRPr="00C67737" w:rsidRDefault="006C3F9B" w:rsidP="000A1568">
            <w:pPr>
              <w:pStyle w:val="TableParagraph"/>
              <w:spacing w:before="152"/>
              <w:ind w:left="19" w:right="17"/>
              <w:jc w:val="center"/>
              <w:rPr>
                <w:b/>
                <w:sz w:val="20"/>
              </w:rPr>
            </w:pPr>
            <w:r>
              <w:rPr>
                <w:b/>
                <w:sz w:val="20"/>
              </w:rPr>
              <w:t>2</w:t>
            </w:r>
          </w:p>
        </w:tc>
        <w:tc>
          <w:tcPr>
            <w:tcW w:w="0" w:type="auto"/>
            <w:tcBorders>
              <w:left w:val="nil"/>
              <w:right w:val="nil"/>
            </w:tcBorders>
            <w:shd w:val="clear" w:color="auto" w:fill="D9D9D9" w:themeFill="background1" w:themeFillShade="D9"/>
            <w:vAlign w:val="center"/>
          </w:tcPr>
          <w:p w14:paraId="604E6F9A" w14:textId="77777777" w:rsidR="006C3F9B" w:rsidRPr="00C67737" w:rsidRDefault="006C3F9B" w:rsidP="000A1568">
            <w:pPr>
              <w:pStyle w:val="TableParagraph"/>
              <w:spacing w:before="152"/>
              <w:ind w:left="19" w:right="15"/>
              <w:jc w:val="center"/>
              <w:rPr>
                <w:b/>
                <w:sz w:val="20"/>
              </w:rPr>
            </w:pPr>
            <w:r>
              <w:rPr>
                <w:b/>
                <w:sz w:val="20"/>
              </w:rPr>
              <w:t>3</w:t>
            </w:r>
          </w:p>
        </w:tc>
        <w:tc>
          <w:tcPr>
            <w:tcW w:w="0" w:type="auto"/>
            <w:tcBorders>
              <w:left w:val="nil"/>
              <w:right w:val="nil"/>
            </w:tcBorders>
            <w:vAlign w:val="center"/>
          </w:tcPr>
          <w:p w14:paraId="3C1C4189" w14:textId="77777777" w:rsidR="006C3F9B" w:rsidRPr="00C67737" w:rsidRDefault="006C3F9B" w:rsidP="000A1568">
            <w:pPr>
              <w:pStyle w:val="TableParagraph"/>
              <w:spacing w:before="152"/>
              <w:ind w:left="19" w:right="17"/>
              <w:jc w:val="center"/>
              <w:rPr>
                <w:b/>
                <w:sz w:val="20"/>
              </w:rPr>
            </w:pPr>
            <w:r>
              <w:rPr>
                <w:b/>
                <w:sz w:val="20"/>
              </w:rPr>
              <w:t>4</w:t>
            </w:r>
          </w:p>
        </w:tc>
        <w:tc>
          <w:tcPr>
            <w:tcW w:w="0" w:type="auto"/>
            <w:tcBorders>
              <w:left w:val="nil"/>
              <w:right w:val="nil"/>
            </w:tcBorders>
            <w:shd w:val="clear" w:color="auto" w:fill="D9D9D9" w:themeFill="background1" w:themeFillShade="D9"/>
            <w:vAlign w:val="center"/>
          </w:tcPr>
          <w:p w14:paraId="230AEF66" w14:textId="77777777" w:rsidR="006C3F9B" w:rsidRPr="00C67737" w:rsidRDefault="006C3F9B" w:rsidP="000A1568">
            <w:pPr>
              <w:pStyle w:val="TableParagraph"/>
              <w:spacing w:before="152"/>
              <w:jc w:val="center"/>
              <w:rPr>
                <w:b/>
                <w:sz w:val="20"/>
              </w:rPr>
            </w:pPr>
            <w:r>
              <w:rPr>
                <w:b/>
                <w:sz w:val="20"/>
              </w:rPr>
              <w:t>5</w:t>
            </w:r>
          </w:p>
        </w:tc>
        <w:tc>
          <w:tcPr>
            <w:tcW w:w="0" w:type="auto"/>
            <w:tcBorders>
              <w:left w:val="nil"/>
              <w:right w:val="nil"/>
            </w:tcBorders>
            <w:vAlign w:val="center"/>
          </w:tcPr>
          <w:p w14:paraId="758EF298" w14:textId="77777777" w:rsidR="006C3F9B" w:rsidRPr="00C67737" w:rsidRDefault="006C3F9B" w:rsidP="000A1568">
            <w:pPr>
              <w:pStyle w:val="TableParagraph"/>
              <w:spacing w:before="152"/>
              <w:ind w:left="1"/>
              <w:jc w:val="center"/>
              <w:rPr>
                <w:b/>
                <w:sz w:val="20"/>
              </w:rPr>
            </w:pPr>
            <w:r>
              <w:rPr>
                <w:b/>
                <w:sz w:val="20"/>
              </w:rPr>
              <w:t>6</w:t>
            </w:r>
          </w:p>
        </w:tc>
        <w:tc>
          <w:tcPr>
            <w:tcW w:w="0" w:type="auto"/>
            <w:tcBorders>
              <w:left w:val="nil"/>
              <w:right w:val="nil"/>
            </w:tcBorders>
            <w:shd w:val="clear" w:color="auto" w:fill="D9D9D9" w:themeFill="background1" w:themeFillShade="D9"/>
            <w:vAlign w:val="center"/>
          </w:tcPr>
          <w:p w14:paraId="07FDA98F" w14:textId="77777777" w:rsidR="006C3F9B" w:rsidRPr="00C67737" w:rsidRDefault="006C3F9B" w:rsidP="000A1568">
            <w:pPr>
              <w:pStyle w:val="TableParagraph"/>
              <w:spacing w:before="152"/>
              <w:ind w:left="7"/>
              <w:jc w:val="center"/>
              <w:rPr>
                <w:b/>
                <w:sz w:val="20"/>
              </w:rPr>
            </w:pPr>
            <w:r>
              <w:rPr>
                <w:b/>
                <w:sz w:val="20"/>
              </w:rPr>
              <w:t>7</w:t>
            </w:r>
          </w:p>
        </w:tc>
        <w:tc>
          <w:tcPr>
            <w:tcW w:w="0" w:type="auto"/>
            <w:tcBorders>
              <w:left w:val="nil"/>
              <w:right w:val="nil"/>
            </w:tcBorders>
            <w:vAlign w:val="center"/>
          </w:tcPr>
          <w:p w14:paraId="295E7BA3" w14:textId="77777777" w:rsidR="006C3F9B" w:rsidRPr="00C67737" w:rsidRDefault="006C3F9B" w:rsidP="000A1568">
            <w:pPr>
              <w:pStyle w:val="TableParagraph"/>
              <w:spacing w:before="152"/>
              <w:ind w:left="19" w:right="13"/>
              <w:jc w:val="center"/>
              <w:rPr>
                <w:b/>
                <w:sz w:val="20"/>
              </w:rPr>
            </w:pPr>
            <w:r>
              <w:rPr>
                <w:b/>
                <w:sz w:val="20"/>
              </w:rPr>
              <w:t>8</w:t>
            </w:r>
          </w:p>
        </w:tc>
        <w:tc>
          <w:tcPr>
            <w:tcW w:w="0" w:type="auto"/>
            <w:tcBorders>
              <w:left w:val="nil"/>
              <w:right w:val="nil"/>
            </w:tcBorders>
            <w:shd w:val="clear" w:color="auto" w:fill="D9D9D9" w:themeFill="background1" w:themeFillShade="D9"/>
            <w:vAlign w:val="center"/>
          </w:tcPr>
          <w:p w14:paraId="28B9E7E5" w14:textId="77777777" w:rsidR="006C3F9B" w:rsidRPr="00C67737" w:rsidRDefault="006C3F9B" w:rsidP="000A1568">
            <w:pPr>
              <w:pStyle w:val="TableParagraph"/>
              <w:spacing w:before="152"/>
              <w:ind w:left="30"/>
              <w:jc w:val="center"/>
              <w:rPr>
                <w:b/>
                <w:sz w:val="20"/>
              </w:rPr>
            </w:pPr>
            <w:r>
              <w:rPr>
                <w:b/>
                <w:sz w:val="20"/>
              </w:rPr>
              <w:t>9</w:t>
            </w:r>
          </w:p>
        </w:tc>
        <w:tc>
          <w:tcPr>
            <w:tcW w:w="0" w:type="auto"/>
            <w:tcBorders>
              <w:left w:val="nil"/>
              <w:right w:val="nil"/>
            </w:tcBorders>
            <w:vAlign w:val="center"/>
          </w:tcPr>
          <w:p w14:paraId="7F020132" w14:textId="77777777" w:rsidR="006C3F9B" w:rsidRPr="00C67737" w:rsidRDefault="006C3F9B" w:rsidP="000A1568">
            <w:pPr>
              <w:pStyle w:val="TableParagraph"/>
              <w:spacing w:before="152"/>
              <w:ind w:left="30"/>
              <w:jc w:val="center"/>
              <w:rPr>
                <w:b/>
                <w:sz w:val="20"/>
              </w:rPr>
            </w:pPr>
            <w:r>
              <w:rPr>
                <w:b/>
                <w:sz w:val="20"/>
              </w:rPr>
              <w:t>10</w:t>
            </w:r>
          </w:p>
        </w:tc>
        <w:tc>
          <w:tcPr>
            <w:tcW w:w="0" w:type="auto"/>
            <w:tcBorders>
              <w:left w:val="nil"/>
              <w:right w:val="nil"/>
            </w:tcBorders>
            <w:shd w:val="clear" w:color="auto" w:fill="D9D9D9" w:themeFill="background1" w:themeFillShade="D9"/>
            <w:vAlign w:val="center"/>
          </w:tcPr>
          <w:p w14:paraId="0AF4E689" w14:textId="77777777" w:rsidR="006C3F9B" w:rsidRPr="00C67737" w:rsidRDefault="006C3F9B" w:rsidP="000A1568">
            <w:pPr>
              <w:pStyle w:val="TableParagraph"/>
              <w:spacing w:before="152"/>
              <w:ind w:left="19" w:right="9"/>
              <w:jc w:val="center"/>
              <w:rPr>
                <w:b/>
                <w:sz w:val="20"/>
              </w:rPr>
            </w:pPr>
            <w:r>
              <w:rPr>
                <w:b/>
                <w:sz w:val="20"/>
              </w:rPr>
              <w:t>11</w:t>
            </w:r>
          </w:p>
        </w:tc>
        <w:tc>
          <w:tcPr>
            <w:tcW w:w="0" w:type="auto"/>
            <w:tcBorders>
              <w:left w:val="nil"/>
              <w:right w:val="nil"/>
            </w:tcBorders>
            <w:vAlign w:val="center"/>
          </w:tcPr>
          <w:p w14:paraId="703CC38C" w14:textId="77777777" w:rsidR="006C3F9B" w:rsidRPr="00C67737" w:rsidRDefault="006C3F9B" w:rsidP="000A1568">
            <w:pPr>
              <w:pStyle w:val="TableParagraph"/>
              <w:spacing w:before="152"/>
              <w:ind w:left="19" w:right="10"/>
              <w:jc w:val="center"/>
              <w:rPr>
                <w:b/>
                <w:sz w:val="20"/>
              </w:rPr>
            </w:pPr>
            <w:r>
              <w:rPr>
                <w:b/>
                <w:sz w:val="20"/>
              </w:rPr>
              <w:t>12</w:t>
            </w:r>
          </w:p>
        </w:tc>
        <w:tc>
          <w:tcPr>
            <w:tcW w:w="0" w:type="auto"/>
            <w:tcBorders>
              <w:left w:val="nil"/>
              <w:right w:val="nil"/>
            </w:tcBorders>
            <w:shd w:val="clear" w:color="auto" w:fill="D9D9D9" w:themeFill="background1" w:themeFillShade="D9"/>
            <w:vAlign w:val="center"/>
          </w:tcPr>
          <w:p w14:paraId="6626D163" w14:textId="77777777" w:rsidR="006C3F9B" w:rsidRPr="00C67737" w:rsidRDefault="006C3F9B" w:rsidP="000A1568">
            <w:pPr>
              <w:pStyle w:val="TableParagraph"/>
              <w:spacing w:before="152"/>
              <w:ind w:left="19" w:right="8"/>
              <w:jc w:val="center"/>
              <w:rPr>
                <w:b/>
                <w:sz w:val="20"/>
              </w:rPr>
            </w:pPr>
            <w:r>
              <w:rPr>
                <w:b/>
                <w:sz w:val="20"/>
              </w:rPr>
              <w:t>13</w:t>
            </w:r>
          </w:p>
        </w:tc>
        <w:tc>
          <w:tcPr>
            <w:tcW w:w="0" w:type="auto"/>
            <w:tcBorders>
              <w:left w:val="nil"/>
              <w:right w:val="nil"/>
            </w:tcBorders>
            <w:vAlign w:val="center"/>
          </w:tcPr>
          <w:p w14:paraId="7A3BA2CB" w14:textId="77777777" w:rsidR="006C3F9B" w:rsidRPr="00C67737" w:rsidRDefault="006C3F9B" w:rsidP="000A1568">
            <w:pPr>
              <w:pStyle w:val="TableParagraph"/>
              <w:spacing w:before="152"/>
              <w:ind w:left="19" w:right="7"/>
              <w:jc w:val="center"/>
              <w:rPr>
                <w:b/>
                <w:sz w:val="20"/>
              </w:rPr>
            </w:pPr>
            <w:r>
              <w:rPr>
                <w:b/>
                <w:sz w:val="20"/>
              </w:rPr>
              <w:t>14</w:t>
            </w:r>
          </w:p>
        </w:tc>
        <w:tc>
          <w:tcPr>
            <w:tcW w:w="0" w:type="auto"/>
            <w:tcBorders>
              <w:left w:val="nil"/>
              <w:right w:val="nil"/>
            </w:tcBorders>
            <w:shd w:val="clear" w:color="auto" w:fill="D9D9D9" w:themeFill="background1" w:themeFillShade="D9"/>
            <w:vAlign w:val="center"/>
          </w:tcPr>
          <w:p w14:paraId="5CE15229" w14:textId="77777777" w:rsidR="006C3F9B" w:rsidRPr="00C67737" w:rsidRDefault="006C3F9B" w:rsidP="000A1568">
            <w:pPr>
              <w:pStyle w:val="TableParagraph"/>
              <w:spacing w:before="152"/>
              <w:ind w:left="19" w:right="5"/>
              <w:jc w:val="center"/>
              <w:rPr>
                <w:b/>
                <w:sz w:val="20"/>
              </w:rPr>
            </w:pPr>
            <w:r>
              <w:rPr>
                <w:b/>
                <w:sz w:val="20"/>
              </w:rPr>
              <w:t>15</w:t>
            </w:r>
          </w:p>
        </w:tc>
        <w:tc>
          <w:tcPr>
            <w:tcW w:w="0" w:type="auto"/>
            <w:tcBorders>
              <w:left w:val="nil"/>
              <w:right w:val="nil"/>
            </w:tcBorders>
            <w:vAlign w:val="center"/>
          </w:tcPr>
          <w:p w14:paraId="4B19D805" w14:textId="77777777" w:rsidR="006C3F9B" w:rsidRPr="00C67737" w:rsidRDefault="006C3F9B" w:rsidP="000A1568">
            <w:pPr>
              <w:pStyle w:val="TableParagraph"/>
              <w:spacing w:before="152"/>
              <w:ind w:left="19" w:right="6"/>
              <w:jc w:val="center"/>
              <w:rPr>
                <w:b/>
                <w:sz w:val="20"/>
              </w:rPr>
            </w:pPr>
            <w:r>
              <w:rPr>
                <w:b/>
                <w:sz w:val="20"/>
              </w:rPr>
              <w:t>16</w:t>
            </w:r>
          </w:p>
        </w:tc>
        <w:tc>
          <w:tcPr>
            <w:tcW w:w="0" w:type="auto"/>
            <w:tcBorders>
              <w:left w:val="nil"/>
              <w:right w:val="nil"/>
            </w:tcBorders>
            <w:shd w:val="clear" w:color="auto" w:fill="D9D9D9" w:themeFill="background1" w:themeFillShade="D9"/>
            <w:vAlign w:val="center"/>
          </w:tcPr>
          <w:p w14:paraId="39810B96" w14:textId="77777777" w:rsidR="006C3F9B" w:rsidRPr="00C67737" w:rsidRDefault="006C3F9B" w:rsidP="000A1568">
            <w:pPr>
              <w:pStyle w:val="TableParagraph"/>
              <w:spacing w:before="152"/>
              <w:ind w:left="127"/>
              <w:jc w:val="center"/>
              <w:rPr>
                <w:b/>
                <w:sz w:val="20"/>
              </w:rPr>
            </w:pPr>
            <w:r>
              <w:rPr>
                <w:b/>
                <w:sz w:val="20"/>
              </w:rPr>
              <w:t>17</w:t>
            </w:r>
          </w:p>
        </w:tc>
        <w:tc>
          <w:tcPr>
            <w:tcW w:w="0" w:type="auto"/>
            <w:tcBorders>
              <w:left w:val="nil"/>
              <w:right w:val="nil"/>
            </w:tcBorders>
            <w:vAlign w:val="center"/>
          </w:tcPr>
          <w:p w14:paraId="26A6562E" w14:textId="77777777" w:rsidR="006C3F9B" w:rsidRPr="00C67737" w:rsidRDefault="006C3F9B" w:rsidP="000A1568">
            <w:pPr>
              <w:pStyle w:val="TableParagraph"/>
              <w:spacing w:before="152"/>
              <w:ind w:left="19" w:right="3"/>
              <w:jc w:val="center"/>
              <w:rPr>
                <w:b/>
                <w:sz w:val="20"/>
              </w:rPr>
            </w:pPr>
            <w:r>
              <w:rPr>
                <w:b/>
                <w:sz w:val="20"/>
              </w:rPr>
              <w:t>18</w:t>
            </w:r>
          </w:p>
        </w:tc>
        <w:tc>
          <w:tcPr>
            <w:tcW w:w="0" w:type="auto"/>
            <w:tcBorders>
              <w:left w:val="nil"/>
              <w:right w:val="nil"/>
            </w:tcBorders>
            <w:shd w:val="clear" w:color="auto" w:fill="D9D9D9" w:themeFill="background1" w:themeFillShade="D9"/>
            <w:vAlign w:val="center"/>
          </w:tcPr>
          <w:p w14:paraId="5644F0A3" w14:textId="77777777" w:rsidR="006C3F9B" w:rsidRPr="00C67737" w:rsidRDefault="006C3F9B" w:rsidP="000A1568">
            <w:pPr>
              <w:pStyle w:val="TableParagraph"/>
              <w:spacing w:before="152"/>
              <w:ind w:left="19"/>
              <w:jc w:val="center"/>
              <w:rPr>
                <w:b/>
                <w:sz w:val="20"/>
              </w:rPr>
            </w:pPr>
            <w:r>
              <w:rPr>
                <w:b/>
                <w:sz w:val="20"/>
              </w:rPr>
              <w:t>19</w:t>
            </w:r>
          </w:p>
        </w:tc>
        <w:tc>
          <w:tcPr>
            <w:tcW w:w="0" w:type="auto"/>
            <w:tcBorders>
              <w:left w:val="nil"/>
              <w:right w:val="nil"/>
            </w:tcBorders>
            <w:vAlign w:val="center"/>
          </w:tcPr>
          <w:p w14:paraId="2DD07375" w14:textId="77777777" w:rsidR="006C3F9B" w:rsidRPr="00C67737" w:rsidRDefault="006C3F9B" w:rsidP="000A1568">
            <w:pPr>
              <w:pStyle w:val="TableParagraph"/>
              <w:spacing w:before="152"/>
              <w:ind w:left="19" w:right="2"/>
              <w:jc w:val="center"/>
              <w:rPr>
                <w:b/>
                <w:sz w:val="20"/>
              </w:rPr>
            </w:pPr>
            <w:r>
              <w:rPr>
                <w:b/>
                <w:sz w:val="20"/>
              </w:rPr>
              <w:t>20</w:t>
            </w:r>
          </w:p>
        </w:tc>
        <w:tc>
          <w:tcPr>
            <w:tcW w:w="0" w:type="auto"/>
            <w:tcBorders>
              <w:left w:val="nil"/>
              <w:right w:val="nil"/>
            </w:tcBorders>
            <w:shd w:val="clear" w:color="auto" w:fill="D9D9D9" w:themeFill="background1" w:themeFillShade="D9"/>
            <w:vAlign w:val="center"/>
          </w:tcPr>
          <w:p w14:paraId="30EA2BF7" w14:textId="77777777" w:rsidR="006C3F9B" w:rsidRPr="00C67737" w:rsidRDefault="006C3F9B" w:rsidP="000A1568">
            <w:pPr>
              <w:pStyle w:val="TableParagraph"/>
              <w:spacing w:before="152"/>
              <w:ind w:left="19"/>
              <w:jc w:val="center"/>
              <w:rPr>
                <w:b/>
                <w:sz w:val="20"/>
              </w:rPr>
            </w:pPr>
            <w:r>
              <w:rPr>
                <w:b/>
                <w:sz w:val="20"/>
              </w:rPr>
              <w:t>21</w:t>
            </w:r>
          </w:p>
        </w:tc>
        <w:tc>
          <w:tcPr>
            <w:tcW w:w="0" w:type="auto"/>
            <w:tcBorders>
              <w:left w:val="nil"/>
              <w:right w:val="nil"/>
            </w:tcBorders>
            <w:vAlign w:val="center"/>
          </w:tcPr>
          <w:p w14:paraId="22A5821E" w14:textId="77777777" w:rsidR="006C3F9B" w:rsidRPr="00C67737" w:rsidRDefault="006C3F9B" w:rsidP="000A1568">
            <w:pPr>
              <w:pStyle w:val="TableParagraph"/>
              <w:spacing w:before="152"/>
              <w:ind w:left="8"/>
              <w:jc w:val="center"/>
              <w:rPr>
                <w:b/>
                <w:sz w:val="20"/>
              </w:rPr>
            </w:pPr>
            <w:r>
              <w:rPr>
                <w:b/>
                <w:sz w:val="20"/>
              </w:rPr>
              <w:t>22</w:t>
            </w:r>
          </w:p>
        </w:tc>
        <w:tc>
          <w:tcPr>
            <w:tcW w:w="0" w:type="auto"/>
            <w:tcBorders>
              <w:left w:val="nil"/>
              <w:right w:val="nil"/>
            </w:tcBorders>
            <w:shd w:val="clear" w:color="auto" w:fill="D9D9D9" w:themeFill="background1" w:themeFillShade="D9"/>
            <w:vAlign w:val="center"/>
          </w:tcPr>
          <w:p w14:paraId="427D7524" w14:textId="77777777" w:rsidR="006C3F9B" w:rsidRPr="00C67737" w:rsidRDefault="006C3F9B" w:rsidP="000A1568">
            <w:pPr>
              <w:pStyle w:val="TableParagraph"/>
              <w:spacing w:before="152"/>
              <w:ind w:left="9"/>
              <w:jc w:val="center"/>
              <w:rPr>
                <w:b/>
                <w:sz w:val="20"/>
              </w:rPr>
            </w:pPr>
            <w:r>
              <w:rPr>
                <w:b/>
                <w:sz w:val="20"/>
              </w:rPr>
              <w:t>23</w:t>
            </w:r>
          </w:p>
        </w:tc>
      </w:tr>
      <w:tr w:rsidR="006C3F9B" w:rsidRPr="00C67737" w14:paraId="347FAC51" w14:textId="77777777" w:rsidTr="00190E23">
        <w:trPr>
          <w:trHeight w:val="544"/>
        </w:trPr>
        <w:tc>
          <w:tcPr>
            <w:tcW w:w="0" w:type="auto"/>
            <w:tcBorders>
              <w:left w:val="nil"/>
              <w:right w:val="single" w:sz="4" w:space="0" w:color="000000"/>
            </w:tcBorders>
          </w:tcPr>
          <w:p w14:paraId="744C0132" w14:textId="4B2F8754" w:rsidR="006C3F9B" w:rsidRPr="00190E23" w:rsidRDefault="006C3F9B" w:rsidP="007E1997">
            <w:pPr>
              <w:pStyle w:val="TableParagraph"/>
              <w:ind w:left="101"/>
              <w:contextualSpacing/>
              <w:rPr>
                <w:bCs/>
                <w:sz w:val="20"/>
                <w:szCs w:val="22"/>
              </w:rPr>
            </w:pPr>
            <w:r w:rsidRPr="00190E23">
              <w:rPr>
                <w:sz w:val="20"/>
                <w:szCs w:val="22"/>
              </w:rPr>
              <w:t>Restauration des écosystèmes</w:t>
            </w:r>
          </w:p>
        </w:tc>
        <w:tc>
          <w:tcPr>
            <w:tcW w:w="0" w:type="auto"/>
            <w:tcBorders>
              <w:left w:val="single" w:sz="4" w:space="0" w:color="000000"/>
              <w:right w:val="nil"/>
            </w:tcBorders>
            <w:shd w:val="clear" w:color="auto" w:fill="D9D9D9" w:themeFill="background1" w:themeFillShade="D9"/>
            <w:vAlign w:val="center"/>
          </w:tcPr>
          <w:p w14:paraId="22D6D73F" w14:textId="77777777" w:rsidR="006C3F9B" w:rsidRPr="00C67737" w:rsidRDefault="006C3F9B" w:rsidP="000A1568">
            <w:pPr>
              <w:pStyle w:val="TableParagraph"/>
              <w:spacing w:before="116"/>
              <w:ind w:right="4"/>
              <w:jc w:val="center"/>
            </w:pPr>
            <w:r>
              <w:t>X</w:t>
            </w:r>
          </w:p>
        </w:tc>
        <w:tc>
          <w:tcPr>
            <w:tcW w:w="0" w:type="auto"/>
            <w:tcBorders>
              <w:left w:val="nil"/>
              <w:right w:val="nil"/>
            </w:tcBorders>
            <w:vAlign w:val="center"/>
          </w:tcPr>
          <w:p w14:paraId="270C5DEF" w14:textId="77777777" w:rsidR="006C3F9B" w:rsidRPr="00C67737" w:rsidRDefault="006C3F9B" w:rsidP="000A1568">
            <w:pPr>
              <w:pStyle w:val="TableParagraph"/>
              <w:spacing w:before="116"/>
              <w:ind w:left="19" w:right="18"/>
              <w:jc w:val="center"/>
            </w:pPr>
            <w:r>
              <w:t>X</w:t>
            </w:r>
          </w:p>
        </w:tc>
        <w:tc>
          <w:tcPr>
            <w:tcW w:w="0" w:type="auto"/>
            <w:tcBorders>
              <w:left w:val="nil"/>
              <w:right w:val="nil"/>
            </w:tcBorders>
            <w:shd w:val="clear" w:color="auto" w:fill="D9D9D9" w:themeFill="background1" w:themeFillShade="D9"/>
            <w:vAlign w:val="center"/>
          </w:tcPr>
          <w:p w14:paraId="207C6FB2"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60D5B948"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0231F326"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5149B32C"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136B8BEF"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1FE41E5A" w14:textId="77777777" w:rsidR="006C3F9B" w:rsidRPr="00C67737" w:rsidRDefault="006C3F9B" w:rsidP="000A1568">
            <w:pPr>
              <w:pStyle w:val="TableParagraph"/>
              <w:spacing w:before="116"/>
              <w:ind w:left="19" w:right="14"/>
              <w:jc w:val="center"/>
            </w:pPr>
            <w:r>
              <w:t>X</w:t>
            </w:r>
          </w:p>
        </w:tc>
        <w:tc>
          <w:tcPr>
            <w:tcW w:w="0" w:type="auto"/>
            <w:tcBorders>
              <w:left w:val="nil"/>
              <w:right w:val="nil"/>
            </w:tcBorders>
            <w:shd w:val="clear" w:color="auto" w:fill="D9D9D9" w:themeFill="background1" w:themeFillShade="D9"/>
            <w:vAlign w:val="center"/>
          </w:tcPr>
          <w:p w14:paraId="0D6D23F6"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2F094FDD" w14:textId="77777777" w:rsidR="006C3F9B" w:rsidRPr="00C67737" w:rsidRDefault="006C3F9B" w:rsidP="000A1568">
            <w:pPr>
              <w:pStyle w:val="TableParagraph"/>
              <w:spacing w:before="116"/>
              <w:ind w:left="30" w:right="1"/>
              <w:jc w:val="center"/>
            </w:pPr>
            <w:r>
              <w:t>X</w:t>
            </w:r>
          </w:p>
        </w:tc>
        <w:tc>
          <w:tcPr>
            <w:tcW w:w="0" w:type="auto"/>
            <w:tcBorders>
              <w:left w:val="nil"/>
              <w:right w:val="nil"/>
            </w:tcBorders>
            <w:shd w:val="clear" w:color="auto" w:fill="D9D9D9" w:themeFill="background1" w:themeFillShade="D9"/>
            <w:vAlign w:val="center"/>
          </w:tcPr>
          <w:p w14:paraId="13498D4E" w14:textId="77777777" w:rsidR="006C3F9B" w:rsidRPr="00C67737" w:rsidRDefault="006C3F9B" w:rsidP="000A1568">
            <w:pPr>
              <w:pStyle w:val="TableParagraph"/>
              <w:spacing w:before="116"/>
              <w:ind w:left="19" w:right="10"/>
              <w:jc w:val="center"/>
            </w:pPr>
            <w:r>
              <w:t>X</w:t>
            </w:r>
          </w:p>
        </w:tc>
        <w:tc>
          <w:tcPr>
            <w:tcW w:w="0" w:type="auto"/>
            <w:tcBorders>
              <w:left w:val="nil"/>
              <w:right w:val="nil"/>
            </w:tcBorders>
            <w:vAlign w:val="center"/>
          </w:tcPr>
          <w:p w14:paraId="07BEAFC6"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3969E884"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2F09E287" w14:textId="77777777" w:rsidR="006C3F9B" w:rsidRPr="00C67737" w:rsidRDefault="006C3F9B" w:rsidP="000A1568">
            <w:pPr>
              <w:pStyle w:val="TableParagraph"/>
              <w:spacing w:before="116"/>
              <w:ind w:left="19" w:right="8"/>
              <w:jc w:val="center"/>
            </w:pPr>
            <w:r>
              <w:t>X</w:t>
            </w:r>
          </w:p>
        </w:tc>
        <w:tc>
          <w:tcPr>
            <w:tcW w:w="0" w:type="auto"/>
            <w:tcBorders>
              <w:left w:val="nil"/>
              <w:right w:val="nil"/>
            </w:tcBorders>
            <w:shd w:val="clear" w:color="auto" w:fill="D9D9D9" w:themeFill="background1" w:themeFillShade="D9"/>
            <w:vAlign w:val="center"/>
          </w:tcPr>
          <w:p w14:paraId="29440EF7" w14:textId="77777777" w:rsidR="006C3F9B" w:rsidRPr="00C67737" w:rsidRDefault="006C3F9B" w:rsidP="000A1568">
            <w:pPr>
              <w:pStyle w:val="TableParagraph"/>
              <w:spacing w:before="116"/>
              <w:ind w:left="19" w:right="6"/>
              <w:jc w:val="center"/>
            </w:pPr>
            <w:r>
              <w:t>X</w:t>
            </w:r>
          </w:p>
        </w:tc>
        <w:tc>
          <w:tcPr>
            <w:tcW w:w="0" w:type="auto"/>
            <w:tcBorders>
              <w:left w:val="nil"/>
              <w:right w:val="nil"/>
            </w:tcBorders>
            <w:vAlign w:val="center"/>
          </w:tcPr>
          <w:p w14:paraId="32FEDCDE"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766C00E5"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286B3FA3"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3575202A"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695FBDD4" w14:textId="77777777" w:rsidR="006C3F9B" w:rsidRPr="00C67737" w:rsidRDefault="006C3F9B" w:rsidP="000A1568">
            <w:pPr>
              <w:pStyle w:val="TableParagraph"/>
              <w:spacing w:before="116"/>
              <w:ind w:left="19" w:right="4"/>
              <w:jc w:val="center"/>
            </w:pPr>
            <w:r>
              <w:t>X</w:t>
            </w:r>
          </w:p>
        </w:tc>
        <w:tc>
          <w:tcPr>
            <w:tcW w:w="0" w:type="auto"/>
            <w:tcBorders>
              <w:left w:val="nil"/>
              <w:right w:val="nil"/>
            </w:tcBorders>
            <w:shd w:val="clear" w:color="auto" w:fill="D9D9D9" w:themeFill="background1" w:themeFillShade="D9"/>
            <w:vAlign w:val="center"/>
          </w:tcPr>
          <w:p w14:paraId="19024E4D" w14:textId="77777777" w:rsidR="006C3F9B" w:rsidRPr="00C67737" w:rsidRDefault="006C3F9B" w:rsidP="000A1568">
            <w:pPr>
              <w:pStyle w:val="TableParagraph"/>
              <w:spacing w:before="116"/>
              <w:ind w:left="19" w:right="2"/>
              <w:jc w:val="center"/>
            </w:pPr>
            <w:r>
              <w:t>X</w:t>
            </w:r>
          </w:p>
        </w:tc>
        <w:tc>
          <w:tcPr>
            <w:tcW w:w="0" w:type="auto"/>
            <w:tcBorders>
              <w:left w:val="nil"/>
              <w:right w:val="nil"/>
            </w:tcBorders>
            <w:vAlign w:val="center"/>
          </w:tcPr>
          <w:p w14:paraId="0882A31D" w14:textId="77777777" w:rsidR="006C3F9B" w:rsidRPr="00C67737" w:rsidRDefault="006C3F9B" w:rsidP="000A1568">
            <w:pPr>
              <w:pStyle w:val="TableParagraph"/>
              <w:spacing w:before="116"/>
              <w:ind w:left="8" w:right="3"/>
              <w:jc w:val="center"/>
            </w:pPr>
            <w:r>
              <w:t>X</w:t>
            </w:r>
          </w:p>
        </w:tc>
        <w:tc>
          <w:tcPr>
            <w:tcW w:w="0" w:type="auto"/>
            <w:tcBorders>
              <w:left w:val="nil"/>
              <w:right w:val="nil"/>
            </w:tcBorders>
            <w:shd w:val="clear" w:color="auto" w:fill="D9D9D9" w:themeFill="background1" w:themeFillShade="D9"/>
            <w:vAlign w:val="center"/>
          </w:tcPr>
          <w:p w14:paraId="16B8396C" w14:textId="77777777" w:rsidR="006C3F9B" w:rsidRPr="00C67737" w:rsidRDefault="006C3F9B" w:rsidP="000A1568">
            <w:pPr>
              <w:pStyle w:val="TableParagraph"/>
              <w:spacing w:before="116"/>
              <w:ind w:left="9" w:right="1"/>
              <w:jc w:val="center"/>
            </w:pPr>
            <w:r>
              <w:t>X</w:t>
            </w:r>
          </w:p>
        </w:tc>
      </w:tr>
      <w:tr w:rsidR="006C3F9B" w:rsidRPr="00C67737" w14:paraId="46A6F3A7" w14:textId="77777777" w:rsidTr="00190E23">
        <w:trPr>
          <w:trHeight w:val="544"/>
        </w:trPr>
        <w:tc>
          <w:tcPr>
            <w:tcW w:w="0" w:type="auto"/>
            <w:tcBorders>
              <w:left w:val="nil"/>
              <w:right w:val="single" w:sz="4" w:space="0" w:color="000000"/>
            </w:tcBorders>
          </w:tcPr>
          <w:p w14:paraId="21026F3A" w14:textId="77777777" w:rsidR="006C3F9B" w:rsidRPr="00190E23" w:rsidRDefault="006C3F9B" w:rsidP="0004312D">
            <w:pPr>
              <w:pStyle w:val="TableParagraph"/>
              <w:spacing w:before="112"/>
              <w:ind w:left="101"/>
              <w:contextualSpacing/>
              <w:rPr>
                <w:bCs/>
                <w:sz w:val="20"/>
                <w:szCs w:val="22"/>
              </w:rPr>
            </w:pPr>
            <w:r w:rsidRPr="00190E23">
              <w:rPr>
                <w:sz w:val="20"/>
                <w:szCs w:val="22"/>
              </w:rPr>
              <w:t>Îles bleues et vertes</w:t>
            </w:r>
          </w:p>
        </w:tc>
        <w:tc>
          <w:tcPr>
            <w:tcW w:w="0" w:type="auto"/>
            <w:tcBorders>
              <w:left w:val="single" w:sz="4" w:space="0" w:color="000000"/>
              <w:right w:val="nil"/>
            </w:tcBorders>
            <w:shd w:val="clear" w:color="auto" w:fill="D9D9D9" w:themeFill="background1" w:themeFillShade="D9"/>
            <w:vAlign w:val="center"/>
          </w:tcPr>
          <w:p w14:paraId="7571C8B4"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292D89EB" w14:textId="77777777" w:rsidR="006C3F9B" w:rsidRPr="00C67737" w:rsidRDefault="006C3F9B" w:rsidP="000A1568">
            <w:pPr>
              <w:pStyle w:val="TableParagraph"/>
              <w:spacing w:before="112"/>
              <w:ind w:left="19" w:right="18"/>
              <w:jc w:val="center"/>
            </w:pPr>
            <w:r>
              <w:t>X</w:t>
            </w:r>
          </w:p>
        </w:tc>
        <w:tc>
          <w:tcPr>
            <w:tcW w:w="0" w:type="auto"/>
            <w:tcBorders>
              <w:left w:val="nil"/>
              <w:right w:val="nil"/>
            </w:tcBorders>
            <w:shd w:val="clear" w:color="auto" w:fill="D9D9D9" w:themeFill="background1" w:themeFillShade="D9"/>
            <w:vAlign w:val="center"/>
          </w:tcPr>
          <w:p w14:paraId="5310BED5" w14:textId="77777777" w:rsidR="006C3F9B" w:rsidRPr="00C67737" w:rsidRDefault="006C3F9B" w:rsidP="000A1568">
            <w:pPr>
              <w:pStyle w:val="TableParagraph"/>
              <w:spacing w:before="112"/>
              <w:ind w:left="19" w:right="16"/>
              <w:jc w:val="center"/>
            </w:pPr>
            <w:r>
              <w:t>X</w:t>
            </w:r>
          </w:p>
        </w:tc>
        <w:tc>
          <w:tcPr>
            <w:tcW w:w="0" w:type="auto"/>
            <w:tcBorders>
              <w:left w:val="nil"/>
              <w:right w:val="nil"/>
            </w:tcBorders>
            <w:vAlign w:val="center"/>
          </w:tcPr>
          <w:p w14:paraId="4475CFA4"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76AB8D62"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2E5BDB65"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14FC6FA9" w14:textId="77777777" w:rsidR="006C3F9B" w:rsidRPr="00C67737" w:rsidRDefault="006C3F9B" w:rsidP="000A1568">
            <w:pPr>
              <w:pStyle w:val="TableParagraph"/>
              <w:spacing w:before="112"/>
              <w:ind w:left="7" w:right="1"/>
              <w:jc w:val="center"/>
            </w:pPr>
            <w:r>
              <w:t>X</w:t>
            </w:r>
          </w:p>
        </w:tc>
        <w:tc>
          <w:tcPr>
            <w:tcW w:w="0" w:type="auto"/>
            <w:tcBorders>
              <w:left w:val="nil"/>
              <w:right w:val="nil"/>
            </w:tcBorders>
            <w:vAlign w:val="center"/>
          </w:tcPr>
          <w:p w14:paraId="33546230" w14:textId="77777777" w:rsidR="006C3F9B" w:rsidRPr="00C67737" w:rsidRDefault="006C3F9B" w:rsidP="000A1568">
            <w:pPr>
              <w:pStyle w:val="TableParagraph"/>
              <w:spacing w:before="112"/>
              <w:ind w:left="19" w:right="14"/>
              <w:jc w:val="center"/>
            </w:pPr>
            <w:r>
              <w:t>X</w:t>
            </w:r>
          </w:p>
        </w:tc>
        <w:tc>
          <w:tcPr>
            <w:tcW w:w="0" w:type="auto"/>
            <w:tcBorders>
              <w:left w:val="nil"/>
              <w:right w:val="nil"/>
            </w:tcBorders>
            <w:shd w:val="clear" w:color="auto" w:fill="D9D9D9" w:themeFill="background1" w:themeFillShade="D9"/>
            <w:vAlign w:val="center"/>
          </w:tcPr>
          <w:p w14:paraId="4747A354"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2251A9D4" w14:textId="77777777" w:rsidR="006C3F9B" w:rsidRPr="00C67737" w:rsidRDefault="006C3F9B" w:rsidP="000A1568">
            <w:pPr>
              <w:pStyle w:val="TableParagraph"/>
              <w:spacing w:before="112"/>
              <w:ind w:left="30" w:right="1"/>
              <w:jc w:val="center"/>
            </w:pPr>
            <w:r>
              <w:t>X</w:t>
            </w:r>
          </w:p>
        </w:tc>
        <w:tc>
          <w:tcPr>
            <w:tcW w:w="0" w:type="auto"/>
            <w:tcBorders>
              <w:left w:val="nil"/>
              <w:right w:val="nil"/>
            </w:tcBorders>
            <w:shd w:val="clear" w:color="auto" w:fill="D9D9D9" w:themeFill="background1" w:themeFillShade="D9"/>
            <w:vAlign w:val="center"/>
          </w:tcPr>
          <w:p w14:paraId="31ECFB77" w14:textId="77777777" w:rsidR="006C3F9B" w:rsidRPr="00C67737" w:rsidRDefault="006C3F9B" w:rsidP="000A1568">
            <w:pPr>
              <w:pStyle w:val="TableParagraph"/>
              <w:spacing w:before="112"/>
              <w:ind w:left="19" w:right="10"/>
              <w:jc w:val="center"/>
            </w:pPr>
            <w:r>
              <w:t>X</w:t>
            </w:r>
          </w:p>
        </w:tc>
        <w:tc>
          <w:tcPr>
            <w:tcW w:w="0" w:type="auto"/>
            <w:tcBorders>
              <w:left w:val="nil"/>
              <w:right w:val="nil"/>
            </w:tcBorders>
            <w:vAlign w:val="center"/>
          </w:tcPr>
          <w:p w14:paraId="6B77C8B6"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6D5BEF11"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7AEF503D" w14:textId="77777777" w:rsidR="006C3F9B" w:rsidRPr="00C67737" w:rsidRDefault="006C3F9B" w:rsidP="000A1568">
            <w:pPr>
              <w:pStyle w:val="TableParagraph"/>
              <w:spacing w:before="112"/>
              <w:ind w:left="19" w:right="9"/>
              <w:jc w:val="center"/>
            </w:pPr>
            <w:r>
              <w:t>X</w:t>
            </w:r>
          </w:p>
        </w:tc>
        <w:tc>
          <w:tcPr>
            <w:tcW w:w="0" w:type="auto"/>
            <w:tcBorders>
              <w:left w:val="nil"/>
              <w:right w:val="nil"/>
            </w:tcBorders>
            <w:shd w:val="clear" w:color="auto" w:fill="D9D9D9" w:themeFill="background1" w:themeFillShade="D9"/>
            <w:vAlign w:val="center"/>
          </w:tcPr>
          <w:p w14:paraId="49E6381C"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20035F11"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3C62E14C"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3869FD72"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552CDA46" w14:textId="77777777" w:rsidR="006C3F9B" w:rsidRPr="00C67737" w:rsidRDefault="006C3F9B" w:rsidP="000A1568">
            <w:pPr>
              <w:pStyle w:val="TableParagraph"/>
              <w:spacing w:before="112"/>
              <w:ind w:left="19" w:right="2"/>
              <w:jc w:val="center"/>
            </w:pPr>
            <w:r>
              <w:t>X</w:t>
            </w:r>
          </w:p>
        </w:tc>
        <w:tc>
          <w:tcPr>
            <w:tcW w:w="0" w:type="auto"/>
            <w:tcBorders>
              <w:left w:val="nil"/>
              <w:right w:val="nil"/>
            </w:tcBorders>
            <w:vAlign w:val="center"/>
          </w:tcPr>
          <w:p w14:paraId="34BEA3CB" w14:textId="77777777" w:rsidR="006C3F9B" w:rsidRPr="00C67737" w:rsidRDefault="006C3F9B" w:rsidP="000A1568">
            <w:pPr>
              <w:pStyle w:val="TableParagraph"/>
              <w:spacing w:before="112"/>
              <w:ind w:left="19" w:right="4"/>
              <w:jc w:val="center"/>
            </w:pPr>
            <w:r>
              <w:t>X</w:t>
            </w:r>
          </w:p>
        </w:tc>
        <w:tc>
          <w:tcPr>
            <w:tcW w:w="0" w:type="auto"/>
            <w:tcBorders>
              <w:left w:val="nil"/>
              <w:right w:val="nil"/>
            </w:tcBorders>
            <w:shd w:val="clear" w:color="auto" w:fill="D9D9D9" w:themeFill="background1" w:themeFillShade="D9"/>
            <w:vAlign w:val="center"/>
          </w:tcPr>
          <w:p w14:paraId="109E7FF6" w14:textId="77777777" w:rsidR="006C3F9B" w:rsidRPr="00C67737" w:rsidRDefault="006C3F9B" w:rsidP="000A1568">
            <w:pPr>
              <w:pStyle w:val="TableParagraph"/>
              <w:spacing w:before="112"/>
              <w:ind w:left="19" w:right="2"/>
              <w:jc w:val="center"/>
            </w:pPr>
            <w:r>
              <w:t>X</w:t>
            </w:r>
          </w:p>
        </w:tc>
        <w:tc>
          <w:tcPr>
            <w:tcW w:w="0" w:type="auto"/>
            <w:tcBorders>
              <w:left w:val="nil"/>
              <w:right w:val="nil"/>
            </w:tcBorders>
            <w:vAlign w:val="center"/>
          </w:tcPr>
          <w:p w14:paraId="2B9FB259" w14:textId="77777777" w:rsidR="006C3F9B" w:rsidRPr="00C67737" w:rsidRDefault="006C3F9B" w:rsidP="000A1568">
            <w:pPr>
              <w:pStyle w:val="TableParagraph"/>
              <w:spacing w:before="112"/>
              <w:ind w:left="8" w:right="3"/>
              <w:jc w:val="center"/>
            </w:pPr>
            <w:r>
              <w:t>X</w:t>
            </w:r>
          </w:p>
        </w:tc>
        <w:tc>
          <w:tcPr>
            <w:tcW w:w="0" w:type="auto"/>
            <w:tcBorders>
              <w:left w:val="nil"/>
              <w:right w:val="nil"/>
            </w:tcBorders>
            <w:shd w:val="clear" w:color="auto" w:fill="D9D9D9" w:themeFill="background1" w:themeFillShade="D9"/>
            <w:vAlign w:val="center"/>
          </w:tcPr>
          <w:p w14:paraId="2889B9BB" w14:textId="77777777" w:rsidR="006C3F9B" w:rsidRPr="00C67737" w:rsidRDefault="006C3F9B" w:rsidP="000A1568">
            <w:pPr>
              <w:pStyle w:val="TableParagraph"/>
              <w:spacing w:before="112"/>
              <w:ind w:left="9" w:right="1"/>
              <w:jc w:val="center"/>
            </w:pPr>
            <w:r>
              <w:t>X</w:t>
            </w:r>
          </w:p>
        </w:tc>
      </w:tr>
      <w:tr w:rsidR="006C3F9B" w:rsidRPr="00C67737" w14:paraId="55342249" w14:textId="77777777" w:rsidTr="00190E23">
        <w:trPr>
          <w:trHeight w:val="544"/>
        </w:trPr>
        <w:tc>
          <w:tcPr>
            <w:tcW w:w="0" w:type="auto"/>
            <w:tcBorders>
              <w:left w:val="nil"/>
              <w:right w:val="single" w:sz="4" w:space="0" w:color="000000"/>
            </w:tcBorders>
          </w:tcPr>
          <w:p w14:paraId="218136AA" w14:textId="593730AF" w:rsidR="006C3F9B" w:rsidRPr="00190E23" w:rsidRDefault="006C3F9B" w:rsidP="007E1997">
            <w:pPr>
              <w:pStyle w:val="TableParagraph"/>
              <w:ind w:left="101"/>
              <w:contextualSpacing/>
              <w:rPr>
                <w:bCs/>
                <w:sz w:val="20"/>
                <w:szCs w:val="22"/>
              </w:rPr>
            </w:pPr>
            <w:r w:rsidRPr="00190E23">
              <w:rPr>
                <w:sz w:val="20"/>
                <w:szCs w:val="22"/>
              </w:rPr>
              <w:t xml:space="preserve">Accélérateur net-zéro </w:t>
            </w:r>
          </w:p>
        </w:tc>
        <w:tc>
          <w:tcPr>
            <w:tcW w:w="0" w:type="auto"/>
            <w:tcBorders>
              <w:left w:val="single" w:sz="4" w:space="0" w:color="000000"/>
              <w:right w:val="nil"/>
            </w:tcBorders>
            <w:shd w:val="clear" w:color="auto" w:fill="D9D9D9" w:themeFill="background1" w:themeFillShade="D9"/>
            <w:vAlign w:val="center"/>
          </w:tcPr>
          <w:p w14:paraId="751AD9D7"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22241541" w14:textId="77777777" w:rsidR="006C3F9B" w:rsidRPr="00C67737" w:rsidRDefault="006C3F9B" w:rsidP="000A1568">
            <w:pPr>
              <w:pStyle w:val="TableParagraph"/>
              <w:spacing w:before="119"/>
              <w:ind w:left="19" w:right="18"/>
              <w:jc w:val="center"/>
            </w:pPr>
            <w:r>
              <w:t>X</w:t>
            </w:r>
          </w:p>
        </w:tc>
        <w:tc>
          <w:tcPr>
            <w:tcW w:w="0" w:type="auto"/>
            <w:tcBorders>
              <w:left w:val="nil"/>
              <w:right w:val="nil"/>
            </w:tcBorders>
            <w:shd w:val="clear" w:color="auto" w:fill="D9D9D9" w:themeFill="background1" w:themeFillShade="D9"/>
            <w:vAlign w:val="center"/>
          </w:tcPr>
          <w:p w14:paraId="5D5013BC" w14:textId="77777777" w:rsidR="006C3F9B" w:rsidRPr="00C67737" w:rsidRDefault="006C3F9B" w:rsidP="000A1568">
            <w:pPr>
              <w:pStyle w:val="TableParagraph"/>
              <w:spacing w:before="119"/>
              <w:ind w:left="19" w:right="16"/>
              <w:jc w:val="center"/>
            </w:pPr>
            <w:r>
              <w:t>X</w:t>
            </w:r>
          </w:p>
        </w:tc>
        <w:tc>
          <w:tcPr>
            <w:tcW w:w="0" w:type="auto"/>
            <w:tcBorders>
              <w:left w:val="nil"/>
              <w:right w:val="nil"/>
            </w:tcBorders>
            <w:vAlign w:val="center"/>
          </w:tcPr>
          <w:p w14:paraId="64120B2E"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2343D587"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7C637282"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0E2CD699"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69315850" w14:textId="77777777" w:rsidR="006C3F9B" w:rsidRPr="00C67737" w:rsidRDefault="006C3F9B" w:rsidP="000A1568">
            <w:pPr>
              <w:pStyle w:val="TableParagraph"/>
              <w:spacing w:before="119"/>
              <w:ind w:left="19" w:right="14"/>
              <w:jc w:val="center"/>
            </w:pPr>
            <w:r>
              <w:t>X</w:t>
            </w:r>
          </w:p>
        </w:tc>
        <w:tc>
          <w:tcPr>
            <w:tcW w:w="0" w:type="auto"/>
            <w:tcBorders>
              <w:left w:val="nil"/>
              <w:right w:val="nil"/>
            </w:tcBorders>
            <w:shd w:val="clear" w:color="auto" w:fill="D9D9D9" w:themeFill="background1" w:themeFillShade="D9"/>
            <w:vAlign w:val="center"/>
          </w:tcPr>
          <w:p w14:paraId="2515DFC3"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5336087E" w14:textId="77777777" w:rsidR="006C3F9B" w:rsidRPr="00C67737" w:rsidRDefault="006C3F9B" w:rsidP="000A1568">
            <w:pPr>
              <w:pStyle w:val="TableParagraph"/>
              <w:spacing w:before="119"/>
              <w:ind w:left="30" w:right="1"/>
              <w:jc w:val="center"/>
            </w:pPr>
            <w:r>
              <w:t>X</w:t>
            </w:r>
          </w:p>
        </w:tc>
        <w:tc>
          <w:tcPr>
            <w:tcW w:w="0" w:type="auto"/>
            <w:tcBorders>
              <w:left w:val="nil"/>
              <w:right w:val="nil"/>
            </w:tcBorders>
            <w:shd w:val="clear" w:color="auto" w:fill="D9D9D9" w:themeFill="background1" w:themeFillShade="D9"/>
            <w:vAlign w:val="center"/>
          </w:tcPr>
          <w:p w14:paraId="5AF09CA5" w14:textId="77777777" w:rsidR="006C3F9B" w:rsidRPr="00C67737" w:rsidRDefault="006C3F9B" w:rsidP="000A1568">
            <w:pPr>
              <w:pStyle w:val="TableParagraph"/>
              <w:spacing w:before="119"/>
              <w:ind w:left="19" w:right="10"/>
              <w:jc w:val="center"/>
            </w:pPr>
            <w:r>
              <w:t>X</w:t>
            </w:r>
          </w:p>
        </w:tc>
        <w:tc>
          <w:tcPr>
            <w:tcW w:w="0" w:type="auto"/>
            <w:tcBorders>
              <w:left w:val="nil"/>
              <w:right w:val="nil"/>
            </w:tcBorders>
            <w:vAlign w:val="center"/>
          </w:tcPr>
          <w:p w14:paraId="5BB63BBC"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791E744F"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2060F2D0" w14:textId="77777777" w:rsidR="006C3F9B" w:rsidRPr="00C67737" w:rsidRDefault="006C3F9B" w:rsidP="000A1568">
            <w:pPr>
              <w:pStyle w:val="TableParagraph"/>
              <w:spacing w:before="119"/>
              <w:ind w:left="19" w:right="9"/>
              <w:jc w:val="center"/>
            </w:pPr>
            <w:r>
              <w:t>X</w:t>
            </w:r>
          </w:p>
        </w:tc>
        <w:tc>
          <w:tcPr>
            <w:tcW w:w="0" w:type="auto"/>
            <w:tcBorders>
              <w:left w:val="nil"/>
              <w:right w:val="nil"/>
            </w:tcBorders>
            <w:shd w:val="clear" w:color="auto" w:fill="D9D9D9" w:themeFill="background1" w:themeFillShade="D9"/>
            <w:vAlign w:val="center"/>
          </w:tcPr>
          <w:p w14:paraId="424FCFA2"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0ADD4AED"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66902E1A"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44458AA4" w14:textId="77777777" w:rsidR="006C3F9B" w:rsidRPr="00C67737" w:rsidRDefault="006C3F9B" w:rsidP="000A1568">
            <w:pPr>
              <w:pStyle w:val="TableParagraph"/>
              <w:spacing w:before="119"/>
              <w:ind w:left="19" w:right="5"/>
              <w:jc w:val="center"/>
            </w:pPr>
            <w:r>
              <w:t>X</w:t>
            </w:r>
          </w:p>
        </w:tc>
        <w:tc>
          <w:tcPr>
            <w:tcW w:w="0" w:type="auto"/>
            <w:tcBorders>
              <w:left w:val="nil"/>
              <w:right w:val="nil"/>
            </w:tcBorders>
            <w:shd w:val="clear" w:color="auto" w:fill="D9D9D9" w:themeFill="background1" w:themeFillShade="D9"/>
            <w:vAlign w:val="center"/>
          </w:tcPr>
          <w:p w14:paraId="3AE47E56" w14:textId="77777777" w:rsidR="006C3F9B" w:rsidRPr="00C67737" w:rsidRDefault="006C3F9B" w:rsidP="000A1568">
            <w:pPr>
              <w:pStyle w:val="TableParagraph"/>
              <w:spacing w:before="119"/>
              <w:ind w:left="19" w:right="2"/>
              <w:jc w:val="center"/>
            </w:pPr>
            <w:r>
              <w:t>X</w:t>
            </w:r>
          </w:p>
        </w:tc>
        <w:tc>
          <w:tcPr>
            <w:tcW w:w="0" w:type="auto"/>
            <w:tcBorders>
              <w:left w:val="nil"/>
              <w:right w:val="nil"/>
            </w:tcBorders>
            <w:vAlign w:val="center"/>
          </w:tcPr>
          <w:p w14:paraId="6ACF6B07" w14:textId="77777777" w:rsidR="006C3F9B" w:rsidRPr="00C67737" w:rsidRDefault="006C3F9B" w:rsidP="000A1568">
            <w:pPr>
              <w:pStyle w:val="TableParagraph"/>
              <w:spacing w:before="119"/>
              <w:ind w:left="19" w:right="4"/>
              <w:jc w:val="center"/>
            </w:pPr>
            <w:r>
              <w:t>X</w:t>
            </w:r>
          </w:p>
        </w:tc>
        <w:tc>
          <w:tcPr>
            <w:tcW w:w="0" w:type="auto"/>
            <w:tcBorders>
              <w:left w:val="nil"/>
              <w:right w:val="nil"/>
            </w:tcBorders>
            <w:shd w:val="clear" w:color="auto" w:fill="D9D9D9" w:themeFill="background1" w:themeFillShade="D9"/>
            <w:vAlign w:val="center"/>
          </w:tcPr>
          <w:p w14:paraId="3249D7D1" w14:textId="77777777" w:rsidR="006C3F9B" w:rsidRPr="00C67737" w:rsidRDefault="006C3F9B" w:rsidP="000A1568">
            <w:pPr>
              <w:pStyle w:val="TableParagraph"/>
              <w:spacing w:before="119"/>
              <w:ind w:left="19" w:right="2"/>
              <w:jc w:val="center"/>
            </w:pPr>
            <w:r>
              <w:t>X</w:t>
            </w:r>
          </w:p>
        </w:tc>
        <w:tc>
          <w:tcPr>
            <w:tcW w:w="0" w:type="auto"/>
            <w:tcBorders>
              <w:left w:val="nil"/>
              <w:right w:val="nil"/>
            </w:tcBorders>
            <w:vAlign w:val="center"/>
          </w:tcPr>
          <w:p w14:paraId="55E93288" w14:textId="77777777" w:rsidR="006C3F9B" w:rsidRPr="00C67737" w:rsidRDefault="006C3F9B" w:rsidP="000A1568">
            <w:pPr>
              <w:pStyle w:val="TableParagraph"/>
              <w:spacing w:before="119"/>
              <w:ind w:left="8" w:right="3"/>
              <w:jc w:val="center"/>
            </w:pPr>
            <w:r>
              <w:t>X</w:t>
            </w:r>
          </w:p>
        </w:tc>
        <w:tc>
          <w:tcPr>
            <w:tcW w:w="0" w:type="auto"/>
            <w:tcBorders>
              <w:left w:val="nil"/>
              <w:right w:val="nil"/>
            </w:tcBorders>
            <w:shd w:val="clear" w:color="auto" w:fill="D9D9D9" w:themeFill="background1" w:themeFillShade="D9"/>
            <w:vAlign w:val="center"/>
          </w:tcPr>
          <w:p w14:paraId="6E4481CA" w14:textId="77777777" w:rsidR="006C3F9B" w:rsidRPr="00C67737" w:rsidRDefault="006C3F9B" w:rsidP="000A1568">
            <w:pPr>
              <w:pStyle w:val="TableParagraph"/>
              <w:spacing w:before="119"/>
              <w:ind w:left="9" w:right="1"/>
              <w:jc w:val="center"/>
            </w:pPr>
            <w:r>
              <w:t>X</w:t>
            </w:r>
          </w:p>
        </w:tc>
      </w:tr>
      <w:tr w:rsidR="006C3F9B" w:rsidRPr="00C67737" w14:paraId="12DA75FC" w14:textId="77777777" w:rsidTr="00190E23">
        <w:trPr>
          <w:trHeight w:val="544"/>
        </w:trPr>
        <w:tc>
          <w:tcPr>
            <w:tcW w:w="0" w:type="auto"/>
            <w:tcBorders>
              <w:left w:val="nil"/>
              <w:right w:val="single" w:sz="4" w:space="0" w:color="000000"/>
            </w:tcBorders>
          </w:tcPr>
          <w:p w14:paraId="3C1FAAF5" w14:textId="2AE4D52B" w:rsidR="006C3F9B" w:rsidRPr="00190E23" w:rsidRDefault="006C3F9B" w:rsidP="007E1997">
            <w:pPr>
              <w:pStyle w:val="TableParagraph"/>
              <w:ind w:left="101"/>
              <w:contextualSpacing/>
              <w:rPr>
                <w:bCs/>
                <w:sz w:val="20"/>
                <w:szCs w:val="22"/>
              </w:rPr>
            </w:pPr>
            <w:r w:rsidRPr="00190E23">
              <w:rPr>
                <w:sz w:val="20"/>
                <w:szCs w:val="22"/>
              </w:rPr>
              <w:t>Solutions circulaires à la pollution par les plastiques</w:t>
            </w:r>
          </w:p>
        </w:tc>
        <w:tc>
          <w:tcPr>
            <w:tcW w:w="0" w:type="auto"/>
            <w:tcBorders>
              <w:left w:val="single" w:sz="4" w:space="0" w:color="000000"/>
              <w:right w:val="nil"/>
            </w:tcBorders>
            <w:shd w:val="clear" w:color="auto" w:fill="D9D9D9" w:themeFill="background1" w:themeFillShade="D9"/>
            <w:vAlign w:val="center"/>
          </w:tcPr>
          <w:p w14:paraId="25EE419D"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4057D7E3"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0501ED9E"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36058B2F"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0DB95A2D"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1AC52A7F"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18FBFBD1" w14:textId="77777777" w:rsidR="006C3F9B" w:rsidRPr="00C67737" w:rsidRDefault="006C3F9B" w:rsidP="000A1568">
            <w:pPr>
              <w:pStyle w:val="TableParagraph"/>
              <w:spacing w:before="116"/>
              <w:ind w:left="7" w:right="1"/>
              <w:jc w:val="center"/>
            </w:pPr>
            <w:r>
              <w:t>X</w:t>
            </w:r>
          </w:p>
        </w:tc>
        <w:tc>
          <w:tcPr>
            <w:tcW w:w="0" w:type="auto"/>
            <w:tcBorders>
              <w:left w:val="nil"/>
              <w:right w:val="nil"/>
            </w:tcBorders>
            <w:vAlign w:val="center"/>
          </w:tcPr>
          <w:p w14:paraId="15F844D0" w14:textId="77777777" w:rsidR="006C3F9B" w:rsidRPr="00C67737" w:rsidRDefault="006C3F9B" w:rsidP="000A1568">
            <w:pPr>
              <w:pStyle w:val="TableParagraph"/>
              <w:spacing w:before="116"/>
              <w:ind w:left="19" w:right="14"/>
              <w:jc w:val="center"/>
            </w:pPr>
            <w:r>
              <w:t>X</w:t>
            </w:r>
          </w:p>
        </w:tc>
        <w:tc>
          <w:tcPr>
            <w:tcW w:w="0" w:type="auto"/>
            <w:tcBorders>
              <w:left w:val="nil"/>
              <w:right w:val="nil"/>
            </w:tcBorders>
            <w:shd w:val="clear" w:color="auto" w:fill="D9D9D9" w:themeFill="background1" w:themeFillShade="D9"/>
            <w:vAlign w:val="center"/>
          </w:tcPr>
          <w:p w14:paraId="7074A8C4"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467B52CD" w14:textId="77777777" w:rsidR="006C3F9B" w:rsidRPr="00C67737" w:rsidRDefault="006C3F9B" w:rsidP="000A1568">
            <w:pPr>
              <w:pStyle w:val="TableParagraph"/>
              <w:spacing w:before="116"/>
              <w:ind w:left="30" w:right="1"/>
              <w:jc w:val="center"/>
            </w:pPr>
            <w:r>
              <w:t>X</w:t>
            </w:r>
          </w:p>
        </w:tc>
        <w:tc>
          <w:tcPr>
            <w:tcW w:w="0" w:type="auto"/>
            <w:tcBorders>
              <w:left w:val="nil"/>
              <w:right w:val="nil"/>
            </w:tcBorders>
            <w:shd w:val="clear" w:color="auto" w:fill="D9D9D9" w:themeFill="background1" w:themeFillShade="D9"/>
            <w:vAlign w:val="center"/>
          </w:tcPr>
          <w:p w14:paraId="04245606" w14:textId="77777777" w:rsidR="006C3F9B" w:rsidRPr="00C67737" w:rsidRDefault="006C3F9B" w:rsidP="000A1568">
            <w:pPr>
              <w:pStyle w:val="TableParagraph"/>
              <w:spacing w:before="116"/>
              <w:ind w:left="19" w:right="10"/>
              <w:jc w:val="center"/>
            </w:pPr>
            <w:r>
              <w:t>X</w:t>
            </w:r>
          </w:p>
        </w:tc>
        <w:tc>
          <w:tcPr>
            <w:tcW w:w="0" w:type="auto"/>
            <w:tcBorders>
              <w:left w:val="nil"/>
              <w:right w:val="nil"/>
            </w:tcBorders>
            <w:vAlign w:val="center"/>
          </w:tcPr>
          <w:p w14:paraId="0104C59A"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2F1D58DF"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13E73822" w14:textId="77777777" w:rsidR="006C3F9B" w:rsidRPr="00C67737" w:rsidRDefault="006C3F9B" w:rsidP="000A1568">
            <w:pPr>
              <w:pStyle w:val="TableParagraph"/>
              <w:spacing w:before="116"/>
              <w:ind w:left="19" w:right="9"/>
              <w:jc w:val="center"/>
            </w:pPr>
            <w:r>
              <w:t>X</w:t>
            </w:r>
          </w:p>
        </w:tc>
        <w:tc>
          <w:tcPr>
            <w:tcW w:w="0" w:type="auto"/>
            <w:tcBorders>
              <w:left w:val="nil"/>
              <w:right w:val="nil"/>
            </w:tcBorders>
            <w:shd w:val="clear" w:color="auto" w:fill="D9D9D9" w:themeFill="background1" w:themeFillShade="D9"/>
            <w:vAlign w:val="center"/>
          </w:tcPr>
          <w:p w14:paraId="28613C85" w14:textId="77777777" w:rsidR="006C3F9B" w:rsidRPr="00C67737" w:rsidRDefault="006C3F9B" w:rsidP="000A1568">
            <w:pPr>
              <w:pStyle w:val="TableParagraph"/>
              <w:spacing w:before="116"/>
              <w:ind w:left="19" w:right="6"/>
              <w:jc w:val="center"/>
            </w:pPr>
            <w:r>
              <w:t>X</w:t>
            </w:r>
          </w:p>
        </w:tc>
        <w:tc>
          <w:tcPr>
            <w:tcW w:w="0" w:type="auto"/>
            <w:tcBorders>
              <w:left w:val="nil"/>
              <w:right w:val="nil"/>
            </w:tcBorders>
            <w:vAlign w:val="center"/>
          </w:tcPr>
          <w:p w14:paraId="355B7313" w14:textId="77777777" w:rsidR="006C3F9B" w:rsidRPr="00C67737" w:rsidRDefault="006C3F9B" w:rsidP="000A1568">
            <w:pPr>
              <w:pStyle w:val="TableParagraph"/>
              <w:spacing w:before="116"/>
              <w:ind w:left="19" w:right="8"/>
              <w:jc w:val="center"/>
            </w:pPr>
            <w:r>
              <w:t>X</w:t>
            </w:r>
          </w:p>
        </w:tc>
        <w:tc>
          <w:tcPr>
            <w:tcW w:w="0" w:type="auto"/>
            <w:tcBorders>
              <w:left w:val="nil"/>
              <w:right w:val="nil"/>
            </w:tcBorders>
            <w:shd w:val="clear" w:color="auto" w:fill="D9D9D9" w:themeFill="background1" w:themeFillShade="D9"/>
            <w:vAlign w:val="center"/>
          </w:tcPr>
          <w:p w14:paraId="105A7D4E"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7A85C98D" w14:textId="77777777" w:rsidR="006C3F9B" w:rsidRPr="00C67737" w:rsidRDefault="006C3F9B" w:rsidP="000A1568">
            <w:pPr>
              <w:pStyle w:val="TableParagraph"/>
              <w:spacing w:before="116"/>
              <w:ind w:left="19" w:right="5"/>
              <w:jc w:val="center"/>
            </w:pPr>
            <w:r>
              <w:t>X</w:t>
            </w:r>
          </w:p>
        </w:tc>
        <w:tc>
          <w:tcPr>
            <w:tcW w:w="0" w:type="auto"/>
            <w:tcBorders>
              <w:left w:val="nil"/>
              <w:right w:val="nil"/>
            </w:tcBorders>
            <w:shd w:val="clear" w:color="auto" w:fill="D9D9D9" w:themeFill="background1" w:themeFillShade="D9"/>
            <w:vAlign w:val="center"/>
          </w:tcPr>
          <w:p w14:paraId="79920EDB"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7350EE0D" w14:textId="77777777" w:rsidR="006C3F9B" w:rsidRPr="00C67737" w:rsidRDefault="006C3F9B" w:rsidP="000A1568">
            <w:pPr>
              <w:pStyle w:val="TableParagraph"/>
              <w:spacing w:before="116"/>
              <w:ind w:left="19" w:right="4"/>
              <w:jc w:val="center"/>
            </w:pPr>
            <w:r>
              <w:t>X</w:t>
            </w:r>
          </w:p>
        </w:tc>
        <w:tc>
          <w:tcPr>
            <w:tcW w:w="0" w:type="auto"/>
            <w:tcBorders>
              <w:left w:val="nil"/>
              <w:right w:val="nil"/>
            </w:tcBorders>
            <w:shd w:val="clear" w:color="auto" w:fill="D9D9D9" w:themeFill="background1" w:themeFillShade="D9"/>
            <w:vAlign w:val="center"/>
          </w:tcPr>
          <w:p w14:paraId="02C96ABA" w14:textId="77777777" w:rsidR="006C3F9B" w:rsidRPr="00C67737" w:rsidRDefault="006C3F9B" w:rsidP="000A1568">
            <w:pPr>
              <w:pStyle w:val="TableParagraph"/>
              <w:spacing w:before="116"/>
              <w:ind w:left="19" w:right="2"/>
              <w:jc w:val="center"/>
            </w:pPr>
            <w:r>
              <w:t>X</w:t>
            </w:r>
          </w:p>
        </w:tc>
        <w:tc>
          <w:tcPr>
            <w:tcW w:w="0" w:type="auto"/>
            <w:tcBorders>
              <w:left w:val="nil"/>
              <w:right w:val="nil"/>
            </w:tcBorders>
            <w:vAlign w:val="center"/>
          </w:tcPr>
          <w:p w14:paraId="04101ABF" w14:textId="77777777" w:rsidR="006C3F9B" w:rsidRPr="00C67737" w:rsidRDefault="006C3F9B" w:rsidP="000A1568">
            <w:pPr>
              <w:pStyle w:val="TableParagraph"/>
              <w:spacing w:before="116"/>
              <w:ind w:left="8" w:right="3"/>
              <w:jc w:val="center"/>
            </w:pPr>
            <w:r>
              <w:t>X</w:t>
            </w:r>
          </w:p>
        </w:tc>
        <w:tc>
          <w:tcPr>
            <w:tcW w:w="0" w:type="auto"/>
            <w:tcBorders>
              <w:left w:val="nil"/>
              <w:right w:val="nil"/>
            </w:tcBorders>
            <w:shd w:val="clear" w:color="auto" w:fill="D9D9D9" w:themeFill="background1" w:themeFillShade="D9"/>
            <w:vAlign w:val="center"/>
          </w:tcPr>
          <w:p w14:paraId="78DEB534" w14:textId="77777777" w:rsidR="006C3F9B" w:rsidRPr="00C67737" w:rsidRDefault="006C3F9B" w:rsidP="000A1568">
            <w:pPr>
              <w:pStyle w:val="TableParagraph"/>
              <w:spacing w:before="116"/>
              <w:ind w:left="9" w:right="1"/>
              <w:jc w:val="center"/>
            </w:pPr>
            <w:r>
              <w:t>X</w:t>
            </w:r>
          </w:p>
        </w:tc>
      </w:tr>
      <w:tr w:rsidR="006C3F9B" w:rsidRPr="00C67737" w14:paraId="390EF77B" w14:textId="77777777" w:rsidTr="00190E23">
        <w:trPr>
          <w:trHeight w:val="544"/>
        </w:trPr>
        <w:tc>
          <w:tcPr>
            <w:tcW w:w="0" w:type="auto"/>
            <w:tcBorders>
              <w:left w:val="nil"/>
              <w:right w:val="single" w:sz="4" w:space="0" w:color="000000"/>
            </w:tcBorders>
          </w:tcPr>
          <w:p w14:paraId="59DA1C86" w14:textId="0667C9EA" w:rsidR="006C3F9B" w:rsidRPr="00190E23" w:rsidRDefault="006C3F9B" w:rsidP="007E1997">
            <w:pPr>
              <w:pStyle w:val="TableParagraph"/>
              <w:ind w:left="101"/>
              <w:contextualSpacing/>
              <w:rPr>
                <w:bCs/>
                <w:sz w:val="20"/>
                <w:szCs w:val="22"/>
              </w:rPr>
            </w:pPr>
            <w:r w:rsidRPr="00190E23">
              <w:rPr>
                <w:sz w:val="20"/>
                <w:szCs w:val="22"/>
              </w:rPr>
              <w:t>Élimination produits chimiques dangereux des cha</w:t>
            </w:r>
            <w:r w:rsidR="008F72A4" w:rsidRPr="00190E23">
              <w:rPr>
                <w:sz w:val="20"/>
                <w:szCs w:val="22"/>
              </w:rPr>
              <w:t>î</w:t>
            </w:r>
            <w:r w:rsidRPr="00190E23">
              <w:rPr>
                <w:sz w:val="20"/>
                <w:szCs w:val="22"/>
              </w:rPr>
              <w:t>nes d’approvisionnement</w:t>
            </w:r>
          </w:p>
        </w:tc>
        <w:tc>
          <w:tcPr>
            <w:tcW w:w="0" w:type="auto"/>
            <w:tcBorders>
              <w:left w:val="single" w:sz="4" w:space="0" w:color="000000"/>
              <w:right w:val="nil"/>
            </w:tcBorders>
            <w:shd w:val="clear" w:color="auto" w:fill="D9D9D9" w:themeFill="background1" w:themeFillShade="D9"/>
            <w:vAlign w:val="center"/>
          </w:tcPr>
          <w:p w14:paraId="1F852E4D"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534E0FD8"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74C2C36F"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6ED05DBA"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4AA891B2"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3FEA2D82"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15E0B7E2" w14:textId="77777777" w:rsidR="006C3F9B" w:rsidRPr="00C67737" w:rsidRDefault="006C3F9B" w:rsidP="000A1568">
            <w:pPr>
              <w:pStyle w:val="TableParagraph"/>
              <w:spacing w:before="244"/>
              <w:ind w:left="7" w:right="1"/>
              <w:jc w:val="center"/>
            </w:pPr>
            <w:r>
              <w:t>X</w:t>
            </w:r>
          </w:p>
        </w:tc>
        <w:tc>
          <w:tcPr>
            <w:tcW w:w="0" w:type="auto"/>
            <w:tcBorders>
              <w:left w:val="nil"/>
              <w:right w:val="nil"/>
            </w:tcBorders>
            <w:vAlign w:val="center"/>
          </w:tcPr>
          <w:p w14:paraId="68FB22E7" w14:textId="77777777" w:rsidR="006C3F9B" w:rsidRPr="00C67737" w:rsidRDefault="006C3F9B" w:rsidP="000A1568">
            <w:pPr>
              <w:pStyle w:val="TableParagraph"/>
              <w:spacing w:before="244"/>
              <w:ind w:left="19" w:right="14"/>
              <w:jc w:val="center"/>
            </w:pPr>
            <w:r>
              <w:t>X</w:t>
            </w:r>
          </w:p>
        </w:tc>
        <w:tc>
          <w:tcPr>
            <w:tcW w:w="0" w:type="auto"/>
            <w:tcBorders>
              <w:left w:val="nil"/>
              <w:right w:val="nil"/>
            </w:tcBorders>
            <w:shd w:val="clear" w:color="auto" w:fill="D9D9D9" w:themeFill="background1" w:themeFillShade="D9"/>
            <w:vAlign w:val="center"/>
          </w:tcPr>
          <w:p w14:paraId="0576F4E7"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3F9DF47F" w14:textId="77777777" w:rsidR="006C3F9B" w:rsidRPr="00C67737" w:rsidRDefault="006C3F9B" w:rsidP="000A1568">
            <w:pPr>
              <w:pStyle w:val="TableParagraph"/>
              <w:spacing w:before="244"/>
              <w:ind w:left="30" w:right="1"/>
              <w:jc w:val="center"/>
            </w:pPr>
            <w:r>
              <w:t>X</w:t>
            </w:r>
          </w:p>
        </w:tc>
        <w:tc>
          <w:tcPr>
            <w:tcW w:w="0" w:type="auto"/>
            <w:tcBorders>
              <w:left w:val="nil"/>
              <w:right w:val="nil"/>
            </w:tcBorders>
            <w:shd w:val="clear" w:color="auto" w:fill="D9D9D9" w:themeFill="background1" w:themeFillShade="D9"/>
            <w:vAlign w:val="center"/>
          </w:tcPr>
          <w:p w14:paraId="29B976EB" w14:textId="77777777" w:rsidR="006C3F9B" w:rsidRPr="00C67737" w:rsidRDefault="006C3F9B" w:rsidP="000A1568">
            <w:pPr>
              <w:pStyle w:val="TableParagraph"/>
              <w:spacing w:before="244"/>
              <w:ind w:left="19" w:right="10"/>
              <w:jc w:val="center"/>
            </w:pPr>
            <w:r>
              <w:t>X</w:t>
            </w:r>
          </w:p>
        </w:tc>
        <w:tc>
          <w:tcPr>
            <w:tcW w:w="0" w:type="auto"/>
            <w:tcBorders>
              <w:left w:val="nil"/>
              <w:right w:val="nil"/>
            </w:tcBorders>
            <w:vAlign w:val="center"/>
          </w:tcPr>
          <w:p w14:paraId="4B13D37C"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52A52C24"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259B30BB" w14:textId="77777777" w:rsidR="006C3F9B" w:rsidRPr="00C67737" w:rsidRDefault="006C3F9B" w:rsidP="000A1568">
            <w:pPr>
              <w:pStyle w:val="TableParagraph"/>
              <w:spacing w:before="244"/>
              <w:ind w:left="19" w:right="9"/>
              <w:jc w:val="center"/>
            </w:pPr>
            <w:r>
              <w:t>X</w:t>
            </w:r>
          </w:p>
        </w:tc>
        <w:tc>
          <w:tcPr>
            <w:tcW w:w="0" w:type="auto"/>
            <w:tcBorders>
              <w:left w:val="nil"/>
              <w:right w:val="nil"/>
            </w:tcBorders>
            <w:shd w:val="clear" w:color="auto" w:fill="D9D9D9" w:themeFill="background1" w:themeFillShade="D9"/>
            <w:vAlign w:val="center"/>
          </w:tcPr>
          <w:p w14:paraId="4DA92CA1" w14:textId="77777777" w:rsidR="006C3F9B" w:rsidRPr="00C67737" w:rsidRDefault="006C3F9B" w:rsidP="000A1568">
            <w:pPr>
              <w:pStyle w:val="TableParagraph"/>
              <w:spacing w:before="244"/>
              <w:ind w:left="19" w:right="6"/>
              <w:jc w:val="center"/>
            </w:pPr>
            <w:r>
              <w:t>X</w:t>
            </w:r>
          </w:p>
        </w:tc>
        <w:tc>
          <w:tcPr>
            <w:tcW w:w="0" w:type="auto"/>
            <w:tcBorders>
              <w:left w:val="nil"/>
              <w:right w:val="nil"/>
            </w:tcBorders>
            <w:vAlign w:val="center"/>
          </w:tcPr>
          <w:p w14:paraId="6E220D41"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2B635E9E"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1E318B5F"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6DBC8949" w14:textId="77777777" w:rsidR="006C3F9B" w:rsidRPr="00C67737" w:rsidRDefault="006C3F9B" w:rsidP="000A1568">
            <w:pPr>
              <w:pStyle w:val="TableParagraph"/>
              <w:spacing w:before="244"/>
              <w:ind w:left="19" w:right="2"/>
              <w:jc w:val="center"/>
            </w:pPr>
            <w:r>
              <w:t>X</w:t>
            </w:r>
          </w:p>
        </w:tc>
        <w:tc>
          <w:tcPr>
            <w:tcW w:w="0" w:type="auto"/>
            <w:tcBorders>
              <w:left w:val="nil"/>
              <w:right w:val="nil"/>
            </w:tcBorders>
            <w:vAlign w:val="center"/>
          </w:tcPr>
          <w:p w14:paraId="74EBA430" w14:textId="77777777" w:rsidR="006C3F9B" w:rsidRPr="00C67737" w:rsidRDefault="006C3F9B" w:rsidP="000A1568">
            <w:pPr>
              <w:pStyle w:val="TableParagraph"/>
              <w:spacing w:before="244"/>
              <w:ind w:left="19" w:right="4"/>
              <w:jc w:val="center"/>
            </w:pPr>
            <w:r>
              <w:t>X</w:t>
            </w:r>
          </w:p>
        </w:tc>
        <w:tc>
          <w:tcPr>
            <w:tcW w:w="0" w:type="auto"/>
            <w:tcBorders>
              <w:left w:val="nil"/>
              <w:right w:val="nil"/>
            </w:tcBorders>
            <w:shd w:val="clear" w:color="auto" w:fill="D9D9D9" w:themeFill="background1" w:themeFillShade="D9"/>
            <w:vAlign w:val="center"/>
          </w:tcPr>
          <w:p w14:paraId="0F06AA38" w14:textId="77777777" w:rsidR="006C3F9B" w:rsidRPr="00C67737" w:rsidRDefault="006C3F9B" w:rsidP="000A1568">
            <w:pPr>
              <w:pStyle w:val="TableParagraph"/>
              <w:spacing w:before="244"/>
              <w:ind w:left="19" w:right="2"/>
              <w:jc w:val="center"/>
            </w:pPr>
            <w:r>
              <w:t>X</w:t>
            </w:r>
          </w:p>
        </w:tc>
        <w:tc>
          <w:tcPr>
            <w:tcW w:w="0" w:type="auto"/>
            <w:tcBorders>
              <w:left w:val="nil"/>
              <w:right w:val="nil"/>
            </w:tcBorders>
            <w:vAlign w:val="center"/>
          </w:tcPr>
          <w:p w14:paraId="0DBCE5A9" w14:textId="77777777" w:rsidR="006C3F9B" w:rsidRPr="00C67737" w:rsidRDefault="006C3F9B" w:rsidP="000A1568">
            <w:pPr>
              <w:pStyle w:val="TableParagraph"/>
              <w:spacing w:before="244"/>
              <w:ind w:left="8" w:right="3"/>
              <w:jc w:val="center"/>
            </w:pPr>
            <w:r>
              <w:t>X</w:t>
            </w:r>
          </w:p>
        </w:tc>
        <w:tc>
          <w:tcPr>
            <w:tcW w:w="0" w:type="auto"/>
            <w:tcBorders>
              <w:left w:val="nil"/>
              <w:right w:val="nil"/>
            </w:tcBorders>
            <w:shd w:val="clear" w:color="auto" w:fill="D9D9D9" w:themeFill="background1" w:themeFillShade="D9"/>
            <w:vAlign w:val="center"/>
          </w:tcPr>
          <w:p w14:paraId="22C34A88" w14:textId="77777777" w:rsidR="006C3F9B" w:rsidRPr="00C67737" w:rsidRDefault="006C3F9B" w:rsidP="000A1568">
            <w:pPr>
              <w:pStyle w:val="TableParagraph"/>
              <w:spacing w:before="244"/>
              <w:ind w:left="9" w:right="1"/>
              <w:jc w:val="center"/>
            </w:pPr>
            <w:r>
              <w:t>X</w:t>
            </w:r>
          </w:p>
        </w:tc>
      </w:tr>
      <w:tr w:rsidR="006C3F9B" w:rsidRPr="00C67737" w14:paraId="12AC28A6" w14:textId="77777777" w:rsidTr="00190E23">
        <w:trPr>
          <w:trHeight w:val="544"/>
        </w:trPr>
        <w:tc>
          <w:tcPr>
            <w:tcW w:w="0" w:type="auto"/>
            <w:tcBorders>
              <w:left w:val="nil"/>
              <w:right w:val="single" w:sz="4" w:space="0" w:color="000000"/>
            </w:tcBorders>
          </w:tcPr>
          <w:p w14:paraId="3DAA8D72" w14:textId="63F0BA0D" w:rsidR="006C3F9B" w:rsidRPr="00190E23" w:rsidRDefault="006C3F9B" w:rsidP="007E1997">
            <w:pPr>
              <w:pStyle w:val="TableParagraph"/>
              <w:ind w:left="101"/>
              <w:contextualSpacing/>
              <w:rPr>
                <w:bCs/>
                <w:sz w:val="20"/>
                <w:szCs w:val="22"/>
              </w:rPr>
            </w:pPr>
            <w:r w:rsidRPr="00190E23">
              <w:rPr>
                <w:sz w:val="20"/>
                <w:szCs w:val="22"/>
              </w:rPr>
              <w:t>Amazonie, Congo et</w:t>
            </w:r>
            <w:r w:rsidR="007E1997" w:rsidRPr="00190E23">
              <w:rPr>
                <w:sz w:val="20"/>
                <w:szCs w:val="22"/>
              </w:rPr>
              <w:t xml:space="preserve"> </w:t>
            </w:r>
            <w:r w:rsidRPr="00190E23">
              <w:rPr>
                <w:sz w:val="20"/>
                <w:szCs w:val="22"/>
              </w:rPr>
              <w:t xml:space="preserve">biomes </w:t>
            </w:r>
            <w:r w:rsidR="00294DFF">
              <w:rPr>
                <w:sz w:val="20"/>
                <w:szCs w:val="22"/>
              </w:rPr>
              <w:t>forestiers critiques</w:t>
            </w:r>
          </w:p>
        </w:tc>
        <w:tc>
          <w:tcPr>
            <w:tcW w:w="0" w:type="auto"/>
            <w:tcBorders>
              <w:left w:val="single" w:sz="4" w:space="0" w:color="000000"/>
              <w:right w:val="nil"/>
            </w:tcBorders>
            <w:shd w:val="clear" w:color="auto" w:fill="D9D9D9" w:themeFill="background1" w:themeFillShade="D9"/>
            <w:vAlign w:val="center"/>
          </w:tcPr>
          <w:p w14:paraId="53011FA3" w14:textId="77777777" w:rsidR="006C3F9B" w:rsidRPr="00C67737" w:rsidRDefault="006C3F9B" w:rsidP="000A1568">
            <w:pPr>
              <w:pStyle w:val="TableParagraph"/>
              <w:spacing w:before="116"/>
              <w:ind w:right="4"/>
              <w:jc w:val="center"/>
            </w:pPr>
            <w:r>
              <w:t>X</w:t>
            </w:r>
          </w:p>
        </w:tc>
        <w:tc>
          <w:tcPr>
            <w:tcW w:w="0" w:type="auto"/>
            <w:tcBorders>
              <w:left w:val="nil"/>
              <w:right w:val="nil"/>
            </w:tcBorders>
            <w:vAlign w:val="center"/>
          </w:tcPr>
          <w:p w14:paraId="6D278628" w14:textId="77777777" w:rsidR="006C3F9B" w:rsidRPr="00C67737" w:rsidRDefault="006C3F9B" w:rsidP="000A1568">
            <w:pPr>
              <w:pStyle w:val="TableParagraph"/>
              <w:spacing w:before="116"/>
              <w:ind w:left="19" w:right="18"/>
              <w:jc w:val="center"/>
            </w:pPr>
            <w:r>
              <w:t>X</w:t>
            </w:r>
          </w:p>
        </w:tc>
        <w:tc>
          <w:tcPr>
            <w:tcW w:w="0" w:type="auto"/>
            <w:tcBorders>
              <w:left w:val="nil"/>
              <w:right w:val="nil"/>
            </w:tcBorders>
            <w:shd w:val="clear" w:color="auto" w:fill="D9D9D9" w:themeFill="background1" w:themeFillShade="D9"/>
            <w:vAlign w:val="center"/>
          </w:tcPr>
          <w:p w14:paraId="2052937C" w14:textId="77777777" w:rsidR="006C3F9B" w:rsidRPr="00C67737" w:rsidRDefault="006C3F9B" w:rsidP="000A1568">
            <w:pPr>
              <w:pStyle w:val="TableParagraph"/>
              <w:spacing w:before="116"/>
              <w:ind w:left="19" w:right="16"/>
              <w:jc w:val="center"/>
            </w:pPr>
            <w:r>
              <w:t>X</w:t>
            </w:r>
          </w:p>
        </w:tc>
        <w:tc>
          <w:tcPr>
            <w:tcW w:w="0" w:type="auto"/>
            <w:tcBorders>
              <w:left w:val="nil"/>
              <w:right w:val="nil"/>
            </w:tcBorders>
            <w:vAlign w:val="center"/>
          </w:tcPr>
          <w:p w14:paraId="1AF0C5B4"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21DD5313" w14:textId="77777777" w:rsidR="006C3F9B" w:rsidRPr="00C67737" w:rsidRDefault="006C3F9B" w:rsidP="000A1568">
            <w:pPr>
              <w:pStyle w:val="TableParagraph"/>
              <w:spacing w:before="116"/>
              <w:jc w:val="center"/>
            </w:pPr>
            <w:r>
              <w:t>X</w:t>
            </w:r>
          </w:p>
        </w:tc>
        <w:tc>
          <w:tcPr>
            <w:tcW w:w="0" w:type="auto"/>
            <w:tcBorders>
              <w:left w:val="nil"/>
              <w:right w:val="nil"/>
            </w:tcBorders>
            <w:vAlign w:val="center"/>
          </w:tcPr>
          <w:p w14:paraId="42C8BAB9"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29B0153D"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632B8A51" w14:textId="77777777" w:rsidR="006C3F9B" w:rsidRPr="00C67737" w:rsidRDefault="006C3F9B" w:rsidP="000A1568">
            <w:pPr>
              <w:pStyle w:val="TableParagraph"/>
              <w:spacing w:before="116"/>
              <w:ind w:left="19" w:right="14"/>
              <w:jc w:val="center"/>
            </w:pPr>
            <w:r>
              <w:t>X</w:t>
            </w:r>
          </w:p>
        </w:tc>
        <w:tc>
          <w:tcPr>
            <w:tcW w:w="0" w:type="auto"/>
            <w:tcBorders>
              <w:left w:val="nil"/>
              <w:right w:val="nil"/>
            </w:tcBorders>
            <w:shd w:val="clear" w:color="auto" w:fill="D9D9D9" w:themeFill="background1" w:themeFillShade="D9"/>
            <w:vAlign w:val="center"/>
          </w:tcPr>
          <w:p w14:paraId="1866385E" w14:textId="77777777" w:rsidR="006C3F9B" w:rsidRPr="00C67737" w:rsidRDefault="006C3F9B" w:rsidP="000A1568">
            <w:pPr>
              <w:pStyle w:val="TableParagraph"/>
              <w:spacing w:before="116"/>
              <w:ind w:left="30" w:right="2"/>
              <w:jc w:val="center"/>
            </w:pPr>
            <w:r>
              <w:t>X</w:t>
            </w:r>
          </w:p>
        </w:tc>
        <w:tc>
          <w:tcPr>
            <w:tcW w:w="0" w:type="auto"/>
            <w:tcBorders>
              <w:left w:val="nil"/>
              <w:right w:val="nil"/>
            </w:tcBorders>
            <w:vAlign w:val="center"/>
          </w:tcPr>
          <w:p w14:paraId="248D3A0E" w14:textId="77777777" w:rsidR="006C3F9B" w:rsidRPr="00C67737" w:rsidRDefault="006C3F9B" w:rsidP="000A1568">
            <w:pPr>
              <w:pStyle w:val="TableParagraph"/>
              <w:spacing w:before="116"/>
              <w:ind w:left="30" w:right="1"/>
              <w:jc w:val="center"/>
            </w:pPr>
            <w:r>
              <w:t>X</w:t>
            </w:r>
          </w:p>
        </w:tc>
        <w:tc>
          <w:tcPr>
            <w:tcW w:w="0" w:type="auto"/>
            <w:tcBorders>
              <w:left w:val="nil"/>
              <w:right w:val="nil"/>
            </w:tcBorders>
            <w:shd w:val="clear" w:color="auto" w:fill="D9D9D9" w:themeFill="background1" w:themeFillShade="D9"/>
            <w:vAlign w:val="center"/>
          </w:tcPr>
          <w:p w14:paraId="58F8DEA3" w14:textId="77777777" w:rsidR="006C3F9B" w:rsidRPr="00C67737" w:rsidRDefault="006C3F9B" w:rsidP="000A1568">
            <w:pPr>
              <w:pStyle w:val="TableParagraph"/>
              <w:spacing w:before="116"/>
              <w:ind w:left="19" w:right="10"/>
              <w:jc w:val="center"/>
            </w:pPr>
            <w:r>
              <w:t>X</w:t>
            </w:r>
          </w:p>
        </w:tc>
        <w:tc>
          <w:tcPr>
            <w:tcW w:w="0" w:type="auto"/>
            <w:tcBorders>
              <w:left w:val="nil"/>
              <w:right w:val="nil"/>
            </w:tcBorders>
            <w:vAlign w:val="center"/>
          </w:tcPr>
          <w:p w14:paraId="5E81EBDA"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394205D4" w14:textId="77777777" w:rsidR="006C3F9B" w:rsidRPr="00C67737" w:rsidRDefault="006C3F9B" w:rsidP="000A1568">
            <w:pPr>
              <w:pStyle w:val="TableParagraph"/>
              <w:spacing w:before="116"/>
              <w:ind w:left="19" w:right="10"/>
              <w:jc w:val="center"/>
            </w:pPr>
          </w:p>
        </w:tc>
        <w:tc>
          <w:tcPr>
            <w:tcW w:w="0" w:type="auto"/>
            <w:tcBorders>
              <w:left w:val="nil"/>
              <w:right w:val="nil"/>
            </w:tcBorders>
            <w:vAlign w:val="center"/>
          </w:tcPr>
          <w:p w14:paraId="34E6649E" w14:textId="77777777" w:rsidR="006C3F9B" w:rsidRPr="00C67737" w:rsidRDefault="006C3F9B" w:rsidP="000A1568">
            <w:pPr>
              <w:pStyle w:val="TableParagraph"/>
              <w:spacing w:before="116"/>
              <w:ind w:left="19" w:right="8"/>
              <w:jc w:val="center"/>
            </w:pPr>
            <w:r>
              <w:t>X</w:t>
            </w:r>
          </w:p>
        </w:tc>
        <w:tc>
          <w:tcPr>
            <w:tcW w:w="0" w:type="auto"/>
            <w:tcBorders>
              <w:left w:val="nil"/>
              <w:right w:val="nil"/>
            </w:tcBorders>
            <w:shd w:val="clear" w:color="auto" w:fill="D9D9D9" w:themeFill="background1" w:themeFillShade="D9"/>
            <w:vAlign w:val="center"/>
          </w:tcPr>
          <w:p w14:paraId="05AEC9A2" w14:textId="77777777" w:rsidR="006C3F9B" w:rsidRPr="00C67737" w:rsidRDefault="006C3F9B" w:rsidP="000A1568">
            <w:pPr>
              <w:pStyle w:val="TableParagraph"/>
              <w:spacing w:before="116"/>
              <w:ind w:left="19" w:right="6"/>
              <w:jc w:val="center"/>
            </w:pPr>
            <w:r>
              <w:t>X</w:t>
            </w:r>
          </w:p>
        </w:tc>
        <w:tc>
          <w:tcPr>
            <w:tcW w:w="0" w:type="auto"/>
            <w:tcBorders>
              <w:left w:val="nil"/>
              <w:right w:val="nil"/>
            </w:tcBorders>
            <w:vAlign w:val="center"/>
          </w:tcPr>
          <w:p w14:paraId="1D7A033A"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6CDA8476"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16188C25" w14:textId="77777777" w:rsidR="006C3F9B" w:rsidRPr="00C67737" w:rsidRDefault="006C3F9B" w:rsidP="000A1568">
            <w:pPr>
              <w:pStyle w:val="TableParagraph"/>
              <w:spacing w:before="116"/>
              <w:ind w:left="19" w:right="5"/>
              <w:jc w:val="center"/>
            </w:pPr>
            <w:r>
              <w:t>X</w:t>
            </w:r>
          </w:p>
        </w:tc>
        <w:tc>
          <w:tcPr>
            <w:tcW w:w="0" w:type="auto"/>
            <w:tcBorders>
              <w:left w:val="nil"/>
              <w:right w:val="nil"/>
            </w:tcBorders>
            <w:shd w:val="clear" w:color="auto" w:fill="D9D9D9" w:themeFill="background1" w:themeFillShade="D9"/>
            <w:vAlign w:val="center"/>
          </w:tcPr>
          <w:p w14:paraId="46C522DC" w14:textId="77777777" w:rsidR="006C3F9B" w:rsidRPr="00C67737" w:rsidRDefault="006C3F9B" w:rsidP="000A1568">
            <w:pPr>
              <w:pStyle w:val="TableParagraph"/>
              <w:spacing w:before="116"/>
              <w:ind w:left="19" w:right="2"/>
              <w:jc w:val="center"/>
            </w:pPr>
            <w:r>
              <w:t>X</w:t>
            </w:r>
          </w:p>
        </w:tc>
        <w:tc>
          <w:tcPr>
            <w:tcW w:w="0" w:type="auto"/>
            <w:tcBorders>
              <w:left w:val="nil"/>
              <w:right w:val="nil"/>
            </w:tcBorders>
            <w:vAlign w:val="center"/>
          </w:tcPr>
          <w:p w14:paraId="13D72D56" w14:textId="77777777" w:rsidR="006C3F9B" w:rsidRPr="00C67737" w:rsidRDefault="006C3F9B" w:rsidP="000A1568">
            <w:pPr>
              <w:pStyle w:val="TableParagraph"/>
              <w:spacing w:before="116"/>
              <w:ind w:left="19" w:right="4"/>
              <w:jc w:val="center"/>
            </w:pPr>
            <w:r>
              <w:t>X</w:t>
            </w:r>
          </w:p>
        </w:tc>
        <w:tc>
          <w:tcPr>
            <w:tcW w:w="0" w:type="auto"/>
            <w:tcBorders>
              <w:left w:val="nil"/>
              <w:right w:val="nil"/>
            </w:tcBorders>
            <w:shd w:val="clear" w:color="auto" w:fill="D9D9D9" w:themeFill="background1" w:themeFillShade="D9"/>
            <w:vAlign w:val="center"/>
          </w:tcPr>
          <w:p w14:paraId="40F306CC" w14:textId="77777777" w:rsidR="006C3F9B" w:rsidRPr="00C67737" w:rsidRDefault="006C3F9B" w:rsidP="000A1568">
            <w:pPr>
              <w:pStyle w:val="TableParagraph"/>
              <w:spacing w:before="116"/>
              <w:ind w:left="19" w:right="2"/>
              <w:jc w:val="center"/>
            </w:pPr>
            <w:r>
              <w:t>X</w:t>
            </w:r>
          </w:p>
        </w:tc>
        <w:tc>
          <w:tcPr>
            <w:tcW w:w="0" w:type="auto"/>
            <w:tcBorders>
              <w:left w:val="nil"/>
              <w:right w:val="nil"/>
            </w:tcBorders>
            <w:vAlign w:val="center"/>
          </w:tcPr>
          <w:p w14:paraId="46588FAF" w14:textId="77777777" w:rsidR="006C3F9B" w:rsidRPr="00C67737" w:rsidRDefault="006C3F9B" w:rsidP="000A1568">
            <w:pPr>
              <w:pStyle w:val="TableParagraph"/>
              <w:spacing w:before="116"/>
              <w:ind w:left="8" w:right="3"/>
              <w:jc w:val="center"/>
            </w:pPr>
            <w:r>
              <w:t>X</w:t>
            </w:r>
          </w:p>
        </w:tc>
        <w:tc>
          <w:tcPr>
            <w:tcW w:w="0" w:type="auto"/>
            <w:tcBorders>
              <w:left w:val="nil"/>
              <w:right w:val="nil"/>
            </w:tcBorders>
            <w:shd w:val="clear" w:color="auto" w:fill="D9D9D9" w:themeFill="background1" w:themeFillShade="D9"/>
            <w:vAlign w:val="center"/>
          </w:tcPr>
          <w:p w14:paraId="4E8D02AB" w14:textId="77777777" w:rsidR="006C3F9B" w:rsidRPr="00C67737" w:rsidRDefault="006C3F9B" w:rsidP="000A1568">
            <w:pPr>
              <w:pStyle w:val="TableParagraph"/>
              <w:spacing w:before="116"/>
              <w:ind w:left="9" w:right="1"/>
              <w:jc w:val="center"/>
            </w:pPr>
            <w:r>
              <w:t>X</w:t>
            </w:r>
          </w:p>
        </w:tc>
      </w:tr>
      <w:tr w:rsidR="006C3F9B" w:rsidRPr="00C67737" w14:paraId="151BBCA1" w14:textId="77777777" w:rsidTr="00190E23">
        <w:trPr>
          <w:trHeight w:val="339"/>
        </w:trPr>
        <w:tc>
          <w:tcPr>
            <w:tcW w:w="0" w:type="auto"/>
            <w:tcBorders>
              <w:left w:val="nil"/>
              <w:right w:val="single" w:sz="4" w:space="0" w:color="000000"/>
            </w:tcBorders>
          </w:tcPr>
          <w:p w14:paraId="28678189" w14:textId="11BE830C" w:rsidR="006C3F9B" w:rsidRPr="00190E23" w:rsidRDefault="006C3F9B" w:rsidP="007E1997">
            <w:pPr>
              <w:pStyle w:val="TableParagraph"/>
              <w:ind w:left="101"/>
              <w:contextualSpacing/>
              <w:rPr>
                <w:bCs/>
                <w:sz w:val="20"/>
                <w:szCs w:val="22"/>
              </w:rPr>
            </w:pPr>
            <w:r w:rsidRPr="00190E23">
              <w:rPr>
                <w:sz w:val="20"/>
                <w:szCs w:val="22"/>
              </w:rPr>
              <w:t>Conservation des espèces sauvages pour le</w:t>
            </w:r>
            <w:r w:rsidR="007E1997" w:rsidRPr="00190E23">
              <w:rPr>
                <w:sz w:val="20"/>
                <w:szCs w:val="22"/>
              </w:rPr>
              <w:t xml:space="preserve"> </w:t>
            </w:r>
            <w:r w:rsidRPr="00190E23">
              <w:rPr>
                <w:sz w:val="20"/>
                <w:szCs w:val="22"/>
              </w:rPr>
              <w:t>développement</w:t>
            </w:r>
          </w:p>
        </w:tc>
        <w:tc>
          <w:tcPr>
            <w:tcW w:w="0" w:type="auto"/>
            <w:tcBorders>
              <w:left w:val="single" w:sz="4" w:space="0" w:color="000000"/>
              <w:right w:val="nil"/>
            </w:tcBorders>
            <w:shd w:val="clear" w:color="auto" w:fill="D9D9D9" w:themeFill="background1" w:themeFillShade="D9"/>
            <w:vAlign w:val="center"/>
          </w:tcPr>
          <w:p w14:paraId="25E120F0"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48B96B8E" w14:textId="77777777" w:rsidR="006C3F9B" w:rsidRPr="00C67737" w:rsidRDefault="006C3F9B" w:rsidP="000A1568">
            <w:pPr>
              <w:pStyle w:val="TableParagraph"/>
              <w:spacing w:before="116"/>
              <w:ind w:left="19" w:right="18"/>
              <w:jc w:val="center"/>
            </w:pPr>
            <w:r>
              <w:t>X</w:t>
            </w:r>
          </w:p>
        </w:tc>
        <w:tc>
          <w:tcPr>
            <w:tcW w:w="0" w:type="auto"/>
            <w:tcBorders>
              <w:left w:val="nil"/>
              <w:right w:val="nil"/>
            </w:tcBorders>
            <w:shd w:val="clear" w:color="auto" w:fill="D9D9D9" w:themeFill="background1" w:themeFillShade="D9"/>
            <w:vAlign w:val="center"/>
          </w:tcPr>
          <w:p w14:paraId="0C6014A9" w14:textId="77777777" w:rsidR="006C3F9B" w:rsidRPr="00C67737" w:rsidRDefault="006C3F9B" w:rsidP="000A1568">
            <w:pPr>
              <w:pStyle w:val="TableParagraph"/>
              <w:spacing w:before="116"/>
              <w:ind w:left="19" w:right="16"/>
              <w:jc w:val="center"/>
            </w:pPr>
            <w:r>
              <w:t>X</w:t>
            </w:r>
          </w:p>
        </w:tc>
        <w:tc>
          <w:tcPr>
            <w:tcW w:w="0" w:type="auto"/>
            <w:tcBorders>
              <w:left w:val="nil"/>
              <w:right w:val="nil"/>
            </w:tcBorders>
            <w:vAlign w:val="center"/>
          </w:tcPr>
          <w:p w14:paraId="5D05445A" w14:textId="77777777" w:rsidR="006C3F9B" w:rsidRPr="00C67737" w:rsidRDefault="006C3F9B" w:rsidP="000A1568">
            <w:pPr>
              <w:pStyle w:val="TableParagraph"/>
              <w:spacing w:before="116"/>
              <w:ind w:left="19" w:right="18"/>
              <w:jc w:val="center"/>
            </w:pPr>
            <w:r>
              <w:t>X</w:t>
            </w:r>
          </w:p>
        </w:tc>
        <w:tc>
          <w:tcPr>
            <w:tcW w:w="0" w:type="auto"/>
            <w:tcBorders>
              <w:left w:val="nil"/>
              <w:right w:val="nil"/>
            </w:tcBorders>
            <w:shd w:val="clear" w:color="auto" w:fill="D9D9D9" w:themeFill="background1" w:themeFillShade="D9"/>
            <w:vAlign w:val="center"/>
          </w:tcPr>
          <w:p w14:paraId="2E1C09F0" w14:textId="77777777" w:rsidR="006C3F9B" w:rsidRPr="00C67737" w:rsidRDefault="006C3F9B" w:rsidP="000A1568">
            <w:pPr>
              <w:pStyle w:val="TableParagraph"/>
              <w:spacing w:before="116"/>
              <w:jc w:val="center"/>
            </w:pPr>
            <w:r>
              <w:t>X</w:t>
            </w:r>
          </w:p>
        </w:tc>
        <w:tc>
          <w:tcPr>
            <w:tcW w:w="0" w:type="auto"/>
            <w:tcBorders>
              <w:left w:val="nil"/>
              <w:right w:val="nil"/>
            </w:tcBorders>
            <w:vAlign w:val="center"/>
          </w:tcPr>
          <w:p w14:paraId="04B5FC7B"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54A3A850"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257CF6A8" w14:textId="77777777" w:rsidR="006C3F9B" w:rsidRPr="00C67737" w:rsidRDefault="006C3F9B" w:rsidP="000A1568">
            <w:pPr>
              <w:pStyle w:val="TableParagraph"/>
              <w:spacing w:before="116"/>
              <w:ind w:left="19" w:right="14"/>
              <w:jc w:val="center"/>
            </w:pPr>
            <w:r>
              <w:t>X</w:t>
            </w:r>
          </w:p>
        </w:tc>
        <w:tc>
          <w:tcPr>
            <w:tcW w:w="0" w:type="auto"/>
            <w:tcBorders>
              <w:left w:val="nil"/>
              <w:right w:val="nil"/>
            </w:tcBorders>
            <w:shd w:val="clear" w:color="auto" w:fill="D9D9D9" w:themeFill="background1" w:themeFillShade="D9"/>
            <w:vAlign w:val="center"/>
          </w:tcPr>
          <w:p w14:paraId="460F4C98" w14:textId="77777777" w:rsidR="006C3F9B" w:rsidRPr="00C67737" w:rsidRDefault="006C3F9B" w:rsidP="000A1568">
            <w:pPr>
              <w:pStyle w:val="TableParagraph"/>
              <w:spacing w:before="116"/>
              <w:ind w:left="30" w:right="2"/>
              <w:jc w:val="center"/>
            </w:pPr>
            <w:r>
              <w:t>X</w:t>
            </w:r>
          </w:p>
        </w:tc>
        <w:tc>
          <w:tcPr>
            <w:tcW w:w="0" w:type="auto"/>
            <w:tcBorders>
              <w:left w:val="nil"/>
              <w:right w:val="nil"/>
            </w:tcBorders>
            <w:vAlign w:val="center"/>
          </w:tcPr>
          <w:p w14:paraId="53FA3A96" w14:textId="77777777" w:rsidR="006C3F9B" w:rsidRPr="00C67737" w:rsidRDefault="006C3F9B" w:rsidP="000A1568">
            <w:pPr>
              <w:pStyle w:val="TableParagraph"/>
              <w:spacing w:before="116"/>
              <w:ind w:left="30" w:right="1"/>
              <w:jc w:val="center"/>
            </w:pPr>
            <w:r>
              <w:t>X</w:t>
            </w:r>
          </w:p>
        </w:tc>
        <w:tc>
          <w:tcPr>
            <w:tcW w:w="0" w:type="auto"/>
            <w:tcBorders>
              <w:left w:val="nil"/>
              <w:right w:val="nil"/>
            </w:tcBorders>
            <w:shd w:val="clear" w:color="auto" w:fill="D9D9D9" w:themeFill="background1" w:themeFillShade="D9"/>
            <w:vAlign w:val="center"/>
          </w:tcPr>
          <w:p w14:paraId="41A65E64" w14:textId="77777777" w:rsidR="006C3F9B" w:rsidRPr="00C67737" w:rsidRDefault="006C3F9B" w:rsidP="000A1568">
            <w:pPr>
              <w:pStyle w:val="TableParagraph"/>
              <w:spacing w:before="116"/>
              <w:ind w:left="19" w:right="10"/>
              <w:jc w:val="center"/>
            </w:pPr>
            <w:r>
              <w:t>X</w:t>
            </w:r>
          </w:p>
        </w:tc>
        <w:tc>
          <w:tcPr>
            <w:tcW w:w="0" w:type="auto"/>
            <w:tcBorders>
              <w:left w:val="nil"/>
              <w:right w:val="nil"/>
            </w:tcBorders>
            <w:vAlign w:val="center"/>
          </w:tcPr>
          <w:p w14:paraId="267FEA43"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144ACE34"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14D56DC5"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5AE0DFFA"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7FFD699C"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37C9862D"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492D339B"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6621912E"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30CB83AE" w14:textId="77777777" w:rsidR="006C3F9B" w:rsidRPr="00C67737" w:rsidRDefault="006C3F9B" w:rsidP="000A1568">
            <w:pPr>
              <w:pStyle w:val="TableParagraph"/>
              <w:spacing w:before="116"/>
              <w:ind w:left="19" w:right="4"/>
              <w:jc w:val="center"/>
            </w:pPr>
            <w:r>
              <w:t>X</w:t>
            </w:r>
          </w:p>
        </w:tc>
        <w:tc>
          <w:tcPr>
            <w:tcW w:w="0" w:type="auto"/>
            <w:tcBorders>
              <w:left w:val="nil"/>
              <w:right w:val="nil"/>
            </w:tcBorders>
            <w:shd w:val="clear" w:color="auto" w:fill="D9D9D9" w:themeFill="background1" w:themeFillShade="D9"/>
            <w:vAlign w:val="center"/>
          </w:tcPr>
          <w:p w14:paraId="0A876841" w14:textId="77777777" w:rsidR="006C3F9B" w:rsidRPr="00C67737" w:rsidRDefault="006C3F9B" w:rsidP="000A1568">
            <w:pPr>
              <w:pStyle w:val="TableParagraph"/>
              <w:spacing w:before="116"/>
              <w:ind w:left="19" w:right="2"/>
              <w:jc w:val="center"/>
            </w:pPr>
            <w:r>
              <w:t>X</w:t>
            </w:r>
          </w:p>
        </w:tc>
        <w:tc>
          <w:tcPr>
            <w:tcW w:w="0" w:type="auto"/>
            <w:tcBorders>
              <w:left w:val="nil"/>
              <w:right w:val="nil"/>
            </w:tcBorders>
            <w:vAlign w:val="center"/>
          </w:tcPr>
          <w:p w14:paraId="07B74861" w14:textId="77777777" w:rsidR="006C3F9B" w:rsidRPr="00C67737" w:rsidRDefault="006C3F9B" w:rsidP="000A1568">
            <w:pPr>
              <w:pStyle w:val="TableParagraph"/>
              <w:spacing w:before="116"/>
              <w:ind w:left="8" w:right="3"/>
              <w:jc w:val="center"/>
            </w:pPr>
            <w:r>
              <w:t>X</w:t>
            </w:r>
          </w:p>
        </w:tc>
        <w:tc>
          <w:tcPr>
            <w:tcW w:w="0" w:type="auto"/>
            <w:tcBorders>
              <w:left w:val="nil"/>
              <w:right w:val="nil"/>
            </w:tcBorders>
            <w:shd w:val="clear" w:color="auto" w:fill="D9D9D9" w:themeFill="background1" w:themeFillShade="D9"/>
            <w:vAlign w:val="center"/>
          </w:tcPr>
          <w:p w14:paraId="1D605EA6" w14:textId="77777777" w:rsidR="006C3F9B" w:rsidRPr="00C67737" w:rsidRDefault="006C3F9B" w:rsidP="000A1568">
            <w:pPr>
              <w:pStyle w:val="TableParagraph"/>
              <w:spacing w:before="116"/>
              <w:ind w:left="9" w:right="1"/>
              <w:jc w:val="center"/>
            </w:pPr>
            <w:r>
              <w:t>X</w:t>
            </w:r>
          </w:p>
        </w:tc>
      </w:tr>
      <w:tr w:rsidR="006C3F9B" w:rsidRPr="00C67737" w14:paraId="67357C75" w14:textId="77777777" w:rsidTr="00190E23">
        <w:trPr>
          <w:trHeight w:val="473"/>
        </w:trPr>
        <w:tc>
          <w:tcPr>
            <w:tcW w:w="0" w:type="auto"/>
            <w:tcBorders>
              <w:left w:val="nil"/>
              <w:right w:val="single" w:sz="4" w:space="0" w:color="000000"/>
            </w:tcBorders>
          </w:tcPr>
          <w:p w14:paraId="64203A69" w14:textId="77777777" w:rsidR="006C3F9B" w:rsidRPr="00190E23" w:rsidRDefault="006C3F9B" w:rsidP="0004312D">
            <w:pPr>
              <w:pStyle w:val="TableParagraph"/>
              <w:spacing w:before="112"/>
              <w:ind w:left="101"/>
              <w:contextualSpacing/>
              <w:rPr>
                <w:bCs/>
                <w:sz w:val="20"/>
                <w:szCs w:val="22"/>
              </w:rPr>
            </w:pPr>
            <w:r w:rsidRPr="00190E23">
              <w:rPr>
                <w:sz w:val="20"/>
                <w:szCs w:val="22"/>
              </w:rPr>
              <w:t>Systèmes alimentaires</w:t>
            </w:r>
          </w:p>
        </w:tc>
        <w:tc>
          <w:tcPr>
            <w:tcW w:w="0" w:type="auto"/>
            <w:tcBorders>
              <w:left w:val="single" w:sz="4" w:space="0" w:color="000000"/>
              <w:right w:val="nil"/>
            </w:tcBorders>
            <w:shd w:val="clear" w:color="auto" w:fill="D9D9D9" w:themeFill="background1" w:themeFillShade="D9"/>
            <w:vAlign w:val="center"/>
          </w:tcPr>
          <w:p w14:paraId="436DCAC0" w14:textId="77777777" w:rsidR="006C3F9B" w:rsidRPr="00C67737" w:rsidRDefault="006C3F9B" w:rsidP="000A1568">
            <w:pPr>
              <w:pStyle w:val="TableParagraph"/>
              <w:spacing w:before="112"/>
              <w:ind w:left="1" w:right="4"/>
              <w:jc w:val="center"/>
            </w:pPr>
            <w:r>
              <w:t>X</w:t>
            </w:r>
          </w:p>
        </w:tc>
        <w:tc>
          <w:tcPr>
            <w:tcW w:w="0" w:type="auto"/>
            <w:tcBorders>
              <w:left w:val="nil"/>
              <w:right w:val="nil"/>
            </w:tcBorders>
            <w:vAlign w:val="center"/>
          </w:tcPr>
          <w:p w14:paraId="66080436" w14:textId="77777777" w:rsidR="006C3F9B" w:rsidRPr="00C67737" w:rsidRDefault="006C3F9B" w:rsidP="000A1568">
            <w:pPr>
              <w:pStyle w:val="TableParagraph"/>
              <w:spacing w:before="112"/>
              <w:ind w:left="19" w:right="18"/>
              <w:jc w:val="center"/>
            </w:pPr>
            <w:r>
              <w:t>X</w:t>
            </w:r>
          </w:p>
        </w:tc>
        <w:tc>
          <w:tcPr>
            <w:tcW w:w="0" w:type="auto"/>
            <w:tcBorders>
              <w:left w:val="nil"/>
              <w:right w:val="nil"/>
            </w:tcBorders>
            <w:shd w:val="clear" w:color="auto" w:fill="D9D9D9" w:themeFill="background1" w:themeFillShade="D9"/>
            <w:vAlign w:val="center"/>
          </w:tcPr>
          <w:p w14:paraId="5C966B00"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1193C19C"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6C7732A5"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33DECDE4"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058D77AD" w14:textId="77777777" w:rsidR="006C3F9B" w:rsidRPr="00C67737" w:rsidRDefault="006C3F9B" w:rsidP="000A1568">
            <w:pPr>
              <w:pStyle w:val="TableParagraph"/>
              <w:spacing w:before="112"/>
              <w:ind w:left="7" w:right="1"/>
              <w:jc w:val="center"/>
            </w:pPr>
            <w:r>
              <w:t>X</w:t>
            </w:r>
          </w:p>
        </w:tc>
        <w:tc>
          <w:tcPr>
            <w:tcW w:w="0" w:type="auto"/>
            <w:tcBorders>
              <w:left w:val="nil"/>
              <w:right w:val="nil"/>
            </w:tcBorders>
            <w:vAlign w:val="center"/>
          </w:tcPr>
          <w:p w14:paraId="1F34E524" w14:textId="77777777" w:rsidR="006C3F9B" w:rsidRPr="00C67737" w:rsidRDefault="006C3F9B" w:rsidP="000A1568">
            <w:pPr>
              <w:pStyle w:val="TableParagraph"/>
              <w:spacing w:before="112"/>
              <w:ind w:left="19" w:right="14"/>
              <w:jc w:val="center"/>
            </w:pPr>
            <w:r>
              <w:t>X</w:t>
            </w:r>
          </w:p>
        </w:tc>
        <w:tc>
          <w:tcPr>
            <w:tcW w:w="0" w:type="auto"/>
            <w:tcBorders>
              <w:left w:val="nil"/>
              <w:right w:val="nil"/>
            </w:tcBorders>
            <w:shd w:val="clear" w:color="auto" w:fill="D9D9D9" w:themeFill="background1" w:themeFillShade="D9"/>
            <w:vAlign w:val="center"/>
          </w:tcPr>
          <w:p w14:paraId="4B475FE2" w14:textId="77777777" w:rsidR="006C3F9B" w:rsidRPr="00C67737" w:rsidRDefault="006C3F9B" w:rsidP="000A1568">
            <w:pPr>
              <w:pStyle w:val="TableParagraph"/>
              <w:spacing w:before="112"/>
              <w:ind w:left="30" w:right="2"/>
              <w:jc w:val="center"/>
            </w:pPr>
            <w:r>
              <w:t>X</w:t>
            </w:r>
          </w:p>
        </w:tc>
        <w:tc>
          <w:tcPr>
            <w:tcW w:w="0" w:type="auto"/>
            <w:tcBorders>
              <w:left w:val="nil"/>
              <w:right w:val="nil"/>
            </w:tcBorders>
            <w:vAlign w:val="center"/>
          </w:tcPr>
          <w:p w14:paraId="0C3637B9" w14:textId="77777777" w:rsidR="006C3F9B" w:rsidRPr="00C67737" w:rsidRDefault="006C3F9B" w:rsidP="000A1568">
            <w:pPr>
              <w:pStyle w:val="TableParagraph"/>
              <w:spacing w:before="112"/>
              <w:ind w:left="30" w:right="1"/>
              <w:jc w:val="center"/>
            </w:pPr>
            <w:r>
              <w:t>X</w:t>
            </w:r>
          </w:p>
        </w:tc>
        <w:tc>
          <w:tcPr>
            <w:tcW w:w="0" w:type="auto"/>
            <w:tcBorders>
              <w:left w:val="nil"/>
              <w:right w:val="nil"/>
            </w:tcBorders>
            <w:shd w:val="clear" w:color="auto" w:fill="D9D9D9" w:themeFill="background1" w:themeFillShade="D9"/>
            <w:vAlign w:val="center"/>
          </w:tcPr>
          <w:p w14:paraId="170466C9" w14:textId="77777777" w:rsidR="006C3F9B" w:rsidRPr="00C67737" w:rsidRDefault="006C3F9B" w:rsidP="000A1568">
            <w:pPr>
              <w:pStyle w:val="TableParagraph"/>
              <w:spacing w:before="112"/>
              <w:ind w:left="19" w:right="10"/>
              <w:jc w:val="center"/>
            </w:pPr>
            <w:r>
              <w:t>X</w:t>
            </w:r>
          </w:p>
        </w:tc>
        <w:tc>
          <w:tcPr>
            <w:tcW w:w="0" w:type="auto"/>
            <w:tcBorders>
              <w:left w:val="nil"/>
              <w:right w:val="nil"/>
            </w:tcBorders>
            <w:vAlign w:val="center"/>
          </w:tcPr>
          <w:p w14:paraId="1EE7F7CD"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441A3197"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3BED3796"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167A4525" w14:textId="77777777" w:rsidR="006C3F9B" w:rsidRPr="00C67737" w:rsidRDefault="006C3F9B" w:rsidP="000A1568">
            <w:pPr>
              <w:pStyle w:val="TableParagraph"/>
              <w:spacing w:before="112"/>
              <w:ind w:left="19" w:right="6"/>
              <w:jc w:val="center"/>
            </w:pPr>
            <w:r>
              <w:t>X</w:t>
            </w:r>
          </w:p>
        </w:tc>
        <w:tc>
          <w:tcPr>
            <w:tcW w:w="0" w:type="auto"/>
            <w:tcBorders>
              <w:left w:val="nil"/>
              <w:right w:val="nil"/>
            </w:tcBorders>
            <w:vAlign w:val="center"/>
          </w:tcPr>
          <w:p w14:paraId="6BBB5323"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0C71567C"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730F94C2" w14:textId="77777777" w:rsidR="006C3F9B" w:rsidRPr="00C67737" w:rsidRDefault="006C3F9B" w:rsidP="000A1568">
            <w:pPr>
              <w:pStyle w:val="TableParagraph"/>
              <w:spacing w:before="112"/>
              <w:ind w:left="19" w:right="5"/>
              <w:jc w:val="center"/>
            </w:pPr>
            <w:r>
              <w:t>X</w:t>
            </w:r>
          </w:p>
        </w:tc>
        <w:tc>
          <w:tcPr>
            <w:tcW w:w="0" w:type="auto"/>
            <w:tcBorders>
              <w:left w:val="nil"/>
              <w:right w:val="nil"/>
            </w:tcBorders>
            <w:shd w:val="clear" w:color="auto" w:fill="D9D9D9" w:themeFill="background1" w:themeFillShade="D9"/>
            <w:vAlign w:val="center"/>
          </w:tcPr>
          <w:p w14:paraId="37CABBC8" w14:textId="77777777" w:rsidR="006C3F9B" w:rsidRPr="00C67737" w:rsidRDefault="006C3F9B" w:rsidP="000A1568">
            <w:pPr>
              <w:pStyle w:val="TableParagraph"/>
              <w:spacing w:before="112"/>
              <w:ind w:left="19" w:right="2"/>
              <w:jc w:val="center"/>
            </w:pPr>
            <w:r>
              <w:t>X</w:t>
            </w:r>
          </w:p>
        </w:tc>
        <w:tc>
          <w:tcPr>
            <w:tcW w:w="0" w:type="auto"/>
            <w:tcBorders>
              <w:left w:val="nil"/>
              <w:right w:val="nil"/>
            </w:tcBorders>
            <w:vAlign w:val="center"/>
          </w:tcPr>
          <w:p w14:paraId="7792B14F" w14:textId="77777777" w:rsidR="006C3F9B" w:rsidRPr="00C67737" w:rsidRDefault="006C3F9B" w:rsidP="000A1568">
            <w:pPr>
              <w:pStyle w:val="TableParagraph"/>
              <w:spacing w:before="112"/>
              <w:ind w:left="19" w:right="4"/>
              <w:jc w:val="center"/>
            </w:pPr>
            <w:r>
              <w:t>X</w:t>
            </w:r>
          </w:p>
        </w:tc>
        <w:tc>
          <w:tcPr>
            <w:tcW w:w="0" w:type="auto"/>
            <w:tcBorders>
              <w:left w:val="nil"/>
              <w:right w:val="nil"/>
            </w:tcBorders>
            <w:shd w:val="clear" w:color="auto" w:fill="D9D9D9" w:themeFill="background1" w:themeFillShade="D9"/>
            <w:vAlign w:val="center"/>
          </w:tcPr>
          <w:p w14:paraId="51A912BE" w14:textId="77777777" w:rsidR="006C3F9B" w:rsidRPr="00C67737" w:rsidRDefault="006C3F9B" w:rsidP="000A1568">
            <w:pPr>
              <w:pStyle w:val="TableParagraph"/>
              <w:spacing w:before="112"/>
              <w:ind w:left="19" w:right="2"/>
              <w:jc w:val="center"/>
            </w:pPr>
            <w:r>
              <w:t>X</w:t>
            </w:r>
          </w:p>
        </w:tc>
        <w:tc>
          <w:tcPr>
            <w:tcW w:w="0" w:type="auto"/>
            <w:tcBorders>
              <w:left w:val="nil"/>
              <w:right w:val="nil"/>
            </w:tcBorders>
            <w:vAlign w:val="center"/>
          </w:tcPr>
          <w:p w14:paraId="5E40E45B" w14:textId="77777777" w:rsidR="006C3F9B" w:rsidRPr="00C67737" w:rsidRDefault="006C3F9B" w:rsidP="000A1568">
            <w:pPr>
              <w:pStyle w:val="TableParagraph"/>
              <w:spacing w:before="112"/>
              <w:ind w:left="8" w:right="3"/>
              <w:jc w:val="center"/>
            </w:pPr>
            <w:r>
              <w:t>X</w:t>
            </w:r>
          </w:p>
        </w:tc>
        <w:tc>
          <w:tcPr>
            <w:tcW w:w="0" w:type="auto"/>
            <w:tcBorders>
              <w:left w:val="nil"/>
              <w:right w:val="nil"/>
            </w:tcBorders>
            <w:shd w:val="clear" w:color="auto" w:fill="D9D9D9" w:themeFill="background1" w:themeFillShade="D9"/>
            <w:vAlign w:val="center"/>
          </w:tcPr>
          <w:p w14:paraId="7A854F05" w14:textId="77777777" w:rsidR="006C3F9B" w:rsidRPr="00C67737" w:rsidRDefault="006C3F9B" w:rsidP="000A1568">
            <w:pPr>
              <w:pStyle w:val="TableParagraph"/>
              <w:spacing w:before="112"/>
              <w:ind w:left="9" w:right="1"/>
              <w:jc w:val="center"/>
            </w:pPr>
            <w:r>
              <w:t>X</w:t>
            </w:r>
          </w:p>
        </w:tc>
      </w:tr>
      <w:tr w:rsidR="006C3F9B" w:rsidRPr="00C67737" w14:paraId="13D5CD34" w14:textId="77777777" w:rsidTr="00190E23">
        <w:trPr>
          <w:trHeight w:val="408"/>
        </w:trPr>
        <w:tc>
          <w:tcPr>
            <w:tcW w:w="0" w:type="auto"/>
            <w:tcBorders>
              <w:left w:val="nil"/>
              <w:right w:val="single" w:sz="4" w:space="0" w:color="000000"/>
            </w:tcBorders>
          </w:tcPr>
          <w:p w14:paraId="09F48846" w14:textId="77777777" w:rsidR="006C3F9B" w:rsidRPr="00190E23" w:rsidRDefault="006C3F9B" w:rsidP="0004312D">
            <w:pPr>
              <w:pStyle w:val="TableParagraph"/>
              <w:spacing w:before="109"/>
              <w:ind w:left="101"/>
              <w:contextualSpacing/>
              <w:rPr>
                <w:bCs/>
                <w:sz w:val="20"/>
                <w:szCs w:val="22"/>
              </w:rPr>
            </w:pPr>
            <w:r w:rsidRPr="00190E23">
              <w:rPr>
                <w:sz w:val="20"/>
                <w:szCs w:val="22"/>
              </w:rPr>
              <w:t>Océans propres et sains</w:t>
            </w:r>
          </w:p>
        </w:tc>
        <w:tc>
          <w:tcPr>
            <w:tcW w:w="0" w:type="auto"/>
            <w:tcBorders>
              <w:left w:val="single" w:sz="4" w:space="0" w:color="000000"/>
              <w:right w:val="nil"/>
            </w:tcBorders>
            <w:shd w:val="clear" w:color="auto" w:fill="D9D9D9" w:themeFill="background1" w:themeFillShade="D9"/>
            <w:vAlign w:val="center"/>
          </w:tcPr>
          <w:p w14:paraId="051C8AE6"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33094623" w14:textId="77777777" w:rsidR="006C3F9B" w:rsidRPr="00C67737" w:rsidRDefault="006C3F9B" w:rsidP="000A1568">
            <w:pPr>
              <w:pStyle w:val="TableParagraph"/>
              <w:spacing w:before="109"/>
              <w:ind w:left="19" w:right="18"/>
              <w:jc w:val="center"/>
            </w:pPr>
            <w:r>
              <w:t>X</w:t>
            </w:r>
          </w:p>
        </w:tc>
        <w:tc>
          <w:tcPr>
            <w:tcW w:w="0" w:type="auto"/>
            <w:tcBorders>
              <w:left w:val="nil"/>
              <w:right w:val="nil"/>
            </w:tcBorders>
            <w:shd w:val="clear" w:color="auto" w:fill="D9D9D9" w:themeFill="background1" w:themeFillShade="D9"/>
            <w:vAlign w:val="center"/>
          </w:tcPr>
          <w:p w14:paraId="05D4897B" w14:textId="77777777" w:rsidR="006C3F9B" w:rsidRPr="00C67737" w:rsidRDefault="006C3F9B" w:rsidP="000A1568">
            <w:pPr>
              <w:pStyle w:val="TableParagraph"/>
              <w:spacing w:before="109"/>
              <w:ind w:left="19" w:right="16"/>
              <w:jc w:val="center"/>
            </w:pPr>
            <w:r>
              <w:t>X</w:t>
            </w:r>
          </w:p>
        </w:tc>
        <w:tc>
          <w:tcPr>
            <w:tcW w:w="0" w:type="auto"/>
            <w:tcBorders>
              <w:left w:val="nil"/>
              <w:right w:val="nil"/>
            </w:tcBorders>
            <w:vAlign w:val="center"/>
          </w:tcPr>
          <w:p w14:paraId="45AAE237"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47B52A1A"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0C1D0449"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503A1A05" w14:textId="77777777" w:rsidR="006C3F9B" w:rsidRPr="00C67737" w:rsidRDefault="006C3F9B" w:rsidP="000A1568">
            <w:pPr>
              <w:pStyle w:val="TableParagraph"/>
              <w:spacing w:before="109"/>
              <w:ind w:left="7" w:right="1"/>
              <w:jc w:val="center"/>
            </w:pPr>
            <w:r>
              <w:t>X</w:t>
            </w:r>
          </w:p>
        </w:tc>
        <w:tc>
          <w:tcPr>
            <w:tcW w:w="0" w:type="auto"/>
            <w:tcBorders>
              <w:left w:val="nil"/>
              <w:right w:val="nil"/>
            </w:tcBorders>
            <w:vAlign w:val="center"/>
          </w:tcPr>
          <w:p w14:paraId="6004FFD1" w14:textId="77777777" w:rsidR="006C3F9B" w:rsidRPr="00C67737" w:rsidRDefault="006C3F9B" w:rsidP="000A1568">
            <w:pPr>
              <w:pStyle w:val="TableParagraph"/>
              <w:spacing w:before="109"/>
              <w:ind w:left="19" w:right="14"/>
              <w:jc w:val="center"/>
            </w:pPr>
            <w:r>
              <w:t>X</w:t>
            </w:r>
          </w:p>
        </w:tc>
        <w:tc>
          <w:tcPr>
            <w:tcW w:w="0" w:type="auto"/>
            <w:tcBorders>
              <w:left w:val="nil"/>
              <w:right w:val="nil"/>
            </w:tcBorders>
            <w:shd w:val="clear" w:color="auto" w:fill="D9D9D9" w:themeFill="background1" w:themeFillShade="D9"/>
            <w:vAlign w:val="center"/>
          </w:tcPr>
          <w:p w14:paraId="3AD6D223"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5E48610E" w14:textId="77777777" w:rsidR="006C3F9B" w:rsidRPr="00C67737" w:rsidRDefault="006C3F9B" w:rsidP="000A1568">
            <w:pPr>
              <w:pStyle w:val="TableParagraph"/>
              <w:spacing w:before="109"/>
              <w:ind w:left="30" w:right="1"/>
              <w:jc w:val="center"/>
            </w:pPr>
            <w:r>
              <w:t>X</w:t>
            </w:r>
          </w:p>
        </w:tc>
        <w:tc>
          <w:tcPr>
            <w:tcW w:w="0" w:type="auto"/>
            <w:tcBorders>
              <w:left w:val="nil"/>
              <w:right w:val="nil"/>
            </w:tcBorders>
            <w:shd w:val="clear" w:color="auto" w:fill="D9D9D9" w:themeFill="background1" w:themeFillShade="D9"/>
            <w:vAlign w:val="center"/>
          </w:tcPr>
          <w:p w14:paraId="19C035D9" w14:textId="77777777" w:rsidR="006C3F9B" w:rsidRPr="00C67737" w:rsidRDefault="006C3F9B" w:rsidP="000A1568">
            <w:pPr>
              <w:pStyle w:val="TableParagraph"/>
              <w:spacing w:before="109"/>
              <w:ind w:left="19" w:right="10"/>
              <w:jc w:val="center"/>
            </w:pPr>
            <w:r>
              <w:t>X</w:t>
            </w:r>
          </w:p>
        </w:tc>
        <w:tc>
          <w:tcPr>
            <w:tcW w:w="0" w:type="auto"/>
            <w:tcBorders>
              <w:left w:val="nil"/>
              <w:right w:val="nil"/>
            </w:tcBorders>
            <w:vAlign w:val="center"/>
          </w:tcPr>
          <w:p w14:paraId="7DDE7E8D" w14:textId="77777777" w:rsidR="006C3F9B" w:rsidRPr="00C67737" w:rsidRDefault="006C3F9B" w:rsidP="000A1568">
            <w:pPr>
              <w:pStyle w:val="TableParagraph"/>
              <w:spacing w:before="109"/>
              <w:ind w:left="19" w:right="12"/>
              <w:jc w:val="center"/>
            </w:pPr>
            <w:r>
              <w:t>X</w:t>
            </w:r>
          </w:p>
        </w:tc>
        <w:tc>
          <w:tcPr>
            <w:tcW w:w="0" w:type="auto"/>
            <w:tcBorders>
              <w:left w:val="nil"/>
              <w:right w:val="nil"/>
            </w:tcBorders>
            <w:shd w:val="clear" w:color="auto" w:fill="D9D9D9" w:themeFill="background1" w:themeFillShade="D9"/>
            <w:vAlign w:val="center"/>
          </w:tcPr>
          <w:p w14:paraId="5BA9D451"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1D431340"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31464057"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6F1F0505"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14109298"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5AD49BC5" w14:textId="77777777" w:rsidR="006C3F9B" w:rsidRPr="00C67737" w:rsidRDefault="006C3F9B" w:rsidP="000A1568">
            <w:pPr>
              <w:pStyle w:val="TableParagraph"/>
              <w:jc w:val="center"/>
              <w:rPr>
                <w:rFonts w:ascii="Times New Roman"/>
                <w:sz w:val="20"/>
              </w:rPr>
            </w:pPr>
          </w:p>
        </w:tc>
        <w:tc>
          <w:tcPr>
            <w:tcW w:w="0" w:type="auto"/>
            <w:tcBorders>
              <w:left w:val="nil"/>
              <w:right w:val="nil"/>
            </w:tcBorders>
            <w:shd w:val="clear" w:color="auto" w:fill="D9D9D9" w:themeFill="background1" w:themeFillShade="D9"/>
            <w:vAlign w:val="center"/>
          </w:tcPr>
          <w:p w14:paraId="2968CA81" w14:textId="77777777" w:rsidR="006C3F9B" w:rsidRPr="00C67737" w:rsidRDefault="006C3F9B" w:rsidP="000A1568">
            <w:pPr>
              <w:pStyle w:val="TableParagraph"/>
              <w:jc w:val="center"/>
              <w:rPr>
                <w:rFonts w:ascii="Times New Roman"/>
                <w:sz w:val="20"/>
              </w:rPr>
            </w:pPr>
          </w:p>
        </w:tc>
        <w:tc>
          <w:tcPr>
            <w:tcW w:w="0" w:type="auto"/>
            <w:tcBorders>
              <w:left w:val="nil"/>
              <w:right w:val="nil"/>
            </w:tcBorders>
            <w:vAlign w:val="center"/>
          </w:tcPr>
          <w:p w14:paraId="342D8CF5" w14:textId="77777777" w:rsidR="006C3F9B" w:rsidRPr="00C67737" w:rsidRDefault="006C3F9B" w:rsidP="000A1568">
            <w:pPr>
              <w:pStyle w:val="TableParagraph"/>
              <w:spacing w:before="109"/>
              <w:ind w:left="19" w:right="4"/>
              <w:jc w:val="center"/>
            </w:pPr>
            <w:r>
              <w:t>X</w:t>
            </w:r>
          </w:p>
        </w:tc>
        <w:tc>
          <w:tcPr>
            <w:tcW w:w="0" w:type="auto"/>
            <w:tcBorders>
              <w:left w:val="nil"/>
              <w:right w:val="nil"/>
            </w:tcBorders>
            <w:shd w:val="clear" w:color="auto" w:fill="D9D9D9" w:themeFill="background1" w:themeFillShade="D9"/>
            <w:vAlign w:val="center"/>
          </w:tcPr>
          <w:p w14:paraId="52856187" w14:textId="77777777" w:rsidR="006C3F9B" w:rsidRPr="00C67737" w:rsidRDefault="006C3F9B" w:rsidP="000A1568">
            <w:pPr>
              <w:pStyle w:val="TableParagraph"/>
              <w:spacing w:before="109"/>
              <w:ind w:left="19" w:right="2"/>
              <w:jc w:val="center"/>
            </w:pPr>
            <w:r>
              <w:t>X</w:t>
            </w:r>
          </w:p>
        </w:tc>
        <w:tc>
          <w:tcPr>
            <w:tcW w:w="0" w:type="auto"/>
            <w:tcBorders>
              <w:left w:val="nil"/>
              <w:right w:val="nil"/>
            </w:tcBorders>
            <w:vAlign w:val="center"/>
          </w:tcPr>
          <w:p w14:paraId="61FB5FAB" w14:textId="77777777" w:rsidR="006C3F9B" w:rsidRPr="00C67737" w:rsidRDefault="006C3F9B" w:rsidP="000A1568">
            <w:pPr>
              <w:pStyle w:val="TableParagraph"/>
              <w:spacing w:before="109"/>
              <w:ind w:left="8" w:right="3"/>
              <w:jc w:val="center"/>
            </w:pPr>
            <w:r>
              <w:t>X</w:t>
            </w:r>
          </w:p>
        </w:tc>
        <w:tc>
          <w:tcPr>
            <w:tcW w:w="0" w:type="auto"/>
            <w:tcBorders>
              <w:left w:val="nil"/>
              <w:right w:val="nil"/>
            </w:tcBorders>
            <w:shd w:val="clear" w:color="auto" w:fill="D9D9D9" w:themeFill="background1" w:themeFillShade="D9"/>
            <w:vAlign w:val="center"/>
          </w:tcPr>
          <w:p w14:paraId="039204FB" w14:textId="77777777" w:rsidR="006C3F9B" w:rsidRPr="00C67737" w:rsidRDefault="006C3F9B" w:rsidP="000A1568">
            <w:pPr>
              <w:pStyle w:val="TableParagraph"/>
              <w:spacing w:before="109"/>
              <w:ind w:left="9" w:right="1"/>
              <w:jc w:val="center"/>
            </w:pPr>
            <w:r>
              <w:t>X</w:t>
            </w:r>
          </w:p>
        </w:tc>
      </w:tr>
      <w:tr w:rsidR="006C3F9B" w:rsidRPr="00C67737" w14:paraId="7C62E34D" w14:textId="77777777" w:rsidTr="00190E23">
        <w:trPr>
          <w:trHeight w:val="429"/>
        </w:trPr>
        <w:tc>
          <w:tcPr>
            <w:tcW w:w="0" w:type="auto"/>
            <w:tcBorders>
              <w:top w:val="single" w:sz="4" w:space="0" w:color="7E7E7E"/>
              <w:left w:val="nil"/>
              <w:bottom w:val="single" w:sz="4" w:space="0" w:color="7E7E7E"/>
              <w:right w:val="single" w:sz="4" w:space="0" w:color="000000"/>
            </w:tcBorders>
          </w:tcPr>
          <w:p w14:paraId="5D4EE219" w14:textId="05214666" w:rsidR="006C3F9B" w:rsidRPr="00190E23" w:rsidRDefault="006C3F9B" w:rsidP="007E1997">
            <w:pPr>
              <w:pStyle w:val="TableParagraph"/>
              <w:spacing w:before="109"/>
              <w:ind w:left="101"/>
              <w:contextualSpacing/>
              <w:rPr>
                <w:bCs/>
                <w:sz w:val="20"/>
                <w:szCs w:val="22"/>
              </w:rPr>
            </w:pPr>
            <w:r w:rsidRPr="00190E23">
              <w:rPr>
                <w:sz w:val="20"/>
                <w:szCs w:val="22"/>
              </w:rPr>
              <w:t>Développement d’une infrastructure</w:t>
            </w:r>
            <w:r w:rsidR="007E1997" w:rsidRPr="00190E23">
              <w:rPr>
                <w:sz w:val="20"/>
                <w:szCs w:val="22"/>
              </w:rPr>
              <w:t xml:space="preserve"> </w:t>
            </w:r>
            <w:r w:rsidRPr="00190E23">
              <w:rPr>
                <w:sz w:val="20"/>
                <w:szCs w:val="22"/>
              </w:rPr>
              <w:t>de transport verte</w:t>
            </w:r>
          </w:p>
        </w:tc>
        <w:tc>
          <w:tcPr>
            <w:tcW w:w="0" w:type="auto"/>
            <w:tcBorders>
              <w:top w:val="single" w:sz="4" w:space="0" w:color="7E7E7E"/>
              <w:left w:val="single" w:sz="4" w:space="0" w:color="000000"/>
              <w:bottom w:val="single" w:sz="4" w:space="0" w:color="7E7E7E"/>
              <w:right w:val="nil"/>
            </w:tcBorders>
            <w:shd w:val="clear" w:color="auto" w:fill="D9D9D9" w:themeFill="background1" w:themeFillShade="D9"/>
            <w:vAlign w:val="center"/>
          </w:tcPr>
          <w:p w14:paraId="3644D204"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0939C3BD"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0816ECCD"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72871E5B"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44A47781"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74895FCF"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552D8122"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vAlign w:val="center"/>
          </w:tcPr>
          <w:p w14:paraId="4DBFD5C9"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53795117"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7028CDB9"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68692166"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2433352D"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5B8BC122"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vAlign w:val="center"/>
          </w:tcPr>
          <w:p w14:paraId="1B7D21A0"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2A7FBCA9"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vAlign w:val="center"/>
          </w:tcPr>
          <w:p w14:paraId="01756874"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1034E171"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vAlign w:val="center"/>
          </w:tcPr>
          <w:p w14:paraId="57B9617A"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7DDD57DA"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2F803624"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64A9C4F0"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5FF51E6D"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599D235F"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r>
      <w:tr w:rsidR="006C3F9B" w:rsidRPr="00C67737" w14:paraId="7523A530" w14:textId="77777777" w:rsidTr="00190E23">
        <w:trPr>
          <w:trHeight w:val="407"/>
        </w:trPr>
        <w:tc>
          <w:tcPr>
            <w:tcW w:w="0" w:type="auto"/>
            <w:tcBorders>
              <w:top w:val="single" w:sz="4" w:space="0" w:color="7E7E7E"/>
              <w:left w:val="nil"/>
              <w:bottom w:val="single" w:sz="4" w:space="0" w:color="7E7E7E"/>
              <w:right w:val="single" w:sz="4" w:space="0" w:color="000000"/>
            </w:tcBorders>
          </w:tcPr>
          <w:p w14:paraId="78B70179" w14:textId="77777777" w:rsidR="006C3F9B" w:rsidRPr="00C67737" w:rsidRDefault="006C3F9B" w:rsidP="003C6DA4">
            <w:pPr>
              <w:pStyle w:val="TableParagraph"/>
              <w:spacing w:before="109"/>
              <w:ind w:left="101"/>
              <w:contextualSpacing/>
              <w:rPr>
                <w:bCs/>
                <w:sz w:val="22"/>
                <w:szCs w:val="22"/>
              </w:rPr>
            </w:pPr>
            <w:r>
              <w:rPr>
                <w:sz w:val="22"/>
              </w:rPr>
              <w:t>Villes durables</w:t>
            </w:r>
          </w:p>
        </w:tc>
        <w:tc>
          <w:tcPr>
            <w:tcW w:w="0" w:type="auto"/>
            <w:tcBorders>
              <w:top w:val="single" w:sz="4" w:space="0" w:color="7E7E7E"/>
              <w:left w:val="single" w:sz="4" w:space="0" w:color="000000"/>
              <w:bottom w:val="single" w:sz="4" w:space="0" w:color="7E7E7E"/>
              <w:right w:val="nil"/>
            </w:tcBorders>
            <w:shd w:val="clear" w:color="auto" w:fill="D9D9D9" w:themeFill="background1" w:themeFillShade="D9"/>
            <w:vAlign w:val="center"/>
          </w:tcPr>
          <w:p w14:paraId="1FC06C94"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341239B7"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3A3CF40D"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4F6B7701"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68C14ADC"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vAlign w:val="center"/>
          </w:tcPr>
          <w:p w14:paraId="5A61D088"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7589DFD9"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455D7DFE"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2EB76459"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vAlign w:val="center"/>
          </w:tcPr>
          <w:p w14:paraId="4C917376"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03075A80"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4C2791CD"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2511533F"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vAlign w:val="center"/>
          </w:tcPr>
          <w:p w14:paraId="24B36657"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1169D1E7"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vAlign w:val="center"/>
          </w:tcPr>
          <w:p w14:paraId="23A64A89"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3D86256A"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vAlign w:val="center"/>
          </w:tcPr>
          <w:p w14:paraId="5E561D76"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28B51C6C"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0" w:type="auto"/>
            <w:tcBorders>
              <w:top w:val="single" w:sz="4" w:space="0" w:color="7E7E7E"/>
              <w:left w:val="nil"/>
              <w:bottom w:val="single" w:sz="4" w:space="0" w:color="7E7E7E"/>
              <w:right w:val="nil"/>
            </w:tcBorders>
            <w:vAlign w:val="center"/>
          </w:tcPr>
          <w:p w14:paraId="47102BEF"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52723B5A"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vAlign w:val="center"/>
          </w:tcPr>
          <w:p w14:paraId="035BC923"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c>
          <w:tcPr>
            <w:tcW w:w="0" w:type="auto"/>
            <w:tcBorders>
              <w:top w:val="single" w:sz="4" w:space="0" w:color="7E7E7E"/>
              <w:left w:val="nil"/>
              <w:bottom w:val="single" w:sz="4" w:space="0" w:color="7E7E7E"/>
              <w:right w:val="nil"/>
            </w:tcBorders>
            <w:shd w:val="clear" w:color="auto" w:fill="D9D9D9" w:themeFill="background1" w:themeFillShade="D9"/>
            <w:vAlign w:val="center"/>
          </w:tcPr>
          <w:p w14:paraId="733FE43B" w14:textId="77777777" w:rsidR="006C3F9B" w:rsidRPr="00C67737" w:rsidRDefault="006C3F9B" w:rsidP="000A1568">
            <w:pPr>
              <w:pStyle w:val="TableParagraph"/>
              <w:spacing w:before="109"/>
              <w:ind w:left="14" w:right="14"/>
              <w:jc w:val="center"/>
              <w:rPr>
                <w:rFonts w:asciiTheme="minorHAnsi" w:hAnsiTheme="minorHAnsi" w:cstheme="minorHAnsi"/>
              </w:rPr>
            </w:pPr>
            <w:r>
              <w:rPr>
                <w:rFonts w:asciiTheme="minorHAnsi" w:hAnsiTheme="minorHAnsi"/>
              </w:rPr>
              <w:t>X</w:t>
            </w:r>
          </w:p>
        </w:tc>
      </w:tr>
    </w:tbl>
    <w:p w14:paraId="73852915" w14:textId="77777777" w:rsidR="006C3F9B" w:rsidRPr="00C67737" w:rsidRDefault="006C3F9B" w:rsidP="006C3F9B">
      <w:pPr>
        <w:rPr>
          <w:b/>
          <w:bCs/>
          <w:color w:val="0070C0"/>
          <w:sz w:val="24"/>
          <w:szCs w:val="24"/>
        </w:rPr>
        <w:sectPr w:rsidR="006C3F9B" w:rsidRPr="00C67737" w:rsidSect="008C283F">
          <w:pgSz w:w="15840" w:h="12240" w:orient="landscape"/>
          <w:pgMar w:top="1440" w:right="1440" w:bottom="1440" w:left="1440" w:header="720" w:footer="288" w:gutter="0"/>
          <w:cols w:space="720"/>
          <w:docGrid w:linePitch="360"/>
        </w:sectPr>
      </w:pPr>
    </w:p>
    <w:p w14:paraId="6C82ED55" w14:textId="0984C76A" w:rsidR="002A2155" w:rsidRPr="00C67737" w:rsidRDefault="003F5EEB" w:rsidP="000B33CF">
      <w:pPr>
        <w:pStyle w:val="ListParagraph"/>
      </w:pPr>
      <w:r>
        <w:lastRenderedPageBreak/>
        <w:t>Le GEF soutient la réalisation de la cible</w:t>
      </w:r>
      <w:r w:rsidR="007377A3">
        <w:t> </w:t>
      </w:r>
      <w:r>
        <w:t xml:space="preserve">17 — </w:t>
      </w:r>
      <w:r>
        <w:rPr>
          <w:i/>
          <w:iCs/>
        </w:rPr>
        <w:t>Renforcer la biosécurité et partager les avantages découlant des biotechnologies</w:t>
      </w:r>
      <w:r>
        <w:t xml:space="preserve"> — dans sept pays (Afrique du Sud, Gambie, Honduras, Jamaïque, Ouzbékistan, Soudan et Sri Lanka), au moyen de projets autonomes visant la mise en œuvre de mesures de biosécurité. Les projets menés au Honduras et au Sri Lanka contribuent également à la réalisation de la cible</w:t>
      </w:r>
      <w:r w:rsidR="007377A3">
        <w:t> </w:t>
      </w:r>
      <w:r>
        <w:t>13. Ces sept projets représentent un financement de projet total du GEF de 17,8</w:t>
      </w:r>
      <w:r w:rsidR="007377A3">
        <w:t> </w:t>
      </w:r>
      <w:r>
        <w:t>millions de dollars, et ont permis de mobiliser 49,8</w:t>
      </w:r>
      <w:r w:rsidR="007377A3">
        <w:t> </w:t>
      </w:r>
      <w:r>
        <w:t xml:space="preserve">millions de dollars de cofinancement. </w:t>
      </w:r>
    </w:p>
    <w:p w14:paraId="7A2DBDF1" w14:textId="63D8B794" w:rsidR="006E301A" w:rsidRPr="00C67737" w:rsidRDefault="006E301A" w:rsidP="000B33CF">
      <w:pPr>
        <w:pStyle w:val="ListParagraph"/>
      </w:pPr>
      <w:r>
        <w:t xml:space="preserve">Le programme-cadre </w:t>
      </w:r>
      <w:r w:rsidR="00164E01">
        <w:t xml:space="preserve">de </w:t>
      </w:r>
      <w:r w:rsidR="00376C22">
        <w:t>GEF</w:t>
      </w:r>
      <w:r w:rsidR="00376C22">
        <w:noBreakHyphen/>
      </w:r>
      <w:r w:rsidR="00164E01">
        <w:t>8 sur l</w:t>
      </w:r>
      <w:r w:rsidR="008F16E9">
        <w:t xml:space="preserve">’appui à l’élaboration de plans de financement </w:t>
      </w:r>
      <w:r w:rsidR="00B050C1">
        <w:t>en faveur de</w:t>
      </w:r>
      <w:r w:rsidR="008F16E9">
        <w:t xml:space="preserve"> la biodiversité </w:t>
      </w:r>
      <w:r>
        <w:t>soutient 98</w:t>
      </w:r>
      <w:r w:rsidR="007377A3">
        <w:t> </w:t>
      </w:r>
      <w:r>
        <w:t>pays dans la réalisation d’une évaluation exhaustive des incitations et subventions, conformément à la cible</w:t>
      </w:r>
      <w:r w:rsidR="007377A3">
        <w:t> </w:t>
      </w:r>
      <w:r>
        <w:t xml:space="preserve">18 du KMGBF — </w:t>
      </w:r>
      <w:r>
        <w:rPr>
          <w:i/>
          <w:iCs/>
        </w:rPr>
        <w:t>Réduire d’au moins 500</w:t>
      </w:r>
      <w:r w:rsidR="007377A3">
        <w:rPr>
          <w:i/>
          <w:iCs/>
        </w:rPr>
        <w:t> </w:t>
      </w:r>
      <w:r>
        <w:rPr>
          <w:i/>
          <w:iCs/>
        </w:rPr>
        <w:t>milliards de dollars par an les incitations néfastes et accroître les incitations positives en faveur de la diversité biologique</w:t>
      </w:r>
      <w:r>
        <w:t xml:space="preserve">. </w:t>
      </w:r>
      <w:r>
        <w:rPr>
          <w:color w:val="auto"/>
        </w:rPr>
        <w:t>En juin 2026, 15</w:t>
      </w:r>
      <w:r w:rsidR="007377A3">
        <w:rPr>
          <w:color w:val="auto"/>
        </w:rPr>
        <w:t> </w:t>
      </w:r>
      <w:r>
        <w:rPr>
          <w:color w:val="auto"/>
        </w:rPr>
        <w:t>pays avaient achevé leurs rapports exhaustifs sur les subventions en faveur de la diversité biologique, et 71</w:t>
      </w:r>
      <w:r w:rsidR="007377A3">
        <w:rPr>
          <w:color w:val="auto"/>
        </w:rPr>
        <w:t> </w:t>
      </w:r>
      <w:r>
        <w:rPr>
          <w:color w:val="auto"/>
        </w:rPr>
        <w:t xml:space="preserve">pays </w:t>
      </w:r>
      <w:r w:rsidR="005704C5">
        <w:rPr>
          <w:color w:val="auto"/>
        </w:rPr>
        <w:t xml:space="preserve">préparaient ou finalisaient </w:t>
      </w:r>
      <w:r>
        <w:rPr>
          <w:color w:val="auto"/>
        </w:rPr>
        <w:t>leurs évaluations des subventions en appliquant la méthodologie BIOFIN du PNUD comme cadre d’analyse normalisé</w:t>
      </w:r>
      <w:r w:rsidR="00CD240B">
        <w:rPr>
          <w:color w:val="auto"/>
        </w:rPr>
        <w:t>. Cette méthodologie permet</w:t>
      </w:r>
      <w:r>
        <w:rPr>
          <w:color w:val="auto"/>
        </w:rPr>
        <w:t xml:space="preserve"> d’assurer une cohérence à l’échelle mondiale tout en tenant compte des contextes nationaux.</w:t>
      </w:r>
    </w:p>
    <w:p w14:paraId="298EB7D4" w14:textId="31A79643" w:rsidR="00956972" w:rsidRPr="00C67737" w:rsidRDefault="00AD1B76" w:rsidP="000B33CF">
      <w:pPr>
        <w:pStyle w:val="ListParagraph"/>
      </w:pPr>
      <w:r w:rsidRPr="00AD1B76">
        <w:t xml:space="preserve">Les projets du GEF </w:t>
      </w:r>
      <w:r w:rsidR="004D07D3">
        <w:t>apportent une contribution</w:t>
      </w:r>
      <w:r w:rsidRPr="00AD1B76">
        <w:t xml:space="preserve"> </w:t>
      </w:r>
      <w:r>
        <w:t>substantielle</w:t>
      </w:r>
      <w:r w:rsidRPr="00AD1B76">
        <w:t xml:space="preserve"> à la réalisation de la cible</w:t>
      </w:r>
      <w:r w:rsidR="004D07D3">
        <w:t> </w:t>
      </w:r>
      <w:r w:rsidRPr="00AD1B76">
        <w:t>20 — Renforcer les capacités, le transfert de technologies et la coopération scientifique et technique en faveur de la diversité biologique — et de la cible</w:t>
      </w:r>
      <w:r w:rsidR="00A258AB">
        <w:t> </w:t>
      </w:r>
      <w:r w:rsidRPr="00AD1B76">
        <w:t xml:space="preserve">21 — Veiller à ce que les connaissances soient disponibles et accessibles afin d’orienter les mesures en faveur de la diversité biologique. Bien que les Indicateurs de base de la </w:t>
      </w:r>
      <w:r w:rsidR="00DD1F44">
        <w:t xml:space="preserve">Fonds fiduciaire </w:t>
      </w:r>
      <w:r w:rsidRPr="00AD1B76">
        <w:t>du GEF ne permettent pas de mesurer spécifiquement les contributions à ces cibles, la plupart des projets, sinon la totalité, les appuient activement afin d’atteindre les objectifs des programmes et des projets.</w:t>
      </w:r>
      <w:r w:rsidR="00956972">
        <w:t> </w:t>
      </w:r>
    </w:p>
    <w:p w14:paraId="632EFC42" w14:textId="7DFEAE95" w:rsidR="00956972" w:rsidRPr="00C67737" w:rsidRDefault="00EF776B" w:rsidP="000B33CF">
      <w:pPr>
        <w:pStyle w:val="ListParagraph"/>
      </w:pPr>
      <w:r>
        <w:t>Les cadres stratégiques du GEF relatifs aux peuples autochtones et communautés locales, ainsi qu’à l’égalité des genres, garantissent que tous les investissements du GEF contribuent à la réalisation de la cible</w:t>
      </w:r>
      <w:r w:rsidR="007377A3">
        <w:t> </w:t>
      </w:r>
      <w:r>
        <w:t>22 — Garantir à tous la participation à la prise de décisions et l’accès à la justice et à l’information en matière de biodiversité — et de la cible</w:t>
      </w:r>
      <w:r w:rsidR="007377A3">
        <w:t> </w:t>
      </w:r>
      <w:r>
        <w:t>23 — Garantir l’égalité des genres et une approche tenant compte des questions de genre dans les mesures en faveur de la diversité biologique. </w:t>
      </w:r>
    </w:p>
    <w:p w14:paraId="7B240CCD" w14:textId="14204AD3" w:rsidR="00510704" w:rsidRPr="00C67737" w:rsidRDefault="00BA5829" w:rsidP="00D56EFB">
      <w:pPr>
        <w:pStyle w:val="Heading2"/>
      </w:pPr>
      <w:bookmarkStart w:id="31" w:name="_Toc242184649"/>
      <w:bookmarkStart w:id="32" w:name="_Toc242184698"/>
      <w:bookmarkStart w:id="33" w:name="_Toc242185277"/>
      <w:r>
        <w:t>I.2 Programmation dans le domaine d’intervention «</w:t>
      </w:r>
      <w:r w:rsidR="007377A3">
        <w:t> </w:t>
      </w:r>
      <w:r>
        <w:t>diversité biologique</w:t>
      </w:r>
      <w:r w:rsidR="007377A3">
        <w:t> </w:t>
      </w:r>
      <w:r>
        <w:t>»</w:t>
      </w:r>
      <w:bookmarkEnd w:id="31"/>
      <w:bookmarkEnd w:id="32"/>
      <w:bookmarkEnd w:id="33"/>
      <w:r>
        <w:t xml:space="preserve"> </w:t>
      </w:r>
    </w:p>
    <w:p w14:paraId="6637A007" w14:textId="4025B668" w:rsidR="00CD4156" w:rsidRPr="00C67737" w:rsidRDefault="00C652D0" w:rsidP="000B33CF">
      <w:pPr>
        <w:pStyle w:val="ListParagraph"/>
        <w:rPr>
          <w:rFonts w:eastAsia="Calibri"/>
        </w:rPr>
      </w:pPr>
      <w:r w:rsidRPr="00C652D0">
        <w:t xml:space="preserve">La stratégie de </w:t>
      </w:r>
      <w:r w:rsidR="00376C22">
        <w:t>GEF</w:t>
      </w:r>
      <w:r w:rsidR="00376C22">
        <w:noBreakHyphen/>
      </w:r>
      <w:r w:rsidRPr="00C652D0">
        <w:t>8 applicable au domaine d’intervention «</w:t>
      </w:r>
      <w:r w:rsidR="00A258AB">
        <w:t> </w:t>
      </w:r>
      <w:r w:rsidRPr="00C652D0">
        <w:t>diversité biologique</w:t>
      </w:r>
      <w:r w:rsidR="00A258AB">
        <w:t> </w:t>
      </w:r>
      <w:r w:rsidRPr="00C652D0">
        <w:t>» répond aux objectifs de la CDB et de ses Protocoles, ainsi qu’aux objectifs des conventions relatives à la diversité biologique qui sont pertinents pour le GEF. Son objectif est d’assurer</w:t>
      </w:r>
      <w:r w:rsidRPr="00C652D0">
        <w:rPr>
          <w:i/>
          <w:iCs/>
        </w:rPr>
        <w:t xml:space="preserve"> la préservation, l’utilisation durable et la restauration de la biodiversité d’importance mondiale</w:t>
      </w:r>
      <w:r w:rsidR="4FA50C5A">
        <w:rPr>
          <w:i/>
          <w:iCs/>
        </w:rPr>
        <w:t>.</w:t>
      </w:r>
      <w:r w:rsidR="4FA50C5A">
        <w:t xml:space="preserve"> </w:t>
      </w:r>
    </w:p>
    <w:p w14:paraId="7F0319A3" w14:textId="4FC9D8AD" w:rsidR="00CD4156" w:rsidRPr="00C67737" w:rsidRDefault="4FA50C5A" w:rsidP="000B33CF">
      <w:pPr>
        <w:pStyle w:val="ListParagraph"/>
      </w:pPr>
      <w:r>
        <w:t>À cette fin, la stratégie s’articule autour des trois objectifs suivants</w:t>
      </w:r>
      <w:r w:rsidR="006E54C7">
        <w:t> :</w:t>
      </w:r>
    </w:p>
    <w:p w14:paraId="34FB6E0A" w14:textId="30E0FBA6" w:rsidR="00CD4156" w:rsidRPr="00C67737" w:rsidRDefault="00CD4156" w:rsidP="009C7AE7">
      <w:pPr>
        <w:numPr>
          <w:ilvl w:val="0"/>
          <w:numId w:val="5"/>
        </w:numPr>
        <w:spacing w:before="120" w:after="120"/>
        <w:ind w:left="0" w:firstLine="540"/>
        <w:rPr>
          <w:rFonts w:eastAsia="Calibri" w:cstheme="minorHAnsi"/>
          <w:color w:val="000000" w:themeColor="text1"/>
          <w:sz w:val="24"/>
          <w:szCs w:val="24"/>
        </w:rPr>
      </w:pPr>
      <w:r>
        <w:rPr>
          <w:color w:val="000000" w:themeColor="text1"/>
          <w:sz w:val="24"/>
        </w:rPr>
        <w:t>Améliorer la conservation, l’utilisation durable et la restauration des écosystèmes naturels</w:t>
      </w:r>
      <w:r w:rsidR="007377A3">
        <w:rPr>
          <w:color w:val="000000" w:themeColor="text1"/>
          <w:sz w:val="24"/>
        </w:rPr>
        <w:t> </w:t>
      </w:r>
      <w:r>
        <w:rPr>
          <w:color w:val="000000" w:themeColor="text1"/>
          <w:sz w:val="24"/>
        </w:rPr>
        <w:t>;</w:t>
      </w:r>
    </w:p>
    <w:p w14:paraId="589E4F7F" w14:textId="0A1A5760" w:rsidR="00CD4156" w:rsidRPr="00C67737" w:rsidRDefault="00CD4156" w:rsidP="009C7AE7">
      <w:pPr>
        <w:numPr>
          <w:ilvl w:val="0"/>
          <w:numId w:val="5"/>
        </w:numPr>
        <w:spacing w:before="120" w:after="120"/>
        <w:ind w:left="0" w:firstLine="540"/>
        <w:rPr>
          <w:rFonts w:eastAsia="Calibri" w:cstheme="minorHAnsi"/>
          <w:color w:val="000000" w:themeColor="text1"/>
          <w:sz w:val="24"/>
          <w:szCs w:val="24"/>
        </w:rPr>
      </w:pPr>
      <w:r>
        <w:rPr>
          <w:color w:val="000000" w:themeColor="text1"/>
          <w:sz w:val="24"/>
        </w:rPr>
        <w:t xml:space="preserve">Assurer la mise en œuvre effective des Protocoles de </w:t>
      </w:r>
      <w:r w:rsidR="00ED3B3D">
        <w:t>Carthagène</w:t>
      </w:r>
      <w:r>
        <w:rPr>
          <w:color w:val="000000" w:themeColor="text1"/>
          <w:sz w:val="24"/>
        </w:rPr>
        <w:t xml:space="preserve"> et de Nagoya</w:t>
      </w:r>
      <w:r w:rsidR="007377A3">
        <w:rPr>
          <w:color w:val="000000" w:themeColor="text1"/>
          <w:sz w:val="24"/>
        </w:rPr>
        <w:t> </w:t>
      </w:r>
      <w:r>
        <w:rPr>
          <w:color w:val="000000" w:themeColor="text1"/>
          <w:sz w:val="24"/>
        </w:rPr>
        <w:t>; et</w:t>
      </w:r>
    </w:p>
    <w:p w14:paraId="07A4B553" w14:textId="6ACBCCD0" w:rsidR="002E58B5" w:rsidRPr="00C67737" w:rsidRDefault="00CD4156" w:rsidP="009C7AE7">
      <w:pPr>
        <w:keepNext/>
        <w:numPr>
          <w:ilvl w:val="0"/>
          <w:numId w:val="5"/>
        </w:numPr>
        <w:spacing w:before="120" w:after="120"/>
        <w:ind w:left="0" w:firstLine="540"/>
        <w:rPr>
          <w:rFonts w:eastAsia="Calibri" w:cstheme="minorHAnsi"/>
          <w:b/>
          <w:color w:val="000000" w:themeColor="text1"/>
          <w:sz w:val="24"/>
          <w:szCs w:val="24"/>
        </w:rPr>
      </w:pPr>
      <w:r>
        <w:rPr>
          <w:color w:val="000000" w:themeColor="text1"/>
          <w:sz w:val="24"/>
        </w:rPr>
        <w:lastRenderedPageBreak/>
        <w:t>Accroître la mobilisation des ressources nationales en faveur de la diversité biologique.</w:t>
      </w:r>
      <w:r>
        <w:rPr>
          <w:b/>
          <w:color w:val="000000" w:themeColor="text1"/>
          <w:sz w:val="24"/>
        </w:rPr>
        <w:t xml:space="preserve"> </w:t>
      </w:r>
    </w:p>
    <w:p w14:paraId="24A75C10" w14:textId="7B61C93C" w:rsidR="00D56C17" w:rsidRPr="00C67737" w:rsidRDefault="39195C27" w:rsidP="000B33CF">
      <w:pPr>
        <w:pStyle w:val="ListParagraph"/>
      </w:pPr>
      <w:r>
        <w:t xml:space="preserve">Pour la période de </w:t>
      </w:r>
      <w:r w:rsidR="00376C22">
        <w:t>GEF</w:t>
      </w:r>
      <w:r w:rsidR="00376C22">
        <w:noBreakHyphen/>
      </w:r>
      <w:r>
        <w:t>8, un montant total de 1,92</w:t>
      </w:r>
      <w:r w:rsidR="007377A3">
        <w:t> </w:t>
      </w:r>
      <w:r>
        <w:t>milliard de dollars a été alloué au domaine d’intervention «</w:t>
      </w:r>
      <w:r w:rsidR="007377A3">
        <w:t> </w:t>
      </w:r>
      <w:r>
        <w:t>diversité biologique</w:t>
      </w:r>
      <w:r w:rsidR="007377A3">
        <w:t> </w:t>
      </w:r>
      <w:r>
        <w:t>», dont 1,45</w:t>
      </w:r>
      <w:r w:rsidR="007377A3">
        <w:t> </w:t>
      </w:r>
      <w:r>
        <w:t xml:space="preserve">milliard de dollars </w:t>
      </w:r>
      <w:r w:rsidR="00BA0C8F">
        <w:t>ont</w:t>
      </w:r>
      <w:r>
        <w:t xml:space="preserve"> été mis à la disposition des pays, au titre de la diversité biologique, par l’intermédiaire du Système transparent d’allocation des ressources (STAR). </w:t>
      </w:r>
      <w:r w:rsidR="00716C19" w:rsidRPr="00716C19">
        <w:t>Sur ce montant, une allocation théorique de 641</w:t>
      </w:r>
      <w:r w:rsidR="00716C19">
        <w:t> </w:t>
      </w:r>
      <w:r w:rsidR="00716C19" w:rsidRPr="00716C19">
        <w:t>millions de dollars était prévue à l’appui des programmes intégrés.</w:t>
      </w:r>
      <w:r>
        <w:t xml:space="preserve"> Ces montants comprennent les commissions </w:t>
      </w:r>
      <w:r w:rsidR="002524AE">
        <w:t xml:space="preserve">pour frais </w:t>
      </w:r>
      <w:r>
        <w:t xml:space="preserve">des </w:t>
      </w:r>
      <w:r w:rsidR="002524AE">
        <w:t>Agences</w:t>
      </w:r>
      <w:r>
        <w:t xml:space="preserve"> et le financement pour la préparation des projets</w:t>
      </w:r>
      <w:r w:rsidR="009E2445">
        <w:t xml:space="preserve"> (financement PPG)</w:t>
      </w:r>
      <w:r>
        <w:t xml:space="preserve">. </w:t>
      </w:r>
    </w:p>
    <w:p w14:paraId="0C8E8799" w14:textId="124013C6" w:rsidR="00C73CDE" w:rsidRPr="00C67737" w:rsidRDefault="00C8309A" w:rsidP="000B33CF">
      <w:pPr>
        <w:pStyle w:val="ListParagraph"/>
      </w:pPr>
      <w:r>
        <w:t>Un montant de 1,795</w:t>
      </w:r>
      <w:r w:rsidR="007377A3">
        <w:t> </w:t>
      </w:r>
      <w:r>
        <w:t>milliard de dollars, soit 94</w:t>
      </w:r>
      <w:r w:rsidR="00966C17">
        <w:t> %</w:t>
      </w:r>
      <w:r>
        <w:t xml:space="preserve"> des ressources allouées, a été programmé au titre du domaine d’intervention «</w:t>
      </w:r>
      <w:r w:rsidR="007377A3">
        <w:t> </w:t>
      </w:r>
      <w:r>
        <w:t>diversité biologique</w:t>
      </w:r>
      <w:r w:rsidR="007377A3">
        <w:t> </w:t>
      </w:r>
      <w:r>
        <w:t>». Le tableau</w:t>
      </w:r>
      <w:r w:rsidR="007377A3">
        <w:t> </w:t>
      </w:r>
      <w:r>
        <w:t xml:space="preserve">5 présente la ventilation par </w:t>
      </w:r>
      <w:r w:rsidR="004630E3">
        <w:t>volet</w:t>
      </w:r>
      <w:r>
        <w:t xml:space="preserve"> de programmation. Sur les 1,45</w:t>
      </w:r>
      <w:r w:rsidR="007377A3">
        <w:t> </w:t>
      </w:r>
      <w:r>
        <w:t xml:space="preserve">milliard de dollars alloués au titre du STAR pour la diversité biologique durant </w:t>
      </w:r>
      <w:r w:rsidR="00376C22">
        <w:t>GEF</w:t>
      </w:r>
      <w:r w:rsidR="00376C22">
        <w:noBreakHyphen/>
      </w:r>
      <w:r>
        <w:t>8, 1,40</w:t>
      </w:r>
      <w:r w:rsidR="007377A3">
        <w:t> </w:t>
      </w:r>
      <w:r>
        <w:t>milliard de dollars, soit 97</w:t>
      </w:r>
      <w:r w:rsidR="00966C17">
        <w:t> %</w:t>
      </w:r>
      <w:r>
        <w:t>, a été programmé</w:t>
      </w:r>
      <w:r w:rsidR="00B26185">
        <w:t>, dont</w:t>
      </w:r>
      <w:r>
        <w:t xml:space="preserve"> 1,32</w:t>
      </w:r>
      <w:r w:rsidR="007377A3">
        <w:t> </w:t>
      </w:r>
      <w:r>
        <w:t>milliard de dollars au titre du STAR pour la diversité biologique programmé</w:t>
      </w:r>
      <w:r w:rsidR="00460665">
        <w:t>s</w:t>
      </w:r>
      <w:r>
        <w:t xml:space="preserve"> dans le domaine d’intervention «</w:t>
      </w:r>
      <w:r w:rsidR="007377A3">
        <w:t> </w:t>
      </w:r>
      <w:r>
        <w:t>diversité biologique</w:t>
      </w:r>
      <w:r w:rsidR="007377A3">
        <w:t> </w:t>
      </w:r>
      <w:r>
        <w:t>» et 85</w:t>
      </w:r>
      <w:r w:rsidR="007377A3">
        <w:t> </w:t>
      </w:r>
      <w:r>
        <w:t>millions de dollars programmés dans les domaines d’intervention «</w:t>
      </w:r>
      <w:r w:rsidR="007377A3">
        <w:t> </w:t>
      </w:r>
      <w:r>
        <w:t>changements climatiques</w:t>
      </w:r>
      <w:r w:rsidR="007377A3">
        <w:t> </w:t>
      </w:r>
      <w:r>
        <w:t>» et «</w:t>
      </w:r>
      <w:r w:rsidR="007377A3">
        <w:t> </w:t>
      </w:r>
      <w:r>
        <w:t>dégradation des terres</w:t>
      </w:r>
      <w:r w:rsidR="007377A3">
        <w:t> </w:t>
      </w:r>
      <w:r>
        <w:t>»</w:t>
      </w:r>
      <w:r w:rsidR="00DF7B8E">
        <w:t>,</w:t>
      </w:r>
      <w:r>
        <w:t xml:space="preserve"> </w:t>
      </w:r>
      <w:r w:rsidR="000D72C6">
        <w:t>conformément aux décisions des points focaux opérationnels du GEF</w:t>
      </w:r>
      <w:r w:rsidR="00035445">
        <w:t>,</w:t>
      </w:r>
      <w:r w:rsidR="000D72C6">
        <w:t xml:space="preserve"> </w:t>
      </w:r>
      <w:r>
        <w:t xml:space="preserve">grâce à la </w:t>
      </w:r>
      <w:r w:rsidR="002E2714">
        <w:t xml:space="preserve">pleine </w:t>
      </w:r>
      <w:r w:rsidR="007C0C92">
        <w:t xml:space="preserve">flexibilité </w:t>
      </w:r>
      <w:r>
        <w:t xml:space="preserve">d’utilisation des allocations STAR. </w:t>
      </w:r>
    </w:p>
    <w:p w14:paraId="2C97AA1F" w14:textId="7F53E759" w:rsidR="006C3F9B" w:rsidRPr="00C67737" w:rsidRDefault="39195C27" w:rsidP="000B33CF">
      <w:pPr>
        <w:pStyle w:val="ListParagraph"/>
      </w:pPr>
      <w:r>
        <w:t>Ces ressources ont appuyé 83</w:t>
      </w:r>
      <w:r w:rsidR="007377A3">
        <w:t> </w:t>
      </w:r>
      <w:r>
        <w:t>projets relevant du domaine d’intervention «</w:t>
      </w:r>
      <w:r w:rsidR="007377A3">
        <w:t> </w:t>
      </w:r>
      <w:r>
        <w:t>diversité biologique</w:t>
      </w:r>
      <w:r w:rsidR="007377A3">
        <w:t> </w:t>
      </w:r>
      <w:r>
        <w:t>», 317</w:t>
      </w:r>
      <w:r w:rsidR="007377A3">
        <w:t> </w:t>
      </w:r>
      <w:r>
        <w:t>projets couvrant plusieurs domaines d’intervention et 21</w:t>
      </w:r>
      <w:r w:rsidR="007377A3">
        <w:t> </w:t>
      </w:r>
      <w:r>
        <w:t>approches programmatiques, dont 11</w:t>
      </w:r>
      <w:r w:rsidR="007377A3">
        <w:t> </w:t>
      </w:r>
      <w:r>
        <w:t xml:space="preserve">programmes intégrés. Les programmes intégrés et </w:t>
      </w:r>
      <w:r w:rsidR="00293892">
        <w:t>programmes</w:t>
      </w:r>
      <w:r w:rsidR="00E975CD">
        <w:t xml:space="preserve"> </w:t>
      </w:r>
      <w:r>
        <w:t>comprenaient 206</w:t>
      </w:r>
      <w:r w:rsidR="007377A3">
        <w:t> </w:t>
      </w:r>
      <w:r>
        <w:t>projets rattachés. Cent quarante-quatre pays ont bénéficié de ces investissements. La liste complète de ces projets figure à l’annexe</w:t>
      </w:r>
      <w:r w:rsidR="007377A3">
        <w:t> </w:t>
      </w:r>
      <w:r>
        <w:t xml:space="preserve">3 du présent rapport. </w:t>
      </w:r>
    </w:p>
    <w:p w14:paraId="11192887" w14:textId="6A20C863" w:rsidR="005D666B" w:rsidRPr="00C67737" w:rsidRDefault="00303020" w:rsidP="00777792">
      <w:pPr>
        <w:pStyle w:val="Caption"/>
        <w:keepLines/>
      </w:pPr>
      <w:bookmarkStart w:id="34" w:name="_Toc242183487"/>
      <w:r>
        <w:lastRenderedPageBreak/>
        <w:t>Tableau</w:t>
      </w:r>
      <w:r w:rsidR="007377A3">
        <w:t> </w:t>
      </w:r>
      <w:r w:rsidRPr="00C67737">
        <w:fldChar w:fldCharType="begin"/>
      </w:r>
      <w:r w:rsidRPr="00C67737">
        <w:instrText>SEQ Table \* ARABIC</w:instrText>
      </w:r>
      <w:r w:rsidRPr="00C67737">
        <w:fldChar w:fldCharType="separate"/>
      </w:r>
      <w:r w:rsidR="006C2F5A">
        <w:rPr>
          <w:noProof/>
        </w:rPr>
        <w:t>5</w:t>
      </w:r>
      <w:r w:rsidRPr="00C67737">
        <w:fldChar w:fldCharType="end"/>
      </w:r>
      <w:r>
        <w:t>. Synthèse de la programmation des ressources du domaine d’intervention «</w:t>
      </w:r>
      <w:r w:rsidR="007377A3">
        <w:t> </w:t>
      </w:r>
      <w:r>
        <w:t>diversité biologique</w:t>
      </w:r>
      <w:r w:rsidR="007377A3">
        <w:t> </w:t>
      </w:r>
      <w:r>
        <w:t xml:space="preserve">» de </w:t>
      </w:r>
      <w:r w:rsidR="00376C22">
        <w:t>GEF</w:t>
      </w:r>
      <w:r w:rsidR="00376C22">
        <w:noBreakHyphen/>
      </w:r>
      <w:r>
        <w:t>8 au cours de la période considérée (1</w:t>
      </w:r>
      <w:r>
        <w:rPr>
          <w:vertAlign w:val="superscript"/>
        </w:rPr>
        <w:t>er</w:t>
      </w:r>
      <w:r w:rsidR="007377A3">
        <w:t> </w:t>
      </w:r>
      <w:r>
        <w:t>juillet 2022 - 30</w:t>
      </w:r>
      <w:r w:rsidR="007377A3">
        <w:t> </w:t>
      </w:r>
      <w:r>
        <w:t>juin</w:t>
      </w:r>
      <w:r w:rsidR="00BE74BF">
        <w:t> </w:t>
      </w:r>
      <w:r>
        <w:t>2026)</w:t>
      </w:r>
      <w:r w:rsidR="005D666B" w:rsidRPr="00C67737">
        <w:rPr>
          <w:vertAlign w:val="superscript"/>
        </w:rPr>
        <w:footnoteReference w:id="15"/>
      </w:r>
      <w:bookmarkEnd w:id="34"/>
    </w:p>
    <w:tbl>
      <w:tblPr>
        <w:tblW w:w="9360" w:type="dxa"/>
        <w:tblLook w:val="04A0" w:firstRow="1" w:lastRow="0" w:firstColumn="1" w:lastColumn="0" w:noHBand="0" w:noVBand="1"/>
      </w:tblPr>
      <w:tblGrid>
        <w:gridCol w:w="3691"/>
        <w:gridCol w:w="1929"/>
        <w:gridCol w:w="2086"/>
        <w:gridCol w:w="1654"/>
      </w:tblGrid>
      <w:tr w:rsidR="00061927" w:rsidRPr="00C67737" w14:paraId="2B997880" w14:textId="0E1CC446" w:rsidTr="002D44E2">
        <w:trPr>
          <w:trHeight w:val="888"/>
        </w:trPr>
        <w:tc>
          <w:tcPr>
            <w:tcW w:w="3832" w:type="dxa"/>
            <w:tcBorders>
              <w:top w:val="single" w:sz="12" w:space="0" w:color="008000"/>
              <w:left w:val="nil"/>
              <w:bottom w:val="single" w:sz="4" w:space="0" w:color="auto"/>
              <w:right w:val="nil"/>
            </w:tcBorders>
            <w:vAlign w:val="center"/>
            <w:hideMark/>
          </w:tcPr>
          <w:p w14:paraId="668BF42A" w14:textId="73B73356" w:rsidR="00F41D83" w:rsidRPr="00C67737" w:rsidRDefault="00F41D83" w:rsidP="00777792">
            <w:pPr>
              <w:keepNext/>
              <w:keepLines/>
              <w:jc w:val="center"/>
              <w:rPr>
                <w:rFonts w:ascii="Calibri" w:eastAsia="Times New Roman" w:hAnsi="Calibri" w:cs="Calibri"/>
                <w:b/>
                <w:color w:val="000000" w:themeColor="text1"/>
              </w:rPr>
            </w:pPr>
            <w:bookmarkStart w:id="35" w:name="_Hlk160528112"/>
            <w:bookmarkStart w:id="36" w:name="_Toc102227399"/>
            <w:r>
              <w:rPr>
                <w:b/>
                <w:color w:val="000000" w:themeColor="text1"/>
              </w:rPr>
              <w:t>Domaine d’intervention «</w:t>
            </w:r>
            <w:r w:rsidR="007377A3">
              <w:rPr>
                <w:b/>
                <w:color w:val="000000" w:themeColor="text1"/>
              </w:rPr>
              <w:t> </w:t>
            </w:r>
            <w:r>
              <w:rPr>
                <w:b/>
                <w:color w:val="000000" w:themeColor="text1"/>
              </w:rPr>
              <w:t>diversité biologique</w:t>
            </w:r>
            <w:r w:rsidR="007377A3">
              <w:rPr>
                <w:b/>
                <w:color w:val="000000" w:themeColor="text1"/>
              </w:rPr>
              <w:t> </w:t>
            </w:r>
            <w:r>
              <w:rPr>
                <w:b/>
                <w:color w:val="000000" w:themeColor="text1"/>
              </w:rPr>
              <w:t xml:space="preserve">» </w:t>
            </w:r>
          </w:p>
        </w:tc>
        <w:tc>
          <w:tcPr>
            <w:tcW w:w="1951" w:type="dxa"/>
            <w:tcBorders>
              <w:top w:val="single" w:sz="12" w:space="0" w:color="008000"/>
              <w:left w:val="nil"/>
              <w:bottom w:val="single" w:sz="4" w:space="0" w:color="auto"/>
              <w:right w:val="nil"/>
            </w:tcBorders>
            <w:vAlign w:val="center"/>
            <w:hideMark/>
          </w:tcPr>
          <w:p w14:paraId="264A8486" w14:textId="50C43E0F" w:rsidR="00C413F5" w:rsidRPr="00C67737" w:rsidRDefault="00F41D83" w:rsidP="00777792">
            <w:pPr>
              <w:keepNext/>
              <w:keepLines/>
              <w:jc w:val="center"/>
              <w:rPr>
                <w:rFonts w:eastAsia="Times New Roman" w:cstheme="minorHAnsi"/>
                <w:b/>
                <w:bCs/>
                <w:color w:val="000000" w:themeColor="text1"/>
              </w:rPr>
            </w:pPr>
            <w:r>
              <w:rPr>
                <w:b/>
                <w:color w:val="000000" w:themeColor="text1"/>
              </w:rPr>
              <w:t xml:space="preserve">Objectifs de programmation de </w:t>
            </w:r>
            <w:r w:rsidR="00376C22">
              <w:rPr>
                <w:b/>
                <w:color w:val="000000" w:themeColor="text1"/>
              </w:rPr>
              <w:t>GEF</w:t>
            </w:r>
            <w:r w:rsidR="00376C22">
              <w:rPr>
                <w:b/>
                <w:color w:val="000000" w:themeColor="text1"/>
              </w:rPr>
              <w:noBreakHyphen/>
            </w:r>
            <w:r>
              <w:rPr>
                <w:b/>
                <w:color w:val="000000" w:themeColor="text1"/>
              </w:rPr>
              <w:t>8</w:t>
            </w:r>
          </w:p>
          <w:p w14:paraId="2222EF50" w14:textId="0D79EEF2" w:rsidR="00F41D83" w:rsidRPr="00C67737" w:rsidRDefault="00F41D83" w:rsidP="00777792">
            <w:pPr>
              <w:keepNext/>
              <w:keepLines/>
              <w:jc w:val="center"/>
              <w:rPr>
                <w:rFonts w:ascii="Calibri" w:eastAsia="Times New Roman" w:hAnsi="Calibri" w:cs="Calibri"/>
                <w:b/>
                <w:color w:val="000000" w:themeColor="text1"/>
              </w:rPr>
            </w:pPr>
            <w:r>
              <w:rPr>
                <w:b/>
                <w:color w:val="000000" w:themeColor="text1"/>
              </w:rPr>
              <w:t>(USD million)</w:t>
            </w:r>
          </w:p>
        </w:tc>
        <w:tc>
          <w:tcPr>
            <w:tcW w:w="2121" w:type="dxa"/>
            <w:tcBorders>
              <w:top w:val="single" w:sz="12" w:space="0" w:color="008000"/>
              <w:left w:val="nil"/>
              <w:bottom w:val="single" w:sz="4" w:space="0" w:color="auto"/>
              <w:right w:val="nil"/>
            </w:tcBorders>
            <w:vAlign w:val="center"/>
            <w:hideMark/>
          </w:tcPr>
          <w:p w14:paraId="76DD7690" w14:textId="3A1677B6" w:rsidR="00C413F5" w:rsidRPr="00C67737" w:rsidRDefault="00F41D83" w:rsidP="00777792">
            <w:pPr>
              <w:keepNext/>
              <w:keepLines/>
              <w:jc w:val="center"/>
              <w:rPr>
                <w:rFonts w:eastAsia="Times New Roman" w:cstheme="minorHAnsi"/>
                <w:b/>
                <w:bCs/>
                <w:color w:val="000000" w:themeColor="text1"/>
              </w:rPr>
            </w:pPr>
            <w:r>
              <w:rPr>
                <w:b/>
                <w:color w:val="000000" w:themeColor="text1"/>
              </w:rPr>
              <w:t xml:space="preserve">Programmation de </w:t>
            </w:r>
            <w:r w:rsidR="00376C22">
              <w:rPr>
                <w:b/>
                <w:color w:val="000000" w:themeColor="text1"/>
              </w:rPr>
              <w:t>GEF</w:t>
            </w:r>
            <w:r w:rsidR="00376C22">
              <w:rPr>
                <w:b/>
                <w:color w:val="000000" w:themeColor="text1"/>
              </w:rPr>
              <w:noBreakHyphen/>
            </w:r>
            <w:r>
              <w:rPr>
                <w:b/>
                <w:color w:val="000000" w:themeColor="text1"/>
              </w:rPr>
              <w:t>8 durant la période considérée</w:t>
            </w:r>
          </w:p>
          <w:p w14:paraId="314393CD" w14:textId="4C2565C8" w:rsidR="00F41D83" w:rsidRPr="00C67737" w:rsidRDefault="00F41D83" w:rsidP="00777792">
            <w:pPr>
              <w:keepNext/>
              <w:keepLines/>
              <w:jc w:val="center"/>
              <w:rPr>
                <w:rFonts w:ascii="Calibri" w:eastAsia="Times New Roman" w:hAnsi="Calibri" w:cs="Calibri"/>
                <w:b/>
                <w:color w:val="000000" w:themeColor="text1"/>
              </w:rPr>
            </w:pPr>
            <w:r>
              <w:rPr>
                <w:b/>
                <w:color w:val="000000" w:themeColor="text1"/>
              </w:rPr>
              <w:t>(USD million)</w:t>
            </w:r>
          </w:p>
        </w:tc>
        <w:tc>
          <w:tcPr>
            <w:tcW w:w="1456" w:type="dxa"/>
            <w:tcBorders>
              <w:top w:val="single" w:sz="12" w:space="0" w:color="008000"/>
              <w:left w:val="nil"/>
              <w:bottom w:val="single" w:sz="4" w:space="0" w:color="auto"/>
              <w:right w:val="nil"/>
            </w:tcBorders>
            <w:vAlign w:val="center"/>
            <w:hideMark/>
          </w:tcPr>
          <w:p w14:paraId="0889DABF" w14:textId="685BB4FC" w:rsidR="00F41D83" w:rsidRPr="00C67737" w:rsidRDefault="00F41D83" w:rsidP="00777792">
            <w:pPr>
              <w:keepNext/>
              <w:keepLines/>
              <w:jc w:val="center"/>
              <w:rPr>
                <w:rFonts w:ascii="Calibri" w:eastAsia="Times New Roman" w:hAnsi="Calibri" w:cs="Calibri"/>
                <w:b/>
                <w:color w:val="000000" w:themeColor="text1"/>
              </w:rPr>
            </w:pPr>
            <w:r>
              <w:rPr>
                <w:b/>
                <w:color w:val="000000" w:themeColor="text1"/>
              </w:rPr>
              <w:t xml:space="preserve">Programmation de </w:t>
            </w:r>
            <w:r w:rsidR="00376C22">
              <w:rPr>
                <w:b/>
                <w:color w:val="000000" w:themeColor="text1"/>
              </w:rPr>
              <w:t>GEF</w:t>
            </w:r>
            <w:r w:rsidR="00376C22">
              <w:rPr>
                <w:b/>
                <w:color w:val="000000" w:themeColor="text1"/>
              </w:rPr>
              <w:noBreakHyphen/>
            </w:r>
            <w:r>
              <w:rPr>
                <w:b/>
                <w:color w:val="000000" w:themeColor="text1"/>
              </w:rPr>
              <w:t>8 (%)</w:t>
            </w:r>
          </w:p>
        </w:tc>
      </w:tr>
      <w:tr w:rsidR="001C37B2" w:rsidRPr="00C67737" w14:paraId="31CDCFE6" w14:textId="19BB9785" w:rsidTr="0004312D">
        <w:trPr>
          <w:trHeight w:val="285"/>
        </w:trPr>
        <w:tc>
          <w:tcPr>
            <w:tcW w:w="3832" w:type="dxa"/>
            <w:tcBorders>
              <w:top w:val="single" w:sz="4" w:space="0" w:color="auto"/>
              <w:left w:val="nil"/>
              <w:bottom w:val="nil"/>
              <w:right w:val="nil"/>
            </w:tcBorders>
            <w:vAlign w:val="center"/>
            <w:hideMark/>
          </w:tcPr>
          <w:p w14:paraId="767B37D9" w14:textId="13B7DACE" w:rsidR="001C37B2" w:rsidRPr="00C67737" w:rsidRDefault="001C37B2" w:rsidP="00777792">
            <w:pPr>
              <w:keepNext/>
              <w:keepLines/>
              <w:rPr>
                <w:rFonts w:eastAsia="Times New Roman" w:cstheme="minorHAnsi"/>
                <w:b/>
                <w:bCs/>
                <w:i/>
                <w:iCs/>
                <w:color w:val="000000" w:themeColor="text1"/>
              </w:rPr>
            </w:pPr>
            <w:r>
              <w:rPr>
                <w:b/>
                <w:bCs/>
                <w:i/>
                <w:iCs/>
              </w:rPr>
              <w:t>Allocations nationales STAR affectées à des activités hors programmes intégrés</w:t>
            </w:r>
            <w:r w:rsidRPr="00C67737">
              <w:rPr>
                <w:rStyle w:val="FootnoteReference"/>
                <w:rFonts w:eastAsia="Times New Roman" w:cstheme="minorHAnsi"/>
                <w:b/>
                <w:bCs/>
                <w:i/>
                <w:iCs/>
                <w:color w:val="000000" w:themeColor="text1"/>
              </w:rPr>
              <w:footnoteReference w:id="16"/>
            </w:r>
            <w:r>
              <w:t xml:space="preserve"> </w:t>
            </w:r>
          </w:p>
        </w:tc>
        <w:tc>
          <w:tcPr>
            <w:tcW w:w="1951" w:type="dxa"/>
            <w:tcBorders>
              <w:top w:val="single" w:sz="4" w:space="0" w:color="auto"/>
              <w:left w:val="nil"/>
              <w:bottom w:val="nil"/>
              <w:right w:val="nil"/>
            </w:tcBorders>
            <w:vAlign w:val="center"/>
            <w:hideMark/>
          </w:tcPr>
          <w:p w14:paraId="701A6941" w14:textId="1ADE91C5" w:rsidR="001C37B2" w:rsidRPr="00C67737" w:rsidRDefault="001C37B2" w:rsidP="00777792">
            <w:pPr>
              <w:keepNext/>
              <w:keepLines/>
              <w:jc w:val="right"/>
              <w:rPr>
                <w:rFonts w:eastAsia="Times New Roman" w:cstheme="minorHAnsi"/>
                <w:b/>
                <w:i/>
                <w:color w:val="000000" w:themeColor="text1"/>
              </w:rPr>
            </w:pPr>
            <w:r>
              <w:rPr>
                <w:b/>
                <w:i/>
                <w:color w:val="000000" w:themeColor="text1"/>
              </w:rPr>
              <w:t xml:space="preserve">811,89 </w:t>
            </w:r>
          </w:p>
        </w:tc>
        <w:tc>
          <w:tcPr>
            <w:tcW w:w="2121" w:type="dxa"/>
            <w:tcBorders>
              <w:top w:val="single" w:sz="4" w:space="0" w:color="auto"/>
              <w:left w:val="nil"/>
              <w:bottom w:val="nil"/>
              <w:right w:val="nil"/>
            </w:tcBorders>
            <w:vAlign w:val="center"/>
            <w:hideMark/>
          </w:tcPr>
          <w:p w14:paraId="4044D255" w14:textId="4FC4DB51" w:rsidR="001C37B2" w:rsidRPr="00C67737" w:rsidRDefault="001C37B2" w:rsidP="00777792">
            <w:pPr>
              <w:keepNext/>
              <w:keepLines/>
              <w:jc w:val="right"/>
              <w:rPr>
                <w:rFonts w:eastAsia="Times New Roman" w:cstheme="minorHAnsi"/>
                <w:b/>
                <w:bCs/>
                <w:i/>
                <w:color w:val="000000" w:themeColor="text1"/>
              </w:rPr>
            </w:pPr>
            <w:r>
              <w:rPr>
                <w:b/>
              </w:rPr>
              <w:t xml:space="preserve"> 687,97 </w:t>
            </w:r>
          </w:p>
        </w:tc>
        <w:tc>
          <w:tcPr>
            <w:tcW w:w="1456" w:type="dxa"/>
            <w:tcBorders>
              <w:top w:val="single" w:sz="4" w:space="0" w:color="auto"/>
              <w:left w:val="nil"/>
              <w:bottom w:val="nil"/>
              <w:right w:val="nil"/>
            </w:tcBorders>
            <w:vAlign w:val="center"/>
            <w:hideMark/>
          </w:tcPr>
          <w:p w14:paraId="2B45DA20" w14:textId="15C814BD" w:rsidR="001C37B2" w:rsidRPr="00C67737" w:rsidRDefault="001C37B2" w:rsidP="00777792">
            <w:pPr>
              <w:keepNext/>
              <w:keepLines/>
              <w:jc w:val="right"/>
              <w:rPr>
                <w:rFonts w:eastAsia="Times New Roman" w:cstheme="minorHAnsi"/>
                <w:b/>
                <w:bCs/>
                <w:i/>
                <w:color w:val="000000" w:themeColor="text1"/>
              </w:rPr>
            </w:pPr>
            <w:r>
              <w:rPr>
                <w:b/>
              </w:rPr>
              <w:t>85</w:t>
            </w:r>
            <w:r w:rsidR="00966C17">
              <w:rPr>
                <w:b/>
              </w:rPr>
              <w:t> %</w:t>
            </w:r>
            <w:r w:rsidR="007377A3">
              <w:rPr>
                <w:b/>
              </w:rPr>
              <w:t> </w:t>
            </w:r>
            <w:r>
              <w:rPr>
                <w:rFonts w:ascii="ZWAdobeF" w:hAnsi="ZWAdobeF"/>
                <w:sz w:val="2"/>
              </w:rPr>
              <w:t>14F</w:t>
            </w:r>
            <w:r w:rsidR="005E307D" w:rsidRPr="00C67737">
              <w:rPr>
                <w:rStyle w:val="FootnoteReference"/>
                <w:b/>
                <w:bCs/>
              </w:rPr>
              <w:footnoteReference w:id="17"/>
            </w:r>
          </w:p>
        </w:tc>
      </w:tr>
      <w:tr w:rsidR="001C37B2" w:rsidRPr="00C67737" w14:paraId="3CB44C91" w14:textId="75F25C5B" w:rsidTr="0004312D">
        <w:trPr>
          <w:trHeight w:val="285"/>
        </w:trPr>
        <w:tc>
          <w:tcPr>
            <w:tcW w:w="3832" w:type="dxa"/>
            <w:tcBorders>
              <w:top w:val="nil"/>
              <w:left w:val="nil"/>
              <w:bottom w:val="nil"/>
              <w:right w:val="nil"/>
            </w:tcBorders>
            <w:shd w:val="clear" w:color="auto" w:fill="F2F2F2" w:themeFill="background1" w:themeFillShade="F2"/>
            <w:vAlign w:val="center"/>
            <w:hideMark/>
          </w:tcPr>
          <w:p w14:paraId="3FAD6EF7" w14:textId="2EC4F90D" w:rsidR="001C37B2" w:rsidRPr="00C67737" w:rsidRDefault="001C37B2" w:rsidP="00777792">
            <w:pPr>
              <w:keepNext/>
              <w:keepLines/>
              <w:rPr>
                <w:rFonts w:eastAsia="Times New Roman" w:cstheme="minorHAnsi"/>
                <w:b/>
                <w:bCs/>
                <w:i/>
                <w:iCs/>
                <w:color w:val="000000" w:themeColor="text1"/>
              </w:rPr>
            </w:pPr>
            <w:r>
              <w:rPr>
                <w:b/>
                <w:i/>
                <w:color w:val="000000" w:themeColor="text1"/>
              </w:rPr>
              <w:t>Ressources réservées au titre du STAR, hors programmes intégrés</w:t>
            </w:r>
          </w:p>
        </w:tc>
        <w:tc>
          <w:tcPr>
            <w:tcW w:w="1951" w:type="dxa"/>
            <w:tcBorders>
              <w:top w:val="nil"/>
              <w:left w:val="nil"/>
              <w:bottom w:val="nil"/>
              <w:right w:val="nil"/>
            </w:tcBorders>
            <w:shd w:val="clear" w:color="auto" w:fill="F2F2F2" w:themeFill="background1" w:themeFillShade="F2"/>
            <w:vAlign w:val="center"/>
            <w:hideMark/>
          </w:tcPr>
          <w:p w14:paraId="7B86CD59" w14:textId="1E4A559E" w:rsidR="001C37B2" w:rsidRPr="00C67737" w:rsidRDefault="001C37B2" w:rsidP="00777792">
            <w:pPr>
              <w:keepNext/>
              <w:keepLines/>
              <w:jc w:val="right"/>
              <w:rPr>
                <w:rFonts w:eastAsia="Times New Roman" w:cstheme="minorHAnsi"/>
                <w:b/>
                <w:i/>
                <w:color w:val="000000" w:themeColor="text1"/>
              </w:rPr>
            </w:pPr>
            <w:r>
              <w:rPr>
                <w:b/>
                <w:i/>
                <w:color w:val="000000" w:themeColor="text1"/>
              </w:rPr>
              <w:t xml:space="preserve">182,85 </w:t>
            </w:r>
          </w:p>
        </w:tc>
        <w:tc>
          <w:tcPr>
            <w:tcW w:w="2121" w:type="dxa"/>
            <w:tcBorders>
              <w:top w:val="nil"/>
              <w:left w:val="nil"/>
              <w:bottom w:val="nil"/>
              <w:right w:val="nil"/>
            </w:tcBorders>
            <w:shd w:val="clear" w:color="auto" w:fill="F2F2F2" w:themeFill="background1" w:themeFillShade="F2"/>
            <w:vAlign w:val="center"/>
            <w:hideMark/>
          </w:tcPr>
          <w:p w14:paraId="7D80C471" w14:textId="713AE92A" w:rsidR="001C37B2" w:rsidRPr="00C67737" w:rsidRDefault="001C37B2" w:rsidP="00777792">
            <w:pPr>
              <w:keepNext/>
              <w:keepLines/>
              <w:jc w:val="right"/>
              <w:rPr>
                <w:rFonts w:eastAsia="Times New Roman" w:cstheme="minorHAnsi"/>
                <w:b/>
                <w:bCs/>
                <w:i/>
                <w:color w:val="000000" w:themeColor="text1"/>
              </w:rPr>
            </w:pPr>
            <w:r>
              <w:rPr>
                <w:b/>
              </w:rPr>
              <w:t xml:space="preserve"> 197,81 </w:t>
            </w:r>
          </w:p>
        </w:tc>
        <w:tc>
          <w:tcPr>
            <w:tcW w:w="1456" w:type="dxa"/>
            <w:tcBorders>
              <w:top w:val="nil"/>
              <w:left w:val="nil"/>
              <w:bottom w:val="nil"/>
              <w:right w:val="nil"/>
            </w:tcBorders>
            <w:shd w:val="clear" w:color="auto" w:fill="F2F2F2" w:themeFill="background1" w:themeFillShade="F2"/>
            <w:hideMark/>
          </w:tcPr>
          <w:p w14:paraId="4FFD1FA8" w14:textId="4BA21EEE" w:rsidR="001C37B2" w:rsidRPr="00C67737" w:rsidRDefault="001C37B2" w:rsidP="00777792">
            <w:pPr>
              <w:keepNext/>
              <w:keepLines/>
              <w:jc w:val="right"/>
              <w:rPr>
                <w:rFonts w:eastAsia="Times New Roman" w:cstheme="minorHAnsi"/>
                <w:b/>
                <w:bCs/>
                <w:i/>
                <w:color w:val="000000" w:themeColor="text1"/>
              </w:rPr>
            </w:pPr>
            <w:r>
              <w:rPr>
                <w:b/>
              </w:rPr>
              <w:t>108</w:t>
            </w:r>
            <w:r w:rsidR="00966C17">
              <w:rPr>
                <w:b/>
              </w:rPr>
              <w:t> %</w:t>
            </w:r>
          </w:p>
        </w:tc>
      </w:tr>
      <w:tr w:rsidR="001C37B2" w:rsidRPr="00C67737" w14:paraId="67BDEEF9" w14:textId="329ADF79" w:rsidTr="0004312D">
        <w:trPr>
          <w:trHeight w:val="285"/>
        </w:trPr>
        <w:tc>
          <w:tcPr>
            <w:tcW w:w="3832" w:type="dxa"/>
            <w:tcBorders>
              <w:top w:val="nil"/>
              <w:left w:val="nil"/>
              <w:bottom w:val="nil"/>
              <w:right w:val="nil"/>
            </w:tcBorders>
            <w:shd w:val="clear" w:color="auto" w:fill="F2F2F2" w:themeFill="background1" w:themeFillShade="F2"/>
            <w:vAlign w:val="center"/>
            <w:hideMark/>
          </w:tcPr>
          <w:p w14:paraId="6BEA3D07" w14:textId="25208E04" w:rsidR="001C37B2" w:rsidRPr="00C67737" w:rsidRDefault="001C37B2" w:rsidP="00777792">
            <w:pPr>
              <w:keepNext/>
              <w:keepLines/>
              <w:jc w:val="right"/>
              <w:rPr>
                <w:rFonts w:eastAsia="Times New Roman" w:cstheme="minorHAnsi"/>
                <w:color w:val="000000" w:themeColor="text1"/>
                <w:sz w:val="20"/>
                <w:szCs w:val="20"/>
              </w:rPr>
            </w:pPr>
            <w:r>
              <w:rPr>
                <w:color w:val="000000" w:themeColor="text1"/>
                <w:sz w:val="20"/>
              </w:rPr>
              <w:t>Activités habilitantes</w:t>
            </w:r>
          </w:p>
        </w:tc>
        <w:tc>
          <w:tcPr>
            <w:tcW w:w="1951" w:type="dxa"/>
            <w:tcBorders>
              <w:top w:val="nil"/>
              <w:left w:val="nil"/>
              <w:bottom w:val="nil"/>
              <w:right w:val="nil"/>
            </w:tcBorders>
            <w:shd w:val="clear" w:color="auto" w:fill="F2F2F2" w:themeFill="background1" w:themeFillShade="F2"/>
            <w:vAlign w:val="center"/>
            <w:hideMark/>
          </w:tcPr>
          <w:p w14:paraId="14341408" w14:textId="0A566EC4" w:rsidR="001C37B2" w:rsidRPr="00C67737" w:rsidRDefault="001C37B2" w:rsidP="00777792">
            <w:pPr>
              <w:keepNext/>
              <w:keepLines/>
              <w:jc w:val="right"/>
              <w:rPr>
                <w:rFonts w:eastAsia="Times New Roman" w:cstheme="minorHAnsi"/>
                <w:color w:val="000000" w:themeColor="text1"/>
                <w:sz w:val="20"/>
                <w:szCs w:val="20"/>
              </w:rPr>
            </w:pPr>
            <w:r>
              <w:rPr>
                <w:color w:val="000000" w:themeColor="text1"/>
                <w:sz w:val="20"/>
              </w:rPr>
              <w:t xml:space="preserve">145,56 </w:t>
            </w:r>
          </w:p>
        </w:tc>
        <w:tc>
          <w:tcPr>
            <w:tcW w:w="2121" w:type="dxa"/>
            <w:tcBorders>
              <w:top w:val="nil"/>
              <w:left w:val="nil"/>
              <w:bottom w:val="nil"/>
              <w:right w:val="nil"/>
            </w:tcBorders>
            <w:shd w:val="clear" w:color="auto" w:fill="F2F2F2" w:themeFill="background1" w:themeFillShade="F2"/>
            <w:vAlign w:val="center"/>
            <w:hideMark/>
          </w:tcPr>
          <w:p w14:paraId="2CF12C55" w14:textId="67FA9FFA" w:rsidR="001C37B2" w:rsidRPr="00C67737" w:rsidRDefault="001C37B2" w:rsidP="00777792">
            <w:pPr>
              <w:keepNext/>
              <w:keepLines/>
              <w:jc w:val="right"/>
              <w:rPr>
                <w:rFonts w:eastAsia="Times New Roman" w:cstheme="minorHAnsi"/>
                <w:color w:val="000000" w:themeColor="text1"/>
                <w:sz w:val="20"/>
                <w:szCs w:val="20"/>
              </w:rPr>
            </w:pPr>
            <w:r>
              <w:rPr>
                <w:sz w:val="20"/>
              </w:rPr>
              <w:t xml:space="preserve"> 132,83 </w:t>
            </w:r>
          </w:p>
        </w:tc>
        <w:tc>
          <w:tcPr>
            <w:tcW w:w="1456" w:type="dxa"/>
            <w:tcBorders>
              <w:top w:val="nil"/>
              <w:left w:val="nil"/>
              <w:bottom w:val="nil"/>
              <w:right w:val="nil"/>
            </w:tcBorders>
            <w:shd w:val="clear" w:color="auto" w:fill="F2F2F2" w:themeFill="background1" w:themeFillShade="F2"/>
            <w:hideMark/>
          </w:tcPr>
          <w:p w14:paraId="3B3E7FE9" w14:textId="2618A29E" w:rsidR="001C37B2" w:rsidRPr="00C67737" w:rsidRDefault="001C37B2" w:rsidP="00777792">
            <w:pPr>
              <w:keepNext/>
              <w:keepLines/>
              <w:jc w:val="right"/>
              <w:rPr>
                <w:rFonts w:eastAsia="Times New Roman" w:cstheme="minorHAnsi"/>
                <w:color w:val="000000" w:themeColor="text1"/>
                <w:sz w:val="20"/>
                <w:szCs w:val="20"/>
              </w:rPr>
            </w:pPr>
            <w:r>
              <w:t>91</w:t>
            </w:r>
            <w:r w:rsidR="00966C17">
              <w:t> %</w:t>
            </w:r>
          </w:p>
        </w:tc>
      </w:tr>
      <w:tr w:rsidR="001C37B2" w:rsidRPr="00C67737" w14:paraId="66AADF56" w14:textId="1CBD521D" w:rsidTr="0004312D">
        <w:trPr>
          <w:trHeight w:val="570"/>
        </w:trPr>
        <w:tc>
          <w:tcPr>
            <w:tcW w:w="3832" w:type="dxa"/>
            <w:tcBorders>
              <w:top w:val="nil"/>
              <w:left w:val="nil"/>
              <w:bottom w:val="nil"/>
              <w:right w:val="nil"/>
            </w:tcBorders>
            <w:shd w:val="clear" w:color="auto" w:fill="F2F2F2" w:themeFill="background1" w:themeFillShade="F2"/>
            <w:vAlign w:val="center"/>
            <w:hideMark/>
          </w:tcPr>
          <w:p w14:paraId="7C85C4C8" w14:textId="0160BE61" w:rsidR="001C37B2" w:rsidRPr="00C67737" w:rsidRDefault="001C37B2" w:rsidP="00777792">
            <w:pPr>
              <w:keepNext/>
              <w:keepLines/>
              <w:jc w:val="right"/>
              <w:rPr>
                <w:rFonts w:eastAsia="Times New Roman" w:cstheme="minorHAnsi"/>
                <w:color w:val="000000" w:themeColor="text1"/>
                <w:sz w:val="20"/>
                <w:szCs w:val="20"/>
              </w:rPr>
            </w:pPr>
            <w:r>
              <w:rPr>
                <w:color w:val="000000" w:themeColor="text1"/>
                <w:sz w:val="20"/>
              </w:rPr>
              <w:t xml:space="preserve">Projets et programmes mondiaux et régionaux liés à la biodiversité </w:t>
            </w:r>
          </w:p>
        </w:tc>
        <w:tc>
          <w:tcPr>
            <w:tcW w:w="1951" w:type="dxa"/>
            <w:tcBorders>
              <w:top w:val="nil"/>
              <w:left w:val="nil"/>
              <w:bottom w:val="nil"/>
              <w:right w:val="nil"/>
            </w:tcBorders>
            <w:shd w:val="clear" w:color="auto" w:fill="F2F2F2" w:themeFill="background1" w:themeFillShade="F2"/>
            <w:vAlign w:val="center"/>
            <w:hideMark/>
          </w:tcPr>
          <w:p w14:paraId="32DB364D" w14:textId="4252B69A" w:rsidR="001C37B2" w:rsidRPr="00C67737" w:rsidRDefault="001C37B2" w:rsidP="00777792">
            <w:pPr>
              <w:keepNext/>
              <w:keepLines/>
              <w:jc w:val="right"/>
              <w:rPr>
                <w:rFonts w:eastAsia="Times New Roman" w:cstheme="minorHAnsi"/>
                <w:color w:val="000000" w:themeColor="text1"/>
                <w:sz w:val="20"/>
                <w:szCs w:val="20"/>
              </w:rPr>
            </w:pPr>
            <w:r>
              <w:rPr>
                <w:color w:val="000000" w:themeColor="text1"/>
                <w:sz w:val="20"/>
              </w:rPr>
              <w:t xml:space="preserve">37,29 </w:t>
            </w:r>
          </w:p>
        </w:tc>
        <w:tc>
          <w:tcPr>
            <w:tcW w:w="2121" w:type="dxa"/>
            <w:tcBorders>
              <w:top w:val="nil"/>
              <w:left w:val="nil"/>
              <w:bottom w:val="nil"/>
              <w:right w:val="nil"/>
            </w:tcBorders>
            <w:shd w:val="clear" w:color="auto" w:fill="F2F2F2" w:themeFill="background1" w:themeFillShade="F2"/>
            <w:vAlign w:val="center"/>
            <w:hideMark/>
          </w:tcPr>
          <w:p w14:paraId="1EBEF560" w14:textId="0E654391" w:rsidR="001C37B2" w:rsidRPr="00C67737" w:rsidRDefault="001C37B2" w:rsidP="00777792">
            <w:pPr>
              <w:keepNext/>
              <w:keepLines/>
              <w:jc w:val="right"/>
              <w:rPr>
                <w:rFonts w:eastAsia="Times New Roman" w:cstheme="minorHAnsi"/>
                <w:color w:val="000000" w:themeColor="text1"/>
                <w:sz w:val="20"/>
                <w:szCs w:val="20"/>
              </w:rPr>
            </w:pPr>
            <w:r>
              <w:rPr>
                <w:sz w:val="20"/>
              </w:rPr>
              <w:t xml:space="preserve"> 64,98 </w:t>
            </w:r>
          </w:p>
        </w:tc>
        <w:tc>
          <w:tcPr>
            <w:tcW w:w="1456" w:type="dxa"/>
            <w:tcBorders>
              <w:top w:val="nil"/>
              <w:left w:val="nil"/>
              <w:bottom w:val="nil"/>
              <w:right w:val="nil"/>
            </w:tcBorders>
            <w:shd w:val="clear" w:color="auto" w:fill="F2F2F2" w:themeFill="background1" w:themeFillShade="F2"/>
            <w:vAlign w:val="center"/>
            <w:hideMark/>
          </w:tcPr>
          <w:p w14:paraId="1ED82FB4" w14:textId="57ACF17B" w:rsidR="001C37B2" w:rsidRPr="00C67737" w:rsidRDefault="001C37B2" w:rsidP="00777792">
            <w:pPr>
              <w:keepNext/>
              <w:keepLines/>
              <w:jc w:val="right"/>
              <w:rPr>
                <w:rFonts w:eastAsia="Times New Roman" w:cstheme="minorHAnsi"/>
                <w:color w:val="000000" w:themeColor="text1"/>
                <w:sz w:val="20"/>
                <w:szCs w:val="20"/>
              </w:rPr>
            </w:pPr>
            <w:r>
              <w:t>174</w:t>
            </w:r>
            <w:r w:rsidR="00966C17">
              <w:t> %</w:t>
            </w:r>
          </w:p>
        </w:tc>
      </w:tr>
      <w:tr w:rsidR="001C37B2" w:rsidRPr="00C67737" w14:paraId="5D00623B" w14:textId="25093151" w:rsidTr="0004312D">
        <w:trPr>
          <w:trHeight w:val="285"/>
        </w:trPr>
        <w:tc>
          <w:tcPr>
            <w:tcW w:w="3832" w:type="dxa"/>
            <w:tcBorders>
              <w:top w:val="nil"/>
              <w:left w:val="nil"/>
              <w:bottom w:val="nil"/>
              <w:right w:val="nil"/>
            </w:tcBorders>
            <w:vAlign w:val="center"/>
            <w:hideMark/>
          </w:tcPr>
          <w:p w14:paraId="4446C301" w14:textId="52155E01" w:rsidR="001C37B2" w:rsidRPr="00C67737" w:rsidRDefault="001C37B2" w:rsidP="00777792">
            <w:pPr>
              <w:keepNext/>
              <w:keepLines/>
              <w:rPr>
                <w:rFonts w:eastAsia="Times New Roman" w:cstheme="minorHAnsi"/>
                <w:b/>
                <w:bCs/>
                <w:i/>
                <w:iCs/>
                <w:color w:val="000000" w:themeColor="text1"/>
              </w:rPr>
            </w:pPr>
            <w:r>
              <w:rPr>
                <w:b/>
                <w:i/>
                <w:color w:val="000000" w:themeColor="text1"/>
              </w:rPr>
              <w:t>Programmes intégrés</w:t>
            </w:r>
            <w:r w:rsidRPr="00C67737">
              <w:rPr>
                <w:rStyle w:val="FootnoteReference"/>
                <w:rFonts w:eastAsia="Times New Roman" w:cstheme="minorHAnsi"/>
                <w:b/>
                <w:bCs/>
                <w:i/>
                <w:iCs/>
                <w:color w:val="000000" w:themeColor="text1"/>
              </w:rPr>
              <w:footnoteReference w:id="18"/>
            </w:r>
          </w:p>
        </w:tc>
        <w:tc>
          <w:tcPr>
            <w:tcW w:w="1951" w:type="dxa"/>
            <w:tcBorders>
              <w:top w:val="nil"/>
              <w:left w:val="nil"/>
              <w:bottom w:val="nil"/>
              <w:right w:val="nil"/>
            </w:tcBorders>
            <w:vAlign w:val="center"/>
            <w:hideMark/>
          </w:tcPr>
          <w:p w14:paraId="69B3D241" w14:textId="694BE3A3" w:rsidR="001C37B2" w:rsidRPr="00C67737" w:rsidRDefault="001C37B2" w:rsidP="00777792">
            <w:pPr>
              <w:keepNext/>
              <w:keepLines/>
              <w:jc w:val="right"/>
              <w:rPr>
                <w:rFonts w:eastAsia="Times New Roman" w:cstheme="minorHAnsi"/>
                <w:b/>
                <w:i/>
                <w:color w:val="000000" w:themeColor="text1"/>
              </w:rPr>
            </w:pPr>
            <w:r>
              <w:rPr>
                <w:b/>
                <w:i/>
                <w:color w:val="000000" w:themeColor="text1"/>
              </w:rPr>
              <w:t xml:space="preserve">924,06 </w:t>
            </w:r>
          </w:p>
        </w:tc>
        <w:tc>
          <w:tcPr>
            <w:tcW w:w="2121" w:type="dxa"/>
            <w:tcBorders>
              <w:top w:val="nil"/>
              <w:left w:val="nil"/>
              <w:bottom w:val="nil"/>
              <w:right w:val="nil"/>
            </w:tcBorders>
            <w:vAlign w:val="center"/>
            <w:hideMark/>
          </w:tcPr>
          <w:p w14:paraId="32960019" w14:textId="18E6774E" w:rsidR="001C37B2" w:rsidRPr="00C67737" w:rsidRDefault="001C37B2" w:rsidP="00777792">
            <w:pPr>
              <w:keepNext/>
              <w:keepLines/>
              <w:jc w:val="right"/>
              <w:rPr>
                <w:rFonts w:eastAsia="Times New Roman" w:cstheme="minorHAnsi"/>
                <w:b/>
                <w:bCs/>
                <w:i/>
                <w:color w:val="000000" w:themeColor="text1"/>
              </w:rPr>
            </w:pPr>
            <w:r>
              <w:rPr>
                <w:b/>
              </w:rPr>
              <w:t xml:space="preserve"> 909,70 </w:t>
            </w:r>
          </w:p>
        </w:tc>
        <w:tc>
          <w:tcPr>
            <w:tcW w:w="1456" w:type="dxa"/>
            <w:tcBorders>
              <w:top w:val="nil"/>
              <w:left w:val="nil"/>
              <w:bottom w:val="nil"/>
              <w:right w:val="nil"/>
            </w:tcBorders>
            <w:vAlign w:val="center"/>
            <w:hideMark/>
          </w:tcPr>
          <w:p w14:paraId="3F8E9BEB" w14:textId="707689BC" w:rsidR="001C37B2" w:rsidRPr="00C67737" w:rsidRDefault="001C37B2" w:rsidP="00777792">
            <w:pPr>
              <w:keepNext/>
              <w:keepLines/>
              <w:jc w:val="right"/>
              <w:rPr>
                <w:rFonts w:eastAsia="Times New Roman" w:cstheme="minorHAnsi"/>
                <w:b/>
                <w:bCs/>
                <w:i/>
                <w:color w:val="000000" w:themeColor="text1"/>
              </w:rPr>
            </w:pPr>
            <w:r>
              <w:rPr>
                <w:b/>
              </w:rPr>
              <w:t>98,45</w:t>
            </w:r>
            <w:r w:rsidR="00966C17">
              <w:rPr>
                <w:b/>
              </w:rPr>
              <w:t> %</w:t>
            </w:r>
          </w:p>
        </w:tc>
      </w:tr>
      <w:tr w:rsidR="002D44E2" w:rsidRPr="00C67737" w14:paraId="7AD9BD78" w14:textId="75EBBE64" w:rsidTr="0004312D">
        <w:trPr>
          <w:trHeight w:val="285"/>
        </w:trPr>
        <w:tc>
          <w:tcPr>
            <w:tcW w:w="3832" w:type="dxa"/>
            <w:tcBorders>
              <w:top w:val="nil"/>
              <w:left w:val="nil"/>
              <w:bottom w:val="nil"/>
              <w:right w:val="nil"/>
            </w:tcBorders>
            <w:vAlign w:val="center"/>
            <w:hideMark/>
          </w:tcPr>
          <w:p w14:paraId="72C565CB" w14:textId="128B21FE" w:rsidR="002D44E2" w:rsidRPr="00C67737" w:rsidRDefault="002D44E2" w:rsidP="00777792">
            <w:pPr>
              <w:pStyle w:val="tabletext"/>
              <w:keepNext/>
              <w:keepLines/>
              <w:rPr>
                <w:b w:val="0"/>
                <w:bCs w:val="0"/>
                <w:sz w:val="20"/>
                <w:szCs w:val="20"/>
              </w:rPr>
            </w:pPr>
            <w:bookmarkStart w:id="37" w:name="RANGE!A11"/>
            <w:r>
              <w:rPr>
                <w:b w:val="0"/>
                <w:sz w:val="20"/>
              </w:rPr>
              <w:t xml:space="preserve">Systèmes alimentaires </w:t>
            </w:r>
            <w:bookmarkEnd w:id="37"/>
          </w:p>
        </w:tc>
        <w:tc>
          <w:tcPr>
            <w:tcW w:w="1951" w:type="dxa"/>
            <w:tcBorders>
              <w:top w:val="nil"/>
              <w:left w:val="nil"/>
              <w:bottom w:val="nil"/>
              <w:right w:val="nil"/>
            </w:tcBorders>
            <w:vAlign w:val="center"/>
            <w:hideMark/>
          </w:tcPr>
          <w:p w14:paraId="19DF2053" w14:textId="7EA3D760" w:rsidR="002D44E2" w:rsidRPr="00C67737" w:rsidRDefault="002D44E2" w:rsidP="00777792">
            <w:pPr>
              <w:pStyle w:val="tabletext"/>
              <w:keepNext/>
              <w:keepLines/>
              <w:rPr>
                <w:b w:val="0"/>
                <w:bCs w:val="0"/>
                <w:sz w:val="20"/>
                <w:szCs w:val="20"/>
              </w:rPr>
            </w:pPr>
          </w:p>
        </w:tc>
        <w:tc>
          <w:tcPr>
            <w:tcW w:w="2121" w:type="dxa"/>
            <w:tcBorders>
              <w:top w:val="nil"/>
              <w:left w:val="nil"/>
              <w:bottom w:val="nil"/>
              <w:right w:val="nil"/>
            </w:tcBorders>
            <w:vAlign w:val="center"/>
            <w:hideMark/>
          </w:tcPr>
          <w:p w14:paraId="1FE7C222" w14:textId="113A18B0" w:rsidR="002D44E2" w:rsidRPr="00C67737" w:rsidRDefault="002D44E2" w:rsidP="00777792">
            <w:pPr>
              <w:pStyle w:val="tabletext"/>
              <w:keepNext/>
              <w:keepLines/>
              <w:rPr>
                <w:b w:val="0"/>
                <w:bCs w:val="0"/>
                <w:color w:val="000000" w:themeColor="text1"/>
                <w:sz w:val="20"/>
                <w:szCs w:val="20"/>
              </w:rPr>
            </w:pPr>
            <w:r>
              <w:rPr>
                <w:b w:val="0"/>
                <w:sz w:val="20"/>
              </w:rPr>
              <w:t xml:space="preserve"> 164,16 </w:t>
            </w:r>
          </w:p>
        </w:tc>
        <w:tc>
          <w:tcPr>
            <w:tcW w:w="1456" w:type="dxa"/>
            <w:tcBorders>
              <w:top w:val="nil"/>
              <w:left w:val="nil"/>
              <w:bottom w:val="nil"/>
              <w:right w:val="nil"/>
            </w:tcBorders>
            <w:vAlign w:val="center"/>
            <w:hideMark/>
          </w:tcPr>
          <w:p w14:paraId="190F4BC0" w14:textId="3052DCC2" w:rsidR="002D44E2" w:rsidRPr="00C67737" w:rsidRDefault="002D44E2" w:rsidP="00777792">
            <w:pPr>
              <w:pStyle w:val="tabletext"/>
              <w:keepNext/>
              <w:keepLines/>
            </w:pPr>
          </w:p>
        </w:tc>
      </w:tr>
      <w:tr w:rsidR="002D44E2" w:rsidRPr="00C67737" w14:paraId="39986627" w14:textId="55D778E2" w:rsidTr="0004312D">
        <w:trPr>
          <w:trHeight w:val="333"/>
        </w:trPr>
        <w:tc>
          <w:tcPr>
            <w:tcW w:w="3832" w:type="dxa"/>
            <w:tcBorders>
              <w:top w:val="nil"/>
              <w:left w:val="nil"/>
              <w:bottom w:val="nil"/>
              <w:right w:val="nil"/>
            </w:tcBorders>
            <w:vAlign w:val="center"/>
            <w:hideMark/>
          </w:tcPr>
          <w:p w14:paraId="0E4691B1" w14:textId="7B20FA78" w:rsidR="002D44E2" w:rsidRPr="00C67737" w:rsidRDefault="002D44E2" w:rsidP="00777792">
            <w:pPr>
              <w:pStyle w:val="tabletext"/>
              <w:keepNext/>
              <w:keepLines/>
              <w:rPr>
                <w:b w:val="0"/>
                <w:bCs w:val="0"/>
                <w:sz w:val="20"/>
                <w:szCs w:val="20"/>
              </w:rPr>
            </w:pPr>
            <w:r>
              <w:rPr>
                <w:b w:val="0"/>
                <w:sz w:val="20"/>
              </w:rPr>
              <w:t>Restauration des écosystèmes</w:t>
            </w:r>
          </w:p>
        </w:tc>
        <w:tc>
          <w:tcPr>
            <w:tcW w:w="1951" w:type="dxa"/>
            <w:tcBorders>
              <w:top w:val="nil"/>
              <w:left w:val="nil"/>
              <w:bottom w:val="nil"/>
              <w:right w:val="nil"/>
            </w:tcBorders>
            <w:vAlign w:val="center"/>
            <w:hideMark/>
          </w:tcPr>
          <w:p w14:paraId="444FF8C2" w14:textId="3B35C21C" w:rsidR="002D44E2" w:rsidRPr="00C67737" w:rsidRDefault="002D44E2" w:rsidP="00777792">
            <w:pPr>
              <w:pStyle w:val="tabletext"/>
              <w:keepNext/>
              <w:keepLines/>
              <w:rPr>
                <w:b w:val="0"/>
                <w:bCs w:val="0"/>
                <w:sz w:val="20"/>
                <w:szCs w:val="20"/>
              </w:rPr>
            </w:pPr>
          </w:p>
        </w:tc>
        <w:tc>
          <w:tcPr>
            <w:tcW w:w="2121" w:type="dxa"/>
            <w:tcBorders>
              <w:top w:val="nil"/>
              <w:left w:val="nil"/>
              <w:bottom w:val="nil"/>
              <w:right w:val="nil"/>
            </w:tcBorders>
            <w:vAlign w:val="center"/>
            <w:hideMark/>
          </w:tcPr>
          <w:p w14:paraId="4B0712ED" w14:textId="7CD1E436" w:rsidR="002D44E2" w:rsidRPr="00C67737" w:rsidRDefault="002D44E2" w:rsidP="00777792">
            <w:pPr>
              <w:pStyle w:val="tabletext"/>
              <w:keepNext/>
              <w:keepLines/>
              <w:rPr>
                <w:b w:val="0"/>
                <w:bCs w:val="0"/>
                <w:color w:val="000000" w:themeColor="text1"/>
                <w:sz w:val="20"/>
                <w:szCs w:val="20"/>
              </w:rPr>
            </w:pPr>
            <w:r>
              <w:rPr>
                <w:b w:val="0"/>
                <w:sz w:val="20"/>
              </w:rPr>
              <w:t xml:space="preserve"> 135,08 </w:t>
            </w:r>
          </w:p>
        </w:tc>
        <w:tc>
          <w:tcPr>
            <w:tcW w:w="1456" w:type="dxa"/>
            <w:tcBorders>
              <w:top w:val="nil"/>
              <w:left w:val="nil"/>
              <w:bottom w:val="nil"/>
              <w:right w:val="nil"/>
            </w:tcBorders>
            <w:vAlign w:val="center"/>
            <w:hideMark/>
          </w:tcPr>
          <w:p w14:paraId="696DEFE0" w14:textId="21EB2AD9" w:rsidR="002D44E2" w:rsidRPr="00C67737" w:rsidRDefault="002D44E2" w:rsidP="00777792">
            <w:pPr>
              <w:pStyle w:val="tabletext"/>
              <w:keepNext/>
              <w:keepLines/>
            </w:pPr>
          </w:p>
        </w:tc>
      </w:tr>
      <w:tr w:rsidR="002D44E2" w:rsidRPr="00C67737" w14:paraId="7A493F0D" w14:textId="3BB4CADE" w:rsidTr="0004312D">
        <w:trPr>
          <w:trHeight w:val="369"/>
        </w:trPr>
        <w:tc>
          <w:tcPr>
            <w:tcW w:w="3832" w:type="dxa"/>
            <w:tcBorders>
              <w:top w:val="nil"/>
              <w:left w:val="nil"/>
              <w:bottom w:val="nil"/>
              <w:right w:val="nil"/>
            </w:tcBorders>
            <w:vAlign w:val="center"/>
            <w:hideMark/>
          </w:tcPr>
          <w:p w14:paraId="2693B0B9" w14:textId="6E070BFA" w:rsidR="002D44E2" w:rsidRPr="00C67737" w:rsidRDefault="002D44E2" w:rsidP="00777792">
            <w:pPr>
              <w:pStyle w:val="tabletext"/>
              <w:keepNext/>
              <w:keepLines/>
              <w:rPr>
                <w:b w:val="0"/>
                <w:bCs w:val="0"/>
                <w:sz w:val="20"/>
                <w:szCs w:val="20"/>
              </w:rPr>
            </w:pPr>
            <w:r>
              <w:rPr>
                <w:b w:val="0"/>
                <w:sz w:val="20"/>
              </w:rPr>
              <w:t>Villes durables</w:t>
            </w:r>
          </w:p>
        </w:tc>
        <w:tc>
          <w:tcPr>
            <w:tcW w:w="1951" w:type="dxa"/>
            <w:tcBorders>
              <w:top w:val="nil"/>
              <w:left w:val="nil"/>
              <w:bottom w:val="nil"/>
              <w:right w:val="nil"/>
            </w:tcBorders>
            <w:vAlign w:val="center"/>
            <w:hideMark/>
          </w:tcPr>
          <w:p w14:paraId="0AEF78C9" w14:textId="1F63634B" w:rsidR="002D44E2" w:rsidRPr="00C67737" w:rsidRDefault="002D44E2" w:rsidP="00777792">
            <w:pPr>
              <w:pStyle w:val="tabletext"/>
              <w:keepNext/>
              <w:keepLines/>
              <w:rPr>
                <w:b w:val="0"/>
                <w:bCs w:val="0"/>
                <w:sz w:val="20"/>
                <w:szCs w:val="20"/>
              </w:rPr>
            </w:pPr>
          </w:p>
        </w:tc>
        <w:tc>
          <w:tcPr>
            <w:tcW w:w="2121" w:type="dxa"/>
            <w:tcBorders>
              <w:top w:val="nil"/>
              <w:left w:val="nil"/>
              <w:bottom w:val="nil"/>
              <w:right w:val="nil"/>
            </w:tcBorders>
            <w:vAlign w:val="center"/>
            <w:hideMark/>
          </w:tcPr>
          <w:p w14:paraId="1FF966C0" w14:textId="1B2CE860" w:rsidR="002D44E2" w:rsidRPr="00C67737" w:rsidRDefault="002D44E2" w:rsidP="00777792">
            <w:pPr>
              <w:pStyle w:val="tabletext"/>
              <w:keepNext/>
              <w:keepLines/>
              <w:rPr>
                <w:b w:val="0"/>
                <w:bCs w:val="0"/>
                <w:color w:val="000000" w:themeColor="text1"/>
                <w:sz w:val="20"/>
                <w:szCs w:val="20"/>
              </w:rPr>
            </w:pPr>
            <w:r>
              <w:rPr>
                <w:b w:val="0"/>
                <w:sz w:val="20"/>
              </w:rPr>
              <w:t xml:space="preserve"> 85,75 </w:t>
            </w:r>
          </w:p>
        </w:tc>
        <w:tc>
          <w:tcPr>
            <w:tcW w:w="1456" w:type="dxa"/>
            <w:tcBorders>
              <w:top w:val="nil"/>
              <w:left w:val="nil"/>
              <w:bottom w:val="nil"/>
              <w:right w:val="nil"/>
            </w:tcBorders>
            <w:vAlign w:val="center"/>
            <w:hideMark/>
          </w:tcPr>
          <w:p w14:paraId="3DE7A246" w14:textId="07F42179" w:rsidR="002D44E2" w:rsidRPr="00C67737" w:rsidRDefault="002D44E2" w:rsidP="00777792">
            <w:pPr>
              <w:pStyle w:val="tabletext"/>
              <w:keepNext/>
              <w:keepLines/>
            </w:pPr>
          </w:p>
        </w:tc>
      </w:tr>
      <w:tr w:rsidR="002D44E2" w:rsidRPr="00C67737" w14:paraId="654BF512" w14:textId="57D6910F" w:rsidTr="0004312D">
        <w:trPr>
          <w:trHeight w:val="360"/>
        </w:trPr>
        <w:tc>
          <w:tcPr>
            <w:tcW w:w="3832" w:type="dxa"/>
            <w:tcBorders>
              <w:top w:val="nil"/>
              <w:left w:val="nil"/>
              <w:bottom w:val="nil"/>
              <w:right w:val="nil"/>
            </w:tcBorders>
            <w:vAlign w:val="center"/>
            <w:hideMark/>
          </w:tcPr>
          <w:p w14:paraId="6704DDF1" w14:textId="6F518D15" w:rsidR="002D44E2" w:rsidRPr="00C67737" w:rsidRDefault="002D44E2" w:rsidP="00777792">
            <w:pPr>
              <w:pStyle w:val="tabletext"/>
              <w:keepNext/>
              <w:keepLines/>
              <w:rPr>
                <w:b w:val="0"/>
                <w:bCs w:val="0"/>
                <w:sz w:val="20"/>
                <w:szCs w:val="20"/>
              </w:rPr>
            </w:pPr>
            <w:r>
              <w:rPr>
                <w:b w:val="0"/>
                <w:sz w:val="20"/>
              </w:rPr>
              <w:t xml:space="preserve">Amazonie, Congo et biomes </w:t>
            </w:r>
            <w:r w:rsidR="00294DFF">
              <w:rPr>
                <w:b w:val="0"/>
                <w:sz w:val="20"/>
              </w:rPr>
              <w:t>forestiers critiques</w:t>
            </w:r>
            <w:r>
              <w:rPr>
                <w:b w:val="0"/>
                <w:sz w:val="20"/>
              </w:rPr>
              <w:t xml:space="preserve"> </w:t>
            </w:r>
          </w:p>
        </w:tc>
        <w:tc>
          <w:tcPr>
            <w:tcW w:w="1951" w:type="dxa"/>
            <w:tcBorders>
              <w:top w:val="nil"/>
              <w:left w:val="nil"/>
              <w:bottom w:val="nil"/>
              <w:right w:val="nil"/>
            </w:tcBorders>
            <w:vAlign w:val="center"/>
            <w:hideMark/>
          </w:tcPr>
          <w:p w14:paraId="40C34915" w14:textId="1465E438" w:rsidR="002D44E2" w:rsidRPr="00C67737" w:rsidRDefault="002D44E2" w:rsidP="00777792">
            <w:pPr>
              <w:pStyle w:val="tabletext"/>
              <w:keepNext/>
              <w:keepLines/>
              <w:rPr>
                <w:b w:val="0"/>
                <w:bCs w:val="0"/>
                <w:sz w:val="20"/>
                <w:szCs w:val="20"/>
              </w:rPr>
            </w:pPr>
          </w:p>
        </w:tc>
        <w:tc>
          <w:tcPr>
            <w:tcW w:w="2121" w:type="dxa"/>
            <w:tcBorders>
              <w:top w:val="nil"/>
              <w:left w:val="nil"/>
              <w:bottom w:val="nil"/>
              <w:right w:val="nil"/>
            </w:tcBorders>
            <w:vAlign w:val="center"/>
            <w:hideMark/>
          </w:tcPr>
          <w:p w14:paraId="1ED77F00" w14:textId="24DB6EFD" w:rsidR="002D44E2" w:rsidRPr="00C67737" w:rsidRDefault="002D44E2" w:rsidP="00777792">
            <w:pPr>
              <w:pStyle w:val="tabletext"/>
              <w:keepNext/>
              <w:keepLines/>
              <w:rPr>
                <w:b w:val="0"/>
                <w:bCs w:val="0"/>
                <w:color w:val="000000" w:themeColor="text1"/>
                <w:sz w:val="20"/>
                <w:szCs w:val="20"/>
              </w:rPr>
            </w:pPr>
            <w:r>
              <w:rPr>
                <w:b w:val="0"/>
                <w:sz w:val="20"/>
              </w:rPr>
              <w:t xml:space="preserve"> 207,50 </w:t>
            </w:r>
          </w:p>
        </w:tc>
        <w:tc>
          <w:tcPr>
            <w:tcW w:w="1456" w:type="dxa"/>
            <w:tcBorders>
              <w:top w:val="nil"/>
              <w:left w:val="nil"/>
              <w:bottom w:val="nil"/>
              <w:right w:val="nil"/>
            </w:tcBorders>
            <w:vAlign w:val="center"/>
            <w:hideMark/>
          </w:tcPr>
          <w:p w14:paraId="4C2FEAB5" w14:textId="24F4A123" w:rsidR="002D44E2" w:rsidRPr="00C67737" w:rsidRDefault="002D44E2" w:rsidP="00777792">
            <w:pPr>
              <w:pStyle w:val="tabletext"/>
              <w:keepNext/>
              <w:keepLines/>
            </w:pPr>
          </w:p>
        </w:tc>
      </w:tr>
      <w:tr w:rsidR="002D44E2" w:rsidRPr="00C67737" w14:paraId="7006C3DC" w14:textId="3404BCAC" w:rsidTr="0004312D">
        <w:trPr>
          <w:trHeight w:val="180"/>
        </w:trPr>
        <w:tc>
          <w:tcPr>
            <w:tcW w:w="3832" w:type="dxa"/>
            <w:tcBorders>
              <w:top w:val="nil"/>
              <w:left w:val="nil"/>
              <w:bottom w:val="nil"/>
              <w:right w:val="nil"/>
            </w:tcBorders>
            <w:vAlign w:val="center"/>
            <w:hideMark/>
          </w:tcPr>
          <w:p w14:paraId="2E05B325" w14:textId="3C2AFDED" w:rsidR="002D44E2" w:rsidRPr="00C67737" w:rsidRDefault="002D44E2" w:rsidP="00777792">
            <w:pPr>
              <w:pStyle w:val="tabletext"/>
              <w:keepNext/>
              <w:keepLines/>
              <w:rPr>
                <w:b w:val="0"/>
                <w:bCs w:val="0"/>
                <w:sz w:val="20"/>
                <w:szCs w:val="20"/>
              </w:rPr>
            </w:pPr>
            <w:r>
              <w:rPr>
                <w:b w:val="0"/>
                <w:sz w:val="20"/>
              </w:rPr>
              <w:t>Solutions circulaires à la pollution par les plastiques</w:t>
            </w:r>
          </w:p>
        </w:tc>
        <w:tc>
          <w:tcPr>
            <w:tcW w:w="1951" w:type="dxa"/>
            <w:tcBorders>
              <w:top w:val="nil"/>
              <w:left w:val="nil"/>
              <w:bottom w:val="nil"/>
              <w:right w:val="nil"/>
            </w:tcBorders>
            <w:vAlign w:val="center"/>
            <w:hideMark/>
          </w:tcPr>
          <w:p w14:paraId="2BB652BB" w14:textId="585C4B35" w:rsidR="002D44E2" w:rsidRPr="00C67737" w:rsidRDefault="002D44E2" w:rsidP="00777792">
            <w:pPr>
              <w:pStyle w:val="tabletext"/>
              <w:keepNext/>
              <w:keepLines/>
              <w:rPr>
                <w:b w:val="0"/>
                <w:bCs w:val="0"/>
                <w:sz w:val="20"/>
                <w:szCs w:val="20"/>
              </w:rPr>
            </w:pPr>
          </w:p>
        </w:tc>
        <w:tc>
          <w:tcPr>
            <w:tcW w:w="2121" w:type="dxa"/>
            <w:tcBorders>
              <w:top w:val="nil"/>
              <w:left w:val="nil"/>
              <w:bottom w:val="nil"/>
              <w:right w:val="nil"/>
            </w:tcBorders>
            <w:vAlign w:val="center"/>
            <w:hideMark/>
          </w:tcPr>
          <w:p w14:paraId="0C90A3EF" w14:textId="113D97A9" w:rsidR="002D44E2" w:rsidRPr="00C67737" w:rsidRDefault="002D44E2" w:rsidP="00777792">
            <w:pPr>
              <w:pStyle w:val="tabletext"/>
              <w:keepNext/>
              <w:keepLines/>
              <w:rPr>
                <w:b w:val="0"/>
                <w:bCs w:val="0"/>
                <w:color w:val="000000" w:themeColor="text1"/>
                <w:sz w:val="20"/>
                <w:szCs w:val="20"/>
              </w:rPr>
            </w:pPr>
            <w:r>
              <w:rPr>
                <w:b w:val="0"/>
                <w:sz w:val="20"/>
              </w:rPr>
              <w:t xml:space="preserve"> 23,87 </w:t>
            </w:r>
          </w:p>
        </w:tc>
        <w:tc>
          <w:tcPr>
            <w:tcW w:w="1456" w:type="dxa"/>
            <w:tcBorders>
              <w:top w:val="nil"/>
              <w:left w:val="nil"/>
              <w:bottom w:val="nil"/>
              <w:right w:val="nil"/>
            </w:tcBorders>
            <w:vAlign w:val="center"/>
            <w:hideMark/>
          </w:tcPr>
          <w:p w14:paraId="23EDACB1" w14:textId="1B33F9D9" w:rsidR="002D44E2" w:rsidRPr="00C67737" w:rsidRDefault="002D44E2" w:rsidP="00777792">
            <w:pPr>
              <w:pStyle w:val="tabletext"/>
              <w:keepNext/>
              <w:keepLines/>
            </w:pPr>
          </w:p>
        </w:tc>
      </w:tr>
      <w:tr w:rsidR="00D50FFA" w:rsidRPr="00C67737" w14:paraId="4704250D" w14:textId="08729EF0" w:rsidTr="0004312D">
        <w:trPr>
          <w:trHeight w:val="387"/>
        </w:trPr>
        <w:tc>
          <w:tcPr>
            <w:tcW w:w="3832" w:type="dxa"/>
            <w:tcBorders>
              <w:top w:val="nil"/>
              <w:left w:val="nil"/>
              <w:bottom w:val="nil"/>
              <w:right w:val="nil"/>
            </w:tcBorders>
            <w:vAlign w:val="center"/>
            <w:hideMark/>
          </w:tcPr>
          <w:p w14:paraId="4E94CCA7" w14:textId="383BBA3B" w:rsidR="00D50FFA" w:rsidRPr="00C67737" w:rsidRDefault="008F72A4" w:rsidP="00777792">
            <w:pPr>
              <w:pStyle w:val="tabletext"/>
              <w:keepNext/>
              <w:keepLines/>
              <w:rPr>
                <w:b w:val="0"/>
                <w:bCs w:val="0"/>
                <w:sz w:val="20"/>
                <w:szCs w:val="20"/>
              </w:rPr>
            </w:pPr>
            <w:r>
              <w:rPr>
                <w:b w:val="0"/>
                <w:sz w:val="20"/>
              </w:rPr>
              <w:t>Î</w:t>
            </w:r>
            <w:r w:rsidR="00D50FFA">
              <w:rPr>
                <w:b w:val="0"/>
                <w:sz w:val="20"/>
              </w:rPr>
              <w:t>les bleues et vertes</w:t>
            </w:r>
          </w:p>
        </w:tc>
        <w:tc>
          <w:tcPr>
            <w:tcW w:w="1951" w:type="dxa"/>
            <w:tcBorders>
              <w:top w:val="nil"/>
              <w:left w:val="nil"/>
              <w:bottom w:val="nil"/>
              <w:right w:val="nil"/>
            </w:tcBorders>
            <w:vAlign w:val="center"/>
            <w:hideMark/>
          </w:tcPr>
          <w:p w14:paraId="3D7BF4B7" w14:textId="511C0DED" w:rsidR="00D50FFA" w:rsidRPr="00C67737" w:rsidRDefault="00D50FFA" w:rsidP="00777792">
            <w:pPr>
              <w:pStyle w:val="tabletext"/>
              <w:keepNext/>
              <w:keepLines/>
              <w:rPr>
                <w:b w:val="0"/>
                <w:bCs w:val="0"/>
                <w:sz w:val="20"/>
                <w:szCs w:val="20"/>
              </w:rPr>
            </w:pPr>
          </w:p>
        </w:tc>
        <w:tc>
          <w:tcPr>
            <w:tcW w:w="2121" w:type="dxa"/>
            <w:tcBorders>
              <w:top w:val="nil"/>
              <w:left w:val="nil"/>
              <w:bottom w:val="nil"/>
              <w:right w:val="nil"/>
            </w:tcBorders>
            <w:vAlign w:val="center"/>
            <w:hideMark/>
          </w:tcPr>
          <w:p w14:paraId="5767E659" w14:textId="12791AFA" w:rsidR="00D50FFA" w:rsidRPr="00C67737" w:rsidRDefault="00D50FFA" w:rsidP="00777792">
            <w:pPr>
              <w:pStyle w:val="tabletext"/>
              <w:keepNext/>
              <w:keepLines/>
              <w:rPr>
                <w:b w:val="0"/>
                <w:bCs w:val="0"/>
                <w:color w:val="000000" w:themeColor="text1"/>
                <w:sz w:val="20"/>
                <w:szCs w:val="20"/>
              </w:rPr>
            </w:pPr>
            <w:r>
              <w:rPr>
                <w:b w:val="0"/>
                <w:sz w:val="20"/>
              </w:rPr>
              <w:t xml:space="preserve"> 75,27 </w:t>
            </w:r>
          </w:p>
        </w:tc>
        <w:tc>
          <w:tcPr>
            <w:tcW w:w="1456" w:type="dxa"/>
            <w:tcBorders>
              <w:top w:val="nil"/>
              <w:left w:val="nil"/>
              <w:bottom w:val="nil"/>
              <w:right w:val="nil"/>
            </w:tcBorders>
            <w:vAlign w:val="center"/>
            <w:hideMark/>
          </w:tcPr>
          <w:p w14:paraId="47FCC451" w14:textId="3B3557B5" w:rsidR="00D50FFA" w:rsidRPr="00C67737" w:rsidRDefault="00D50FFA" w:rsidP="00777792">
            <w:pPr>
              <w:pStyle w:val="tabletext"/>
              <w:keepNext/>
              <w:keepLines/>
            </w:pPr>
          </w:p>
        </w:tc>
      </w:tr>
      <w:tr w:rsidR="00D50FFA" w:rsidRPr="00C67737" w14:paraId="5786E735" w14:textId="1E6937FE" w:rsidTr="0004312D">
        <w:trPr>
          <w:trHeight w:val="360"/>
        </w:trPr>
        <w:tc>
          <w:tcPr>
            <w:tcW w:w="3832" w:type="dxa"/>
            <w:tcBorders>
              <w:top w:val="nil"/>
              <w:left w:val="nil"/>
              <w:bottom w:val="nil"/>
              <w:right w:val="nil"/>
            </w:tcBorders>
            <w:vAlign w:val="center"/>
            <w:hideMark/>
          </w:tcPr>
          <w:p w14:paraId="050E4476" w14:textId="64EC1E8C" w:rsidR="00D50FFA" w:rsidRPr="00C67737" w:rsidRDefault="00D50FFA" w:rsidP="00777792">
            <w:pPr>
              <w:pStyle w:val="tabletext"/>
              <w:keepNext/>
              <w:keepLines/>
              <w:rPr>
                <w:b w:val="0"/>
                <w:bCs w:val="0"/>
                <w:sz w:val="20"/>
                <w:szCs w:val="20"/>
              </w:rPr>
            </w:pPr>
            <w:r>
              <w:rPr>
                <w:b w:val="0"/>
                <w:sz w:val="20"/>
              </w:rPr>
              <w:t>Océans propres et sains</w:t>
            </w:r>
          </w:p>
        </w:tc>
        <w:tc>
          <w:tcPr>
            <w:tcW w:w="1951" w:type="dxa"/>
            <w:tcBorders>
              <w:top w:val="nil"/>
              <w:left w:val="nil"/>
              <w:bottom w:val="nil"/>
              <w:right w:val="nil"/>
            </w:tcBorders>
            <w:vAlign w:val="center"/>
            <w:hideMark/>
          </w:tcPr>
          <w:p w14:paraId="0F650317" w14:textId="515CDFB6" w:rsidR="00D50FFA" w:rsidRPr="00C67737" w:rsidRDefault="00D50FFA" w:rsidP="00777792">
            <w:pPr>
              <w:pStyle w:val="tabletext"/>
              <w:keepNext/>
              <w:keepLines/>
              <w:rPr>
                <w:b w:val="0"/>
                <w:bCs w:val="0"/>
                <w:sz w:val="20"/>
                <w:szCs w:val="20"/>
              </w:rPr>
            </w:pPr>
          </w:p>
        </w:tc>
        <w:tc>
          <w:tcPr>
            <w:tcW w:w="2121" w:type="dxa"/>
            <w:tcBorders>
              <w:top w:val="nil"/>
              <w:left w:val="nil"/>
              <w:bottom w:val="nil"/>
              <w:right w:val="nil"/>
            </w:tcBorders>
            <w:vAlign w:val="center"/>
          </w:tcPr>
          <w:p w14:paraId="313440E1" w14:textId="2B7EE14B" w:rsidR="00D50FFA" w:rsidRPr="00C67737" w:rsidRDefault="00D50FFA" w:rsidP="00777792">
            <w:pPr>
              <w:pStyle w:val="tabletext"/>
              <w:keepNext/>
              <w:keepLines/>
              <w:rPr>
                <w:b w:val="0"/>
                <w:bCs w:val="0"/>
                <w:color w:val="000000" w:themeColor="text1"/>
                <w:sz w:val="20"/>
                <w:szCs w:val="20"/>
              </w:rPr>
            </w:pPr>
            <w:r>
              <w:rPr>
                <w:b w:val="0"/>
                <w:sz w:val="20"/>
              </w:rPr>
              <w:t xml:space="preserve"> 38,88 </w:t>
            </w:r>
          </w:p>
        </w:tc>
        <w:tc>
          <w:tcPr>
            <w:tcW w:w="1456" w:type="dxa"/>
            <w:tcBorders>
              <w:top w:val="nil"/>
              <w:left w:val="nil"/>
              <w:bottom w:val="nil"/>
              <w:right w:val="nil"/>
            </w:tcBorders>
            <w:vAlign w:val="center"/>
            <w:hideMark/>
          </w:tcPr>
          <w:p w14:paraId="3CA9C211" w14:textId="01A47D58" w:rsidR="00D50FFA" w:rsidRPr="00C67737" w:rsidRDefault="00D50FFA" w:rsidP="00777792">
            <w:pPr>
              <w:pStyle w:val="tabletext"/>
              <w:keepNext/>
              <w:keepLines/>
            </w:pPr>
          </w:p>
        </w:tc>
      </w:tr>
      <w:tr w:rsidR="00D50FFA" w:rsidRPr="00C67737" w14:paraId="4D13C99E" w14:textId="2C73EB35" w:rsidTr="0004312D">
        <w:trPr>
          <w:trHeight w:val="261"/>
        </w:trPr>
        <w:tc>
          <w:tcPr>
            <w:tcW w:w="3832" w:type="dxa"/>
            <w:tcBorders>
              <w:top w:val="nil"/>
              <w:left w:val="nil"/>
              <w:bottom w:val="nil"/>
              <w:right w:val="nil"/>
            </w:tcBorders>
            <w:vAlign w:val="center"/>
            <w:hideMark/>
          </w:tcPr>
          <w:p w14:paraId="6D60BEB5" w14:textId="1DE8DBBC" w:rsidR="00D50FFA" w:rsidRPr="00C67737" w:rsidRDefault="00D50FFA" w:rsidP="00777792">
            <w:pPr>
              <w:pStyle w:val="tabletext"/>
              <w:keepNext/>
              <w:keepLines/>
              <w:rPr>
                <w:b w:val="0"/>
                <w:bCs w:val="0"/>
                <w:sz w:val="20"/>
                <w:szCs w:val="20"/>
              </w:rPr>
            </w:pPr>
            <w:r>
              <w:rPr>
                <w:b w:val="0"/>
                <w:sz w:val="20"/>
              </w:rPr>
              <w:t xml:space="preserve">Accélérateur net zéro </w:t>
            </w:r>
          </w:p>
        </w:tc>
        <w:tc>
          <w:tcPr>
            <w:tcW w:w="1951" w:type="dxa"/>
            <w:tcBorders>
              <w:top w:val="nil"/>
              <w:left w:val="nil"/>
              <w:bottom w:val="nil"/>
              <w:right w:val="nil"/>
            </w:tcBorders>
            <w:vAlign w:val="center"/>
            <w:hideMark/>
          </w:tcPr>
          <w:p w14:paraId="33811985" w14:textId="09427E96" w:rsidR="00D50FFA" w:rsidRPr="00C67737" w:rsidRDefault="00D50FFA" w:rsidP="00777792">
            <w:pPr>
              <w:pStyle w:val="tabletext"/>
              <w:keepNext/>
              <w:keepLines/>
              <w:rPr>
                <w:b w:val="0"/>
                <w:bCs w:val="0"/>
                <w:sz w:val="20"/>
                <w:szCs w:val="20"/>
              </w:rPr>
            </w:pPr>
          </w:p>
        </w:tc>
        <w:tc>
          <w:tcPr>
            <w:tcW w:w="2121" w:type="dxa"/>
            <w:tcBorders>
              <w:top w:val="nil"/>
              <w:left w:val="nil"/>
              <w:bottom w:val="nil"/>
              <w:right w:val="nil"/>
            </w:tcBorders>
            <w:vAlign w:val="center"/>
          </w:tcPr>
          <w:p w14:paraId="7ABCCF37" w14:textId="3D95C939" w:rsidR="00D50FFA" w:rsidRPr="00C67737" w:rsidRDefault="00D50FFA" w:rsidP="00777792">
            <w:pPr>
              <w:pStyle w:val="tabletext"/>
              <w:keepNext/>
              <w:keepLines/>
              <w:rPr>
                <w:b w:val="0"/>
                <w:bCs w:val="0"/>
                <w:color w:val="000000" w:themeColor="text1"/>
                <w:sz w:val="20"/>
                <w:szCs w:val="20"/>
              </w:rPr>
            </w:pPr>
            <w:r>
              <w:rPr>
                <w:b w:val="0"/>
                <w:sz w:val="20"/>
              </w:rPr>
              <w:t xml:space="preserve"> 43,78 </w:t>
            </w:r>
          </w:p>
        </w:tc>
        <w:tc>
          <w:tcPr>
            <w:tcW w:w="1456" w:type="dxa"/>
            <w:tcBorders>
              <w:top w:val="nil"/>
              <w:left w:val="nil"/>
              <w:bottom w:val="nil"/>
              <w:right w:val="nil"/>
            </w:tcBorders>
            <w:vAlign w:val="center"/>
            <w:hideMark/>
          </w:tcPr>
          <w:p w14:paraId="38667142" w14:textId="381C3040" w:rsidR="00D50FFA" w:rsidRPr="00C67737" w:rsidRDefault="00D50FFA" w:rsidP="00777792">
            <w:pPr>
              <w:pStyle w:val="tabletext"/>
              <w:keepNext/>
              <w:keepLines/>
            </w:pPr>
          </w:p>
        </w:tc>
      </w:tr>
      <w:tr w:rsidR="00D50FFA" w:rsidRPr="00C67737" w14:paraId="264A05FE" w14:textId="357EB916" w:rsidTr="0004312D">
        <w:trPr>
          <w:trHeight w:val="279"/>
        </w:trPr>
        <w:tc>
          <w:tcPr>
            <w:tcW w:w="3832" w:type="dxa"/>
            <w:tcBorders>
              <w:top w:val="nil"/>
              <w:left w:val="nil"/>
              <w:bottom w:val="nil"/>
              <w:right w:val="nil"/>
            </w:tcBorders>
            <w:vAlign w:val="center"/>
            <w:hideMark/>
          </w:tcPr>
          <w:p w14:paraId="0B2A87AC" w14:textId="54491A2C" w:rsidR="00D50FFA" w:rsidRPr="00C67737" w:rsidRDefault="00D50FFA" w:rsidP="00777792">
            <w:pPr>
              <w:pStyle w:val="tabletext"/>
              <w:keepNext/>
              <w:keepLines/>
              <w:rPr>
                <w:b w:val="0"/>
                <w:bCs w:val="0"/>
                <w:sz w:val="20"/>
                <w:szCs w:val="20"/>
              </w:rPr>
            </w:pPr>
            <w:r>
              <w:rPr>
                <w:b w:val="0"/>
                <w:sz w:val="20"/>
              </w:rPr>
              <w:t xml:space="preserve">Conservation des espèces sauvages pour le développement  </w:t>
            </w:r>
          </w:p>
        </w:tc>
        <w:tc>
          <w:tcPr>
            <w:tcW w:w="1951" w:type="dxa"/>
            <w:tcBorders>
              <w:top w:val="nil"/>
              <w:left w:val="nil"/>
              <w:bottom w:val="nil"/>
              <w:right w:val="nil"/>
            </w:tcBorders>
            <w:vAlign w:val="center"/>
            <w:hideMark/>
          </w:tcPr>
          <w:p w14:paraId="79A379B8" w14:textId="137DE46D" w:rsidR="00D50FFA" w:rsidRPr="00C67737" w:rsidRDefault="00D50FFA" w:rsidP="00777792">
            <w:pPr>
              <w:pStyle w:val="tabletext"/>
              <w:keepNext/>
              <w:keepLines/>
              <w:rPr>
                <w:b w:val="0"/>
                <w:bCs w:val="0"/>
                <w:sz w:val="20"/>
                <w:szCs w:val="20"/>
              </w:rPr>
            </w:pPr>
          </w:p>
        </w:tc>
        <w:tc>
          <w:tcPr>
            <w:tcW w:w="2121" w:type="dxa"/>
            <w:tcBorders>
              <w:top w:val="nil"/>
              <w:left w:val="nil"/>
              <w:bottom w:val="nil"/>
              <w:right w:val="nil"/>
            </w:tcBorders>
            <w:vAlign w:val="center"/>
          </w:tcPr>
          <w:p w14:paraId="0F817671" w14:textId="3655546B" w:rsidR="00D50FFA" w:rsidRPr="00C67737" w:rsidRDefault="00D50FFA" w:rsidP="00777792">
            <w:pPr>
              <w:pStyle w:val="tabletext"/>
              <w:keepNext/>
              <w:keepLines/>
              <w:rPr>
                <w:b w:val="0"/>
                <w:bCs w:val="0"/>
                <w:color w:val="000000" w:themeColor="text1"/>
                <w:sz w:val="20"/>
                <w:szCs w:val="20"/>
              </w:rPr>
            </w:pPr>
            <w:r>
              <w:rPr>
                <w:b w:val="0"/>
                <w:sz w:val="20"/>
              </w:rPr>
              <w:t xml:space="preserve"> 121,14 </w:t>
            </w:r>
          </w:p>
        </w:tc>
        <w:tc>
          <w:tcPr>
            <w:tcW w:w="1456" w:type="dxa"/>
            <w:tcBorders>
              <w:top w:val="nil"/>
              <w:left w:val="nil"/>
              <w:bottom w:val="nil"/>
              <w:right w:val="nil"/>
            </w:tcBorders>
            <w:vAlign w:val="center"/>
            <w:hideMark/>
          </w:tcPr>
          <w:p w14:paraId="74A9846B" w14:textId="0BD2EA99" w:rsidR="00D50FFA" w:rsidRPr="00C67737" w:rsidRDefault="00D50FFA" w:rsidP="00777792">
            <w:pPr>
              <w:pStyle w:val="tabletext"/>
              <w:keepNext/>
              <w:keepLines/>
            </w:pPr>
          </w:p>
        </w:tc>
      </w:tr>
      <w:tr w:rsidR="00D50FFA" w:rsidRPr="00C67737" w14:paraId="32278828" w14:textId="60E334A8" w:rsidTr="0004312D">
        <w:trPr>
          <w:trHeight w:val="450"/>
        </w:trPr>
        <w:tc>
          <w:tcPr>
            <w:tcW w:w="3832" w:type="dxa"/>
            <w:tcBorders>
              <w:top w:val="nil"/>
              <w:left w:val="nil"/>
              <w:bottom w:val="nil"/>
              <w:right w:val="nil"/>
            </w:tcBorders>
            <w:vAlign w:val="center"/>
            <w:hideMark/>
          </w:tcPr>
          <w:p w14:paraId="00D4A457" w14:textId="6CB34281" w:rsidR="00D50FFA" w:rsidRPr="00C67737" w:rsidRDefault="00D50FFA" w:rsidP="00777792">
            <w:pPr>
              <w:pStyle w:val="tabletext"/>
              <w:keepNext/>
              <w:keepLines/>
              <w:rPr>
                <w:b w:val="0"/>
                <w:bCs w:val="0"/>
                <w:sz w:val="20"/>
                <w:szCs w:val="20"/>
              </w:rPr>
            </w:pPr>
            <w:r>
              <w:rPr>
                <w:b w:val="0"/>
                <w:sz w:val="20"/>
              </w:rPr>
              <w:t>Développement d’une infrastructure de transport verte</w:t>
            </w:r>
          </w:p>
        </w:tc>
        <w:tc>
          <w:tcPr>
            <w:tcW w:w="1951" w:type="dxa"/>
            <w:tcBorders>
              <w:top w:val="nil"/>
              <w:left w:val="nil"/>
              <w:bottom w:val="nil"/>
              <w:right w:val="nil"/>
            </w:tcBorders>
            <w:vAlign w:val="center"/>
            <w:hideMark/>
          </w:tcPr>
          <w:p w14:paraId="78B14085" w14:textId="340B3E82" w:rsidR="00D50FFA" w:rsidRPr="00C67737" w:rsidRDefault="00D50FFA" w:rsidP="00777792">
            <w:pPr>
              <w:pStyle w:val="tabletext"/>
              <w:keepNext/>
              <w:keepLines/>
              <w:rPr>
                <w:b w:val="0"/>
                <w:bCs w:val="0"/>
                <w:sz w:val="20"/>
                <w:szCs w:val="20"/>
              </w:rPr>
            </w:pPr>
          </w:p>
        </w:tc>
        <w:tc>
          <w:tcPr>
            <w:tcW w:w="2121" w:type="dxa"/>
            <w:tcBorders>
              <w:top w:val="nil"/>
              <w:left w:val="nil"/>
              <w:bottom w:val="nil"/>
              <w:right w:val="nil"/>
            </w:tcBorders>
            <w:vAlign w:val="center"/>
          </w:tcPr>
          <w:p w14:paraId="430520E2" w14:textId="02945601" w:rsidR="00D50FFA" w:rsidRPr="00C67737" w:rsidRDefault="00D50FFA" w:rsidP="00777792">
            <w:pPr>
              <w:pStyle w:val="tabletext"/>
              <w:keepNext/>
              <w:keepLines/>
              <w:rPr>
                <w:b w:val="0"/>
                <w:bCs w:val="0"/>
                <w:color w:val="000000" w:themeColor="text1"/>
                <w:sz w:val="20"/>
                <w:szCs w:val="20"/>
              </w:rPr>
            </w:pPr>
            <w:r>
              <w:rPr>
                <w:b w:val="0"/>
                <w:sz w:val="20"/>
              </w:rPr>
              <w:t xml:space="preserve"> 14,28 </w:t>
            </w:r>
          </w:p>
        </w:tc>
        <w:tc>
          <w:tcPr>
            <w:tcW w:w="1456" w:type="dxa"/>
            <w:tcBorders>
              <w:top w:val="nil"/>
              <w:left w:val="nil"/>
              <w:bottom w:val="nil"/>
              <w:right w:val="nil"/>
            </w:tcBorders>
            <w:vAlign w:val="center"/>
            <w:hideMark/>
          </w:tcPr>
          <w:p w14:paraId="36CB5924" w14:textId="756C9028" w:rsidR="00D50FFA" w:rsidRPr="00C67737" w:rsidRDefault="00D50FFA" w:rsidP="00777792">
            <w:pPr>
              <w:pStyle w:val="tabletext"/>
              <w:keepNext/>
              <w:keepLines/>
            </w:pPr>
          </w:p>
        </w:tc>
      </w:tr>
      <w:tr w:rsidR="00D50FFA" w:rsidRPr="00C67737" w14:paraId="2AA37141" w14:textId="5DA755BE" w:rsidTr="00D50FFA">
        <w:trPr>
          <w:trHeight w:val="578"/>
        </w:trPr>
        <w:tc>
          <w:tcPr>
            <w:tcW w:w="3832" w:type="dxa"/>
            <w:tcBorders>
              <w:top w:val="nil"/>
              <w:left w:val="nil"/>
              <w:bottom w:val="nil"/>
              <w:right w:val="nil"/>
            </w:tcBorders>
            <w:vAlign w:val="center"/>
            <w:hideMark/>
          </w:tcPr>
          <w:p w14:paraId="319F2459" w14:textId="3E954172" w:rsidR="00D50FFA" w:rsidRPr="00C67737" w:rsidRDefault="00D50FFA" w:rsidP="00777792">
            <w:pPr>
              <w:pStyle w:val="tabletext"/>
              <w:keepNext/>
              <w:keepLines/>
              <w:rPr>
                <w:b w:val="0"/>
                <w:bCs w:val="0"/>
                <w:sz w:val="20"/>
                <w:szCs w:val="20"/>
              </w:rPr>
            </w:pPr>
            <w:r>
              <w:rPr>
                <w:b w:val="0"/>
                <w:sz w:val="20"/>
              </w:rPr>
              <w:t>Élimination des substances chimiques dangereuses des cha</w:t>
            </w:r>
            <w:r w:rsidR="008F72A4">
              <w:rPr>
                <w:b w:val="0"/>
                <w:sz w:val="20"/>
              </w:rPr>
              <w:t>î</w:t>
            </w:r>
            <w:r>
              <w:rPr>
                <w:b w:val="0"/>
                <w:sz w:val="20"/>
              </w:rPr>
              <w:t>nes d’approvisionnement</w:t>
            </w:r>
          </w:p>
        </w:tc>
        <w:tc>
          <w:tcPr>
            <w:tcW w:w="1951" w:type="dxa"/>
            <w:tcBorders>
              <w:top w:val="nil"/>
              <w:left w:val="nil"/>
              <w:bottom w:val="nil"/>
              <w:right w:val="nil"/>
            </w:tcBorders>
            <w:vAlign w:val="center"/>
            <w:hideMark/>
          </w:tcPr>
          <w:p w14:paraId="41423E8D" w14:textId="779E0899" w:rsidR="00D50FFA" w:rsidRPr="00C67737" w:rsidRDefault="00D50FFA" w:rsidP="00777792">
            <w:pPr>
              <w:pStyle w:val="tabletext"/>
              <w:keepNext/>
              <w:keepLines/>
              <w:rPr>
                <w:b w:val="0"/>
                <w:bCs w:val="0"/>
                <w:sz w:val="20"/>
                <w:szCs w:val="20"/>
              </w:rPr>
            </w:pPr>
          </w:p>
        </w:tc>
        <w:tc>
          <w:tcPr>
            <w:tcW w:w="2121" w:type="dxa"/>
            <w:tcBorders>
              <w:top w:val="nil"/>
              <w:left w:val="nil"/>
              <w:bottom w:val="nil"/>
              <w:right w:val="nil"/>
            </w:tcBorders>
          </w:tcPr>
          <w:p w14:paraId="2566875C" w14:textId="0FB422A2" w:rsidR="00D50FFA" w:rsidRPr="00C67737" w:rsidRDefault="00D50FFA" w:rsidP="00777792">
            <w:pPr>
              <w:pStyle w:val="tabletext"/>
              <w:keepNext/>
              <w:keepLines/>
              <w:rPr>
                <w:b w:val="0"/>
                <w:bCs w:val="0"/>
                <w:sz w:val="20"/>
                <w:szCs w:val="20"/>
              </w:rPr>
            </w:pPr>
          </w:p>
        </w:tc>
        <w:tc>
          <w:tcPr>
            <w:tcW w:w="1456" w:type="dxa"/>
            <w:tcBorders>
              <w:top w:val="nil"/>
              <w:left w:val="nil"/>
              <w:bottom w:val="nil"/>
              <w:right w:val="nil"/>
            </w:tcBorders>
            <w:vAlign w:val="center"/>
            <w:hideMark/>
          </w:tcPr>
          <w:p w14:paraId="6963899E" w14:textId="01DB85C4" w:rsidR="00D50FFA" w:rsidRPr="00C67737" w:rsidRDefault="00D50FFA" w:rsidP="00777792">
            <w:pPr>
              <w:pStyle w:val="tabletext"/>
              <w:keepNext/>
              <w:keepLines/>
            </w:pPr>
          </w:p>
        </w:tc>
      </w:tr>
      <w:tr w:rsidR="00D50FFA" w:rsidRPr="00C67737" w14:paraId="46517142" w14:textId="14127137" w:rsidTr="00DF745D">
        <w:trPr>
          <w:trHeight w:val="293"/>
        </w:trPr>
        <w:tc>
          <w:tcPr>
            <w:tcW w:w="3832" w:type="dxa"/>
            <w:tcBorders>
              <w:top w:val="single" w:sz="8" w:space="0" w:color="008000"/>
              <w:left w:val="nil"/>
              <w:bottom w:val="single" w:sz="12" w:space="0" w:color="008000"/>
              <w:right w:val="nil"/>
            </w:tcBorders>
            <w:shd w:val="clear" w:color="auto" w:fill="F2F2F2" w:themeFill="background1" w:themeFillShade="F2"/>
            <w:vAlign w:val="center"/>
            <w:hideMark/>
          </w:tcPr>
          <w:p w14:paraId="5B3C91F2" w14:textId="18826DD5" w:rsidR="00D50FFA" w:rsidRPr="00C67737" w:rsidRDefault="00D50FFA" w:rsidP="00777792">
            <w:pPr>
              <w:pStyle w:val="tabletext"/>
              <w:keepNext/>
              <w:keepLines/>
            </w:pPr>
            <w:r>
              <w:t>Total</w:t>
            </w:r>
          </w:p>
        </w:tc>
        <w:tc>
          <w:tcPr>
            <w:tcW w:w="1951" w:type="dxa"/>
            <w:tcBorders>
              <w:top w:val="single" w:sz="8" w:space="0" w:color="008000"/>
              <w:left w:val="nil"/>
              <w:bottom w:val="single" w:sz="12" w:space="0" w:color="008000"/>
              <w:right w:val="nil"/>
            </w:tcBorders>
            <w:shd w:val="clear" w:color="auto" w:fill="F2F2F2" w:themeFill="background1" w:themeFillShade="F2"/>
            <w:vAlign w:val="center"/>
            <w:hideMark/>
          </w:tcPr>
          <w:p w14:paraId="3DB7C7C2" w14:textId="0CD91049" w:rsidR="00D50FFA" w:rsidRPr="00C67737" w:rsidRDefault="00D50FFA" w:rsidP="00777792">
            <w:pPr>
              <w:pStyle w:val="tabletext"/>
              <w:keepNext/>
              <w:keepLines/>
            </w:pPr>
            <w:r>
              <w:t>1</w:t>
            </w:r>
            <w:r w:rsidR="007377A3">
              <w:t> </w:t>
            </w:r>
            <w:r>
              <w:t xml:space="preserve">918,80 </w:t>
            </w:r>
          </w:p>
        </w:tc>
        <w:tc>
          <w:tcPr>
            <w:tcW w:w="2121" w:type="dxa"/>
            <w:tcBorders>
              <w:top w:val="single" w:sz="8" w:space="0" w:color="008000"/>
              <w:left w:val="nil"/>
              <w:bottom w:val="single" w:sz="12" w:space="0" w:color="008000"/>
              <w:right w:val="nil"/>
            </w:tcBorders>
            <w:shd w:val="clear" w:color="auto" w:fill="F2F2F2" w:themeFill="background1" w:themeFillShade="F2"/>
            <w:hideMark/>
          </w:tcPr>
          <w:p w14:paraId="4E7724F5" w14:textId="0C4DFADB" w:rsidR="00D50FFA" w:rsidRPr="00C67737" w:rsidRDefault="00D50FFA" w:rsidP="00777792">
            <w:pPr>
              <w:pStyle w:val="tabletext"/>
              <w:keepNext/>
              <w:keepLines/>
              <w:rPr>
                <w:color w:val="000000" w:themeColor="text1"/>
                <w:sz w:val="24"/>
                <w:szCs w:val="24"/>
              </w:rPr>
            </w:pPr>
            <w:r>
              <w:t xml:space="preserve"> 1</w:t>
            </w:r>
            <w:r w:rsidR="007377A3">
              <w:t> </w:t>
            </w:r>
            <w:r>
              <w:t xml:space="preserve">795,49   </w:t>
            </w:r>
          </w:p>
        </w:tc>
        <w:tc>
          <w:tcPr>
            <w:tcW w:w="1456" w:type="dxa"/>
            <w:tcBorders>
              <w:top w:val="single" w:sz="8" w:space="0" w:color="008000"/>
              <w:left w:val="nil"/>
              <w:bottom w:val="single" w:sz="12" w:space="0" w:color="008000"/>
              <w:right w:val="nil"/>
            </w:tcBorders>
            <w:shd w:val="clear" w:color="auto" w:fill="F2F2F2" w:themeFill="background1" w:themeFillShade="F2"/>
            <w:vAlign w:val="center"/>
            <w:hideMark/>
          </w:tcPr>
          <w:p w14:paraId="4BD1AFC8" w14:textId="194FD5CE" w:rsidR="00D50FFA" w:rsidRPr="00C67737" w:rsidRDefault="00D50FFA" w:rsidP="00777792">
            <w:pPr>
              <w:pStyle w:val="tabletext"/>
              <w:keepNext/>
              <w:keepLines/>
            </w:pPr>
            <w:r>
              <w:t>94</w:t>
            </w:r>
            <w:r w:rsidR="00966C17">
              <w:t> %</w:t>
            </w:r>
          </w:p>
        </w:tc>
      </w:tr>
    </w:tbl>
    <w:p w14:paraId="0127D584" w14:textId="7C706D92" w:rsidR="00281F74" w:rsidRPr="00C67737" w:rsidRDefault="6D20B3C4" w:rsidP="000B33CF">
      <w:pPr>
        <w:pStyle w:val="ListParagraph"/>
      </w:pPr>
      <w:bookmarkStart w:id="38" w:name="_Toc136871749"/>
      <w:bookmarkStart w:id="39" w:name="_Toc155558256"/>
      <w:bookmarkEnd w:id="35"/>
      <w:bookmarkEnd w:id="36"/>
      <w:r>
        <w:t>L’annexe</w:t>
      </w:r>
      <w:r w:rsidR="007377A3">
        <w:t> </w:t>
      </w:r>
      <w:r>
        <w:t>4 présente la liste des projets soumis pour financement au titre du domaine d’intervention «</w:t>
      </w:r>
      <w:r w:rsidR="007377A3">
        <w:t> </w:t>
      </w:r>
      <w:r w:rsidR="00DD1F44">
        <w:t>diversité biologique</w:t>
      </w:r>
      <w:r w:rsidR="007377A3">
        <w:t> </w:t>
      </w:r>
      <w:r>
        <w:t>» d</w:t>
      </w:r>
      <w:r w:rsidR="00DD1F44">
        <w:t>u fonds fiduciaire du</w:t>
      </w:r>
      <w:r w:rsidR="00CD3559">
        <w:t xml:space="preserve"> GEF</w:t>
      </w:r>
      <w:r>
        <w:t xml:space="preserve"> qui n’ont pas été approuvés au </w:t>
      </w:r>
      <w:r>
        <w:lastRenderedPageBreak/>
        <w:t>cours de la période considérée, et en indique les motifs. Elle recense 14</w:t>
      </w:r>
      <w:r w:rsidR="007377A3">
        <w:t> </w:t>
      </w:r>
      <w:r>
        <w:t xml:space="preserve">projets qui ont été rejetés parce qu’ils ne remplissaient pas les conditions requises pour bénéficier d’un financement du GEF ou n’avaient pas été retenus dans le cadre du guichet concurrentiel des instruments financiers autres que les aides directes, ainsi que des projets retirés par les </w:t>
      </w:r>
      <w:r w:rsidR="00887A21">
        <w:t>Agences d’exécution</w:t>
      </w:r>
      <w:r>
        <w:t>. Nombre de ces derniers ont ensuite été soumis sous une forme différente — par exemple, en tant que projets de taille moyenne à deux étapes plutôt qu’à une étape — et ont été approuvés. Enfin, deux projets ont été automatiquement retirés, la fin du cycle étant intervenue avant qu’ils puissent faire l’objet d’un examen technique et être examinés en vue de leur approbation.</w:t>
      </w:r>
    </w:p>
    <w:p w14:paraId="594912FD" w14:textId="378B9473" w:rsidR="005877DF" w:rsidRPr="00C67737" w:rsidRDefault="005877DF" w:rsidP="00D36D3F">
      <w:pPr>
        <w:pStyle w:val="Heading3"/>
      </w:pPr>
      <w:bookmarkStart w:id="40" w:name="_Toc242184650"/>
      <w:bookmarkStart w:id="41" w:name="_Toc242184699"/>
      <w:r>
        <w:t xml:space="preserve">Appui à la mise en œuvre du Protocole de </w:t>
      </w:r>
      <w:r w:rsidR="00ED3B3D">
        <w:t>Carthagène</w:t>
      </w:r>
      <w:r>
        <w:t xml:space="preserve"> sur la prévention des risques biotechnologiques relatif à la Convention sur la diversité biologique</w:t>
      </w:r>
      <w:bookmarkEnd w:id="40"/>
      <w:bookmarkEnd w:id="41"/>
      <w:r>
        <w:t xml:space="preserve"> </w:t>
      </w:r>
    </w:p>
    <w:p w14:paraId="636A4D86" w14:textId="046D3B7A" w:rsidR="005877DF" w:rsidRPr="00C67737" w:rsidRDefault="0954E276" w:rsidP="000B33CF">
      <w:pPr>
        <w:pStyle w:val="ListParagraph"/>
      </w:pPr>
      <w:r>
        <w:t xml:space="preserve">Au total, huit projets relatifs à la mise en œuvre du Protocole de </w:t>
      </w:r>
      <w:r w:rsidR="00ED3B3D">
        <w:t>Carthagène</w:t>
      </w:r>
      <w:r>
        <w:t xml:space="preserve"> ont été soumis par des Parties admissibles au cours de </w:t>
      </w:r>
      <w:r w:rsidR="00376C22">
        <w:t>GEF</w:t>
      </w:r>
      <w:r w:rsidR="00376C22">
        <w:noBreakHyphen/>
      </w:r>
      <w:r>
        <w:t>8</w:t>
      </w:r>
      <w:r w:rsidR="006E54C7">
        <w:t> :</w:t>
      </w:r>
      <w:r>
        <w:t xml:space="preserve"> quatre à la </w:t>
      </w:r>
      <w:r w:rsidR="00DD1F44">
        <w:t xml:space="preserve">Fonds fiduciaire </w:t>
      </w:r>
      <w:r>
        <w:t xml:space="preserve">du GEF et quatre demandes de financement </w:t>
      </w:r>
      <w:r w:rsidR="009E2445">
        <w:t xml:space="preserve">PPG </w:t>
      </w:r>
      <w:r>
        <w:t xml:space="preserve">au Fonds pour le </w:t>
      </w:r>
      <w:r w:rsidR="001E4AB9">
        <w:t>GBFF</w:t>
      </w:r>
      <w:r>
        <w:t xml:space="preserve">. Tous les projets soumis à la </w:t>
      </w:r>
      <w:r w:rsidR="00DD1F44">
        <w:t xml:space="preserve">Fonds fiduciaire </w:t>
      </w:r>
      <w:r>
        <w:t xml:space="preserve">du GEF ont été approuvés. Trois des quatre demandes de </w:t>
      </w:r>
      <w:r w:rsidR="001E4AB9">
        <w:t xml:space="preserve">financement </w:t>
      </w:r>
      <w:r w:rsidR="009E2445">
        <w:t>PPG</w:t>
      </w:r>
      <w:r>
        <w:t xml:space="preserve"> soumises au GBFF ont été retenues dans le cadre de son processus concurrentiel d’allocation des ressources.</w:t>
      </w:r>
    </w:p>
    <w:p w14:paraId="35AD8833" w14:textId="3AB3BDBB" w:rsidR="001D354F" w:rsidRPr="001D354F" w:rsidRDefault="00890EF4" w:rsidP="000B33CF">
      <w:pPr>
        <w:pStyle w:val="ListParagraph"/>
      </w:pPr>
      <w:r>
        <w:t>Tous fonds confondus, sept pays — Afrique du Sud, Gambie, Honduras, Jamaïque, Ouzbékistan, Sri Lanka et Soudan — bénéficient d’un appui, au moyen de projets autonomes, afin de mettre en œuvre des mesures de prévention des risques biotechnologiques conformément à la cible</w:t>
      </w:r>
      <w:r w:rsidR="007377A3">
        <w:t> </w:t>
      </w:r>
      <w:r>
        <w:t>17</w:t>
      </w:r>
      <w:r w:rsidRPr="001D354F">
        <w:t xml:space="preserve">. </w:t>
      </w:r>
      <w:r w:rsidR="001D354F" w:rsidRPr="001D354F">
        <w:t>Ces projets représentent un financement de projet du GEF de 17,8</w:t>
      </w:r>
      <w:r w:rsidR="00B77F3A">
        <w:t> </w:t>
      </w:r>
      <w:r w:rsidR="001D354F" w:rsidRPr="001D354F">
        <w:t>millions de dollars et 49,8</w:t>
      </w:r>
      <w:r w:rsidR="00A258AB">
        <w:t> </w:t>
      </w:r>
      <w:r w:rsidR="001D354F" w:rsidRPr="001D354F">
        <w:t>millions de dollars de cofinancement.</w:t>
      </w:r>
    </w:p>
    <w:p w14:paraId="59F42BA5" w14:textId="33CEFA34" w:rsidR="002A09DE" w:rsidRPr="00C67737" w:rsidRDefault="00BB351B" w:rsidP="000B33CF">
      <w:pPr>
        <w:pStyle w:val="ListParagraph"/>
      </w:pPr>
      <w:r>
        <w:t xml:space="preserve">Le projet de mise en œuvre du cadre national de biosécurité en Ouzbékistan conformément au Protocole de </w:t>
      </w:r>
      <w:r w:rsidR="00ED3B3D">
        <w:t>Carthagène</w:t>
      </w:r>
      <w:r>
        <w:t xml:space="preserve"> sur la prévention des risques biotechnologiques (</w:t>
      </w:r>
      <w:proofErr w:type="spellStart"/>
      <w:r>
        <w:rPr>
          <w:i/>
          <w:iCs/>
          <w:snapToGrid/>
        </w:rPr>
        <w:t>Implementation</w:t>
      </w:r>
      <w:proofErr w:type="spellEnd"/>
      <w:r>
        <w:rPr>
          <w:i/>
          <w:iCs/>
          <w:snapToGrid/>
        </w:rPr>
        <w:t xml:space="preserve"> of the National </w:t>
      </w:r>
      <w:proofErr w:type="spellStart"/>
      <w:r>
        <w:rPr>
          <w:i/>
          <w:iCs/>
          <w:snapToGrid/>
        </w:rPr>
        <w:t>Biosafety</w:t>
      </w:r>
      <w:proofErr w:type="spellEnd"/>
      <w:r>
        <w:rPr>
          <w:i/>
          <w:iCs/>
          <w:snapToGrid/>
        </w:rPr>
        <w:t xml:space="preserve"> Framework in </w:t>
      </w:r>
      <w:proofErr w:type="spellStart"/>
      <w:r>
        <w:rPr>
          <w:i/>
          <w:iCs/>
          <w:snapToGrid/>
        </w:rPr>
        <w:t>Uzbekistan</w:t>
      </w:r>
      <w:proofErr w:type="spellEnd"/>
      <w:r>
        <w:rPr>
          <w:i/>
          <w:iCs/>
          <w:snapToGrid/>
        </w:rPr>
        <w:t xml:space="preserve"> in accordance </w:t>
      </w:r>
      <w:proofErr w:type="spellStart"/>
      <w:r>
        <w:rPr>
          <w:i/>
          <w:iCs/>
          <w:snapToGrid/>
        </w:rPr>
        <w:t>with</w:t>
      </w:r>
      <w:proofErr w:type="spellEnd"/>
      <w:r>
        <w:rPr>
          <w:i/>
          <w:iCs/>
          <w:snapToGrid/>
        </w:rPr>
        <w:t xml:space="preserve"> the </w:t>
      </w:r>
      <w:r w:rsidR="00ED3B3D">
        <w:t>Carthagène</w:t>
      </w:r>
      <w:r>
        <w:rPr>
          <w:i/>
          <w:iCs/>
          <w:snapToGrid/>
        </w:rPr>
        <w:t xml:space="preserve"> Protocol on </w:t>
      </w:r>
      <w:proofErr w:type="spellStart"/>
      <w:r>
        <w:rPr>
          <w:i/>
          <w:iCs/>
          <w:snapToGrid/>
        </w:rPr>
        <w:t>Biosafety</w:t>
      </w:r>
      <w:proofErr w:type="spellEnd"/>
      <w:r w:rsidR="007377A3">
        <w:rPr>
          <w:snapToGrid/>
        </w:rPr>
        <w:t> </w:t>
      </w:r>
      <w:r>
        <w:rPr>
          <w:snapToGrid/>
        </w:rPr>
        <w:t>; N° de projet du GEF 11988</w:t>
      </w:r>
      <w:r w:rsidR="007377A3">
        <w:rPr>
          <w:snapToGrid/>
        </w:rPr>
        <w:t> </w:t>
      </w:r>
      <w:r>
        <w:rPr>
          <w:snapToGrid/>
        </w:rPr>
        <w:t>; financement de projet du GEF</w:t>
      </w:r>
      <w:r w:rsidR="006E54C7">
        <w:rPr>
          <w:snapToGrid/>
        </w:rPr>
        <w:t> :</w:t>
      </w:r>
      <w:r>
        <w:rPr>
          <w:snapToGrid/>
        </w:rPr>
        <w:t xml:space="preserve"> 1</w:t>
      </w:r>
      <w:r w:rsidR="007377A3">
        <w:rPr>
          <w:snapToGrid/>
        </w:rPr>
        <w:t> 784 863 </w:t>
      </w:r>
      <w:r>
        <w:rPr>
          <w:snapToGrid/>
        </w:rPr>
        <w:t>dollars</w:t>
      </w:r>
      <w:r w:rsidR="00546375">
        <w:rPr>
          <w:snapToGrid/>
        </w:rPr>
        <w:t> </w:t>
      </w:r>
      <w:r>
        <w:rPr>
          <w:snapToGrid/>
        </w:rPr>
        <w:t xml:space="preserve">; </w:t>
      </w:r>
      <w:r w:rsidR="00F52D3D">
        <w:rPr>
          <w:snapToGrid/>
        </w:rPr>
        <w:t>Agence</w:t>
      </w:r>
      <w:r w:rsidR="00FC3CD8">
        <w:rPr>
          <w:snapToGrid/>
        </w:rPr>
        <w:t xml:space="preserve"> de mise en œuvre</w:t>
      </w:r>
      <w:r w:rsidR="006E54C7">
        <w:rPr>
          <w:snapToGrid/>
        </w:rPr>
        <w:t> :</w:t>
      </w:r>
      <w:r>
        <w:rPr>
          <w:snapToGrid/>
        </w:rPr>
        <w:t xml:space="preserve"> Union internationale pour la conservation de la nature [UICN])</w:t>
      </w:r>
      <w:r>
        <w:t xml:space="preserve"> illustre l’appui apporté à la réalisation de la cible</w:t>
      </w:r>
      <w:r w:rsidR="00546375">
        <w:t> </w:t>
      </w:r>
      <w:r>
        <w:t>17. Il vise à lever les obstacles à la manipulation sans danger des organismes vivants modifiés (OVM) en Ouzbékistan. À cette fin, il soutient l’élaboration et la mise en application d’une politique de biosécurité, ainsi que de cadres réglementaires et institutionnels, et renforce les capacités nationales en matière d’évaluation et de gestion des risques liés aux OVM, ainsi que de suivi de ces organismes.</w:t>
      </w:r>
      <w:r>
        <w:rPr>
          <w:snapToGrid/>
        </w:rPr>
        <w:t xml:space="preserve"> Des </w:t>
      </w:r>
      <w:r>
        <w:rPr>
          <w:snapToGrid/>
        </w:rPr>
        <w:lastRenderedPageBreak/>
        <w:t>campagnes de sensibilisation du public et des activités de renforcement des capacités favoriseront l’acquisition de connaissances par les parties prenantes.</w:t>
      </w:r>
    </w:p>
    <w:p w14:paraId="002CF0D0" w14:textId="67E97CE2" w:rsidR="005877DF" w:rsidRPr="00C67737" w:rsidRDefault="005877DF" w:rsidP="00D36D3F">
      <w:pPr>
        <w:pStyle w:val="Heading3"/>
      </w:pPr>
      <w:bookmarkStart w:id="42" w:name="_Toc242184651"/>
      <w:bookmarkStart w:id="43" w:name="_Toc242184700"/>
      <w:r>
        <w:t xml:space="preserve">Appui à la ratification et à la mise en œuvre du Protocole de Nagoya sur l’accès aux ressources génétiques et le partage juste et équitable des avantages découlant de </w:t>
      </w:r>
      <w:proofErr w:type="gramStart"/>
      <w:r>
        <w:t xml:space="preserve">leur utilisation </w:t>
      </w:r>
      <w:r w:rsidR="00C90D14">
        <w:t>relatif</w:t>
      </w:r>
      <w:proofErr w:type="gramEnd"/>
      <w:r w:rsidR="00C90D14">
        <w:t xml:space="preserve"> à la</w:t>
      </w:r>
      <w:r>
        <w:t xml:space="preserve"> Convention sur la diversité biologique</w:t>
      </w:r>
      <w:bookmarkEnd w:id="42"/>
      <w:bookmarkEnd w:id="43"/>
    </w:p>
    <w:p w14:paraId="3F086303" w14:textId="0DD7B6FD" w:rsidR="000D39B5" w:rsidRPr="00C67737" w:rsidRDefault="00B56117" w:rsidP="000B33CF">
      <w:pPr>
        <w:pStyle w:val="ListParagraph"/>
      </w:pPr>
      <w:r>
        <w:t>Huit propositions relatives à la cible</w:t>
      </w:r>
      <w:r w:rsidR="00546375">
        <w:t> </w:t>
      </w:r>
      <w:r>
        <w:t xml:space="preserve">13 ont été </w:t>
      </w:r>
      <w:r w:rsidR="00E4376B">
        <w:t xml:space="preserve">présentées </w:t>
      </w:r>
      <w:r w:rsidR="00DD1F44">
        <w:t>au Fonds fiduciaire</w:t>
      </w:r>
      <w:r w:rsidR="00E4376B">
        <w:t xml:space="preserve"> du GEF</w:t>
      </w:r>
      <w:r>
        <w:t xml:space="preserve"> </w:t>
      </w:r>
      <w:r w:rsidR="00E4376B">
        <w:t>en vue d’o</w:t>
      </w:r>
      <w:r w:rsidR="00D00067">
        <w:t>btenir un financement</w:t>
      </w:r>
      <w:r>
        <w:t xml:space="preserve">, </w:t>
      </w:r>
      <w:r w:rsidR="00D00067">
        <w:t>et</w:t>
      </w:r>
      <w:r>
        <w:t xml:space="preserve"> 17</w:t>
      </w:r>
      <w:r w:rsidR="00546375">
        <w:t> </w:t>
      </w:r>
      <w:r>
        <w:t xml:space="preserve">demandes de financement </w:t>
      </w:r>
      <w:r w:rsidR="009E2445">
        <w:t>PPG</w:t>
      </w:r>
      <w:r>
        <w:t xml:space="preserve"> </w:t>
      </w:r>
      <w:r w:rsidR="00D00067">
        <w:t xml:space="preserve">ont été soumises </w:t>
      </w:r>
      <w:r>
        <w:t>au titre du GBFF</w:t>
      </w:r>
      <w:r w:rsidR="00D00067">
        <w:t>, y compris</w:t>
      </w:r>
      <w:r>
        <w:t xml:space="preserve"> les </w:t>
      </w:r>
      <w:r w:rsidR="00D00067">
        <w:t>présentations</w:t>
      </w:r>
      <w:r>
        <w:t xml:space="preserve"> </w:t>
      </w:r>
      <w:r w:rsidR="00D00067">
        <w:t>successives</w:t>
      </w:r>
      <w:r>
        <w:t xml:space="preserve"> d’une même proposition lors de plusieurs cycles de sélection du GBFF. Toutes les propositions </w:t>
      </w:r>
      <w:r w:rsidR="007F019F">
        <w:t>présentées</w:t>
      </w:r>
      <w:r>
        <w:t xml:space="preserve"> </w:t>
      </w:r>
      <w:r w:rsidR="00DD1F44">
        <w:t>au Fonds fiduciaire</w:t>
      </w:r>
      <w:r>
        <w:t xml:space="preserve"> du GEF ont été approuvées. Sept des 17</w:t>
      </w:r>
      <w:r w:rsidR="00546375">
        <w:t> </w:t>
      </w:r>
      <w:r>
        <w:t xml:space="preserve">demandes de financement </w:t>
      </w:r>
      <w:r w:rsidR="009E2445">
        <w:t>PPG</w:t>
      </w:r>
      <w:r>
        <w:t xml:space="preserve"> au titre du GBFF ont été retenues dans le cadre du processus concurrentiel d’allocation des ressources du GBFF.</w:t>
      </w:r>
    </w:p>
    <w:p w14:paraId="3C9F7409" w14:textId="0F5CD5D2" w:rsidR="00E440B8" w:rsidRPr="00372760" w:rsidRDefault="00CD3559" w:rsidP="000B33CF">
      <w:pPr>
        <w:pStyle w:val="ListParagraph"/>
        <w:rPr>
          <w:rStyle w:val="inline-block"/>
        </w:rPr>
      </w:pPr>
      <w:r>
        <w:rPr>
          <w:rStyle w:val="Strong"/>
          <w:b w:val="0"/>
          <w:bCs w:val="0"/>
        </w:rPr>
        <w:t xml:space="preserve">Le fonds fiduciaire </w:t>
      </w:r>
      <w:r w:rsidR="00E440B8" w:rsidRPr="00E440B8">
        <w:rPr>
          <w:rStyle w:val="Strong"/>
          <w:b w:val="0"/>
          <w:bCs w:val="0"/>
        </w:rPr>
        <w:t>du GEF et le GBFF appuient 15</w:t>
      </w:r>
      <w:r w:rsidR="00A258AB">
        <w:rPr>
          <w:rStyle w:val="Strong"/>
          <w:b w:val="0"/>
          <w:bCs w:val="0"/>
        </w:rPr>
        <w:t> </w:t>
      </w:r>
      <w:r w:rsidR="00E440B8" w:rsidRPr="00E440B8">
        <w:rPr>
          <w:rStyle w:val="Strong"/>
          <w:b w:val="0"/>
          <w:bCs w:val="0"/>
        </w:rPr>
        <w:t xml:space="preserve">pays — Belize, Brésil, Burkina Faso, Cambodge, Eswatini, Guinée équatoriale, Honduras, Inde, Indonésie, Malaisie, </w:t>
      </w:r>
      <w:r w:rsidR="00691863" w:rsidRPr="00E440B8">
        <w:rPr>
          <w:rStyle w:val="Strong"/>
          <w:b w:val="0"/>
          <w:bCs w:val="0"/>
        </w:rPr>
        <w:t>Micronésie</w:t>
      </w:r>
      <w:r w:rsidR="00691863">
        <w:rPr>
          <w:rStyle w:val="Strong"/>
          <w:b w:val="0"/>
          <w:bCs w:val="0"/>
        </w:rPr>
        <w:t xml:space="preserve"> (</w:t>
      </w:r>
      <w:r w:rsidR="00691863" w:rsidRPr="00E440B8">
        <w:rPr>
          <w:rStyle w:val="Strong"/>
          <w:b w:val="0"/>
          <w:bCs w:val="0"/>
        </w:rPr>
        <w:t>États fédérés de</w:t>
      </w:r>
      <w:r w:rsidR="00691863">
        <w:rPr>
          <w:rStyle w:val="Strong"/>
          <w:b w:val="0"/>
          <w:bCs w:val="0"/>
        </w:rPr>
        <w:t>),</w:t>
      </w:r>
      <w:r w:rsidR="00691863" w:rsidRPr="00E440B8">
        <w:rPr>
          <w:rStyle w:val="Strong"/>
          <w:b w:val="0"/>
          <w:bCs w:val="0"/>
        </w:rPr>
        <w:t xml:space="preserve"> </w:t>
      </w:r>
      <w:r w:rsidR="00E440B8" w:rsidRPr="00E440B8">
        <w:rPr>
          <w:rStyle w:val="Strong"/>
          <w:b w:val="0"/>
          <w:bCs w:val="0"/>
        </w:rPr>
        <w:t>Pakistan, Sri Lanka, Thaïlande et Yémen — au moyen de 15</w:t>
      </w:r>
      <w:r w:rsidR="00A258AB">
        <w:rPr>
          <w:rStyle w:val="Strong"/>
          <w:b w:val="0"/>
          <w:bCs w:val="0"/>
        </w:rPr>
        <w:t> </w:t>
      </w:r>
      <w:r w:rsidR="00E440B8" w:rsidRPr="00E440B8">
        <w:rPr>
          <w:rStyle w:val="Strong"/>
          <w:b w:val="0"/>
          <w:bCs w:val="0"/>
        </w:rPr>
        <w:t>projets autonomes, à la mise en œuvre de l’accès aux ressources génétiques et du partage juste et équitable des avantages découlant de leur utilisation, conformément à la cible</w:t>
      </w:r>
      <w:r w:rsidR="00A258AB">
        <w:rPr>
          <w:rStyle w:val="Strong"/>
          <w:b w:val="0"/>
          <w:bCs w:val="0"/>
        </w:rPr>
        <w:t> </w:t>
      </w:r>
      <w:r w:rsidR="00E440B8" w:rsidRPr="00E440B8">
        <w:rPr>
          <w:rStyle w:val="Strong"/>
          <w:b w:val="0"/>
          <w:bCs w:val="0"/>
        </w:rPr>
        <w:t>13. Cet appui comprend une aide à la ratification du Protocole de Nagoya au Belize, en Thaïlande et au Sri Lanka. Ces projets représentent un financement de projet du GEF de 57,0</w:t>
      </w:r>
      <w:r w:rsidR="00A258AB">
        <w:rPr>
          <w:rStyle w:val="Strong"/>
          <w:b w:val="0"/>
          <w:bCs w:val="0"/>
        </w:rPr>
        <w:t> </w:t>
      </w:r>
      <w:r w:rsidR="00E440B8" w:rsidRPr="00E440B8">
        <w:rPr>
          <w:rStyle w:val="Strong"/>
          <w:b w:val="0"/>
          <w:bCs w:val="0"/>
        </w:rPr>
        <w:t>millions de dollars et 266,3</w:t>
      </w:r>
      <w:r w:rsidR="00691863">
        <w:rPr>
          <w:rStyle w:val="Strong"/>
          <w:b w:val="0"/>
          <w:bCs w:val="0"/>
        </w:rPr>
        <w:t> </w:t>
      </w:r>
      <w:r w:rsidR="00E440B8" w:rsidRPr="00E440B8">
        <w:rPr>
          <w:rStyle w:val="Strong"/>
          <w:b w:val="0"/>
          <w:bCs w:val="0"/>
        </w:rPr>
        <w:t>millions de dollars de cofinancement</w:t>
      </w:r>
      <w:r w:rsidR="00E440B8" w:rsidRPr="00372760">
        <w:rPr>
          <w:rStyle w:val="Strong"/>
        </w:rPr>
        <w:t>.</w:t>
      </w:r>
    </w:p>
    <w:p w14:paraId="382D5386" w14:textId="6465127B" w:rsidR="00A742AD" w:rsidRPr="00C67737" w:rsidRDefault="00BA1FCC" w:rsidP="000B33CF">
      <w:pPr>
        <w:pStyle w:val="ListParagraph"/>
      </w:pPr>
      <w:r>
        <w:t>Le projet de renforcement du cadre malaisien relatif à l’accès et au partage des avantages, de la conformité numérique et des partenariats entre le secteur privé et les communautés (</w:t>
      </w:r>
      <w:proofErr w:type="spellStart"/>
      <w:r>
        <w:rPr>
          <w:i/>
          <w:iCs/>
        </w:rPr>
        <w:t>Strengthening</w:t>
      </w:r>
      <w:proofErr w:type="spellEnd"/>
      <w:r>
        <w:rPr>
          <w:i/>
          <w:iCs/>
        </w:rPr>
        <w:t xml:space="preserve"> </w:t>
      </w:r>
      <w:proofErr w:type="spellStart"/>
      <w:r>
        <w:rPr>
          <w:i/>
          <w:iCs/>
        </w:rPr>
        <w:t>Malaysia’s</w:t>
      </w:r>
      <w:proofErr w:type="spellEnd"/>
      <w:r>
        <w:rPr>
          <w:i/>
          <w:iCs/>
        </w:rPr>
        <w:t xml:space="preserve"> Access and </w:t>
      </w:r>
      <w:proofErr w:type="spellStart"/>
      <w:r>
        <w:rPr>
          <w:i/>
          <w:iCs/>
        </w:rPr>
        <w:t>Benefit</w:t>
      </w:r>
      <w:proofErr w:type="spellEnd"/>
      <w:r>
        <w:rPr>
          <w:i/>
          <w:iCs/>
        </w:rPr>
        <w:t xml:space="preserve">-Sharing Framework, Digital Compliance, and Private </w:t>
      </w:r>
      <w:proofErr w:type="spellStart"/>
      <w:r>
        <w:rPr>
          <w:i/>
          <w:iCs/>
        </w:rPr>
        <w:t>Sector</w:t>
      </w:r>
      <w:proofErr w:type="spellEnd"/>
      <w:r w:rsidR="00546375">
        <w:rPr>
          <w:i/>
          <w:iCs/>
        </w:rPr>
        <w:t>—</w:t>
      </w:r>
      <w:r>
        <w:rPr>
          <w:i/>
          <w:iCs/>
        </w:rPr>
        <w:t xml:space="preserve">Community </w:t>
      </w:r>
      <w:proofErr w:type="gramStart"/>
      <w:r>
        <w:rPr>
          <w:i/>
          <w:iCs/>
        </w:rPr>
        <w:t>Partnerships</w:t>
      </w:r>
      <w:r>
        <w:t>;</w:t>
      </w:r>
      <w:proofErr w:type="gramEnd"/>
      <w:r>
        <w:t xml:space="preserve"> N° de projet du GEF</w:t>
      </w:r>
      <w:r w:rsidR="00546375">
        <w:t> </w:t>
      </w:r>
      <w:r>
        <w:t>12154</w:t>
      </w:r>
      <w:r w:rsidR="00546375">
        <w:t> </w:t>
      </w:r>
      <w:r>
        <w:t>; financement de projet du GEF</w:t>
      </w:r>
      <w:r w:rsidR="006E54C7">
        <w:t> :</w:t>
      </w:r>
      <w:r>
        <w:t xml:space="preserve"> 4</w:t>
      </w:r>
      <w:r w:rsidR="00546375">
        <w:t> 651 950 </w:t>
      </w:r>
      <w:r>
        <w:t>dollars</w:t>
      </w:r>
      <w:r w:rsidR="00546375">
        <w:t> </w:t>
      </w:r>
      <w:r>
        <w:t xml:space="preserve">; </w:t>
      </w:r>
      <w:r w:rsidR="00FC3CD8">
        <w:rPr>
          <w:snapToGrid/>
        </w:rPr>
        <w:t>Agence de mise en œuvre</w:t>
      </w:r>
      <w:r w:rsidR="006E54C7">
        <w:t> :</w:t>
      </w:r>
      <w:r>
        <w:t xml:space="preserve"> PNUD) illustre l’appui apporté à la réalisation de la cible</w:t>
      </w:r>
      <w:r w:rsidR="00546375">
        <w:t> </w:t>
      </w:r>
      <w:r>
        <w:t>13. Il vise à combler les lacunes persistantes dans la mise en œuvre de la loi malaisienne de 2017 sur l’accès et le partage des avantages, en finalisant les règlements d’application, en normalisant les procédures opérationnelles des États, en instaurant des mécanismes de diligence raisonnable aux points de contrôle et en précisant l’approche nationale relative à l’information de séquençage numérique au regard du mécanisme multilatéral de la CDB. Il renforcera également les capacités du secrétariat national et des utilisateurs, tout en facilitant l’accès des peuples autochtones et communautés locales à un partage juste et équitable des avantages concourant à la préservation de la biodiversité.</w:t>
      </w:r>
      <w:r>
        <w:rPr>
          <w:snapToGrid/>
        </w:rPr>
        <w:t xml:space="preserve"> Ce projet devrait aboutir à la mise en place d’un système d’accès aux ressources génétiques et de partage des avantages pleinement opérationnel, numérisé et fiable, qui améliore le respect des exigences applicables, oriente les avantages vers les peuples autochtones et communautés locales et finance des activités de conservation sur le terrain. </w:t>
      </w:r>
    </w:p>
    <w:p w14:paraId="1308D784" w14:textId="44866AAD" w:rsidR="000E11A5" w:rsidRPr="00C67737" w:rsidRDefault="005877DF" w:rsidP="00BE74BF">
      <w:pPr>
        <w:pStyle w:val="Heading3"/>
        <w:keepNext/>
      </w:pPr>
      <w:bookmarkStart w:id="44" w:name="_Toc242184652"/>
      <w:bookmarkStart w:id="45" w:name="_Toc242184701"/>
      <w:r>
        <w:t>Activités habilitantes</w:t>
      </w:r>
      <w:bookmarkEnd w:id="44"/>
      <w:bookmarkEnd w:id="45"/>
    </w:p>
    <w:p w14:paraId="5F48E2BF" w14:textId="3AF9A89A" w:rsidR="00D1712D" w:rsidRPr="00C67737" w:rsidRDefault="00B23EDB" w:rsidP="000B33CF">
      <w:pPr>
        <w:pStyle w:val="ListParagraph"/>
      </w:pPr>
      <w:r>
        <w:t>Quatre programmes mondiaux ont été approuvés au cours de la période considérée afin d’appuyer la planification et l’établissement de rapports au titre de la CDB et de ses Protocoles, dans le cadre de la modalité des activités habilitantes du GEF.</w:t>
      </w:r>
    </w:p>
    <w:p w14:paraId="2C4994C3" w14:textId="323754F3" w:rsidR="00D1712D" w:rsidRPr="00C67737" w:rsidRDefault="00FF2690" w:rsidP="000B33CF">
      <w:pPr>
        <w:pStyle w:val="bulletpara"/>
        <w:rPr>
          <w:bCs/>
        </w:rPr>
      </w:pPr>
      <w:r>
        <w:lastRenderedPageBreak/>
        <w:t>Le Programme-cadre d’appui à la révision et à la mise à jour des stratégies et plans d’action nationaux pour la biodiversité (SPANB) et à l’établissement des septièmes rapports nationaux a été approuvé en juin 2023. Il comprend deux projets</w:t>
      </w:r>
      <w:r w:rsidR="006E54C7">
        <w:t> :</w:t>
      </w:r>
      <w:r>
        <w:t xml:space="preserve"> l’un exécuté par le PNUE en qualité d’</w:t>
      </w:r>
      <w:r w:rsidR="00F52D3D">
        <w:t>Agence</w:t>
      </w:r>
      <w:r>
        <w:t xml:space="preserve"> du GEF (financement de projet du GEF</w:t>
      </w:r>
      <w:r w:rsidR="006E54C7">
        <w:t> :</w:t>
      </w:r>
      <w:r>
        <w:t xml:space="preserve"> 36</w:t>
      </w:r>
      <w:r w:rsidR="00546375">
        <w:t> 435 000 </w:t>
      </w:r>
      <w:r>
        <w:t>dollars) et l’autre par le PNUD en qualité d’</w:t>
      </w:r>
      <w:r w:rsidR="00F52D3D">
        <w:t>Agence</w:t>
      </w:r>
      <w:r>
        <w:t xml:space="preserve"> du GEF (financement de projet du GEF</w:t>
      </w:r>
      <w:r w:rsidR="006E54C7">
        <w:t> :</w:t>
      </w:r>
      <w:r>
        <w:t xml:space="preserve"> 35</w:t>
      </w:r>
      <w:r w:rsidR="00546375">
        <w:t> 600 000 </w:t>
      </w:r>
      <w:r>
        <w:t xml:space="preserve">dollars). Chaque projet comporte trois composantes. La première est axée sur la révision et la mise à jour des SPANB existantes afin d’en assurer la cohérence avec le KMGBF, tandis que la deuxième vise à aider les pays à achever leur septième rapport national à l’aide des indicateurs du cadre de suivi du KMGBF. Ces deux composantes s’appuient sur les travaux engagés dans le cadre du projet d’appui aux interventions précoces en faveur du Cadre mondial de la biodiversité relevant de </w:t>
      </w:r>
      <w:r w:rsidR="00376C22">
        <w:t>GEF</w:t>
      </w:r>
      <w:r w:rsidR="00376C22">
        <w:noBreakHyphen/>
      </w:r>
      <w:r>
        <w:t>7 et viennent les compléter. La composante</w:t>
      </w:r>
      <w:r w:rsidR="00546375">
        <w:t> </w:t>
      </w:r>
      <w:r>
        <w:t>3 prévoit un appui mondial à la gestion des connaissances et à l’apprentissage, ainsi qu’une assistance technique. Le programme produit deux résultats principaux dans chaque pays</w:t>
      </w:r>
      <w:r w:rsidR="006E54C7">
        <w:t> :</w:t>
      </w:r>
      <w:r>
        <w:t xml:space="preserve"> une SPANB révisée et le rapport national soumis à la CDB. Le Programme-cadre appuie au total 139</w:t>
      </w:r>
      <w:r w:rsidR="00546375">
        <w:t> </w:t>
      </w:r>
      <w:r>
        <w:t>pays, dont 57 avaient soumis leur SPANB et 91 leur septième rapport national au 15</w:t>
      </w:r>
      <w:r w:rsidR="00546375">
        <w:t> </w:t>
      </w:r>
      <w:r>
        <w:t>juin 2026. L’annexe</w:t>
      </w:r>
      <w:r w:rsidR="00546375">
        <w:t> </w:t>
      </w:r>
      <w:r>
        <w:t>6 présente des informations détaillées sur l’état d’avancement dans chacun des pays participants.</w:t>
      </w:r>
    </w:p>
    <w:p w14:paraId="120B38B6" w14:textId="3F69EE39" w:rsidR="00171F1A" w:rsidRPr="00C67737" w:rsidRDefault="004325E9" w:rsidP="000B33CF">
      <w:pPr>
        <w:pStyle w:val="bulletpara"/>
        <w:rPr>
          <w:bCs/>
        </w:rPr>
      </w:pPr>
      <w:r>
        <w:t xml:space="preserve">Le Programme-cadre d’appui à l’élaboration de plans de financement </w:t>
      </w:r>
      <w:r w:rsidR="001C0417">
        <w:t>en faveur de</w:t>
      </w:r>
      <w:r>
        <w:t xml:space="preserve"> la biodiversité (financement de projet du GEF</w:t>
      </w:r>
      <w:r w:rsidR="006E54C7">
        <w:t> :</w:t>
      </w:r>
      <w:r>
        <w:t xml:space="preserve"> 42</w:t>
      </w:r>
      <w:r w:rsidR="00546375">
        <w:t> 030 950 </w:t>
      </w:r>
      <w:r>
        <w:t>dollars) a été approuvé en décembre</w:t>
      </w:r>
      <w:r w:rsidR="00807125">
        <w:t> </w:t>
      </w:r>
      <w:r>
        <w:t xml:space="preserve">2022, puis modifié en juin 2026 afin d’y </w:t>
      </w:r>
      <w:r w:rsidR="001C0417">
        <w:t>inclure</w:t>
      </w:r>
      <w:r>
        <w:t xml:space="preserve"> sept pays admissibles qui n’avaient pas sollicité d’appui auparavant. </w:t>
      </w:r>
      <w:r w:rsidR="00FC0737" w:rsidRPr="00FC0737">
        <w:t>Il vise à favoriser la mobilisation de ressources à grande échelle pour la mise en œuvre du KMGBF, en soutenant, dans 98</w:t>
      </w:r>
      <w:r w:rsidR="00A258AB">
        <w:t> </w:t>
      </w:r>
      <w:r w:rsidR="00FC0737" w:rsidRPr="00FC0737">
        <w:t>pays, l’élaboration de plans nationaux de financement de la biodiversité, y compris la réalisation de diagnostics de référence, le renforcement des capacités et la mise en place de dispositifs institutionnels.</w:t>
      </w:r>
      <w:r>
        <w:t xml:space="preserve"> Cette activité répond à l’objectif</w:t>
      </w:r>
      <w:r w:rsidR="00546375">
        <w:t> </w:t>
      </w:r>
      <w:r>
        <w:t>3 de la stratégie du GEF en matière de diversité biologique, qui vise à appuyer la mobilisation de ressources nationales. Elle soutient les pays qui n’ont pas encore bénéficié de l’Initiative de financement de la biodiversité du PNUD (BIOFIN). Dans le cadre du programme, une plateforme mondiale de partage des connaissances et d’appui technique a été mise en place afin de favoriser les échanges de connaissances et d’expériences entre les pays participants, avec la participation d’organisations partenaires. Elle met à la disposition des pays une expertise technique spécialisée pour appuyer les processus nationaux et répondre aux questions financières de nature technique. L’annexe</w:t>
      </w:r>
      <w:r w:rsidR="00546375">
        <w:t> </w:t>
      </w:r>
      <w:r>
        <w:t>7 présente des informations détaillées sur l’état d’avancement dans chacun des pays participants.</w:t>
      </w:r>
    </w:p>
    <w:p w14:paraId="26AA1D6A" w14:textId="6323CE8F" w:rsidR="00F05DCB" w:rsidRPr="00C67737" w:rsidRDefault="00B52FA4" w:rsidP="000B33CF">
      <w:pPr>
        <w:pStyle w:val="bulletpara"/>
      </w:pPr>
      <w:r>
        <w:t xml:space="preserve">Le </w:t>
      </w:r>
      <w:r w:rsidR="00D214A9">
        <w:t>P</w:t>
      </w:r>
      <w:r>
        <w:t xml:space="preserve">rogramme d’appui à l’élaboration des cinquièmes rapports nationaux sur la mise en œuvre du Protocole de </w:t>
      </w:r>
      <w:r w:rsidR="00ED3B3D">
        <w:t>Carthagène</w:t>
      </w:r>
      <w:r w:rsidR="00ED3B3D" w:rsidDel="00ED3B3D">
        <w:t xml:space="preserve"> </w:t>
      </w:r>
      <w:r>
        <w:t xml:space="preserve">sur la prévention des risques biotechnologiques, </w:t>
      </w:r>
      <w:r w:rsidR="007D3C64">
        <w:t xml:space="preserve">mis en œuvre </w:t>
      </w:r>
      <w:r>
        <w:t>par le PNUE (financement de projet du GEF</w:t>
      </w:r>
      <w:r w:rsidR="006E54C7">
        <w:t> :</w:t>
      </w:r>
      <w:r>
        <w:t xml:space="preserve"> 4</w:t>
      </w:r>
      <w:r w:rsidR="00546375">
        <w:t> 059 825 </w:t>
      </w:r>
      <w:r>
        <w:t>dollars), a été approuvé en avril</w:t>
      </w:r>
      <w:r w:rsidR="00807125">
        <w:t> </w:t>
      </w:r>
      <w:r>
        <w:t>2025. Il appuie 105</w:t>
      </w:r>
      <w:r w:rsidR="00546375">
        <w:t> </w:t>
      </w:r>
      <w:r>
        <w:t xml:space="preserve">Parties admissibles au Protocole de </w:t>
      </w:r>
      <w:r w:rsidR="00ED3B3D">
        <w:t>Carthagène</w:t>
      </w:r>
      <w:r>
        <w:t xml:space="preserve"> dans l’exécution de leurs obligations nationales en matière d’établissement de rapports. Au 15</w:t>
      </w:r>
      <w:r w:rsidR="00546375">
        <w:t> </w:t>
      </w:r>
      <w:r>
        <w:t>juin</w:t>
      </w:r>
      <w:r w:rsidR="00807125">
        <w:t> </w:t>
      </w:r>
      <w:r>
        <w:t>2026, 88 d’entre elles avaient soumis leur cinquième rapport national. L’annexe</w:t>
      </w:r>
      <w:r w:rsidR="00546375">
        <w:t> </w:t>
      </w:r>
      <w:r>
        <w:t>8 présente des informations détaillées sur l’état d’avancement dans chacun des pays participants.</w:t>
      </w:r>
    </w:p>
    <w:p w14:paraId="606D0223" w14:textId="41FE294B" w:rsidR="005E550C" w:rsidRPr="00C67737" w:rsidRDefault="008342DA" w:rsidP="000B33CF">
      <w:pPr>
        <w:pStyle w:val="bulletpara"/>
      </w:pPr>
      <w:r>
        <w:lastRenderedPageBreak/>
        <w:t xml:space="preserve">Le programme d’appui à l’élaboration des premiers rapports nationaux sur la mise en œuvre du Protocole de Nagoya sur l’accès aux ressources génétiques et le partage juste et équitable des avantages découlant de leur utilisation, </w:t>
      </w:r>
      <w:r w:rsidR="009334AD">
        <w:t xml:space="preserve">mis en œuvre </w:t>
      </w:r>
      <w:r>
        <w:t>par le PNUE (financement de projet du GEF</w:t>
      </w:r>
      <w:r w:rsidR="006E54C7">
        <w:t> :</w:t>
      </w:r>
      <w:r>
        <w:t xml:space="preserve"> 3</w:t>
      </w:r>
      <w:r w:rsidR="00546375">
        <w:t> 701 250 </w:t>
      </w:r>
      <w:r>
        <w:t>dollars), a été approuvé en avril 2025. Il appuie 96</w:t>
      </w:r>
      <w:r w:rsidR="00546375">
        <w:t> </w:t>
      </w:r>
      <w:r>
        <w:t>Parties admissibles au Protocole de Nagoya dans l’exécution de leurs obligations nationales en matière d’établissement de rapports. Au 15</w:t>
      </w:r>
      <w:r w:rsidR="00546375">
        <w:t> </w:t>
      </w:r>
      <w:r>
        <w:t>juin 2026, 73 d’entre elles avaient soumis leur premier rapport national. L’annexe</w:t>
      </w:r>
      <w:r w:rsidR="00546375">
        <w:t> </w:t>
      </w:r>
      <w:r>
        <w:t>9 présente des informations détaillées sur l’état d’avancement dans chacun des pays participants.</w:t>
      </w:r>
    </w:p>
    <w:p w14:paraId="3AF21761" w14:textId="1F1173C6" w:rsidR="00C91105" w:rsidRPr="00C67737" w:rsidRDefault="00C91105" w:rsidP="00D36D3F">
      <w:pPr>
        <w:pStyle w:val="Heading3"/>
      </w:pPr>
      <w:bookmarkStart w:id="46" w:name="_Toc242184653"/>
      <w:bookmarkStart w:id="47" w:name="_Toc242184702"/>
      <w:r>
        <w:t>Contribution des programmes intégrés du GEF aux cibles du Cadre mondial de la biodiversité de Kunming-Montréal</w:t>
      </w:r>
      <w:bookmarkStart w:id="48" w:name="_Toc136871750"/>
      <w:bookmarkEnd w:id="38"/>
      <w:bookmarkEnd w:id="46"/>
      <w:bookmarkEnd w:id="47"/>
      <w:r>
        <w:t xml:space="preserve"> </w:t>
      </w:r>
      <w:bookmarkEnd w:id="48"/>
    </w:p>
    <w:p w14:paraId="25C77F8A" w14:textId="268A3298" w:rsidR="00731DBC" w:rsidRPr="00C67737" w:rsidRDefault="00B543A6" w:rsidP="000B33CF">
      <w:pPr>
        <w:pStyle w:val="ListParagraph"/>
      </w:pPr>
      <w:r>
        <w:t xml:space="preserve">Les </w:t>
      </w:r>
      <w:r w:rsidR="00F02738">
        <w:t>orientations programmatiques</w:t>
      </w:r>
      <w:r>
        <w:t xml:space="preserve"> de </w:t>
      </w:r>
      <w:r w:rsidR="00376C22">
        <w:t>GEF</w:t>
      </w:r>
      <w:r w:rsidR="00376C22">
        <w:noBreakHyphen/>
      </w:r>
      <w:r>
        <w:t>8</w:t>
      </w:r>
      <w:r w:rsidR="0029731F" w:rsidRPr="00C67737">
        <w:rPr>
          <w:rStyle w:val="FootnoteReference"/>
          <w:lang w:val="en-US"/>
        </w:rPr>
        <w:footnoteReference w:id="19"/>
      </w:r>
      <w:r>
        <w:t xml:space="preserve"> font état des contributions potentielles des 11</w:t>
      </w:r>
      <w:r w:rsidR="00546375">
        <w:t> </w:t>
      </w:r>
      <w:r>
        <w:t xml:space="preserve">programmes intégrés de </w:t>
      </w:r>
      <w:r w:rsidR="00376C22">
        <w:t>GEF</w:t>
      </w:r>
      <w:r w:rsidR="00376C22">
        <w:noBreakHyphen/>
      </w:r>
      <w:r>
        <w:t>8 à la mise en œuvre du Cadre mondial de la biodiversité pour l’après-2020,</w:t>
      </w:r>
      <w:r w:rsidR="00546375">
        <w:t xml:space="preserve"> </w:t>
      </w:r>
      <w:r>
        <w:t xml:space="preserve">ultérieurement adopté sous le nom </w:t>
      </w:r>
      <w:r w:rsidR="00C23A68">
        <w:t xml:space="preserve">de </w:t>
      </w:r>
      <w:r>
        <w:t>KMGBF</w:t>
      </w:r>
      <w:r w:rsidR="0031633A" w:rsidRPr="00C67737">
        <w:rPr>
          <w:rStyle w:val="FootnoteReference"/>
          <w:lang w:val="en-US"/>
        </w:rPr>
        <w:footnoteReference w:id="20"/>
      </w:r>
      <w:r>
        <w:t>. Chaque programme intégré est présenté ci-après, avec une brève description de sa contribution aux cibles du KMGBF, notamment au regard des résultats attendus pour les indicateurs de base du GEF.</w:t>
      </w:r>
    </w:p>
    <w:p w14:paraId="7FD20D81" w14:textId="66E5EEB7" w:rsidR="00C91105" w:rsidRPr="00C67737" w:rsidRDefault="00B21415" w:rsidP="000B33CF">
      <w:pPr>
        <w:pStyle w:val="ListParagraph"/>
      </w:pPr>
      <w:r>
        <w:t xml:space="preserve">Tous les programmes intégrés contribuent à la réalisation des </w:t>
      </w:r>
      <w:r>
        <w:rPr>
          <w:b/>
          <w:bCs/>
        </w:rPr>
        <w:t>cibles</w:t>
      </w:r>
      <w:r w:rsidR="00546375">
        <w:rPr>
          <w:b/>
          <w:bCs/>
        </w:rPr>
        <w:t> </w:t>
      </w:r>
      <w:r>
        <w:rPr>
          <w:b/>
          <w:bCs/>
        </w:rPr>
        <w:t>20</w:t>
      </w:r>
      <w:r>
        <w:t xml:space="preserve"> et </w:t>
      </w:r>
      <w:r>
        <w:rPr>
          <w:b/>
          <w:bCs/>
        </w:rPr>
        <w:t>21</w:t>
      </w:r>
      <w:r>
        <w:t xml:space="preserve">. Si cette contribution ne fait pas l’objet d’un suivi distinct au moyen des Indicateurs de base du GEF, la plupart des projets rattachés, de même que le projet de coordination mondiale de chaque programme intégré, </w:t>
      </w:r>
      <w:r w:rsidR="00C23A68">
        <w:t>incluent</w:t>
      </w:r>
      <w:r>
        <w:t xml:space="preserve"> un appui à la réalisation de ces cibles lorsque celui-ci est nécessaire à l’atteinte de leurs buts et objectifs. De même, pour les </w:t>
      </w:r>
      <w:r>
        <w:rPr>
          <w:b/>
          <w:bCs/>
        </w:rPr>
        <w:t>cibles</w:t>
      </w:r>
      <w:r w:rsidR="00546375">
        <w:rPr>
          <w:b/>
          <w:bCs/>
        </w:rPr>
        <w:t> </w:t>
      </w:r>
      <w:r>
        <w:rPr>
          <w:b/>
          <w:bCs/>
        </w:rPr>
        <w:t>22</w:t>
      </w:r>
      <w:r>
        <w:t xml:space="preserve"> et </w:t>
      </w:r>
      <w:r>
        <w:rPr>
          <w:b/>
          <w:bCs/>
        </w:rPr>
        <w:t>23</w:t>
      </w:r>
      <w:r>
        <w:t xml:space="preserve">, la mise en œuvre du KMGBF au niveau national met l’accent sur une participation équitable, inclusive et tenant compte des questions de genre, ainsi que sur l’égalité des genres. Le cadre stratégique du GEF relatif aux peuples autochtones et communautés locales et à l’égalité des genres garantit que tous les investissements du GEF au titre </w:t>
      </w:r>
      <w:r w:rsidR="00DD1F44">
        <w:t xml:space="preserve">du Fonds fiduciaire </w:t>
      </w:r>
      <w:r>
        <w:t xml:space="preserve">du GEF contribuent à la réalisation de ces cibles. Collectivement, les programmes intégrés concourent à la réalisation de la </w:t>
      </w:r>
      <w:r>
        <w:rPr>
          <w:b/>
          <w:bCs/>
        </w:rPr>
        <w:t>cible</w:t>
      </w:r>
      <w:r w:rsidR="00546375">
        <w:rPr>
          <w:b/>
          <w:bCs/>
        </w:rPr>
        <w:t> </w:t>
      </w:r>
      <w:r>
        <w:rPr>
          <w:b/>
          <w:bCs/>
        </w:rPr>
        <w:t>11</w:t>
      </w:r>
      <w:r>
        <w:t xml:space="preserve"> en favorisant la conservation et l’utilisation durable fondées sur les zones, l’intégration de la biodiversité et la cohérence des politiques favorables à la conservation et à l’utilisation durable de la biodiversité. Ces actions devraient produire des résultats en matière de biodiversité à grande échelle.</w:t>
      </w:r>
    </w:p>
    <w:p w14:paraId="6A5F407A" w14:textId="1985C15C" w:rsidR="00B174F5" w:rsidRPr="00C67737" w:rsidRDefault="75ACB67B" w:rsidP="000B33CF">
      <w:pPr>
        <w:pStyle w:val="ListParagraph"/>
      </w:pPr>
      <w:r>
        <w:rPr>
          <w:b/>
          <w:i/>
          <w:iCs/>
        </w:rPr>
        <w:t>Programme intégré «</w:t>
      </w:r>
      <w:r w:rsidR="00A258AB">
        <w:rPr>
          <w:b/>
          <w:i/>
          <w:iCs/>
        </w:rPr>
        <w:t> </w:t>
      </w:r>
      <w:r>
        <w:rPr>
          <w:b/>
          <w:i/>
          <w:iCs/>
        </w:rPr>
        <w:t>Restauration des écosystèmes</w:t>
      </w:r>
      <w:r w:rsidR="00546375">
        <w:rPr>
          <w:b/>
          <w:i/>
          <w:iCs/>
        </w:rPr>
        <w:t> </w:t>
      </w:r>
      <w:r>
        <w:rPr>
          <w:b/>
          <w:i/>
          <w:iCs/>
        </w:rPr>
        <w:t>»</w:t>
      </w:r>
      <w:r w:rsidR="00C23A68">
        <w:rPr>
          <w:b/>
          <w:i/>
          <w:iCs/>
        </w:rPr>
        <w:t>.</w:t>
      </w:r>
      <w:r>
        <w:rPr>
          <w:b/>
        </w:rPr>
        <w:t xml:space="preserve"> </w:t>
      </w:r>
      <w:r>
        <w:t>Pays participants</w:t>
      </w:r>
      <w:r w:rsidR="006E54C7">
        <w:t> :</w:t>
      </w:r>
      <w:r>
        <w:t xml:space="preserve"> Angola, Afrique du Sud, Brésil, Cambodge, Côte d’Ivoire, Haïti, Madagascar, Mali, Mauritanie, Mexique, Mozambique, Népal, Pérou, République démocratique du Congo, Rwanda, Sao Tomé-et-Principe, Sierra Leone, Tchad, Ouzbékistan et Viet Nam. L’objectif est de produire de multiples avantages durables pour l’environnement mondial et sur le plan socioéconomique, grâce à des approches intégrées et novatrices de restauration des écosystèmes dégradés. Le programme intégré vise à obtenir les résultats ci-après, qui contribuent à la mise en œuvre du KMGBF</w:t>
      </w:r>
      <w:r w:rsidR="006E54C7">
        <w:t> :</w:t>
      </w:r>
    </w:p>
    <w:p w14:paraId="63398A9E" w14:textId="2D139A13" w:rsidR="00B174F5" w:rsidRPr="00C67737" w:rsidRDefault="00B174F5" w:rsidP="00D32638">
      <w:pPr>
        <w:numPr>
          <w:ilvl w:val="0"/>
          <w:numId w:val="7"/>
        </w:numPr>
        <w:spacing w:before="120" w:after="120"/>
        <w:ind w:left="288" w:firstLine="0"/>
        <w:contextualSpacing/>
        <w:rPr>
          <w:color w:val="000000" w:themeColor="text1"/>
          <w:sz w:val="24"/>
          <w:szCs w:val="24"/>
        </w:rPr>
      </w:pPr>
      <w:r>
        <w:rPr>
          <w:color w:val="000000" w:themeColor="text1"/>
          <w:sz w:val="24"/>
        </w:rPr>
        <w:t>642</w:t>
      </w:r>
      <w:r w:rsidR="00546375">
        <w:rPr>
          <w:color w:val="000000" w:themeColor="text1"/>
          <w:sz w:val="24"/>
        </w:rPr>
        <w:t> 000 </w:t>
      </w:r>
      <w:r>
        <w:rPr>
          <w:color w:val="000000" w:themeColor="text1"/>
          <w:sz w:val="24"/>
        </w:rPr>
        <w:t>hectares d’aires protégées terrestres faisant l</w:t>
      </w:r>
      <w:r w:rsidR="00546375">
        <w:rPr>
          <w:color w:val="000000" w:themeColor="text1"/>
          <w:sz w:val="24"/>
        </w:rPr>
        <w:t>’</w:t>
      </w:r>
      <w:r>
        <w:rPr>
          <w:color w:val="000000" w:themeColor="text1"/>
          <w:sz w:val="24"/>
        </w:rPr>
        <w:t>objet d’une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546375">
        <w:rPr>
          <w:b/>
          <w:color w:val="000000" w:themeColor="text1"/>
          <w:sz w:val="24"/>
        </w:rPr>
        <w:t> </w:t>
      </w:r>
      <w:r>
        <w:rPr>
          <w:b/>
          <w:color w:val="000000" w:themeColor="text1"/>
          <w:sz w:val="24"/>
        </w:rPr>
        <w:t>3</w:t>
      </w:r>
      <w:r>
        <w:rPr>
          <w:color w:val="000000" w:themeColor="text1"/>
          <w:sz w:val="24"/>
        </w:rPr>
        <w:t>.</w:t>
      </w:r>
    </w:p>
    <w:p w14:paraId="3187CABB" w14:textId="02BBB41C" w:rsidR="00B174F5" w:rsidRPr="00C67737" w:rsidRDefault="00B174F5" w:rsidP="00D32638">
      <w:pPr>
        <w:numPr>
          <w:ilvl w:val="0"/>
          <w:numId w:val="7"/>
        </w:numPr>
        <w:spacing w:before="120" w:after="120"/>
        <w:ind w:left="288" w:firstLine="0"/>
        <w:contextualSpacing/>
        <w:rPr>
          <w:color w:val="000000" w:themeColor="text1"/>
          <w:sz w:val="24"/>
          <w:szCs w:val="24"/>
        </w:rPr>
      </w:pPr>
      <w:bookmarkStart w:id="49" w:name="_Hlk135296892"/>
      <w:r>
        <w:rPr>
          <w:color w:val="000000" w:themeColor="text1"/>
          <w:sz w:val="24"/>
        </w:rPr>
        <w:lastRenderedPageBreak/>
        <w:t>1,7 millions d’hectares de zones terrestres et d’écosystèmes faisant l’objet de mesures de remise en état</w:t>
      </w:r>
      <w:r w:rsidR="006E54C7">
        <w:rPr>
          <w:color w:val="000000" w:themeColor="text1"/>
          <w:sz w:val="24"/>
        </w:rPr>
        <w:t> :</w:t>
      </w:r>
      <w:r>
        <w:rPr>
          <w:color w:val="000000" w:themeColor="text1"/>
          <w:sz w:val="24"/>
        </w:rPr>
        <w:t xml:space="preserve"> </w:t>
      </w:r>
      <w:r>
        <w:rPr>
          <w:b/>
          <w:color w:val="000000" w:themeColor="text1"/>
          <w:sz w:val="24"/>
        </w:rPr>
        <w:t>Cible</w:t>
      </w:r>
      <w:r w:rsidR="00546375">
        <w:rPr>
          <w:b/>
          <w:color w:val="000000" w:themeColor="text1"/>
          <w:sz w:val="24"/>
        </w:rPr>
        <w:t> </w:t>
      </w:r>
      <w:r>
        <w:rPr>
          <w:b/>
          <w:color w:val="000000" w:themeColor="text1"/>
          <w:sz w:val="24"/>
        </w:rPr>
        <w:t>2</w:t>
      </w:r>
      <w:r>
        <w:rPr>
          <w:color w:val="000000" w:themeColor="text1"/>
          <w:sz w:val="24"/>
        </w:rPr>
        <w:t>.</w:t>
      </w:r>
    </w:p>
    <w:p w14:paraId="41794106" w14:textId="79937F91" w:rsidR="00B174F5" w:rsidRPr="00C67737" w:rsidRDefault="00B174F5" w:rsidP="00D32638">
      <w:pPr>
        <w:numPr>
          <w:ilvl w:val="0"/>
          <w:numId w:val="7"/>
        </w:numPr>
        <w:spacing w:before="120" w:after="120"/>
        <w:ind w:left="288" w:firstLine="0"/>
        <w:contextualSpacing/>
        <w:rPr>
          <w:color w:val="000000" w:themeColor="text1"/>
          <w:sz w:val="24"/>
          <w:szCs w:val="24"/>
        </w:rPr>
      </w:pPr>
      <w:r>
        <w:rPr>
          <w:color w:val="000000" w:themeColor="text1"/>
          <w:sz w:val="24"/>
        </w:rPr>
        <w:t>6,0</w:t>
      </w:r>
      <w:r w:rsidR="00546375">
        <w:rPr>
          <w:color w:val="000000" w:themeColor="text1"/>
          <w:sz w:val="24"/>
        </w:rPr>
        <w:t> </w:t>
      </w:r>
      <w:r>
        <w:rPr>
          <w:color w:val="000000" w:themeColor="text1"/>
          <w:sz w:val="24"/>
        </w:rPr>
        <w:t xml:space="preserve">millions d’hectares de paysages faisant l’objet de pratiques améliorées au </w:t>
      </w:r>
      <w:r w:rsidR="00254B37">
        <w:rPr>
          <w:color w:val="000000" w:themeColor="text1"/>
          <w:sz w:val="24"/>
        </w:rPr>
        <w:t>profit</w:t>
      </w:r>
      <w:r>
        <w:rPr>
          <w:color w:val="000000" w:themeColor="text1"/>
          <w:sz w:val="24"/>
        </w:rPr>
        <w:t xml:space="preserve"> de la biodiversité</w:t>
      </w:r>
      <w:r w:rsidR="006E54C7">
        <w:rPr>
          <w:color w:val="000000" w:themeColor="text1"/>
          <w:sz w:val="24"/>
        </w:rPr>
        <w:t> :</w:t>
      </w:r>
      <w:r>
        <w:rPr>
          <w:color w:val="000000" w:themeColor="text1"/>
          <w:sz w:val="24"/>
        </w:rPr>
        <w:t xml:space="preserve"> </w:t>
      </w:r>
      <w:r>
        <w:rPr>
          <w:b/>
          <w:color w:val="000000" w:themeColor="text1"/>
          <w:sz w:val="24"/>
        </w:rPr>
        <w:t>Cible</w:t>
      </w:r>
      <w:r w:rsidR="00546375">
        <w:rPr>
          <w:b/>
          <w:color w:val="000000" w:themeColor="text1"/>
          <w:sz w:val="24"/>
        </w:rPr>
        <w:t> </w:t>
      </w:r>
      <w:r>
        <w:rPr>
          <w:b/>
          <w:color w:val="000000" w:themeColor="text1"/>
          <w:sz w:val="24"/>
        </w:rPr>
        <w:t>10</w:t>
      </w:r>
      <w:r>
        <w:rPr>
          <w:color w:val="000000" w:themeColor="text1"/>
          <w:sz w:val="24"/>
        </w:rPr>
        <w:t>.</w:t>
      </w:r>
    </w:p>
    <w:p w14:paraId="63C05BE5" w14:textId="39CE88EA" w:rsidR="00B174F5" w:rsidRPr="00C67737" w:rsidRDefault="00B174F5" w:rsidP="00D32638">
      <w:pPr>
        <w:numPr>
          <w:ilvl w:val="0"/>
          <w:numId w:val="7"/>
        </w:numPr>
        <w:spacing w:before="120" w:after="120"/>
        <w:ind w:left="288" w:firstLine="0"/>
        <w:contextualSpacing/>
        <w:rPr>
          <w:color w:val="000000" w:themeColor="text1"/>
          <w:sz w:val="24"/>
          <w:szCs w:val="24"/>
        </w:rPr>
      </w:pPr>
      <w:r>
        <w:rPr>
          <w:color w:val="000000" w:themeColor="text1"/>
          <w:sz w:val="24"/>
        </w:rPr>
        <w:t>170</w:t>
      </w:r>
      <w:r w:rsidR="00546375">
        <w:rPr>
          <w:color w:val="000000" w:themeColor="text1"/>
          <w:sz w:val="24"/>
        </w:rPr>
        <w:t> </w:t>
      </w:r>
      <w:r>
        <w:rPr>
          <w:color w:val="000000" w:themeColor="text1"/>
          <w:sz w:val="24"/>
        </w:rPr>
        <w:t>millions de tonnes d</w:t>
      </w:r>
      <w:r w:rsidR="00546375">
        <w:rPr>
          <w:color w:val="000000" w:themeColor="text1"/>
          <w:sz w:val="24"/>
        </w:rPr>
        <w:t>’</w:t>
      </w:r>
      <w:r>
        <w:rPr>
          <w:color w:val="000000" w:themeColor="text1"/>
          <w:sz w:val="24"/>
        </w:rPr>
        <w:t>émissions de gaz à effet de serre atténuée (</w:t>
      </w:r>
      <w:r w:rsidR="000C0CF1">
        <w:rPr>
          <w:color w:val="000000" w:themeColor="text1"/>
          <w:sz w:val="24"/>
        </w:rPr>
        <w:t xml:space="preserve">t. </w:t>
      </w:r>
      <w:proofErr w:type="spellStart"/>
      <w:r w:rsidR="000C0CF1">
        <w:rPr>
          <w:color w:val="000000" w:themeColor="text1"/>
          <w:sz w:val="24"/>
        </w:rPr>
        <w:t>éq</w:t>
      </w:r>
      <w:proofErr w:type="spellEnd"/>
      <w:r w:rsidR="000C0CF1">
        <w:rPr>
          <w:color w:val="000000" w:themeColor="text1"/>
          <w:sz w:val="24"/>
        </w:rPr>
        <w:t>. CO₂</w:t>
      </w:r>
      <w:r>
        <w:rPr>
          <w:color w:val="000000" w:themeColor="text1"/>
          <w:sz w:val="24"/>
        </w:rPr>
        <w:t>)</w:t>
      </w:r>
      <w:r w:rsidR="006E54C7">
        <w:rPr>
          <w:color w:val="000000" w:themeColor="text1"/>
          <w:sz w:val="24"/>
        </w:rPr>
        <w:t> :</w:t>
      </w:r>
      <w:r>
        <w:rPr>
          <w:color w:val="000000" w:themeColor="text1"/>
          <w:sz w:val="24"/>
        </w:rPr>
        <w:t xml:space="preserve"> </w:t>
      </w:r>
      <w:r>
        <w:rPr>
          <w:b/>
          <w:bCs/>
        </w:rPr>
        <w:t>Cible</w:t>
      </w:r>
      <w:r w:rsidR="00546375">
        <w:rPr>
          <w:b/>
          <w:bCs/>
        </w:rPr>
        <w:t> </w:t>
      </w:r>
      <w:r>
        <w:rPr>
          <w:b/>
          <w:bCs/>
        </w:rPr>
        <w:t xml:space="preserve">8 </w:t>
      </w:r>
      <w:r>
        <w:t xml:space="preserve">et </w:t>
      </w:r>
      <w:bookmarkStart w:id="50" w:name="_Hlk135324832"/>
      <w:r>
        <w:rPr>
          <w:b/>
          <w:bCs/>
          <w:color w:val="000000" w:themeColor="text1"/>
          <w:sz w:val="24"/>
        </w:rPr>
        <w:t>cible</w:t>
      </w:r>
      <w:bookmarkEnd w:id="50"/>
      <w:r w:rsidR="00546375">
        <w:rPr>
          <w:b/>
          <w:bCs/>
          <w:color w:val="000000" w:themeColor="text1"/>
          <w:sz w:val="24"/>
        </w:rPr>
        <w:t> </w:t>
      </w:r>
      <w:r>
        <w:rPr>
          <w:b/>
          <w:bCs/>
        </w:rPr>
        <w:t>11.</w:t>
      </w:r>
    </w:p>
    <w:p w14:paraId="65923C6D" w14:textId="312990D9" w:rsidR="00B174F5" w:rsidRPr="00C67737" w:rsidRDefault="00B174F5" w:rsidP="00D32638">
      <w:pPr>
        <w:numPr>
          <w:ilvl w:val="0"/>
          <w:numId w:val="7"/>
        </w:numPr>
        <w:spacing w:before="120" w:after="120"/>
        <w:ind w:left="288" w:firstLine="0"/>
        <w:contextualSpacing/>
        <w:rPr>
          <w:rFonts w:cstheme="minorHAnsi"/>
          <w:color w:val="000000" w:themeColor="text1"/>
          <w:sz w:val="24"/>
          <w:szCs w:val="24"/>
        </w:rPr>
      </w:pPr>
      <w:r>
        <w:rPr>
          <w:color w:val="000000" w:themeColor="text1"/>
          <w:sz w:val="24"/>
        </w:rPr>
        <w:t>Un écosystème d’eau douce partagé faisant l</w:t>
      </w:r>
      <w:r w:rsidR="00546375">
        <w:rPr>
          <w:color w:val="000000" w:themeColor="text1"/>
          <w:sz w:val="24"/>
        </w:rPr>
        <w:t>’</w:t>
      </w:r>
      <w:r>
        <w:rPr>
          <w:color w:val="000000" w:themeColor="text1"/>
          <w:sz w:val="24"/>
        </w:rPr>
        <w:t xml:space="preserve">objet d’une gestion améliorée </w:t>
      </w:r>
      <w:r>
        <w:rPr>
          <w:b/>
          <w:color w:val="000000" w:themeColor="text1"/>
          <w:sz w:val="24"/>
        </w:rPr>
        <w:t>Cible 1</w:t>
      </w:r>
      <w:r>
        <w:rPr>
          <w:color w:val="000000" w:themeColor="text1"/>
          <w:sz w:val="24"/>
        </w:rPr>
        <w:t xml:space="preserve"> et </w:t>
      </w:r>
      <w:r>
        <w:rPr>
          <w:b/>
          <w:color w:val="000000" w:themeColor="text1"/>
          <w:sz w:val="24"/>
        </w:rPr>
        <w:t>cible</w:t>
      </w:r>
      <w:r w:rsidR="00546375">
        <w:rPr>
          <w:b/>
          <w:color w:val="000000" w:themeColor="text1"/>
          <w:sz w:val="24"/>
        </w:rPr>
        <w:t> </w:t>
      </w:r>
      <w:r>
        <w:rPr>
          <w:b/>
          <w:color w:val="000000" w:themeColor="text1"/>
          <w:sz w:val="24"/>
        </w:rPr>
        <w:t>10</w:t>
      </w:r>
      <w:r>
        <w:rPr>
          <w:color w:val="000000" w:themeColor="text1"/>
          <w:sz w:val="24"/>
        </w:rPr>
        <w:t>.</w:t>
      </w:r>
    </w:p>
    <w:p w14:paraId="2DB838BB" w14:textId="6F26F1E3" w:rsidR="00410A48" w:rsidRPr="00C67737" w:rsidRDefault="00B174F5" w:rsidP="00E24146">
      <w:pPr>
        <w:numPr>
          <w:ilvl w:val="0"/>
          <w:numId w:val="7"/>
        </w:numPr>
        <w:spacing w:before="120" w:after="120"/>
        <w:ind w:left="288" w:firstLine="0"/>
        <w:contextualSpacing/>
        <w:rPr>
          <w:color w:val="000000" w:themeColor="text1"/>
          <w:sz w:val="24"/>
          <w:szCs w:val="24"/>
        </w:rPr>
      </w:pPr>
      <w:r>
        <w:rPr>
          <w:color w:val="000000" w:themeColor="text1"/>
          <w:sz w:val="24"/>
        </w:rPr>
        <w:t>3,0</w:t>
      </w:r>
      <w:r w:rsidR="00546375">
        <w:rPr>
          <w:color w:val="000000" w:themeColor="text1"/>
          <w:sz w:val="24"/>
        </w:rPr>
        <w:t> </w:t>
      </w:r>
      <w:r>
        <w:rPr>
          <w:color w:val="000000" w:themeColor="text1"/>
          <w:sz w:val="24"/>
        </w:rPr>
        <w:t>millions de personnes bénéficient d’investissements financés par le GEF (1,5</w:t>
      </w:r>
      <w:r w:rsidR="00546375">
        <w:rPr>
          <w:color w:val="000000" w:themeColor="text1"/>
          <w:sz w:val="24"/>
        </w:rPr>
        <w:t> </w:t>
      </w:r>
      <w:r>
        <w:rPr>
          <w:color w:val="000000" w:themeColor="text1"/>
          <w:sz w:val="24"/>
        </w:rPr>
        <w:t>million de femmes et 1,5 million d’hommes)</w:t>
      </w:r>
      <w:r w:rsidR="006E54C7">
        <w:rPr>
          <w:color w:val="000000" w:themeColor="text1"/>
          <w:sz w:val="24"/>
        </w:rPr>
        <w:t> :</w:t>
      </w:r>
      <w:r>
        <w:rPr>
          <w:color w:val="000000" w:themeColor="text1"/>
          <w:sz w:val="24"/>
        </w:rPr>
        <w:t xml:space="preserve"> </w:t>
      </w:r>
      <w:r>
        <w:rPr>
          <w:b/>
          <w:color w:val="000000" w:themeColor="text1"/>
          <w:sz w:val="24"/>
        </w:rPr>
        <w:t>Cible</w:t>
      </w:r>
      <w:r w:rsidR="00546375">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546375">
        <w:rPr>
          <w:b/>
          <w:color w:val="000000" w:themeColor="text1"/>
          <w:sz w:val="24"/>
        </w:rPr>
        <w:t> </w:t>
      </w:r>
      <w:r>
        <w:rPr>
          <w:b/>
          <w:color w:val="000000" w:themeColor="text1"/>
          <w:sz w:val="24"/>
        </w:rPr>
        <w:t>23</w:t>
      </w:r>
      <w:r>
        <w:rPr>
          <w:color w:val="000000" w:themeColor="text1"/>
          <w:sz w:val="24"/>
        </w:rPr>
        <w:t>.</w:t>
      </w:r>
    </w:p>
    <w:bookmarkEnd w:id="49"/>
    <w:p w14:paraId="38B7B256" w14:textId="5244A98F" w:rsidR="00B174F5" w:rsidRPr="00C67737" w:rsidRDefault="00F9788B" w:rsidP="000B33CF">
      <w:pPr>
        <w:pStyle w:val="ListParagraph"/>
      </w:pPr>
      <w:r w:rsidRPr="00F9788B">
        <w:t xml:space="preserve">En outre, le programme intégré contribuera à renforcer la cohérence des politiques relatives à la restauration des écosystèmes au niveau national, en favorisant des changements de politiques visant à lever les obstacles à la restauration et/ou les mesures qui découragent celle-ci, afin de promouvoir une participation accrue du secteur privé </w:t>
      </w:r>
      <w:r w:rsidR="00B174F5">
        <w:t>(</w:t>
      </w:r>
      <w:r w:rsidR="00B174F5">
        <w:rPr>
          <w:b/>
          <w:bCs/>
        </w:rPr>
        <w:t>cibles</w:t>
      </w:r>
      <w:r w:rsidR="00546375">
        <w:rPr>
          <w:b/>
          <w:bCs/>
        </w:rPr>
        <w:t> </w:t>
      </w:r>
      <w:r w:rsidR="00B174F5">
        <w:rPr>
          <w:b/>
          <w:bCs/>
        </w:rPr>
        <w:t>14</w:t>
      </w:r>
      <w:r w:rsidR="00B174F5">
        <w:t xml:space="preserve"> et </w:t>
      </w:r>
      <w:r w:rsidR="00B174F5">
        <w:rPr>
          <w:b/>
          <w:bCs/>
        </w:rPr>
        <w:t>15</w:t>
      </w:r>
      <w:r w:rsidR="00B174F5">
        <w:t>). Il appuiera également l’élaboration de plans intégrés fondés sur une analyse spatiale et axés sur la restauration des écosystèmes ciblés (</w:t>
      </w:r>
      <w:r w:rsidR="00B174F5">
        <w:rPr>
          <w:b/>
          <w:bCs/>
        </w:rPr>
        <w:t>cible</w:t>
      </w:r>
      <w:r w:rsidR="00546375">
        <w:rPr>
          <w:b/>
          <w:bCs/>
        </w:rPr>
        <w:t> </w:t>
      </w:r>
      <w:r w:rsidR="00B174F5">
        <w:rPr>
          <w:b/>
          <w:bCs/>
        </w:rPr>
        <w:t>1</w:t>
      </w:r>
      <w:r w:rsidR="00B174F5">
        <w:t>).</w:t>
      </w:r>
    </w:p>
    <w:p w14:paraId="3C82B0A3" w14:textId="5F09601B" w:rsidR="00C91105" w:rsidRPr="00C67737" w:rsidRDefault="2475192A" w:rsidP="000B33CF">
      <w:pPr>
        <w:pStyle w:val="ListParagraph"/>
      </w:pPr>
      <w:r>
        <w:rPr>
          <w:b/>
          <w:i/>
          <w:iCs/>
        </w:rPr>
        <w:t>Programme intégré «</w:t>
      </w:r>
      <w:r w:rsidR="00546375">
        <w:rPr>
          <w:b/>
          <w:i/>
          <w:iCs/>
        </w:rPr>
        <w:t> </w:t>
      </w:r>
      <w:r w:rsidR="008F72A4">
        <w:rPr>
          <w:b/>
          <w:i/>
          <w:iCs/>
        </w:rPr>
        <w:t>Î</w:t>
      </w:r>
      <w:r>
        <w:rPr>
          <w:b/>
          <w:i/>
          <w:iCs/>
        </w:rPr>
        <w:t>les bleues et vertes</w:t>
      </w:r>
      <w:r w:rsidR="00546375">
        <w:rPr>
          <w:b/>
          <w:i/>
          <w:iCs/>
        </w:rPr>
        <w:t> </w:t>
      </w:r>
      <w:r>
        <w:rPr>
          <w:b/>
          <w:i/>
          <w:iCs/>
        </w:rPr>
        <w:t>»</w:t>
      </w:r>
      <w:r w:rsidR="00541825">
        <w:rPr>
          <w:b/>
          <w:i/>
          <w:iCs/>
        </w:rPr>
        <w:t>.</w:t>
      </w:r>
      <w:r>
        <w:t xml:space="preserve"> Pays participants</w:t>
      </w:r>
      <w:r w:rsidR="006E54C7">
        <w:t> :</w:t>
      </w:r>
      <w:r>
        <w:t xml:space="preserve"> Belize, Cabo Verde, Comores, Cuba, Maldives, Maurice, Micronésie (États fédérés de), Palaos, Papouasie</w:t>
      </w:r>
      <w:r w:rsidR="00546375">
        <w:t>–</w:t>
      </w:r>
      <w:r>
        <w:t>Nouvelle-Guinée, Samoa, Sainte-Lucie, Seychelles, Timor-Leste, Trinité-et-Tobago et Vanuatu. L’objectif est de promouvoir un développement respectueux de la nature et de réduire la dégradation des écosystèmes dans les petits États insulaires en développement (PEID), en valorisant la nature et en mettant en œuvre des solutions fondées sur la nature, notamment dans les secteurs de l’alimentation, du tourisme et des villes.</w:t>
      </w:r>
      <w:r w:rsidR="00546375">
        <w:rPr>
          <w:i/>
        </w:rPr>
        <w:t xml:space="preserve"> </w:t>
      </w:r>
      <w:r>
        <w:t>Le programme intégré vise à obtenir les résultats ci-après, qui contribuent à la mise en œuvre du KMGBF</w:t>
      </w:r>
      <w:r w:rsidR="006E54C7">
        <w:t> :</w:t>
      </w:r>
    </w:p>
    <w:p w14:paraId="7CBF24D8" w14:textId="20A7F342" w:rsidR="00C91105" w:rsidRPr="00C67737" w:rsidRDefault="7F4BFF16" w:rsidP="00D32638">
      <w:pPr>
        <w:numPr>
          <w:ilvl w:val="0"/>
          <w:numId w:val="6"/>
        </w:numPr>
        <w:tabs>
          <w:tab w:val="left" w:pos="1260"/>
        </w:tabs>
        <w:spacing w:before="120" w:after="120"/>
        <w:ind w:left="835" w:hanging="547"/>
        <w:contextualSpacing/>
        <w:rPr>
          <w:color w:val="000000" w:themeColor="text1"/>
          <w:sz w:val="24"/>
          <w:szCs w:val="24"/>
        </w:rPr>
      </w:pPr>
      <w:r>
        <w:rPr>
          <w:color w:val="000000" w:themeColor="text1"/>
          <w:sz w:val="24"/>
        </w:rPr>
        <w:t>20</w:t>
      </w:r>
      <w:r w:rsidR="00546375">
        <w:rPr>
          <w:color w:val="000000" w:themeColor="text1"/>
          <w:sz w:val="24"/>
        </w:rPr>
        <w:t> 057 </w:t>
      </w:r>
      <w:r>
        <w:rPr>
          <w:color w:val="000000" w:themeColor="text1"/>
          <w:sz w:val="24"/>
        </w:rPr>
        <w:t>hectares de nouvelles aires terrestres protégées créées</w:t>
      </w:r>
      <w:r w:rsidR="006E54C7">
        <w:rPr>
          <w:color w:val="000000" w:themeColor="text1"/>
          <w:sz w:val="24"/>
        </w:rPr>
        <w:t> :</w:t>
      </w:r>
      <w:r>
        <w:rPr>
          <w:color w:val="000000" w:themeColor="text1"/>
          <w:sz w:val="24"/>
        </w:rPr>
        <w:t xml:space="preserve"> </w:t>
      </w:r>
      <w:r>
        <w:rPr>
          <w:b/>
          <w:color w:val="000000" w:themeColor="text1"/>
          <w:sz w:val="24"/>
        </w:rPr>
        <w:t>Cible</w:t>
      </w:r>
      <w:r w:rsidR="00546375">
        <w:rPr>
          <w:b/>
          <w:color w:val="000000" w:themeColor="text1"/>
          <w:sz w:val="24"/>
        </w:rPr>
        <w:t> </w:t>
      </w:r>
      <w:r>
        <w:rPr>
          <w:b/>
          <w:color w:val="000000" w:themeColor="text1"/>
          <w:sz w:val="24"/>
        </w:rPr>
        <w:t>3</w:t>
      </w:r>
      <w:r>
        <w:rPr>
          <w:color w:val="000000" w:themeColor="text1"/>
          <w:sz w:val="24"/>
        </w:rPr>
        <w:t>.</w:t>
      </w:r>
    </w:p>
    <w:p w14:paraId="4BF5652F" w14:textId="3E0462AA"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1</w:t>
      </w:r>
      <w:r w:rsidR="00546375">
        <w:rPr>
          <w:color w:val="000000" w:themeColor="text1"/>
          <w:sz w:val="24"/>
        </w:rPr>
        <w:t> 453 483 </w:t>
      </w:r>
      <w:r>
        <w:rPr>
          <w:color w:val="000000" w:themeColor="text1"/>
          <w:sz w:val="24"/>
        </w:rPr>
        <w:t>hectares de nouvelles aires marines protégées créées</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3</w:t>
      </w:r>
      <w:r>
        <w:rPr>
          <w:color w:val="000000" w:themeColor="text1"/>
          <w:sz w:val="24"/>
        </w:rPr>
        <w:t>.</w:t>
      </w:r>
    </w:p>
    <w:p w14:paraId="20379983" w14:textId="32CB4829"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243</w:t>
      </w:r>
      <w:r w:rsidR="004C1970">
        <w:rPr>
          <w:color w:val="000000" w:themeColor="text1"/>
          <w:sz w:val="24"/>
        </w:rPr>
        <w:t> 712 </w:t>
      </w:r>
      <w:r>
        <w:rPr>
          <w:color w:val="000000" w:themeColor="text1"/>
          <w:sz w:val="24"/>
        </w:rPr>
        <w:t>hectares d’aires protégées terrestres faisant l</w:t>
      </w:r>
      <w:r w:rsidR="004C1970">
        <w:rPr>
          <w:color w:val="000000" w:themeColor="text1"/>
          <w:sz w:val="24"/>
        </w:rPr>
        <w:t>’</w:t>
      </w:r>
      <w:r>
        <w:rPr>
          <w:color w:val="000000" w:themeColor="text1"/>
          <w:sz w:val="24"/>
        </w:rPr>
        <w:t>objet d</w:t>
      </w:r>
      <w:r w:rsidR="004C1970">
        <w:rPr>
          <w:color w:val="000000" w:themeColor="text1"/>
          <w:sz w:val="24"/>
        </w:rPr>
        <w:t>’</w:t>
      </w:r>
      <w:r>
        <w:rPr>
          <w:color w:val="000000" w:themeColor="text1"/>
          <w:sz w:val="24"/>
        </w:rPr>
        <w:t>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3</w:t>
      </w:r>
      <w:r>
        <w:rPr>
          <w:color w:val="000000" w:themeColor="text1"/>
          <w:sz w:val="24"/>
        </w:rPr>
        <w:t>.</w:t>
      </w:r>
    </w:p>
    <w:p w14:paraId="1008FD7A" w14:textId="71AEDEA5"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2</w:t>
      </w:r>
      <w:r w:rsidR="004C1970">
        <w:rPr>
          <w:color w:val="000000" w:themeColor="text1"/>
          <w:sz w:val="24"/>
        </w:rPr>
        <w:t> 284 348 </w:t>
      </w:r>
      <w:r>
        <w:rPr>
          <w:color w:val="000000" w:themeColor="text1"/>
          <w:sz w:val="24"/>
        </w:rPr>
        <w:t>hectares d’aires protégées marine faisant l</w:t>
      </w:r>
      <w:r w:rsidR="004C1970">
        <w:rPr>
          <w:color w:val="000000" w:themeColor="text1"/>
          <w:sz w:val="24"/>
        </w:rPr>
        <w:t>’</w:t>
      </w:r>
      <w:r>
        <w:rPr>
          <w:color w:val="000000" w:themeColor="text1"/>
          <w:sz w:val="24"/>
        </w:rPr>
        <w:t>objet d</w:t>
      </w:r>
      <w:r w:rsidR="004C1970">
        <w:rPr>
          <w:color w:val="000000" w:themeColor="text1"/>
          <w:sz w:val="24"/>
        </w:rPr>
        <w:t>’</w:t>
      </w:r>
      <w:r>
        <w:rPr>
          <w:color w:val="000000" w:themeColor="text1"/>
          <w:sz w:val="24"/>
        </w:rPr>
        <w:t>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3.</w:t>
      </w:r>
    </w:p>
    <w:p w14:paraId="43F0DE5A" w14:textId="0F252229"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77</w:t>
      </w:r>
      <w:r w:rsidR="004C1970">
        <w:rPr>
          <w:color w:val="000000" w:themeColor="text1"/>
          <w:sz w:val="24"/>
        </w:rPr>
        <w:t> 356 </w:t>
      </w:r>
      <w:r>
        <w:rPr>
          <w:color w:val="000000" w:themeColor="text1"/>
          <w:sz w:val="24"/>
        </w:rPr>
        <w:t>hectares de zones terrestres et d’écosystèmes faisant l’objet de mesures de remise en état</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2</w:t>
      </w:r>
      <w:r>
        <w:rPr>
          <w:color w:val="000000" w:themeColor="text1"/>
          <w:sz w:val="24"/>
        </w:rPr>
        <w:t>.</w:t>
      </w:r>
    </w:p>
    <w:p w14:paraId="0A8F02E8" w14:textId="6A4ACC6A"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178</w:t>
      </w:r>
      <w:r w:rsidR="004C1970">
        <w:rPr>
          <w:color w:val="000000" w:themeColor="text1"/>
          <w:sz w:val="24"/>
        </w:rPr>
        <w:t> </w:t>
      </w:r>
      <w:r>
        <w:rPr>
          <w:color w:val="000000" w:themeColor="text1"/>
          <w:sz w:val="24"/>
        </w:rPr>
        <w:t xml:space="preserve">540 hectares de paysages faisant l’objet de pratiques améliorées </w:t>
      </w:r>
      <w:r w:rsidR="00254B37">
        <w:rPr>
          <w:color w:val="000000" w:themeColor="text1"/>
          <w:sz w:val="24"/>
        </w:rPr>
        <w:t>au profit de la biodiversité</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10</w:t>
      </w:r>
      <w:r>
        <w:rPr>
          <w:color w:val="000000" w:themeColor="text1"/>
          <w:sz w:val="24"/>
        </w:rPr>
        <w:t>.</w:t>
      </w:r>
    </w:p>
    <w:p w14:paraId="2B6F3A73" w14:textId="1B01F1E9"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398</w:t>
      </w:r>
      <w:r w:rsidR="004C1970">
        <w:rPr>
          <w:color w:val="000000" w:themeColor="text1"/>
          <w:sz w:val="24"/>
        </w:rPr>
        <w:t> 005 </w:t>
      </w:r>
      <w:r>
        <w:rPr>
          <w:color w:val="000000" w:themeColor="text1"/>
          <w:sz w:val="24"/>
        </w:rPr>
        <w:t>hectares d’habitats marins faisant l</w:t>
      </w:r>
      <w:r w:rsidR="004C1970">
        <w:rPr>
          <w:color w:val="000000" w:themeColor="text1"/>
          <w:sz w:val="24"/>
        </w:rPr>
        <w:t>’</w:t>
      </w:r>
      <w:r>
        <w:rPr>
          <w:color w:val="000000" w:themeColor="text1"/>
          <w:sz w:val="24"/>
        </w:rPr>
        <w:t>objet de pratiques améliorées</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10</w:t>
      </w:r>
      <w:r>
        <w:rPr>
          <w:color w:val="000000" w:themeColor="text1"/>
          <w:sz w:val="24"/>
        </w:rPr>
        <w:t>.</w:t>
      </w:r>
      <w:r>
        <w:rPr>
          <w:b/>
          <w:color w:val="000000" w:themeColor="text1"/>
          <w:sz w:val="24"/>
        </w:rPr>
        <w:t xml:space="preserve"> </w:t>
      </w:r>
    </w:p>
    <w:p w14:paraId="65222225" w14:textId="00E02372" w:rsidR="00C91105" w:rsidRPr="00C67737" w:rsidRDefault="00061186" w:rsidP="00D32638">
      <w:pPr>
        <w:numPr>
          <w:ilvl w:val="0"/>
          <w:numId w:val="6"/>
        </w:numPr>
        <w:tabs>
          <w:tab w:val="left" w:pos="1260"/>
        </w:tabs>
        <w:spacing w:before="120" w:after="120"/>
        <w:ind w:left="835" w:hanging="547"/>
        <w:contextualSpacing/>
        <w:rPr>
          <w:rFonts w:cstheme="minorHAnsi"/>
          <w:bCs/>
          <w:color w:val="000000" w:themeColor="text1"/>
          <w:sz w:val="24"/>
          <w:szCs w:val="24"/>
        </w:rPr>
      </w:pPr>
      <w:r>
        <w:rPr>
          <w:color w:val="000000" w:themeColor="text1"/>
          <w:sz w:val="24"/>
        </w:rPr>
        <w:t>Deux pêcheries certifiées par un organisme tiers selon des critères tenant compte de la biodiversité</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10</w:t>
      </w:r>
      <w:r>
        <w:rPr>
          <w:color w:val="000000" w:themeColor="text1"/>
          <w:sz w:val="24"/>
        </w:rPr>
        <w:t>.</w:t>
      </w:r>
    </w:p>
    <w:p w14:paraId="6984D382" w14:textId="255E1834"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51</w:t>
      </w:r>
      <w:r w:rsidR="004C1970">
        <w:rPr>
          <w:color w:val="000000" w:themeColor="text1"/>
          <w:sz w:val="24"/>
        </w:rPr>
        <w:t> 324 458 </w:t>
      </w:r>
      <w:r>
        <w:rPr>
          <w:color w:val="000000" w:themeColor="text1"/>
          <w:sz w:val="24"/>
        </w:rPr>
        <w:t>tonnes d’émissions de gaz à effet de serre (GES) atténuées directement et 892</w:t>
      </w:r>
      <w:r w:rsidR="004C1970">
        <w:rPr>
          <w:color w:val="000000" w:themeColor="text1"/>
          <w:sz w:val="24"/>
        </w:rPr>
        <w:t> 793 </w:t>
      </w:r>
      <w:r>
        <w:rPr>
          <w:color w:val="000000" w:themeColor="text1"/>
          <w:sz w:val="24"/>
        </w:rPr>
        <w:t xml:space="preserve">tonnes atténuées indirectement (t. </w:t>
      </w:r>
      <w:proofErr w:type="spellStart"/>
      <w:r>
        <w:rPr>
          <w:color w:val="000000" w:themeColor="text1"/>
          <w:sz w:val="24"/>
        </w:rPr>
        <w:t>éq</w:t>
      </w:r>
      <w:proofErr w:type="spellEnd"/>
      <w:r>
        <w:rPr>
          <w:color w:val="000000" w:themeColor="text1"/>
          <w:sz w:val="24"/>
        </w:rPr>
        <w:t>. CO₂)</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4C1970">
        <w:rPr>
          <w:b/>
          <w:color w:val="000000" w:themeColor="text1"/>
          <w:sz w:val="24"/>
        </w:rPr>
        <w:t> </w:t>
      </w:r>
      <w:r>
        <w:rPr>
          <w:b/>
          <w:color w:val="000000" w:themeColor="text1"/>
          <w:sz w:val="24"/>
        </w:rPr>
        <w:t>11</w:t>
      </w:r>
      <w:r>
        <w:rPr>
          <w:color w:val="000000" w:themeColor="text1"/>
          <w:sz w:val="24"/>
        </w:rPr>
        <w:t>.</w:t>
      </w:r>
    </w:p>
    <w:p w14:paraId="27B31BE9" w14:textId="377B4079" w:rsidR="00C91105" w:rsidRPr="00C67737" w:rsidRDefault="00061186" w:rsidP="00D32638">
      <w:pPr>
        <w:numPr>
          <w:ilvl w:val="0"/>
          <w:numId w:val="6"/>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 xml:space="preserve">Deux </w:t>
      </w:r>
      <w:r w:rsidR="00705D40">
        <w:rPr>
          <w:color w:val="000000" w:themeColor="text1"/>
          <w:sz w:val="24"/>
        </w:rPr>
        <w:t>éco</w:t>
      </w:r>
      <w:r>
        <w:rPr>
          <w:color w:val="000000" w:themeColor="text1"/>
          <w:sz w:val="24"/>
        </w:rPr>
        <w:t>systèmes aquatiques partagés faisant l’objet d</w:t>
      </w:r>
      <w:r w:rsidR="004C1970">
        <w:rPr>
          <w:color w:val="000000" w:themeColor="text1"/>
          <w:sz w:val="24"/>
        </w:rPr>
        <w:t>’</w:t>
      </w:r>
      <w:r>
        <w:rPr>
          <w:color w:val="000000" w:themeColor="text1"/>
          <w:sz w:val="24"/>
        </w:rPr>
        <w:t>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10</w:t>
      </w:r>
      <w:r>
        <w:rPr>
          <w:color w:val="000000" w:themeColor="text1"/>
          <w:sz w:val="24"/>
        </w:rPr>
        <w:t>.</w:t>
      </w:r>
    </w:p>
    <w:p w14:paraId="1D4292E3" w14:textId="5DB7F70A"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Pr>
          <w:color w:val="000000" w:themeColor="text1"/>
          <w:sz w:val="24"/>
        </w:rPr>
        <w:lastRenderedPageBreak/>
        <w:t>237</w:t>
      </w:r>
      <w:r w:rsidR="004C1970">
        <w:rPr>
          <w:color w:val="000000" w:themeColor="text1"/>
          <w:sz w:val="24"/>
        </w:rPr>
        <w:t> 019 </w:t>
      </w:r>
      <w:r>
        <w:rPr>
          <w:color w:val="000000" w:themeColor="text1"/>
          <w:sz w:val="24"/>
        </w:rPr>
        <w:t>tonnes de</w:t>
      </w:r>
      <w:r w:rsidR="000B62EE">
        <w:rPr>
          <w:color w:val="000000" w:themeColor="text1"/>
          <w:sz w:val="24"/>
        </w:rPr>
        <w:t xml:space="preserve"> prises issues de</w:t>
      </w:r>
      <w:r>
        <w:rPr>
          <w:color w:val="000000" w:themeColor="text1"/>
          <w:sz w:val="24"/>
        </w:rPr>
        <w:t xml:space="preserve"> pêcheries marines surexploitées à l’échelle mondiale ramenées à des niveaux plus </w:t>
      </w:r>
      <w:r w:rsidR="00466B2C">
        <w:rPr>
          <w:color w:val="000000" w:themeColor="text1"/>
          <w:sz w:val="24"/>
        </w:rPr>
        <w:t>viables</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10</w:t>
      </w:r>
      <w:r>
        <w:rPr>
          <w:color w:val="000000" w:themeColor="text1"/>
          <w:sz w:val="24"/>
        </w:rPr>
        <w:t>.</w:t>
      </w:r>
    </w:p>
    <w:p w14:paraId="794D961B" w14:textId="4159EBFD" w:rsidR="00C91105" w:rsidRPr="00C67737" w:rsidRDefault="00C91105" w:rsidP="007B77A1">
      <w:pPr>
        <w:numPr>
          <w:ilvl w:val="0"/>
          <w:numId w:val="6"/>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734</w:t>
      </w:r>
      <w:r w:rsidR="004C1970">
        <w:rPr>
          <w:color w:val="000000" w:themeColor="text1"/>
          <w:sz w:val="24"/>
        </w:rPr>
        <w:t> </w:t>
      </w:r>
      <w:r>
        <w:rPr>
          <w:color w:val="000000" w:themeColor="text1"/>
          <w:sz w:val="24"/>
        </w:rPr>
        <w:t>422 personnes bénéficient d’investissements financés par le GEF (351</w:t>
      </w:r>
      <w:r w:rsidR="004C1970">
        <w:rPr>
          <w:color w:val="000000" w:themeColor="text1"/>
          <w:sz w:val="24"/>
        </w:rPr>
        <w:t> </w:t>
      </w:r>
      <w:r>
        <w:rPr>
          <w:color w:val="000000" w:themeColor="text1"/>
          <w:sz w:val="24"/>
        </w:rPr>
        <w:t>054 femmes et 383</w:t>
      </w:r>
      <w:r w:rsidR="004C1970">
        <w:rPr>
          <w:color w:val="000000" w:themeColor="text1"/>
          <w:sz w:val="24"/>
        </w:rPr>
        <w:t> </w:t>
      </w:r>
      <w:r>
        <w:rPr>
          <w:color w:val="000000" w:themeColor="text1"/>
          <w:sz w:val="24"/>
        </w:rPr>
        <w:t>398 hommes)</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4C1970">
        <w:rPr>
          <w:b/>
          <w:color w:val="000000" w:themeColor="text1"/>
          <w:sz w:val="24"/>
        </w:rPr>
        <w:t> </w:t>
      </w:r>
      <w:r>
        <w:rPr>
          <w:b/>
          <w:color w:val="000000" w:themeColor="text1"/>
          <w:sz w:val="24"/>
        </w:rPr>
        <w:t>23</w:t>
      </w:r>
      <w:r>
        <w:rPr>
          <w:color w:val="000000" w:themeColor="text1"/>
          <w:sz w:val="24"/>
        </w:rPr>
        <w:t>.</w:t>
      </w:r>
    </w:p>
    <w:p w14:paraId="58B2DC5C" w14:textId="088476A1" w:rsidR="00BD5C07" w:rsidRPr="00C67737" w:rsidRDefault="000E3B0E" w:rsidP="000B33CF">
      <w:pPr>
        <w:pStyle w:val="ListParagraph"/>
      </w:pPr>
      <w:r>
        <w:t>En outre, le programme intégré vise à renforcer la cohérence des politiques en développant les capacités nécessaires pour intégrer la valeur de la nature dans les principaux secteurs économiques au niveau national, notamment dans la planification sectorielle (</w:t>
      </w:r>
      <w:r>
        <w:rPr>
          <w:b/>
          <w:bCs/>
        </w:rPr>
        <w:t>cible</w:t>
      </w:r>
      <w:r w:rsidR="004C1970">
        <w:rPr>
          <w:b/>
          <w:bCs/>
        </w:rPr>
        <w:t> </w:t>
      </w:r>
      <w:r>
        <w:rPr>
          <w:b/>
          <w:bCs/>
        </w:rPr>
        <w:t>14</w:t>
      </w:r>
      <w:r>
        <w:t>), ainsi que dans la planification financière nationale et la mobilisation des ressources intérieures (</w:t>
      </w:r>
      <w:r>
        <w:rPr>
          <w:b/>
          <w:bCs/>
        </w:rPr>
        <w:t>cible</w:t>
      </w:r>
      <w:r w:rsidR="004C1970">
        <w:rPr>
          <w:b/>
          <w:bCs/>
        </w:rPr>
        <w:t> </w:t>
      </w:r>
      <w:r>
        <w:rPr>
          <w:b/>
          <w:bCs/>
        </w:rPr>
        <w:t>19</w:t>
      </w:r>
      <w:r>
        <w:t>).</w:t>
      </w:r>
    </w:p>
    <w:p w14:paraId="4F63778D" w14:textId="0E7C5C37" w:rsidR="00C91105" w:rsidRPr="00C67737" w:rsidRDefault="55D6FDF0" w:rsidP="000B33CF">
      <w:pPr>
        <w:pStyle w:val="ListParagraph"/>
      </w:pPr>
      <w:r>
        <w:rPr>
          <w:b/>
          <w:i/>
          <w:iCs/>
        </w:rPr>
        <w:t>Programme intégré «</w:t>
      </w:r>
      <w:r w:rsidR="004C1970">
        <w:rPr>
          <w:b/>
          <w:i/>
          <w:iCs/>
        </w:rPr>
        <w:t> </w:t>
      </w:r>
      <w:r>
        <w:rPr>
          <w:b/>
          <w:i/>
          <w:iCs/>
        </w:rPr>
        <w:t>Accélérateur net zéro</w:t>
      </w:r>
      <w:r w:rsidR="004C1970">
        <w:rPr>
          <w:b/>
          <w:i/>
          <w:iCs/>
        </w:rPr>
        <w:t> </w:t>
      </w:r>
      <w:r>
        <w:rPr>
          <w:b/>
          <w:i/>
          <w:iCs/>
        </w:rPr>
        <w:t>»</w:t>
      </w:r>
      <w:r w:rsidR="00541825">
        <w:rPr>
          <w:b/>
          <w:i/>
          <w:iCs/>
        </w:rPr>
        <w:t>.</w:t>
      </w:r>
      <w:r>
        <w:t xml:space="preserve"> Pays participants</w:t>
      </w:r>
      <w:r w:rsidR="006E54C7">
        <w:t> :</w:t>
      </w:r>
      <w:r>
        <w:t xml:space="preserve"> Chili, Costa Rica, Côte d’Ivoire, Indonésie, Maurice, Mexique, Maroc, Nigéria, Tanzanie, Thaïlande, Trinité-et-Tobago et Viet Nam. L’objectif est de renforcer les institutions et de catalyser les investissements nécessaires à l’accélération des trajectoires carboneutres et favorables à la nature. Le programme intégré vise à obtenir les résultats ci-après, qui contribuent à la mise en œuvre du KMGBF</w:t>
      </w:r>
      <w:r w:rsidR="00EA7483">
        <w:t>.</w:t>
      </w:r>
      <w:r>
        <w:t xml:space="preserve"> Si les objectifs chiffrés peuvent paraître modestes, </w:t>
      </w:r>
      <w:r w:rsidR="004F0535" w:rsidRPr="004F0535">
        <w:t xml:space="preserve">le programme intégré est surtout à même de contribuer à la mise en œuvre du KMGBF en renforçant l’environnement institutionnel, réglementaire, budgétaire et financier. Cela permettra de mettre en œuvre des stratégies carboneutres et favorables à la nature, tout en veillant à ce que les budgets nationaux concourent aux objectifs nationaux de développement et de durabilité environnementale. Cette approche pourrait avoir d’importants effets d’entraînement en favorisant une mise en œuvre plus robuste des cibles énumérées ci-après et une contribution accrue à leur réalisation à long terme, ainsi qu’en contribuant potentiellement à la réalisation des </w:t>
      </w:r>
      <w:r>
        <w:rPr>
          <w:b/>
          <w:bCs/>
        </w:rPr>
        <w:t>cibles</w:t>
      </w:r>
      <w:r w:rsidR="004C1970">
        <w:rPr>
          <w:b/>
          <w:bCs/>
        </w:rPr>
        <w:t> </w:t>
      </w:r>
      <w:r>
        <w:rPr>
          <w:b/>
          <w:bCs/>
        </w:rPr>
        <w:t xml:space="preserve">3, 8, 14, 18 </w:t>
      </w:r>
      <w:r>
        <w:t xml:space="preserve">et </w:t>
      </w:r>
      <w:r>
        <w:rPr>
          <w:b/>
          <w:bCs/>
        </w:rPr>
        <w:t>19</w:t>
      </w:r>
      <w:r>
        <w:t xml:space="preserve">. </w:t>
      </w:r>
    </w:p>
    <w:p w14:paraId="35EE2E1F" w14:textId="63324A9A" w:rsidR="00C91105" w:rsidRPr="00C67737" w:rsidRDefault="00C533C7" w:rsidP="00D32638">
      <w:pPr>
        <w:numPr>
          <w:ilvl w:val="0"/>
          <w:numId w:val="7"/>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39</w:t>
      </w:r>
      <w:r w:rsidR="004C1970">
        <w:rPr>
          <w:color w:val="000000" w:themeColor="text1"/>
          <w:sz w:val="24"/>
        </w:rPr>
        <w:t> 312 </w:t>
      </w:r>
      <w:r>
        <w:rPr>
          <w:color w:val="000000" w:themeColor="text1"/>
          <w:sz w:val="24"/>
        </w:rPr>
        <w:t>hectares de zones terrestres et d’écosystèmes faisant l’objet de mesures de remise en état</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2</w:t>
      </w:r>
      <w:r>
        <w:rPr>
          <w:color w:val="000000" w:themeColor="text1"/>
          <w:sz w:val="24"/>
        </w:rPr>
        <w:t>.</w:t>
      </w:r>
    </w:p>
    <w:p w14:paraId="0D6C2332" w14:textId="08D6FD6A" w:rsidR="00C91105" w:rsidRPr="00C67737" w:rsidRDefault="00FD1A31" w:rsidP="00D32638">
      <w:pPr>
        <w:numPr>
          <w:ilvl w:val="0"/>
          <w:numId w:val="7"/>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75</w:t>
      </w:r>
      <w:r w:rsidR="004C1970">
        <w:rPr>
          <w:color w:val="000000" w:themeColor="text1"/>
          <w:sz w:val="24"/>
        </w:rPr>
        <w:t> 753 </w:t>
      </w:r>
      <w:r>
        <w:rPr>
          <w:color w:val="000000" w:themeColor="text1"/>
          <w:sz w:val="24"/>
        </w:rPr>
        <w:t xml:space="preserve">hectares de paysages faisant l’objet de pratiques améliorées </w:t>
      </w:r>
      <w:r w:rsidR="00254B37">
        <w:rPr>
          <w:color w:val="000000" w:themeColor="text1"/>
          <w:sz w:val="24"/>
        </w:rPr>
        <w:t>au profit de la biodiversité</w:t>
      </w:r>
      <w:r>
        <w:rPr>
          <w:color w:val="000000" w:themeColor="text1"/>
          <w:sz w:val="24"/>
        </w:rPr>
        <w:t>, et 577</w:t>
      </w:r>
      <w:r w:rsidR="004C1970">
        <w:rPr>
          <w:color w:val="000000" w:themeColor="text1"/>
          <w:sz w:val="24"/>
        </w:rPr>
        <w:t> </w:t>
      </w:r>
      <w:r>
        <w:rPr>
          <w:color w:val="000000" w:themeColor="text1"/>
          <w:sz w:val="24"/>
        </w:rPr>
        <w:t>500 hectares de terres productives faisant l’objet d’une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10</w:t>
      </w:r>
      <w:r>
        <w:rPr>
          <w:color w:val="000000" w:themeColor="text1"/>
          <w:sz w:val="24"/>
        </w:rPr>
        <w:t>.</w:t>
      </w:r>
    </w:p>
    <w:p w14:paraId="5D6A44C3" w14:textId="20620E8C" w:rsidR="0049200F" w:rsidRPr="00C67737" w:rsidRDefault="008371D2" w:rsidP="00D32638">
      <w:pPr>
        <w:numPr>
          <w:ilvl w:val="0"/>
          <w:numId w:val="7"/>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56</w:t>
      </w:r>
      <w:r w:rsidR="004C1970">
        <w:rPr>
          <w:color w:val="000000" w:themeColor="text1"/>
          <w:sz w:val="24"/>
        </w:rPr>
        <w:t> 740 </w:t>
      </w:r>
      <w:r>
        <w:rPr>
          <w:color w:val="000000" w:themeColor="text1"/>
          <w:sz w:val="24"/>
        </w:rPr>
        <w:t>hectares de nouvelles aires terrestres protégées créées</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3</w:t>
      </w:r>
      <w:r>
        <w:rPr>
          <w:color w:val="000000" w:themeColor="text1"/>
          <w:sz w:val="24"/>
        </w:rPr>
        <w:t>.</w:t>
      </w:r>
    </w:p>
    <w:p w14:paraId="4E704827" w14:textId="3C234A65" w:rsidR="00304BA2" w:rsidRPr="00C67737" w:rsidRDefault="00304BA2" w:rsidP="00D32638">
      <w:pPr>
        <w:numPr>
          <w:ilvl w:val="0"/>
          <w:numId w:val="7"/>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690</w:t>
      </w:r>
      <w:r w:rsidR="004C1970">
        <w:rPr>
          <w:color w:val="000000" w:themeColor="text1"/>
          <w:sz w:val="24"/>
        </w:rPr>
        <w:t> 819 </w:t>
      </w:r>
      <w:r>
        <w:rPr>
          <w:color w:val="000000" w:themeColor="text1"/>
          <w:sz w:val="24"/>
        </w:rPr>
        <w:t>hectares d’aires protégées terrestres faisant l’objet d’une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3</w:t>
      </w:r>
      <w:r>
        <w:rPr>
          <w:color w:val="000000" w:themeColor="text1"/>
          <w:sz w:val="24"/>
        </w:rPr>
        <w:t>.</w:t>
      </w:r>
    </w:p>
    <w:p w14:paraId="088EF708" w14:textId="14F9F0E1" w:rsidR="00C91105" w:rsidRPr="00C67737" w:rsidRDefault="00C91105" w:rsidP="00D32638">
      <w:pPr>
        <w:numPr>
          <w:ilvl w:val="0"/>
          <w:numId w:val="7"/>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23</w:t>
      </w:r>
      <w:r w:rsidR="004C1970">
        <w:rPr>
          <w:color w:val="000000" w:themeColor="text1"/>
          <w:sz w:val="24"/>
        </w:rPr>
        <w:t> 505 000 </w:t>
      </w:r>
      <w:r>
        <w:rPr>
          <w:color w:val="000000" w:themeColor="text1"/>
          <w:sz w:val="24"/>
        </w:rPr>
        <w:t>tonnes d’émissions de gaz à effet de serre (GES) atténuées directement et 43</w:t>
      </w:r>
      <w:r w:rsidR="004C1970">
        <w:rPr>
          <w:color w:val="000000" w:themeColor="text1"/>
          <w:sz w:val="24"/>
        </w:rPr>
        <w:t> 143 968 </w:t>
      </w:r>
      <w:r>
        <w:rPr>
          <w:color w:val="000000" w:themeColor="text1"/>
          <w:sz w:val="24"/>
        </w:rPr>
        <w:t xml:space="preserve">tonnes atténuées indirectement (t </w:t>
      </w:r>
      <w:proofErr w:type="spellStart"/>
      <w:r>
        <w:rPr>
          <w:color w:val="000000" w:themeColor="text1"/>
          <w:sz w:val="24"/>
        </w:rPr>
        <w:t>éq</w:t>
      </w:r>
      <w:proofErr w:type="spellEnd"/>
      <w:r>
        <w:rPr>
          <w:color w:val="000000" w:themeColor="text1"/>
          <w:sz w:val="24"/>
        </w:rPr>
        <w:t>. CO₂)</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4C1970">
        <w:rPr>
          <w:b/>
          <w:color w:val="000000" w:themeColor="text1"/>
          <w:sz w:val="24"/>
        </w:rPr>
        <w:t> </w:t>
      </w:r>
      <w:r>
        <w:rPr>
          <w:b/>
          <w:color w:val="000000" w:themeColor="text1"/>
          <w:sz w:val="24"/>
        </w:rPr>
        <w:t>11</w:t>
      </w:r>
      <w:r>
        <w:rPr>
          <w:color w:val="000000" w:themeColor="text1"/>
          <w:sz w:val="24"/>
        </w:rPr>
        <w:t>.</w:t>
      </w:r>
    </w:p>
    <w:p w14:paraId="6FA7946B" w14:textId="6BD72EF2" w:rsidR="00C91105" w:rsidRPr="00C67737" w:rsidRDefault="00C91105" w:rsidP="00D32638">
      <w:pPr>
        <w:numPr>
          <w:ilvl w:val="0"/>
          <w:numId w:val="7"/>
        </w:numPr>
        <w:tabs>
          <w:tab w:val="left" w:pos="1260"/>
        </w:tabs>
        <w:spacing w:before="120" w:after="120"/>
        <w:ind w:left="835" w:hanging="547"/>
        <w:contextualSpacing/>
        <w:rPr>
          <w:rFonts w:cstheme="minorHAnsi"/>
          <w:color w:val="000000" w:themeColor="text1"/>
          <w:sz w:val="24"/>
          <w:szCs w:val="24"/>
        </w:rPr>
      </w:pPr>
      <w:r>
        <w:rPr>
          <w:color w:val="000000" w:themeColor="text1"/>
          <w:sz w:val="24"/>
        </w:rPr>
        <w:t>1</w:t>
      </w:r>
      <w:r w:rsidR="004C1970">
        <w:rPr>
          <w:color w:val="000000" w:themeColor="text1"/>
          <w:sz w:val="24"/>
        </w:rPr>
        <w:t> 660 </w:t>
      </w:r>
      <w:r>
        <w:rPr>
          <w:color w:val="000000" w:themeColor="text1"/>
          <w:sz w:val="24"/>
        </w:rPr>
        <w:t>496 personnes bénéficient d’investissements financés par le GEF (803</w:t>
      </w:r>
      <w:r w:rsidR="004C1970">
        <w:rPr>
          <w:color w:val="000000" w:themeColor="text1"/>
          <w:sz w:val="24"/>
        </w:rPr>
        <w:t> 196 </w:t>
      </w:r>
      <w:r>
        <w:rPr>
          <w:color w:val="000000" w:themeColor="text1"/>
          <w:sz w:val="24"/>
        </w:rPr>
        <w:t>femmes et 857</w:t>
      </w:r>
      <w:r w:rsidR="004C1970">
        <w:rPr>
          <w:color w:val="000000" w:themeColor="text1"/>
          <w:sz w:val="24"/>
        </w:rPr>
        <w:t> </w:t>
      </w:r>
      <w:r>
        <w:rPr>
          <w:color w:val="000000" w:themeColor="text1"/>
          <w:sz w:val="24"/>
        </w:rPr>
        <w:t>300 hommes)</w:t>
      </w:r>
      <w:r w:rsidR="006E54C7">
        <w:rPr>
          <w:color w:val="000000" w:themeColor="text1"/>
          <w:sz w:val="24"/>
        </w:rPr>
        <w:t> :</w:t>
      </w:r>
      <w:r>
        <w:rPr>
          <w:color w:val="000000" w:themeColor="text1"/>
          <w:sz w:val="24"/>
        </w:rPr>
        <w:t xml:space="preserve"> </w:t>
      </w:r>
      <w:r>
        <w:rPr>
          <w:b/>
          <w:color w:val="000000" w:themeColor="text1"/>
          <w:sz w:val="24"/>
        </w:rPr>
        <w:t>Cible</w:t>
      </w:r>
      <w:r w:rsidR="004C1970">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4C1970">
        <w:rPr>
          <w:b/>
          <w:color w:val="000000" w:themeColor="text1"/>
          <w:sz w:val="24"/>
        </w:rPr>
        <w:t> </w:t>
      </w:r>
      <w:r>
        <w:rPr>
          <w:b/>
          <w:color w:val="000000" w:themeColor="text1"/>
          <w:sz w:val="24"/>
        </w:rPr>
        <w:t>23</w:t>
      </w:r>
      <w:r>
        <w:rPr>
          <w:color w:val="000000" w:themeColor="text1"/>
          <w:sz w:val="24"/>
        </w:rPr>
        <w:t>.</w:t>
      </w:r>
    </w:p>
    <w:p w14:paraId="5BBE9F4E" w14:textId="0FCD869B" w:rsidR="00C91105" w:rsidRPr="00C67737" w:rsidRDefault="00707E40" w:rsidP="000B33CF">
      <w:pPr>
        <w:pStyle w:val="ListParagraph"/>
      </w:pPr>
      <w:r>
        <w:rPr>
          <w:b/>
          <w:bCs/>
          <w:i/>
          <w:iCs/>
        </w:rPr>
        <w:t>Programme intégré</w:t>
      </w:r>
      <w:r>
        <w:t xml:space="preserve"> «</w:t>
      </w:r>
      <w:r w:rsidR="004C1970">
        <w:t> </w:t>
      </w:r>
      <w:r>
        <w:rPr>
          <w:b/>
          <w:bCs/>
          <w:i/>
          <w:iCs/>
        </w:rPr>
        <w:t>Solutions circulaires à la pollution par les plastiques</w:t>
      </w:r>
      <w:r w:rsidR="004C1970">
        <w:rPr>
          <w:b/>
          <w:bCs/>
        </w:rPr>
        <w:t> </w:t>
      </w:r>
      <w:r>
        <w:rPr>
          <w:b/>
          <w:bCs/>
        </w:rPr>
        <w:t>»</w:t>
      </w:r>
      <w:r w:rsidR="00541825">
        <w:rPr>
          <w:b/>
          <w:bCs/>
        </w:rPr>
        <w:t>.</w:t>
      </w:r>
      <w:r>
        <w:t xml:space="preserve"> Pays participants</w:t>
      </w:r>
      <w:r w:rsidR="006E54C7">
        <w:t> :</w:t>
      </w:r>
      <w:r>
        <w:t xml:space="preserve"> Afrique du Sud, Brésil, Burkina Faso, Cambodge, Costa Rica, Îles Cook, Inde, Jordanie, Maroc, Nigéria, Pérou, Philippines, République démocratique populaire lao, République dominicaine et Sénégal. L’objectif est de favoriser la transition vers une économie circulaire des plastiques dans le secteur de l’alimentation et des boissons, afin de prévenir la pollution </w:t>
      </w:r>
      <w:r>
        <w:lastRenderedPageBreak/>
        <w:t>plastique. Le programme intégré vise à obtenir les résultats ci-après, qui contribuent à la mise en œuvre du KMGBF</w:t>
      </w:r>
      <w:r w:rsidR="00C91105" w:rsidRPr="00C67737">
        <w:rPr>
          <w:vertAlign w:val="superscript"/>
        </w:rPr>
        <w:footnoteReference w:id="21"/>
      </w:r>
      <w:r w:rsidR="006E54C7">
        <w:t> :</w:t>
      </w:r>
    </w:p>
    <w:p w14:paraId="3AF25CC3" w14:textId="6AF17CD8" w:rsidR="00C91105" w:rsidRPr="00C67737" w:rsidRDefault="570052F7" w:rsidP="00D32638">
      <w:pPr>
        <w:numPr>
          <w:ilvl w:val="0"/>
          <w:numId w:val="8"/>
        </w:numPr>
        <w:spacing w:before="0" w:after="120"/>
        <w:ind w:left="648"/>
        <w:contextualSpacing/>
        <w:rPr>
          <w:color w:val="000000" w:themeColor="text1"/>
          <w:sz w:val="24"/>
          <w:szCs w:val="24"/>
        </w:rPr>
      </w:pPr>
      <w:r>
        <w:rPr>
          <w:color w:val="000000" w:themeColor="text1"/>
          <w:sz w:val="24"/>
        </w:rPr>
        <w:t>5</w:t>
      </w:r>
      <w:r w:rsidR="001F1D02">
        <w:rPr>
          <w:color w:val="000000" w:themeColor="text1"/>
          <w:sz w:val="24"/>
        </w:rPr>
        <w:t> 486 409,26 </w:t>
      </w:r>
      <w:r>
        <w:rPr>
          <w:color w:val="000000" w:themeColor="text1"/>
          <w:sz w:val="24"/>
        </w:rPr>
        <w:t>tonnes d’émissions de gaz à effet de serre (GES) atténuées indirectement (t.</w:t>
      </w:r>
      <w:r w:rsidR="006C044B">
        <w:rPr>
          <w:color w:val="000000" w:themeColor="text1"/>
          <w:sz w:val="24"/>
        </w:rPr>
        <w:t> </w:t>
      </w:r>
      <w:proofErr w:type="spellStart"/>
      <w:r>
        <w:rPr>
          <w:color w:val="000000" w:themeColor="text1"/>
          <w:sz w:val="24"/>
        </w:rPr>
        <w:t>éq</w:t>
      </w:r>
      <w:proofErr w:type="spellEnd"/>
      <w:r>
        <w:rPr>
          <w:color w:val="000000" w:themeColor="text1"/>
          <w:sz w:val="24"/>
        </w:rPr>
        <w:t>. CO₂)</w:t>
      </w:r>
      <w:r w:rsidR="006E54C7">
        <w:rPr>
          <w:color w:val="000000" w:themeColor="text1"/>
          <w:sz w:val="24"/>
        </w:rPr>
        <w:t> :</w:t>
      </w:r>
      <w:r>
        <w:rPr>
          <w:color w:val="000000" w:themeColor="text1"/>
          <w:sz w:val="24"/>
        </w:rPr>
        <w:t xml:space="preserve"> </w:t>
      </w:r>
      <w:r>
        <w:rPr>
          <w:b/>
          <w:color w:val="000000" w:themeColor="text1"/>
          <w:sz w:val="24"/>
        </w:rPr>
        <w:t>Cible</w:t>
      </w:r>
      <w:r w:rsidR="001F1D02">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1F1D02">
        <w:rPr>
          <w:b/>
          <w:color w:val="000000" w:themeColor="text1"/>
          <w:sz w:val="24"/>
        </w:rPr>
        <w:t> </w:t>
      </w:r>
      <w:r>
        <w:rPr>
          <w:b/>
          <w:color w:val="000000" w:themeColor="text1"/>
          <w:sz w:val="24"/>
        </w:rPr>
        <w:t>11</w:t>
      </w:r>
      <w:r>
        <w:rPr>
          <w:color w:val="000000" w:themeColor="text1"/>
          <w:sz w:val="24"/>
        </w:rPr>
        <w:t>.</w:t>
      </w:r>
    </w:p>
    <w:p w14:paraId="7EDD6E1E" w14:textId="7894330F" w:rsidR="00C91105" w:rsidRPr="00C67737" w:rsidRDefault="009962E1" w:rsidP="00D32638">
      <w:pPr>
        <w:numPr>
          <w:ilvl w:val="0"/>
          <w:numId w:val="8"/>
        </w:numPr>
        <w:spacing w:before="120" w:after="120"/>
        <w:ind w:left="648"/>
        <w:contextualSpacing/>
        <w:rPr>
          <w:color w:val="000000" w:themeColor="text1"/>
          <w:sz w:val="24"/>
          <w:szCs w:val="24"/>
        </w:rPr>
      </w:pPr>
      <w:r>
        <w:rPr>
          <w:color w:val="000000" w:themeColor="text1"/>
          <w:sz w:val="24"/>
        </w:rPr>
        <w:t xml:space="preserve">Trois </w:t>
      </w:r>
      <w:r w:rsidR="00552952">
        <w:rPr>
          <w:color w:val="000000" w:themeColor="text1"/>
          <w:sz w:val="24"/>
        </w:rPr>
        <w:t>éco</w:t>
      </w:r>
      <w:r>
        <w:rPr>
          <w:color w:val="000000" w:themeColor="text1"/>
          <w:sz w:val="24"/>
        </w:rPr>
        <w:t>systèmes aquatiques partagés faisant l</w:t>
      </w:r>
      <w:r w:rsidR="001F1D02">
        <w:rPr>
          <w:color w:val="000000" w:themeColor="text1"/>
          <w:sz w:val="24"/>
        </w:rPr>
        <w:t>’</w:t>
      </w:r>
      <w:r>
        <w:rPr>
          <w:color w:val="000000" w:themeColor="text1"/>
          <w:sz w:val="24"/>
        </w:rPr>
        <w:t>objet d</w:t>
      </w:r>
      <w:r w:rsidR="001F1D02">
        <w:rPr>
          <w:color w:val="000000" w:themeColor="text1"/>
          <w:sz w:val="24"/>
        </w:rPr>
        <w:t>’</w:t>
      </w:r>
      <w:r>
        <w:rPr>
          <w:color w:val="000000" w:themeColor="text1"/>
          <w:sz w:val="24"/>
        </w:rPr>
        <w:t>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1F1D02">
        <w:rPr>
          <w:b/>
          <w:color w:val="000000" w:themeColor="text1"/>
          <w:sz w:val="24"/>
        </w:rPr>
        <w:t> </w:t>
      </w:r>
      <w:r>
        <w:rPr>
          <w:b/>
          <w:color w:val="000000" w:themeColor="text1"/>
          <w:sz w:val="24"/>
        </w:rPr>
        <w:t>10</w:t>
      </w:r>
      <w:r>
        <w:rPr>
          <w:color w:val="000000" w:themeColor="text1"/>
          <w:sz w:val="24"/>
        </w:rPr>
        <w:t>.</w:t>
      </w:r>
    </w:p>
    <w:p w14:paraId="0FD66778" w14:textId="54DEF411" w:rsidR="00C91105" w:rsidRPr="00C67737" w:rsidRDefault="00C91105" w:rsidP="00D32638">
      <w:pPr>
        <w:numPr>
          <w:ilvl w:val="0"/>
          <w:numId w:val="8"/>
        </w:numPr>
        <w:spacing w:before="120" w:after="120"/>
        <w:ind w:left="648"/>
        <w:contextualSpacing/>
        <w:rPr>
          <w:color w:val="000000" w:themeColor="text1"/>
          <w:sz w:val="24"/>
          <w:szCs w:val="24"/>
        </w:rPr>
      </w:pPr>
      <w:r>
        <w:rPr>
          <w:color w:val="000000" w:themeColor="text1"/>
          <w:sz w:val="24"/>
        </w:rPr>
        <w:t>1</w:t>
      </w:r>
      <w:r w:rsidR="001F1D02">
        <w:rPr>
          <w:color w:val="000000" w:themeColor="text1"/>
          <w:sz w:val="24"/>
        </w:rPr>
        <w:t> 504 086,20 </w:t>
      </w:r>
      <w:r>
        <w:rPr>
          <w:color w:val="000000" w:themeColor="text1"/>
          <w:sz w:val="24"/>
        </w:rPr>
        <w:t>tonnes de déchets plastiques résiduels évitées</w:t>
      </w:r>
      <w:r w:rsidR="006E54C7">
        <w:rPr>
          <w:color w:val="000000" w:themeColor="text1"/>
          <w:sz w:val="24"/>
        </w:rPr>
        <w:t> :</w:t>
      </w:r>
      <w:r>
        <w:rPr>
          <w:color w:val="000000" w:themeColor="text1"/>
          <w:sz w:val="24"/>
        </w:rPr>
        <w:t xml:space="preserve"> </w:t>
      </w:r>
      <w:r>
        <w:rPr>
          <w:b/>
          <w:bCs/>
          <w:color w:val="000000" w:themeColor="text1"/>
          <w:sz w:val="24"/>
        </w:rPr>
        <w:t>Cible</w:t>
      </w:r>
      <w:r w:rsidR="001F1D02">
        <w:rPr>
          <w:b/>
          <w:bCs/>
          <w:color w:val="000000" w:themeColor="text1"/>
          <w:sz w:val="24"/>
        </w:rPr>
        <w:t> </w:t>
      </w:r>
      <w:r>
        <w:rPr>
          <w:b/>
          <w:bCs/>
          <w:color w:val="000000" w:themeColor="text1"/>
          <w:sz w:val="24"/>
        </w:rPr>
        <w:t>7, cible</w:t>
      </w:r>
      <w:r w:rsidR="001F1D02">
        <w:rPr>
          <w:b/>
          <w:bCs/>
          <w:color w:val="000000" w:themeColor="text1"/>
          <w:sz w:val="24"/>
        </w:rPr>
        <w:t> </w:t>
      </w:r>
      <w:r>
        <w:rPr>
          <w:b/>
          <w:bCs/>
          <w:color w:val="000000" w:themeColor="text1"/>
          <w:sz w:val="24"/>
        </w:rPr>
        <w:t xml:space="preserve">15 </w:t>
      </w:r>
      <w:r>
        <w:rPr>
          <w:color w:val="000000" w:themeColor="text1"/>
          <w:sz w:val="24"/>
        </w:rPr>
        <w:t>et</w:t>
      </w:r>
      <w:r>
        <w:rPr>
          <w:b/>
          <w:bCs/>
          <w:color w:val="000000" w:themeColor="text1"/>
          <w:sz w:val="24"/>
        </w:rPr>
        <w:t xml:space="preserve"> cible</w:t>
      </w:r>
      <w:r w:rsidR="001F1D02">
        <w:rPr>
          <w:b/>
          <w:bCs/>
          <w:color w:val="000000" w:themeColor="text1"/>
          <w:sz w:val="24"/>
        </w:rPr>
        <w:t> </w:t>
      </w:r>
      <w:r>
        <w:rPr>
          <w:b/>
          <w:bCs/>
          <w:color w:val="000000" w:themeColor="text1"/>
          <w:sz w:val="24"/>
        </w:rPr>
        <w:t>16</w:t>
      </w:r>
      <w:r w:rsidR="0039180A">
        <w:rPr>
          <w:b/>
          <w:bCs/>
          <w:color w:val="000000" w:themeColor="text1"/>
          <w:sz w:val="24"/>
        </w:rPr>
        <w:t>.</w:t>
      </w:r>
    </w:p>
    <w:p w14:paraId="2F4C0FBB" w14:textId="059B835B" w:rsidR="00C91105" w:rsidRPr="00C67737" w:rsidRDefault="5DE7F060" w:rsidP="00D32638">
      <w:pPr>
        <w:numPr>
          <w:ilvl w:val="0"/>
          <w:numId w:val="8"/>
        </w:numPr>
        <w:spacing w:before="120" w:after="120"/>
        <w:ind w:left="648"/>
        <w:contextualSpacing/>
        <w:rPr>
          <w:color w:val="000000" w:themeColor="text1"/>
          <w:sz w:val="24"/>
          <w:szCs w:val="24"/>
        </w:rPr>
      </w:pPr>
      <w:bookmarkStart w:id="51" w:name="_Hlk135314632"/>
      <w:r>
        <w:rPr>
          <w:rFonts w:ascii="Calibri" w:hAnsi="Calibri"/>
          <w:color w:val="000000" w:themeColor="text1"/>
          <w:sz w:val="24"/>
        </w:rPr>
        <w:t>6</w:t>
      </w:r>
      <w:r w:rsidR="001F1D02">
        <w:rPr>
          <w:rFonts w:ascii="Calibri" w:hAnsi="Calibri"/>
          <w:color w:val="000000" w:themeColor="text1"/>
          <w:sz w:val="24"/>
        </w:rPr>
        <w:t> 680 </w:t>
      </w:r>
      <w:r>
        <w:rPr>
          <w:rFonts w:ascii="Calibri" w:hAnsi="Calibri"/>
          <w:color w:val="000000" w:themeColor="text1"/>
          <w:sz w:val="24"/>
        </w:rPr>
        <w:t>661</w:t>
      </w:r>
      <w:r>
        <w:rPr>
          <w:color w:val="000000" w:themeColor="text1"/>
          <w:sz w:val="24"/>
        </w:rPr>
        <w:t xml:space="preserve"> personnes bénéficient d’investissements financés par le GEF (</w:t>
      </w:r>
      <w:r>
        <w:rPr>
          <w:rFonts w:ascii="Calibri" w:hAnsi="Calibri"/>
          <w:color w:val="000000" w:themeColor="text1"/>
          <w:sz w:val="24"/>
        </w:rPr>
        <w:t>3</w:t>
      </w:r>
      <w:r w:rsidR="001F1D02">
        <w:rPr>
          <w:rFonts w:ascii="Calibri" w:hAnsi="Calibri"/>
          <w:color w:val="000000" w:themeColor="text1"/>
          <w:sz w:val="24"/>
        </w:rPr>
        <w:t> 330 055 </w:t>
      </w:r>
      <w:r>
        <w:rPr>
          <w:color w:val="000000" w:themeColor="text1"/>
          <w:sz w:val="24"/>
        </w:rPr>
        <w:t xml:space="preserve">femmes et </w:t>
      </w:r>
      <w:r>
        <w:rPr>
          <w:rFonts w:ascii="Calibri" w:hAnsi="Calibri"/>
          <w:color w:val="000000" w:themeColor="text1"/>
          <w:sz w:val="24"/>
        </w:rPr>
        <w:t>3</w:t>
      </w:r>
      <w:r w:rsidR="001F1D02">
        <w:rPr>
          <w:rFonts w:ascii="Calibri" w:hAnsi="Calibri"/>
          <w:color w:val="000000" w:themeColor="text1"/>
          <w:sz w:val="24"/>
        </w:rPr>
        <w:t> 344 </w:t>
      </w:r>
      <w:r>
        <w:rPr>
          <w:rFonts w:ascii="Calibri" w:hAnsi="Calibri"/>
          <w:color w:val="000000" w:themeColor="text1"/>
          <w:sz w:val="24"/>
        </w:rPr>
        <w:t>708 </w:t>
      </w:r>
      <w:r>
        <w:rPr>
          <w:color w:val="000000" w:themeColor="text1"/>
          <w:sz w:val="24"/>
        </w:rPr>
        <w:t>hommes)</w:t>
      </w:r>
      <w:r w:rsidR="006E54C7">
        <w:rPr>
          <w:color w:val="000000" w:themeColor="text1"/>
          <w:sz w:val="24"/>
        </w:rPr>
        <w:t> :</w:t>
      </w:r>
      <w:r>
        <w:rPr>
          <w:color w:val="000000" w:themeColor="text1"/>
          <w:sz w:val="24"/>
        </w:rPr>
        <w:t xml:space="preserve"> </w:t>
      </w:r>
      <w:r>
        <w:rPr>
          <w:b/>
          <w:color w:val="000000" w:themeColor="text1"/>
          <w:sz w:val="24"/>
        </w:rPr>
        <w:t>Cible</w:t>
      </w:r>
      <w:r w:rsidR="001F1D02">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1F1D02">
        <w:rPr>
          <w:b/>
          <w:color w:val="000000" w:themeColor="text1"/>
          <w:sz w:val="24"/>
        </w:rPr>
        <w:t> </w:t>
      </w:r>
      <w:r>
        <w:rPr>
          <w:b/>
          <w:color w:val="000000" w:themeColor="text1"/>
          <w:sz w:val="24"/>
        </w:rPr>
        <w:t>23</w:t>
      </w:r>
      <w:r>
        <w:rPr>
          <w:color w:val="000000" w:themeColor="text1"/>
          <w:sz w:val="24"/>
        </w:rPr>
        <w:t>.</w:t>
      </w:r>
    </w:p>
    <w:bookmarkEnd w:id="51"/>
    <w:p w14:paraId="004E0FEB" w14:textId="51F3BF2C" w:rsidR="3B20C474" w:rsidRPr="00C67737" w:rsidRDefault="3B20C474" w:rsidP="00D32638">
      <w:pPr>
        <w:numPr>
          <w:ilvl w:val="0"/>
          <w:numId w:val="8"/>
        </w:numPr>
        <w:spacing w:before="120" w:after="120"/>
        <w:ind w:left="648"/>
        <w:contextualSpacing/>
        <w:rPr>
          <w:rFonts w:ascii="Calibri" w:eastAsia="Calibri" w:hAnsi="Calibri" w:cs="Calibri"/>
          <w:color w:val="000000" w:themeColor="text1"/>
          <w:sz w:val="24"/>
          <w:szCs w:val="24"/>
        </w:rPr>
      </w:pPr>
      <w:r>
        <w:rPr>
          <w:rFonts w:ascii="Calibri" w:hAnsi="Calibri"/>
          <w:color w:val="000000" w:themeColor="text1"/>
          <w:sz w:val="24"/>
        </w:rPr>
        <w:t>131,26</w:t>
      </w:r>
      <w:r w:rsidR="001F1D02">
        <w:rPr>
          <w:rFonts w:ascii="Calibri" w:hAnsi="Calibri"/>
          <w:color w:val="000000" w:themeColor="text1"/>
          <w:sz w:val="24"/>
        </w:rPr>
        <w:t> </w:t>
      </w:r>
      <w:r>
        <w:rPr>
          <w:rFonts w:ascii="Calibri" w:hAnsi="Calibri"/>
          <w:color w:val="000000" w:themeColor="text1"/>
          <w:sz w:val="24"/>
        </w:rPr>
        <w:t>grammes d’équivalent toxique de polluants organiques persistants produits involontairement évités</w:t>
      </w:r>
      <w:r w:rsidR="006E54C7">
        <w:rPr>
          <w:rFonts w:ascii="Calibri" w:hAnsi="Calibri"/>
          <w:color w:val="000000" w:themeColor="text1"/>
          <w:sz w:val="24"/>
        </w:rPr>
        <w:t> :</w:t>
      </w:r>
      <w:r>
        <w:rPr>
          <w:rFonts w:ascii="Calibri" w:hAnsi="Calibri"/>
          <w:color w:val="000000" w:themeColor="text1"/>
          <w:sz w:val="24"/>
        </w:rPr>
        <w:t xml:space="preserve"> </w:t>
      </w:r>
      <w:r>
        <w:rPr>
          <w:rFonts w:ascii="Calibri" w:hAnsi="Calibri"/>
          <w:b/>
          <w:color w:val="000000" w:themeColor="text1"/>
          <w:sz w:val="24"/>
        </w:rPr>
        <w:t>Cible</w:t>
      </w:r>
      <w:r w:rsidR="001F1D02">
        <w:rPr>
          <w:rFonts w:ascii="Calibri" w:hAnsi="Calibri"/>
          <w:b/>
          <w:color w:val="000000" w:themeColor="text1"/>
          <w:sz w:val="24"/>
        </w:rPr>
        <w:t> </w:t>
      </w:r>
      <w:r>
        <w:rPr>
          <w:rFonts w:ascii="Calibri" w:hAnsi="Calibri"/>
          <w:b/>
          <w:color w:val="000000" w:themeColor="text1"/>
          <w:sz w:val="24"/>
        </w:rPr>
        <w:t>7</w:t>
      </w:r>
      <w:r>
        <w:rPr>
          <w:rFonts w:ascii="Calibri" w:hAnsi="Calibri"/>
          <w:color w:val="000000" w:themeColor="text1"/>
          <w:sz w:val="24"/>
        </w:rPr>
        <w:t>.</w:t>
      </w:r>
    </w:p>
    <w:p w14:paraId="59CDF5A6" w14:textId="7DE6358E" w:rsidR="00C91105" w:rsidRPr="00C67737" w:rsidRDefault="009962E1" w:rsidP="000B33CF">
      <w:pPr>
        <w:pStyle w:val="ListParagraph"/>
      </w:pPr>
      <w:r>
        <w:t>En outre, le programme intégré contribue à renforcer la cohérence des politiques par l’élaboration et le renforcement de cadres réglementaires et stratégiques nationaux en faveur d’une économie circulaire des plastiques. Ces cadres comprennent notamment des mesures relatives à la responsabilité élargie des producteurs, aux normes applicables aux produits, aux systèmes de réemploi et de recharge, aux marchés publics, à l’écoconception ainsi qu’à l’élimination progressive ou à la réduction des plastiques à usage unique problématiques et superflus. Il contribue ainsi à la</w:t>
      </w:r>
      <w:r>
        <w:rPr>
          <w:b/>
          <w:bCs/>
        </w:rPr>
        <w:t xml:space="preserve"> cible</w:t>
      </w:r>
      <w:r w:rsidR="001F1D02">
        <w:rPr>
          <w:b/>
          <w:bCs/>
        </w:rPr>
        <w:t> </w:t>
      </w:r>
      <w:r>
        <w:rPr>
          <w:b/>
          <w:bCs/>
        </w:rPr>
        <w:t>14</w:t>
      </w:r>
      <w:r>
        <w:t xml:space="preserve"> en intégrant la réduction de la pollution plastique dans les politiques sectorielles et les processus décisionnels. En mobilisant le secteur de l’alimentation et des boissons, les détaillants, les marques, les éco-organismes, les établissements financiers et les petites et moyennes entreprises (PME), le programme intégré favorise également une plus grande transparence, la collecte de données, l’établissement de rapports et la responsabilisation des entreprises tout au long des chaînes de valeur des emballages en plastique. Ces mesures aident les entreprises à mieux comprendre et à réduire leurs incidences sur la diversité biologique, tout en fournissant aux consommateurs et aux marchés de meilleures informations pour faciliter des choix plus durables, contribuant ainsi à la </w:t>
      </w:r>
      <w:r>
        <w:rPr>
          <w:b/>
          <w:bCs/>
        </w:rPr>
        <w:t>cible</w:t>
      </w:r>
      <w:r w:rsidR="001F1D02">
        <w:rPr>
          <w:b/>
          <w:bCs/>
        </w:rPr>
        <w:t> </w:t>
      </w:r>
      <w:r>
        <w:rPr>
          <w:b/>
          <w:bCs/>
        </w:rPr>
        <w:t>15</w:t>
      </w:r>
      <w:r>
        <w:t>. Le programme intégré privilégie des mesures en amont et à des stades intermédiaires visant à réduire la consommation, à prévenir la production de déchets, à encourager l’abandon des plastiques à usage unique inutiles et à généraliser le réemploi, la recharge, la reconception, la substitution et les modèles économiques circulaires. Ces mesures appuient directement la cible</w:t>
      </w:r>
      <w:r w:rsidR="001F1D02">
        <w:t> </w:t>
      </w:r>
      <w:r>
        <w:t>16 en incitant à adopter des modes de consommation durables et en réduisant l’empreinte mondiale liée à l’utilisation des plastiques et aux déchets qu’ils génèrent. Enfin, le programme intégré contribue à créer un cadre d’action propice aux solutions circulaires en mettant en place des réglementations, des mesures d’incitation, des mesures fiscales, des normes et des mécanismes de coordination institutionnelle favorisant les meilleures pratiques de l’économie circulaire dans l’industrie des plastiques. Il renforce également la cohérence entre les administrations publiques afin que les mesures de réduction de la pollution plastique ne soient pas compromises par des politiques, des subventions ou des signaux de marché contradictoires. Ces mesures contribuent à la</w:t>
      </w:r>
      <w:r>
        <w:rPr>
          <w:b/>
          <w:bCs/>
        </w:rPr>
        <w:t xml:space="preserve"> cible</w:t>
      </w:r>
      <w:r w:rsidR="001F1D02">
        <w:rPr>
          <w:b/>
          <w:bCs/>
        </w:rPr>
        <w:t> </w:t>
      </w:r>
      <w:r>
        <w:rPr>
          <w:b/>
          <w:bCs/>
        </w:rPr>
        <w:t>18</w:t>
      </w:r>
      <w:r>
        <w:t xml:space="preserve"> et </w:t>
      </w:r>
      <w:r>
        <w:lastRenderedPageBreak/>
        <w:t xml:space="preserve">renforcent également la </w:t>
      </w:r>
      <w:r>
        <w:rPr>
          <w:b/>
          <w:bCs/>
        </w:rPr>
        <w:t>cible</w:t>
      </w:r>
      <w:r w:rsidR="001F1D02">
        <w:rPr>
          <w:b/>
          <w:bCs/>
        </w:rPr>
        <w:t> </w:t>
      </w:r>
      <w:r>
        <w:rPr>
          <w:b/>
          <w:bCs/>
        </w:rPr>
        <w:t>7</w:t>
      </w:r>
      <w:r>
        <w:t xml:space="preserve"> en réduisant directement la pollution plastique, en évitant les déchets plastiques résiduels et en diminuant les émissions de polluants organiques persistants produits involontairement par le brûlage à ciel ouvert.</w:t>
      </w:r>
    </w:p>
    <w:p w14:paraId="44BA91F8" w14:textId="7F8D69E5" w:rsidR="00C91105" w:rsidRPr="00C67737" w:rsidRDefault="00D36020" w:rsidP="000B33CF">
      <w:pPr>
        <w:pStyle w:val="ListParagraph"/>
      </w:pPr>
      <w:bookmarkStart w:id="52" w:name="_Toc136871755"/>
      <w:bookmarkStart w:id="53" w:name="_Toc171237797"/>
      <w:r>
        <w:rPr>
          <w:b/>
          <w:i/>
          <w:iCs/>
        </w:rPr>
        <w:t>Programme intégré «</w:t>
      </w:r>
      <w:r w:rsidR="001F1D02">
        <w:rPr>
          <w:b/>
          <w:i/>
          <w:iCs/>
        </w:rPr>
        <w:t> </w:t>
      </w:r>
      <w:r>
        <w:rPr>
          <w:b/>
          <w:i/>
          <w:iCs/>
        </w:rPr>
        <w:t>Élimination des substances chimiques dangereuses des cha</w:t>
      </w:r>
      <w:r w:rsidR="008F72A4">
        <w:rPr>
          <w:b/>
          <w:i/>
          <w:iCs/>
        </w:rPr>
        <w:t>î</w:t>
      </w:r>
      <w:r>
        <w:rPr>
          <w:b/>
          <w:i/>
          <w:iCs/>
        </w:rPr>
        <w:t>nes d’approvisionnement</w:t>
      </w:r>
      <w:r w:rsidR="001F1D02">
        <w:rPr>
          <w:b/>
          <w:i/>
          <w:iCs/>
        </w:rPr>
        <w:t> </w:t>
      </w:r>
      <w:r>
        <w:rPr>
          <w:b/>
          <w:i/>
          <w:iCs/>
        </w:rPr>
        <w:t>»</w:t>
      </w:r>
      <w:r w:rsidR="00D97609">
        <w:rPr>
          <w:b/>
          <w:i/>
          <w:iCs/>
        </w:rPr>
        <w:t>.</w:t>
      </w:r>
      <w:r>
        <w:rPr>
          <w:b/>
        </w:rPr>
        <w:t xml:space="preserve"> </w:t>
      </w:r>
      <w:r>
        <w:t>Pays participants</w:t>
      </w:r>
      <w:r w:rsidR="006E54C7">
        <w:t> :</w:t>
      </w:r>
      <w:r>
        <w:t xml:space="preserve"> Cambodge, Costa Rica, Équateur, Inde, Mongolie, Pakistan, Pérou et Trinité-et-Tobago. </w:t>
      </w:r>
      <w:bookmarkEnd w:id="52"/>
      <w:bookmarkEnd w:id="53"/>
      <w:r>
        <w:t>L’objectif est d’accompagner la transition des chaînes d’approvisionnement des secteurs de la mode et de la construction vers des approches intégrant les considérations environnementales dès la conception, tout en renforçant les conditions propices à cette évolution. Le programme intégré vise à obtenir les résultats ci-après, qui contribuent à la mise en œuvre du KMGBF</w:t>
      </w:r>
      <w:r w:rsidR="006E54C7">
        <w:t> :</w:t>
      </w:r>
      <w:r>
        <w:t xml:space="preserve"> </w:t>
      </w:r>
    </w:p>
    <w:p w14:paraId="447EBC79" w14:textId="61C29656" w:rsidR="00C91105" w:rsidRPr="00C67737" w:rsidRDefault="1A332480" w:rsidP="00D32638">
      <w:pPr>
        <w:numPr>
          <w:ilvl w:val="0"/>
          <w:numId w:val="9"/>
        </w:numPr>
        <w:spacing w:before="120" w:after="120"/>
        <w:ind w:left="648"/>
        <w:contextualSpacing/>
        <w:rPr>
          <w:color w:val="000000" w:themeColor="text1"/>
          <w:sz w:val="24"/>
          <w:szCs w:val="24"/>
        </w:rPr>
      </w:pPr>
      <w:r>
        <w:rPr>
          <w:color w:val="000000" w:themeColor="text1"/>
          <w:sz w:val="24"/>
        </w:rPr>
        <w:t>2,89</w:t>
      </w:r>
      <w:r w:rsidR="001F1D02">
        <w:rPr>
          <w:color w:val="000000" w:themeColor="text1"/>
          <w:sz w:val="24"/>
        </w:rPr>
        <w:t> </w:t>
      </w:r>
      <w:r>
        <w:rPr>
          <w:color w:val="000000" w:themeColor="text1"/>
          <w:sz w:val="24"/>
        </w:rPr>
        <w:t xml:space="preserve">millions d’hectares de paysages faisant l’objet de pratiques améliorées </w:t>
      </w:r>
      <w:r w:rsidR="00254B37">
        <w:rPr>
          <w:color w:val="000000" w:themeColor="text1"/>
          <w:sz w:val="24"/>
        </w:rPr>
        <w:t>au profit de la biodiversité</w:t>
      </w:r>
      <w:r w:rsidR="006E54C7">
        <w:rPr>
          <w:color w:val="000000" w:themeColor="text1"/>
          <w:sz w:val="24"/>
        </w:rPr>
        <w:t> :</w:t>
      </w:r>
      <w:r>
        <w:rPr>
          <w:color w:val="000000" w:themeColor="text1"/>
          <w:sz w:val="24"/>
        </w:rPr>
        <w:t xml:space="preserve"> </w:t>
      </w:r>
      <w:r>
        <w:rPr>
          <w:b/>
          <w:color w:val="000000" w:themeColor="text1"/>
          <w:sz w:val="24"/>
        </w:rPr>
        <w:t>Cible</w:t>
      </w:r>
      <w:r w:rsidR="001F1D02">
        <w:rPr>
          <w:b/>
          <w:color w:val="000000" w:themeColor="text1"/>
          <w:sz w:val="24"/>
        </w:rPr>
        <w:t> </w:t>
      </w:r>
      <w:r>
        <w:rPr>
          <w:b/>
          <w:color w:val="000000" w:themeColor="text1"/>
          <w:sz w:val="24"/>
        </w:rPr>
        <w:t>10</w:t>
      </w:r>
      <w:r>
        <w:rPr>
          <w:color w:val="000000" w:themeColor="text1"/>
          <w:sz w:val="24"/>
        </w:rPr>
        <w:t>.</w:t>
      </w:r>
    </w:p>
    <w:p w14:paraId="4D115595" w14:textId="1A9E5F10" w:rsidR="00C91105" w:rsidRPr="00C67737" w:rsidRDefault="00C91105" w:rsidP="00D32638">
      <w:pPr>
        <w:numPr>
          <w:ilvl w:val="0"/>
          <w:numId w:val="9"/>
        </w:numPr>
        <w:spacing w:before="120" w:after="120"/>
        <w:ind w:left="648"/>
        <w:contextualSpacing/>
        <w:rPr>
          <w:color w:val="000000" w:themeColor="text1"/>
          <w:sz w:val="24"/>
          <w:szCs w:val="24"/>
        </w:rPr>
      </w:pPr>
      <w:r>
        <w:rPr>
          <w:color w:val="000000" w:themeColor="text1"/>
          <w:sz w:val="24"/>
        </w:rPr>
        <w:t>2</w:t>
      </w:r>
      <w:r w:rsidR="001F1D02">
        <w:rPr>
          <w:color w:val="000000" w:themeColor="text1"/>
          <w:sz w:val="24"/>
        </w:rPr>
        <w:t> 965 038 </w:t>
      </w:r>
      <w:r>
        <w:rPr>
          <w:color w:val="000000" w:themeColor="text1"/>
          <w:sz w:val="24"/>
        </w:rPr>
        <w:t xml:space="preserve">tonnes d’émissions de gaz à effet de serre (GES) atténuées directement et </w:t>
      </w:r>
      <w:r>
        <w:rPr>
          <w:rFonts w:ascii="Calibri" w:hAnsi="Calibri"/>
          <w:color w:val="000000" w:themeColor="text1"/>
          <w:sz w:val="24"/>
        </w:rPr>
        <w:t>7</w:t>
      </w:r>
      <w:r w:rsidR="001F1D02">
        <w:rPr>
          <w:rFonts w:ascii="Calibri" w:hAnsi="Calibri"/>
          <w:color w:val="000000" w:themeColor="text1"/>
          <w:sz w:val="24"/>
        </w:rPr>
        <w:t> 700 780 </w:t>
      </w:r>
      <w:r>
        <w:rPr>
          <w:color w:val="000000" w:themeColor="text1"/>
          <w:sz w:val="24"/>
        </w:rPr>
        <w:t xml:space="preserve">tonnes atténuées indirectement (t </w:t>
      </w:r>
      <w:proofErr w:type="spellStart"/>
      <w:r>
        <w:rPr>
          <w:color w:val="000000" w:themeColor="text1"/>
          <w:sz w:val="24"/>
        </w:rPr>
        <w:t>éq</w:t>
      </w:r>
      <w:proofErr w:type="spellEnd"/>
      <w:r>
        <w:rPr>
          <w:color w:val="000000" w:themeColor="text1"/>
          <w:sz w:val="24"/>
        </w:rPr>
        <w:t>. CO₂)</w:t>
      </w:r>
      <w:r w:rsidR="006E54C7">
        <w:rPr>
          <w:color w:val="000000" w:themeColor="text1"/>
          <w:sz w:val="24"/>
        </w:rPr>
        <w:t> :</w:t>
      </w:r>
      <w:r>
        <w:rPr>
          <w:color w:val="000000" w:themeColor="text1"/>
          <w:sz w:val="24"/>
        </w:rPr>
        <w:t xml:space="preserve"> </w:t>
      </w:r>
      <w:r>
        <w:rPr>
          <w:b/>
          <w:color w:val="000000" w:themeColor="text1"/>
          <w:sz w:val="24"/>
        </w:rPr>
        <w:t>Cible</w:t>
      </w:r>
      <w:r w:rsidR="001F1D02">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1F1D02">
        <w:rPr>
          <w:b/>
          <w:color w:val="000000" w:themeColor="text1"/>
          <w:sz w:val="24"/>
        </w:rPr>
        <w:t> </w:t>
      </w:r>
      <w:r>
        <w:rPr>
          <w:b/>
          <w:color w:val="000000" w:themeColor="text1"/>
          <w:sz w:val="24"/>
        </w:rPr>
        <w:t>11</w:t>
      </w:r>
      <w:r>
        <w:rPr>
          <w:color w:val="000000" w:themeColor="text1"/>
          <w:sz w:val="24"/>
        </w:rPr>
        <w:t>.</w:t>
      </w:r>
    </w:p>
    <w:p w14:paraId="2D0D16FD" w14:textId="609D61DD" w:rsidR="00C91105" w:rsidRPr="00C67737" w:rsidRDefault="34A9D118" w:rsidP="00D32638">
      <w:pPr>
        <w:numPr>
          <w:ilvl w:val="0"/>
          <w:numId w:val="9"/>
        </w:numPr>
        <w:spacing w:before="120" w:after="120"/>
        <w:ind w:left="648"/>
        <w:contextualSpacing/>
        <w:rPr>
          <w:color w:val="000000" w:themeColor="text1"/>
          <w:sz w:val="24"/>
          <w:szCs w:val="24"/>
        </w:rPr>
      </w:pPr>
      <w:r>
        <w:rPr>
          <w:rFonts w:ascii="Calibri" w:hAnsi="Calibri"/>
          <w:color w:val="000000" w:themeColor="text1"/>
          <w:sz w:val="24"/>
        </w:rPr>
        <w:t>53</w:t>
      </w:r>
      <w:r w:rsidR="001F1D02">
        <w:rPr>
          <w:rFonts w:ascii="Calibri" w:hAnsi="Calibri"/>
          <w:color w:val="000000" w:themeColor="text1"/>
          <w:sz w:val="24"/>
        </w:rPr>
        <w:t> 413,72 </w:t>
      </w:r>
      <w:r>
        <w:rPr>
          <w:color w:val="000000" w:themeColor="text1"/>
          <w:sz w:val="24"/>
        </w:rPr>
        <w:t>tonnes de produits chimiques préoccupants à l’échelle mondiale et de déchets connexes réduites</w:t>
      </w:r>
      <w:r w:rsidR="006E54C7">
        <w:rPr>
          <w:color w:val="000000" w:themeColor="text1"/>
          <w:sz w:val="24"/>
        </w:rPr>
        <w:t> :</w:t>
      </w:r>
      <w:r>
        <w:rPr>
          <w:color w:val="000000" w:themeColor="text1"/>
          <w:sz w:val="24"/>
        </w:rPr>
        <w:t xml:space="preserve"> </w:t>
      </w:r>
      <w:r>
        <w:rPr>
          <w:b/>
          <w:bCs/>
          <w:color w:val="000000" w:themeColor="text1"/>
          <w:sz w:val="24"/>
        </w:rPr>
        <w:t>Cible</w:t>
      </w:r>
      <w:r w:rsidR="001F1D02">
        <w:rPr>
          <w:b/>
          <w:bCs/>
          <w:color w:val="000000" w:themeColor="text1"/>
          <w:sz w:val="24"/>
        </w:rPr>
        <w:t> </w:t>
      </w:r>
      <w:r>
        <w:rPr>
          <w:b/>
          <w:bCs/>
          <w:color w:val="000000" w:themeColor="text1"/>
          <w:sz w:val="24"/>
        </w:rPr>
        <w:t>7, cible</w:t>
      </w:r>
      <w:r w:rsidR="001F1D02">
        <w:rPr>
          <w:b/>
          <w:bCs/>
          <w:color w:val="000000" w:themeColor="text1"/>
          <w:sz w:val="24"/>
        </w:rPr>
        <w:t> </w:t>
      </w:r>
      <w:r>
        <w:rPr>
          <w:b/>
          <w:bCs/>
          <w:color w:val="000000" w:themeColor="text1"/>
          <w:sz w:val="24"/>
        </w:rPr>
        <w:t>10, cible</w:t>
      </w:r>
      <w:r w:rsidR="001F1D02">
        <w:rPr>
          <w:b/>
          <w:bCs/>
          <w:color w:val="000000" w:themeColor="text1"/>
          <w:sz w:val="24"/>
        </w:rPr>
        <w:t> </w:t>
      </w:r>
      <w:r>
        <w:rPr>
          <w:b/>
          <w:bCs/>
          <w:color w:val="000000" w:themeColor="text1"/>
          <w:sz w:val="24"/>
        </w:rPr>
        <w:t>15</w:t>
      </w:r>
      <w:r w:rsidRPr="007B7597">
        <w:rPr>
          <w:color w:val="000000" w:themeColor="text1"/>
          <w:sz w:val="24"/>
        </w:rPr>
        <w:t xml:space="preserve"> et</w:t>
      </w:r>
      <w:r>
        <w:rPr>
          <w:b/>
          <w:bCs/>
          <w:color w:val="000000" w:themeColor="text1"/>
          <w:sz w:val="24"/>
        </w:rPr>
        <w:t xml:space="preserve"> cible</w:t>
      </w:r>
      <w:r w:rsidR="001F1D02">
        <w:rPr>
          <w:b/>
          <w:bCs/>
          <w:color w:val="000000" w:themeColor="text1"/>
          <w:sz w:val="24"/>
        </w:rPr>
        <w:t> </w:t>
      </w:r>
      <w:r>
        <w:rPr>
          <w:b/>
          <w:bCs/>
          <w:color w:val="000000" w:themeColor="text1"/>
          <w:sz w:val="24"/>
        </w:rPr>
        <w:t>16.</w:t>
      </w:r>
    </w:p>
    <w:p w14:paraId="6A37A3ED" w14:textId="3DC7C47D" w:rsidR="00C91105" w:rsidRPr="00C67737" w:rsidRDefault="5234DF52" w:rsidP="00D32638">
      <w:pPr>
        <w:numPr>
          <w:ilvl w:val="0"/>
          <w:numId w:val="9"/>
        </w:numPr>
        <w:spacing w:before="120" w:after="120"/>
        <w:ind w:left="648"/>
        <w:contextualSpacing/>
        <w:rPr>
          <w:color w:val="000000" w:themeColor="text1"/>
          <w:sz w:val="24"/>
          <w:szCs w:val="24"/>
        </w:rPr>
      </w:pPr>
      <w:r>
        <w:rPr>
          <w:color w:val="000000" w:themeColor="text1"/>
          <w:sz w:val="24"/>
        </w:rPr>
        <w:t>154,52</w:t>
      </w:r>
      <w:r w:rsidR="001F1D02">
        <w:rPr>
          <w:color w:val="000000" w:themeColor="text1"/>
          <w:sz w:val="24"/>
        </w:rPr>
        <w:t> </w:t>
      </w:r>
      <w:r>
        <w:rPr>
          <w:color w:val="000000" w:themeColor="text1"/>
          <w:sz w:val="24"/>
        </w:rPr>
        <w:t>grammes d’équivalent toxique de polluants organiques persistants rejetés dans l’air évités</w:t>
      </w:r>
      <w:r w:rsidR="006E54C7">
        <w:rPr>
          <w:color w:val="000000" w:themeColor="text1"/>
          <w:sz w:val="24"/>
        </w:rPr>
        <w:t> :</w:t>
      </w:r>
      <w:r>
        <w:rPr>
          <w:color w:val="000000" w:themeColor="text1"/>
          <w:sz w:val="24"/>
        </w:rPr>
        <w:t xml:space="preserve"> </w:t>
      </w:r>
      <w:r>
        <w:rPr>
          <w:b/>
          <w:color w:val="000000" w:themeColor="text1"/>
          <w:sz w:val="24"/>
        </w:rPr>
        <w:t>Cible</w:t>
      </w:r>
      <w:r w:rsidR="001F1D02">
        <w:rPr>
          <w:b/>
          <w:color w:val="000000" w:themeColor="text1"/>
          <w:sz w:val="24"/>
        </w:rPr>
        <w:t> </w:t>
      </w:r>
      <w:r>
        <w:rPr>
          <w:b/>
          <w:color w:val="000000" w:themeColor="text1"/>
          <w:sz w:val="24"/>
        </w:rPr>
        <w:t>7</w:t>
      </w:r>
      <w:r>
        <w:rPr>
          <w:color w:val="000000" w:themeColor="text1"/>
          <w:sz w:val="24"/>
        </w:rPr>
        <w:t>.</w:t>
      </w:r>
    </w:p>
    <w:p w14:paraId="53A567AB" w14:textId="5F0F4FDC" w:rsidR="53CF0C1A" w:rsidRPr="00C67737" w:rsidRDefault="53CF0C1A" w:rsidP="00D32638">
      <w:pPr>
        <w:numPr>
          <w:ilvl w:val="0"/>
          <w:numId w:val="9"/>
        </w:numPr>
        <w:spacing w:before="120" w:after="120"/>
        <w:ind w:left="648"/>
        <w:contextualSpacing/>
        <w:rPr>
          <w:rFonts w:ascii="Calibri" w:eastAsia="Calibri" w:hAnsi="Calibri" w:cs="Calibri"/>
          <w:color w:val="000000" w:themeColor="text1"/>
          <w:sz w:val="24"/>
          <w:szCs w:val="24"/>
        </w:rPr>
      </w:pPr>
      <w:r>
        <w:rPr>
          <w:rFonts w:ascii="Calibri" w:hAnsi="Calibri"/>
          <w:color w:val="000000" w:themeColor="text1"/>
          <w:sz w:val="24"/>
        </w:rPr>
        <w:t>32</w:t>
      </w:r>
      <w:r w:rsidR="001F1D02">
        <w:rPr>
          <w:rFonts w:ascii="Calibri" w:hAnsi="Calibri"/>
          <w:color w:val="000000" w:themeColor="text1"/>
          <w:sz w:val="24"/>
        </w:rPr>
        <w:t> 138,36 </w:t>
      </w:r>
      <w:r>
        <w:rPr>
          <w:rFonts w:ascii="Calibri" w:hAnsi="Calibri"/>
          <w:color w:val="000000" w:themeColor="text1"/>
          <w:sz w:val="24"/>
        </w:rPr>
        <w:t>tonnes de déchets plastiques résiduels évitées</w:t>
      </w:r>
      <w:r w:rsidR="006E54C7">
        <w:rPr>
          <w:rFonts w:ascii="Calibri" w:hAnsi="Calibri"/>
          <w:color w:val="000000" w:themeColor="text1"/>
          <w:sz w:val="24"/>
        </w:rPr>
        <w:t> :</w:t>
      </w:r>
      <w:r>
        <w:rPr>
          <w:rFonts w:ascii="Calibri" w:hAnsi="Calibri"/>
          <w:color w:val="000000" w:themeColor="text1"/>
          <w:sz w:val="24"/>
        </w:rPr>
        <w:t xml:space="preserve"> </w:t>
      </w:r>
      <w:r>
        <w:rPr>
          <w:rFonts w:ascii="Calibri" w:hAnsi="Calibri"/>
          <w:b/>
          <w:color w:val="000000" w:themeColor="text1"/>
          <w:sz w:val="24"/>
        </w:rPr>
        <w:t>Cible</w:t>
      </w:r>
      <w:r w:rsidR="008641A6">
        <w:rPr>
          <w:rFonts w:ascii="Calibri" w:hAnsi="Calibri"/>
          <w:b/>
          <w:color w:val="000000" w:themeColor="text1"/>
          <w:sz w:val="24"/>
        </w:rPr>
        <w:t> </w:t>
      </w:r>
      <w:r>
        <w:rPr>
          <w:rFonts w:ascii="Calibri" w:hAnsi="Calibri"/>
          <w:b/>
          <w:color w:val="000000" w:themeColor="text1"/>
          <w:sz w:val="24"/>
        </w:rPr>
        <w:t>7</w:t>
      </w:r>
      <w:r>
        <w:rPr>
          <w:rFonts w:ascii="Calibri" w:hAnsi="Calibri"/>
          <w:color w:val="000000" w:themeColor="text1"/>
          <w:sz w:val="24"/>
        </w:rPr>
        <w:t xml:space="preserve"> et </w:t>
      </w:r>
      <w:r>
        <w:rPr>
          <w:rFonts w:ascii="Calibri" w:hAnsi="Calibri"/>
          <w:b/>
          <w:color w:val="000000" w:themeColor="text1"/>
          <w:sz w:val="24"/>
        </w:rPr>
        <w:t>cible</w:t>
      </w:r>
      <w:r w:rsidR="008641A6">
        <w:rPr>
          <w:rFonts w:ascii="Calibri" w:hAnsi="Calibri"/>
          <w:b/>
          <w:color w:val="000000" w:themeColor="text1"/>
          <w:sz w:val="24"/>
        </w:rPr>
        <w:t> </w:t>
      </w:r>
      <w:r>
        <w:rPr>
          <w:rFonts w:ascii="Calibri" w:hAnsi="Calibri"/>
          <w:b/>
          <w:color w:val="000000" w:themeColor="text1"/>
          <w:sz w:val="24"/>
        </w:rPr>
        <w:t>16</w:t>
      </w:r>
      <w:r>
        <w:rPr>
          <w:rFonts w:ascii="Calibri" w:hAnsi="Calibri"/>
          <w:color w:val="000000" w:themeColor="text1"/>
          <w:sz w:val="24"/>
        </w:rPr>
        <w:t>.</w:t>
      </w:r>
    </w:p>
    <w:p w14:paraId="7398A7E4" w14:textId="2C9F76CF" w:rsidR="00C91105" w:rsidRPr="00C67737" w:rsidRDefault="00D0513C" w:rsidP="00D32638">
      <w:pPr>
        <w:numPr>
          <w:ilvl w:val="0"/>
          <w:numId w:val="9"/>
        </w:numPr>
        <w:spacing w:before="120" w:after="120"/>
        <w:ind w:left="648"/>
        <w:contextualSpacing/>
        <w:rPr>
          <w:color w:val="000000" w:themeColor="text1"/>
          <w:sz w:val="24"/>
          <w:szCs w:val="24"/>
        </w:rPr>
      </w:pPr>
      <w:r>
        <w:rPr>
          <w:rFonts w:ascii="Calibri" w:hAnsi="Calibri"/>
          <w:color w:val="000000" w:themeColor="text1"/>
          <w:sz w:val="24"/>
        </w:rPr>
        <w:t>1</w:t>
      </w:r>
      <w:r w:rsidR="008641A6">
        <w:rPr>
          <w:rFonts w:ascii="Calibri" w:hAnsi="Calibri"/>
          <w:color w:val="000000" w:themeColor="text1"/>
          <w:sz w:val="24"/>
        </w:rPr>
        <w:t> 664 </w:t>
      </w:r>
      <w:r>
        <w:rPr>
          <w:rFonts w:ascii="Calibri" w:hAnsi="Calibri"/>
          <w:color w:val="000000" w:themeColor="text1"/>
          <w:sz w:val="24"/>
        </w:rPr>
        <w:t>082</w:t>
      </w:r>
      <w:r>
        <w:rPr>
          <w:color w:val="000000" w:themeColor="text1"/>
          <w:sz w:val="24"/>
        </w:rPr>
        <w:t xml:space="preserve"> personnes bénéficient d’investissements financés par le GEF (dont </w:t>
      </w:r>
      <w:r>
        <w:rPr>
          <w:rFonts w:ascii="Calibri" w:hAnsi="Calibri"/>
          <w:color w:val="000000" w:themeColor="text1"/>
          <w:sz w:val="24"/>
        </w:rPr>
        <w:t>840</w:t>
      </w:r>
      <w:r w:rsidR="008641A6">
        <w:rPr>
          <w:rFonts w:ascii="Calibri" w:hAnsi="Calibri"/>
          <w:color w:val="000000" w:themeColor="text1"/>
          <w:sz w:val="24"/>
        </w:rPr>
        <w:t> </w:t>
      </w:r>
      <w:r>
        <w:rPr>
          <w:rFonts w:ascii="Calibri" w:hAnsi="Calibri"/>
          <w:color w:val="000000" w:themeColor="text1"/>
          <w:sz w:val="24"/>
        </w:rPr>
        <w:t>334</w:t>
      </w:r>
      <w:r>
        <w:rPr>
          <w:color w:val="000000" w:themeColor="text1"/>
          <w:sz w:val="24"/>
        </w:rPr>
        <w:t> femmes)</w:t>
      </w:r>
      <w:r w:rsidR="006E54C7">
        <w:rPr>
          <w:color w:val="000000" w:themeColor="text1"/>
          <w:sz w:val="24"/>
        </w:rPr>
        <w:t> :</w:t>
      </w:r>
      <w:r>
        <w:rPr>
          <w:color w:val="000000" w:themeColor="text1"/>
          <w:sz w:val="24"/>
        </w:rPr>
        <w:t xml:space="preserve"> </w:t>
      </w:r>
      <w:r>
        <w:rPr>
          <w:b/>
          <w:color w:val="000000" w:themeColor="text1"/>
          <w:sz w:val="24"/>
        </w:rPr>
        <w:t>Cible</w:t>
      </w:r>
      <w:r w:rsidR="008641A6">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8641A6">
        <w:rPr>
          <w:b/>
          <w:color w:val="000000" w:themeColor="text1"/>
          <w:sz w:val="24"/>
        </w:rPr>
        <w:t> </w:t>
      </w:r>
      <w:r>
        <w:rPr>
          <w:b/>
          <w:color w:val="000000" w:themeColor="text1"/>
          <w:sz w:val="24"/>
        </w:rPr>
        <w:t>23</w:t>
      </w:r>
      <w:r>
        <w:rPr>
          <w:color w:val="000000" w:themeColor="text1"/>
          <w:sz w:val="24"/>
        </w:rPr>
        <w:t>.</w:t>
      </w:r>
    </w:p>
    <w:p w14:paraId="426DCC24" w14:textId="74CB1E43" w:rsidR="00C91105" w:rsidRPr="00C67737" w:rsidRDefault="6BB61F02" w:rsidP="000B33CF">
      <w:pPr>
        <w:pStyle w:val="ListParagraph"/>
      </w:pPr>
      <w:r>
        <w:t xml:space="preserve">En outre, le programme intégré sur les chaînes d’approvisionnement est conçu pour mobiliser des financements et influer sur les flux financiers, les systèmes de passation des marchés, les subventions, les incitations et les critères d’investissement afin de promouvoir des chaînes d’approvisionnement durables et circulaires. À cette fin, il prévoit notamment des incubateurs, des mécanismes de financement mixte tenant compte des questions de genre, des prêts verts, des incitations fiscales, des achats durables et des mécanismes fondés sur le marché, qui aideront les entreprises à adopter des matériaux plus sûrs, des procédés de production plus propres et des modèles économiques circulaires. Il contribue ainsi à la </w:t>
      </w:r>
      <w:r>
        <w:rPr>
          <w:b/>
          <w:bCs/>
        </w:rPr>
        <w:t>cible</w:t>
      </w:r>
      <w:r w:rsidR="008641A6">
        <w:rPr>
          <w:b/>
          <w:bCs/>
        </w:rPr>
        <w:t> </w:t>
      </w:r>
      <w:r>
        <w:rPr>
          <w:b/>
          <w:bCs/>
        </w:rPr>
        <w:t>19</w:t>
      </w:r>
      <w:r>
        <w:t xml:space="preserve"> en facilitant la mobilisation et l’orientation des ressources vers des systèmes de production sans pollution et favorables à la diversité biologique. Le programme intégré renforce également </w:t>
      </w:r>
      <w:r w:rsidR="007E5F73">
        <w:t>le cadre</w:t>
      </w:r>
      <w:r>
        <w:t xml:space="preserve"> réglementaire et </w:t>
      </w:r>
      <w:r w:rsidR="00A85134">
        <w:t>les politiques publiques</w:t>
      </w:r>
      <w:r>
        <w:t xml:space="preserve"> nécessaire</w:t>
      </w:r>
      <w:r w:rsidR="00A85134">
        <w:t>s</w:t>
      </w:r>
      <w:r>
        <w:t xml:space="preserve"> à la création et au développement de marchés pour des produits innovants, plus sûrs et plus durables, notamment par l’adoption de normes, de systèmes de certification, d’écolabels, de contrôles à l’importation, de dispositifs de responsabilité élargie des producteurs, de marchés publics écologiques, ainsi que par la réforme des politiques économiques et fiscales. Ces mesures concourent à la réalisation de la </w:t>
      </w:r>
      <w:r>
        <w:rPr>
          <w:b/>
          <w:bCs/>
        </w:rPr>
        <w:t>cible</w:t>
      </w:r>
      <w:r w:rsidR="008641A6">
        <w:rPr>
          <w:b/>
          <w:bCs/>
        </w:rPr>
        <w:t> </w:t>
      </w:r>
      <w:r>
        <w:rPr>
          <w:b/>
          <w:bCs/>
        </w:rPr>
        <w:t>14</w:t>
      </w:r>
      <w:r>
        <w:t xml:space="preserve"> en intégrant les considérations relatives à la diversité biologique, à la prévention de la pollution et à l’économie circulaire dans les politiques sectorielles et les processus décisionnels des chaînes d’approvisionnement des secteurs de la mode, de la construction, du textile, du cuir et des secteurs connexes. Enfin, les indicateurs du programme intégré permettent de suivre les mesures juridiques, administratives et </w:t>
      </w:r>
      <w:r w:rsidR="00A85134">
        <w:t>de politique publique</w:t>
      </w:r>
      <w:r>
        <w:t xml:space="preserve"> mises en place pour encourager les entreprises et leur donner les moyens d’agir, y compris les grandes entreprises, les entreprises </w:t>
      </w:r>
      <w:r>
        <w:lastRenderedPageBreak/>
        <w:t xml:space="preserve">transnationales et les établissements financiers. Ces mesures visent à réduire les risques de pollution, à améliorer la transparence et la traçabilité, à évaluer et à gérer les dépendances et les incidences, ainsi qu’à fournir aux consommateurs et aux marchés des informations fiables qui favorisent des modes de consommation plus sûrs et plus durables. Ces mesures contribuent à la </w:t>
      </w:r>
      <w:r>
        <w:rPr>
          <w:b/>
          <w:bCs/>
        </w:rPr>
        <w:t>cible</w:t>
      </w:r>
      <w:r w:rsidR="008641A6">
        <w:rPr>
          <w:b/>
          <w:bCs/>
        </w:rPr>
        <w:t> </w:t>
      </w:r>
      <w:r>
        <w:rPr>
          <w:b/>
          <w:bCs/>
        </w:rPr>
        <w:t>15</w:t>
      </w:r>
      <w:r>
        <w:t xml:space="preserve"> et renforcent également la </w:t>
      </w:r>
      <w:r>
        <w:rPr>
          <w:b/>
          <w:bCs/>
        </w:rPr>
        <w:t>cible</w:t>
      </w:r>
      <w:r w:rsidR="008641A6">
        <w:rPr>
          <w:b/>
          <w:bCs/>
        </w:rPr>
        <w:t> </w:t>
      </w:r>
      <w:r>
        <w:rPr>
          <w:b/>
          <w:bCs/>
        </w:rPr>
        <w:t>16</w:t>
      </w:r>
      <w:r>
        <w:t xml:space="preserve"> grâce à la réduction des déchets, à la promotion de la circularité et à l’orientation de la consommation vers des produits plus durables et moins préjudiciables à l’environnement.</w:t>
      </w:r>
    </w:p>
    <w:p w14:paraId="0CF62D01" w14:textId="58B02DAE" w:rsidR="00DD5B4B" w:rsidRPr="00C67737" w:rsidRDefault="16351BA9" w:rsidP="000B33CF">
      <w:pPr>
        <w:pStyle w:val="ListParagraph"/>
      </w:pPr>
      <w:bookmarkStart w:id="54" w:name="_Hlk162253299"/>
      <w:r>
        <w:rPr>
          <w:b/>
          <w:i/>
        </w:rPr>
        <w:t>Programme intégré «</w:t>
      </w:r>
      <w:r w:rsidR="008641A6">
        <w:rPr>
          <w:b/>
          <w:i/>
        </w:rPr>
        <w:t> </w:t>
      </w:r>
      <w:r w:rsidR="00E26AE2">
        <w:rPr>
          <w:b/>
          <w:i/>
        </w:rPr>
        <w:t>P</w:t>
      </w:r>
      <w:r>
        <w:rPr>
          <w:b/>
          <w:i/>
        </w:rPr>
        <w:t>aysages durables en Amazonie</w:t>
      </w:r>
      <w:r w:rsidR="008641A6">
        <w:t> </w:t>
      </w:r>
      <w:r>
        <w:t>»</w:t>
      </w:r>
      <w:r w:rsidR="00110191">
        <w:t>.</w:t>
      </w:r>
      <w:r>
        <w:t xml:space="preserve"> Pays participants</w:t>
      </w:r>
      <w:r w:rsidR="006E54C7">
        <w:t> :</w:t>
      </w:r>
      <w:r>
        <w:t xml:space="preserve"> Bolivie, Brésil, Colombie, Équateur, Guyana, Pérou, Suriname et Venezuela. L’objectif de la troisième phase du programme intégré est d’améliorer la collaboration régionale et les investissements nationaux en faveur de la conservation intégrée des paysages et de leur gestion durable dans des zones ciblées de la région amazonienne, y compris les forêts primaires. Ce programme a été lancé durant </w:t>
      </w:r>
      <w:r w:rsidR="00376C22">
        <w:t>GEF</w:t>
      </w:r>
      <w:r w:rsidR="00376C22">
        <w:noBreakHyphen/>
      </w:r>
      <w:r>
        <w:t xml:space="preserve">6. S’appuyant sur les deux précédents cycles du GEF, il continuera de </w:t>
      </w:r>
      <w:r w:rsidR="00AB62DF">
        <w:t>travailler en étroite collaboration</w:t>
      </w:r>
      <w:r>
        <w:t xml:space="preserve"> avec les peuples autochtones et communautés locales, en favorisant leur autonomisation ainsi que la </w:t>
      </w:r>
      <w:r w:rsidR="00110191">
        <w:t>socio-bioéconomie</w:t>
      </w:r>
      <w:r>
        <w:t xml:space="preserve"> et les chaînes de valeur qui y sont associées (</w:t>
      </w:r>
      <w:r>
        <w:rPr>
          <w:b/>
          <w:bCs/>
        </w:rPr>
        <w:t>cibles</w:t>
      </w:r>
      <w:r w:rsidR="008641A6">
        <w:rPr>
          <w:b/>
          <w:bCs/>
        </w:rPr>
        <w:t> </w:t>
      </w:r>
      <w:r>
        <w:rPr>
          <w:b/>
          <w:bCs/>
        </w:rPr>
        <w:t>5, 9</w:t>
      </w:r>
      <w:r>
        <w:t xml:space="preserve"> et</w:t>
      </w:r>
      <w:r>
        <w:rPr>
          <w:b/>
          <w:bCs/>
        </w:rPr>
        <w:t xml:space="preserve"> 22</w:t>
      </w:r>
      <w:r>
        <w:t xml:space="preserve">). </w:t>
      </w:r>
      <w:r w:rsidR="00AB62DF">
        <w:t>Il</w:t>
      </w:r>
      <w:r>
        <w:t xml:space="preserve"> favorise également la conservation et la restauration des corridors, ainsi que la coordination des appuis financiers </w:t>
      </w:r>
      <w:r w:rsidR="0089364E">
        <w:t>à</w:t>
      </w:r>
      <w:r>
        <w:t xml:space="preserve"> la conservation du biome amazonien (</w:t>
      </w:r>
      <w:r>
        <w:rPr>
          <w:b/>
          <w:bCs/>
        </w:rPr>
        <w:t>cible</w:t>
      </w:r>
      <w:r w:rsidR="008641A6">
        <w:rPr>
          <w:b/>
          <w:bCs/>
        </w:rPr>
        <w:t> </w:t>
      </w:r>
      <w:r>
        <w:rPr>
          <w:b/>
          <w:bCs/>
        </w:rPr>
        <w:t>19</w:t>
      </w:r>
      <w:r>
        <w:t>). Le programme intégré vise à obtenir les résultats ci-après, qui contribuent à la mise en œuvre du KMGBF</w:t>
      </w:r>
      <w:r w:rsidR="006E54C7">
        <w:t> :</w:t>
      </w:r>
      <w:r>
        <w:t xml:space="preserve"> </w:t>
      </w:r>
    </w:p>
    <w:p w14:paraId="5B293F0D" w14:textId="064EEE00" w:rsidR="00DD5B4B" w:rsidRPr="00C67737" w:rsidRDefault="004E1CDC" w:rsidP="00D32638">
      <w:pPr>
        <w:numPr>
          <w:ilvl w:val="0"/>
          <w:numId w:val="6"/>
        </w:numPr>
        <w:spacing w:before="120" w:after="120"/>
        <w:ind w:left="648"/>
        <w:contextualSpacing/>
        <w:rPr>
          <w:rFonts w:cstheme="minorHAnsi"/>
          <w:color w:val="000000" w:themeColor="text1"/>
          <w:sz w:val="24"/>
          <w:szCs w:val="24"/>
        </w:rPr>
      </w:pPr>
      <w:r>
        <w:rPr>
          <w:color w:val="000000" w:themeColor="text1"/>
          <w:sz w:val="24"/>
        </w:rPr>
        <w:t>10</w:t>
      </w:r>
      <w:r w:rsidR="008641A6">
        <w:rPr>
          <w:color w:val="000000" w:themeColor="text1"/>
          <w:sz w:val="24"/>
        </w:rPr>
        <w:t> </w:t>
      </w:r>
      <w:r>
        <w:rPr>
          <w:color w:val="000000" w:themeColor="text1"/>
          <w:sz w:val="24"/>
        </w:rPr>
        <w:t>000 hectares d’aires terrestres protégées créées</w:t>
      </w:r>
      <w:r w:rsidR="006E54C7">
        <w:rPr>
          <w:color w:val="000000" w:themeColor="text1"/>
          <w:sz w:val="24"/>
        </w:rPr>
        <w:t> :</w:t>
      </w:r>
      <w:r>
        <w:rPr>
          <w:color w:val="000000" w:themeColor="text1"/>
          <w:sz w:val="24"/>
        </w:rPr>
        <w:t xml:space="preserve"> </w:t>
      </w:r>
      <w:r>
        <w:rPr>
          <w:b/>
          <w:color w:val="000000" w:themeColor="text1"/>
          <w:sz w:val="24"/>
        </w:rPr>
        <w:t>Cible</w:t>
      </w:r>
      <w:r w:rsidR="008641A6">
        <w:rPr>
          <w:b/>
          <w:color w:val="000000" w:themeColor="text1"/>
          <w:sz w:val="24"/>
        </w:rPr>
        <w:t> </w:t>
      </w:r>
      <w:r>
        <w:rPr>
          <w:b/>
          <w:color w:val="000000" w:themeColor="text1"/>
          <w:sz w:val="24"/>
        </w:rPr>
        <w:t>3</w:t>
      </w:r>
      <w:r>
        <w:rPr>
          <w:color w:val="000000" w:themeColor="text1"/>
          <w:sz w:val="24"/>
        </w:rPr>
        <w:t>.</w:t>
      </w:r>
    </w:p>
    <w:p w14:paraId="5864BEB2" w14:textId="1EEB68C0" w:rsidR="00DD5B4B" w:rsidRPr="00C67737" w:rsidRDefault="00DD5B4B" w:rsidP="00D32638">
      <w:pPr>
        <w:numPr>
          <w:ilvl w:val="0"/>
          <w:numId w:val="6"/>
        </w:numPr>
        <w:spacing w:before="120" w:after="120"/>
        <w:ind w:left="648"/>
        <w:contextualSpacing/>
        <w:rPr>
          <w:rFonts w:cstheme="minorHAnsi"/>
          <w:color w:val="000000" w:themeColor="text1"/>
          <w:sz w:val="24"/>
          <w:szCs w:val="24"/>
        </w:rPr>
      </w:pPr>
      <w:r>
        <w:rPr>
          <w:color w:val="000000" w:themeColor="text1"/>
          <w:sz w:val="24"/>
        </w:rPr>
        <w:t>36</w:t>
      </w:r>
      <w:r w:rsidR="008641A6">
        <w:rPr>
          <w:color w:val="000000" w:themeColor="text1"/>
          <w:sz w:val="24"/>
        </w:rPr>
        <w:t> 934 416 </w:t>
      </w:r>
      <w:r>
        <w:rPr>
          <w:color w:val="000000" w:themeColor="text1"/>
          <w:sz w:val="24"/>
        </w:rPr>
        <w:t>hectares d’aires protégées terrestres faisant l’objet d</w:t>
      </w:r>
      <w:r w:rsidR="008641A6">
        <w:rPr>
          <w:color w:val="000000" w:themeColor="text1"/>
          <w:sz w:val="24"/>
        </w:rPr>
        <w:t>’</w:t>
      </w:r>
      <w:r>
        <w:rPr>
          <w:color w:val="000000" w:themeColor="text1"/>
          <w:sz w:val="24"/>
        </w:rPr>
        <w:t>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8641A6">
        <w:rPr>
          <w:b/>
          <w:color w:val="000000" w:themeColor="text1"/>
          <w:sz w:val="24"/>
        </w:rPr>
        <w:t> </w:t>
      </w:r>
      <w:r>
        <w:rPr>
          <w:b/>
          <w:color w:val="000000" w:themeColor="text1"/>
          <w:sz w:val="24"/>
        </w:rPr>
        <w:t>3</w:t>
      </w:r>
      <w:r>
        <w:rPr>
          <w:color w:val="000000" w:themeColor="text1"/>
          <w:sz w:val="24"/>
        </w:rPr>
        <w:t>.</w:t>
      </w:r>
    </w:p>
    <w:p w14:paraId="2BF49EDD" w14:textId="4EAA3DDC" w:rsidR="00DD5B4B" w:rsidRPr="00C67737" w:rsidRDefault="009A1DDF" w:rsidP="00D32638">
      <w:pPr>
        <w:numPr>
          <w:ilvl w:val="0"/>
          <w:numId w:val="6"/>
        </w:numPr>
        <w:spacing w:before="120" w:after="120"/>
        <w:ind w:left="648"/>
        <w:contextualSpacing/>
        <w:rPr>
          <w:rFonts w:cstheme="minorHAnsi"/>
          <w:color w:val="000000" w:themeColor="text1"/>
          <w:sz w:val="24"/>
          <w:szCs w:val="24"/>
        </w:rPr>
      </w:pPr>
      <w:r>
        <w:rPr>
          <w:color w:val="000000" w:themeColor="text1"/>
          <w:sz w:val="24"/>
        </w:rPr>
        <w:t>102</w:t>
      </w:r>
      <w:r w:rsidR="008641A6">
        <w:rPr>
          <w:color w:val="000000" w:themeColor="text1"/>
          <w:sz w:val="24"/>
        </w:rPr>
        <w:t> 924 </w:t>
      </w:r>
      <w:r>
        <w:rPr>
          <w:color w:val="000000" w:themeColor="text1"/>
          <w:sz w:val="24"/>
        </w:rPr>
        <w:t>hectares de zones terrestres et d’écosystèmes faisant l’objet de mesures de remise en état</w:t>
      </w:r>
      <w:r w:rsidR="006E54C7">
        <w:rPr>
          <w:color w:val="000000" w:themeColor="text1"/>
          <w:sz w:val="24"/>
        </w:rPr>
        <w:t> :</w:t>
      </w:r>
      <w:r>
        <w:rPr>
          <w:color w:val="000000" w:themeColor="text1"/>
          <w:sz w:val="24"/>
        </w:rPr>
        <w:t xml:space="preserve"> </w:t>
      </w:r>
      <w:r>
        <w:rPr>
          <w:b/>
          <w:color w:val="000000" w:themeColor="text1"/>
          <w:sz w:val="24"/>
        </w:rPr>
        <w:t>Cible</w:t>
      </w:r>
      <w:r w:rsidR="008641A6">
        <w:rPr>
          <w:b/>
          <w:color w:val="000000" w:themeColor="text1"/>
          <w:sz w:val="24"/>
        </w:rPr>
        <w:t> </w:t>
      </w:r>
      <w:r>
        <w:rPr>
          <w:b/>
          <w:color w:val="000000" w:themeColor="text1"/>
          <w:sz w:val="24"/>
        </w:rPr>
        <w:t>2</w:t>
      </w:r>
      <w:r>
        <w:rPr>
          <w:color w:val="000000" w:themeColor="text1"/>
          <w:sz w:val="24"/>
        </w:rPr>
        <w:t xml:space="preserve">. </w:t>
      </w:r>
    </w:p>
    <w:p w14:paraId="627F42D9" w14:textId="3CA1E6DC" w:rsidR="00DD5B4B" w:rsidRPr="00C67737" w:rsidRDefault="00F16449" w:rsidP="00D32638">
      <w:pPr>
        <w:numPr>
          <w:ilvl w:val="0"/>
          <w:numId w:val="6"/>
        </w:numPr>
        <w:spacing w:before="120" w:after="120"/>
        <w:ind w:left="648"/>
        <w:contextualSpacing/>
        <w:rPr>
          <w:rFonts w:cstheme="minorHAnsi"/>
          <w:color w:val="000000" w:themeColor="text1"/>
          <w:sz w:val="24"/>
          <w:szCs w:val="24"/>
        </w:rPr>
      </w:pPr>
      <w:r>
        <w:rPr>
          <w:color w:val="000000" w:themeColor="text1"/>
          <w:sz w:val="24"/>
        </w:rPr>
        <w:t>8</w:t>
      </w:r>
      <w:r w:rsidR="008641A6">
        <w:rPr>
          <w:color w:val="000000" w:themeColor="text1"/>
          <w:sz w:val="24"/>
        </w:rPr>
        <w:t> 995 </w:t>
      </w:r>
      <w:r>
        <w:rPr>
          <w:color w:val="000000" w:themeColor="text1"/>
          <w:sz w:val="24"/>
        </w:rPr>
        <w:t xml:space="preserve">433 hectares de paysages faisant l’objet de pratiques améliorées </w:t>
      </w:r>
      <w:r w:rsidR="00254B37">
        <w:rPr>
          <w:color w:val="000000" w:themeColor="text1"/>
          <w:sz w:val="24"/>
        </w:rPr>
        <w:t>au profit de la biodiversité</w:t>
      </w:r>
      <w:r w:rsidR="006E54C7">
        <w:rPr>
          <w:color w:val="000000" w:themeColor="text1"/>
          <w:sz w:val="24"/>
        </w:rPr>
        <w:t> :</w:t>
      </w:r>
      <w:r>
        <w:rPr>
          <w:color w:val="000000" w:themeColor="text1"/>
          <w:sz w:val="24"/>
        </w:rPr>
        <w:t xml:space="preserve"> </w:t>
      </w:r>
      <w:r>
        <w:rPr>
          <w:b/>
          <w:bCs/>
          <w:color w:val="000000" w:themeColor="text1"/>
          <w:sz w:val="24"/>
        </w:rPr>
        <w:t>Cible</w:t>
      </w:r>
      <w:r w:rsidR="008641A6">
        <w:rPr>
          <w:b/>
          <w:bCs/>
          <w:color w:val="000000" w:themeColor="text1"/>
          <w:sz w:val="24"/>
        </w:rPr>
        <w:t> </w:t>
      </w:r>
      <w:r>
        <w:rPr>
          <w:b/>
          <w:bCs/>
          <w:color w:val="000000" w:themeColor="text1"/>
          <w:sz w:val="24"/>
        </w:rPr>
        <w:t>5, cible</w:t>
      </w:r>
      <w:r w:rsidR="008641A6">
        <w:rPr>
          <w:b/>
          <w:bCs/>
          <w:color w:val="000000" w:themeColor="text1"/>
          <w:sz w:val="24"/>
        </w:rPr>
        <w:t> </w:t>
      </w:r>
      <w:r>
        <w:rPr>
          <w:b/>
          <w:bCs/>
          <w:color w:val="000000" w:themeColor="text1"/>
          <w:sz w:val="24"/>
        </w:rPr>
        <w:t>9</w:t>
      </w:r>
      <w:r w:rsidRPr="0089364E">
        <w:rPr>
          <w:color w:val="000000" w:themeColor="text1"/>
          <w:sz w:val="24"/>
        </w:rPr>
        <w:t xml:space="preserve"> et</w:t>
      </w:r>
      <w:r>
        <w:rPr>
          <w:b/>
          <w:bCs/>
          <w:color w:val="000000" w:themeColor="text1"/>
          <w:sz w:val="24"/>
        </w:rPr>
        <w:t xml:space="preserve"> cible</w:t>
      </w:r>
      <w:r w:rsidR="008641A6">
        <w:rPr>
          <w:b/>
          <w:bCs/>
          <w:color w:val="000000" w:themeColor="text1"/>
          <w:sz w:val="24"/>
        </w:rPr>
        <w:t> </w:t>
      </w:r>
      <w:r>
        <w:rPr>
          <w:b/>
          <w:bCs/>
          <w:color w:val="000000" w:themeColor="text1"/>
          <w:sz w:val="24"/>
        </w:rPr>
        <w:t>10.</w:t>
      </w:r>
    </w:p>
    <w:p w14:paraId="4734725F" w14:textId="41679C13" w:rsidR="00DD5B4B" w:rsidRPr="00C67737" w:rsidRDefault="00AC4017" w:rsidP="00D32638">
      <w:pPr>
        <w:numPr>
          <w:ilvl w:val="0"/>
          <w:numId w:val="6"/>
        </w:numPr>
        <w:spacing w:before="120" w:after="120"/>
        <w:ind w:left="648"/>
        <w:contextualSpacing/>
        <w:rPr>
          <w:rFonts w:cstheme="minorHAnsi"/>
          <w:color w:val="000000" w:themeColor="text1"/>
          <w:sz w:val="24"/>
          <w:szCs w:val="24"/>
        </w:rPr>
      </w:pPr>
      <w:r>
        <w:rPr>
          <w:color w:val="000000" w:themeColor="text1"/>
          <w:sz w:val="24"/>
        </w:rPr>
        <w:t>97</w:t>
      </w:r>
      <w:r w:rsidR="008641A6">
        <w:rPr>
          <w:color w:val="000000" w:themeColor="text1"/>
          <w:sz w:val="24"/>
        </w:rPr>
        <w:t> 340 853 </w:t>
      </w:r>
      <w:r>
        <w:rPr>
          <w:color w:val="000000" w:themeColor="text1"/>
          <w:sz w:val="24"/>
        </w:rPr>
        <w:t>tonnes d</w:t>
      </w:r>
      <w:r w:rsidR="008641A6">
        <w:rPr>
          <w:color w:val="000000" w:themeColor="text1"/>
          <w:sz w:val="24"/>
        </w:rPr>
        <w:t>’</w:t>
      </w:r>
      <w:r>
        <w:rPr>
          <w:color w:val="000000" w:themeColor="text1"/>
          <w:sz w:val="24"/>
        </w:rPr>
        <w:t xml:space="preserve">émissions de gaz à effet de serre atténuées directement (t. </w:t>
      </w:r>
      <w:proofErr w:type="spellStart"/>
      <w:r>
        <w:rPr>
          <w:color w:val="000000" w:themeColor="text1"/>
          <w:sz w:val="24"/>
        </w:rPr>
        <w:t>éq</w:t>
      </w:r>
      <w:proofErr w:type="spellEnd"/>
      <w:r>
        <w:rPr>
          <w:color w:val="000000" w:themeColor="text1"/>
          <w:sz w:val="24"/>
        </w:rPr>
        <w:t xml:space="preserve">. </w:t>
      </w:r>
      <w:r w:rsidR="005C6F40">
        <w:rPr>
          <w:color w:val="000000" w:themeColor="text1"/>
          <w:sz w:val="24"/>
        </w:rPr>
        <w:t>CO₂</w:t>
      </w:r>
      <w:r>
        <w:rPr>
          <w:color w:val="000000" w:themeColor="text1"/>
          <w:sz w:val="24"/>
        </w:rPr>
        <w:t xml:space="preserve">) </w:t>
      </w:r>
      <w:r>
        <w:rPr>
          <w:b/>
          <w:color w:val="000000" w:themeColor="text1"/>
          <w:sz w:val="24"/>
        </w:rPr>
        <w:t>Cible</w:t>
      </w:r>
      <w:r w:rsidR="008641A6">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8641A6">
        <w:rPr>
          <w:b/>
          <w:color w:val="000000" w:themeColor="text1"/>
          <w:sz w:val="24"/>
        </w:rPr>
        <w:t> </w:t>
      </w:r>
      <w:r>
        <w:rPr>
          <w:b/>
          <w:color w:val="000000" w:themeColor="text1"/>
          <w:sz w:val="24"/>
        </w:rPr>
        <w:t>11</w:t>
      </w:r>
      <w:r>
        <w:rPr>
          <w:color w:val="000000" w:themeColor="text1"/>
          <w:sz w:val="24"/>
        </w:rPr>
        <w:t>.</w:t>
      </w:r>
    </w:p>
    <w:p w14:paraId="57AC52F0" w14:textId="015F28EF" w:rsidR="0078476B" w:rsidRPr="0089364E" w:rsidRDefault="008D4B1E" w:rsidP="00E86FC3">
      <w:pPr>
        <w:numPr>
          <w:ilvl w:val="0"/>
          <w:numId w:val="6"/>
        </w:numPr>
        <w:spacing w:before="120" w:after="120"/>
        <w:ind w:left="648"/>
        <w:contextualSpacing/>
        <w:rPr>
          <w:rFonts w:cstheme="minorHAnsi"/>
          <w:color w:val="000000" w:themeColor="text1"/>
          <w:sz w:val="24"/>
          <w:szCs w:val="24"/>
        </w:rPr>
      </w:pPr>
      <w:r>
        <w:rPr>
          <w:color w:val="000000" w:themeColor="text1"/>
          <w:sz w:val="24"/>
        </w:rPr>
        <w:t>221</w:t>
      </w:r>
      <w:r w:rsidR="008641A6">
        <w:rPr>
          <w:color w:val="000000" w:themeColor="text1"/>
          <w:sz w:val="24"/>
        </w:rPr>
        <w:t> </w:t>
      </w:r>
      <w:r>
        <w:rPr>
          <w:color w:val="000000" w:themeColor="text1"/>
          <w:sz w:val="24"/>
        </w:rPr>
        <w:t>085 personnes bénéficient d’investissements financés par le GEF (103</w:t>
      </w:r>
      <w:r w:rsidR="00BE0C55">
        <w:rPr>
          <w:color w:val="000000" w:themeColor="text1"/>
          <w:sz w:val="24"/>
        </w:rPr>
        <w:t> </w:t>
      </w:r>
      <w:r>
        <w:rPr>
          <w:color w:val="000000" w:themeColor="text1"/>
          <w:sz w:val="24"/>
        </w:rPr>
        <w:t>994 femmes et 117</w:t>
      </w:r>
      <w:r w:rsidR="00BE0C55">
        <w:rPr>
          <w:color w:val="000000" w:themeColor="text1"/>
          <w:sz w:val="24"/>
        </w:rPr>
        <w:t> </w:t>
      </w:r>
      <w:r>
        <w:rPr>
          <w:color w:val="000000" w:themeColor="text1"/>
          <w:sz w:val="24"/>
        </w:rPr>
        <w:t>091 hommes)</w:t>
      </w:r>
      <w:r w:rsidR="006E54C7">
        <w:rPr>
          <w:color w:val="000000" w:themeColor="text1"/>
          <w:sz w:val="24"/>
        </w:rPr>
        <w:t> :</w:t>
      </w:r>
      <w:r>
        <w:rPr>
          <w:color w:val="000000" w:themeColor="text1"/>
          <w:sz w:val="24"/>
        </w:rPr>
        <w:t xml:space="preserve"> </w:t>
      </w:r>
      <w:r>
        <w:rPr>
          <w:b/>
          <w:color w:val="000000" w:themeColor="text1"/>
          <w:sz w:val="24"/>
        </w:rPr>
        <w:t>Cible</w:t>
      </w:r>
      <w:r w:rsidR="00BE0C55">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BE0C55">
        <w:rPr>
          <w:b/>
          <w:color w:val="000000" w:themeColor="text1"/>
          <w:sz w:val="24"/>
        </w:rPr>
        <w:t> </w:t>
      </w:r>
      <w:r>
        <w:rPr>
          <w:b/>
          <w:color w:val="000000" w:themeColor="text1"/>
          <w:sz w:val="24"/>
        </w:rPr>
        <w:t>23</w:t>
      </w:r>
      <w:r>
        <w:rPr>
          <w:color w:val="000000" w:themeColor="text1"/>
          <w:sz w:val="24"/>
        </w:rPr>
        <w:t>.</w:t>
      </w:r>
    </w:p>
    <w:p w14:paraId="7A4BA327" w14:textId="44143494" w:rsidR="00DD5B4B" w:rsidRPr="00C67737" w:rsidRDefault="004E0E65" w:rsidP="000B33CF">
      <w:pPr>
        <w:pStyle w:val="ListParagraph"/>
      </w:pPr>
      <w:bookmarkStart w:id="55" w:name="_Toc136871759"/>
      <w:bookmarkStart w:id="56" w:name="_Toc171237800"/>
      <w:bookmarkStart w:id="57" w:name="_Hlk162354259"/>
      <w:r>
        <w:rPr>
          <w:b/>
          <w:i/>
          <w:iCs/>
        </w:rPr>
        <w:t>Programme intégré «</w:t>
      </w:r>
      <w:r w:rsidR="00A258AB">
        <w:rPr>
          <w:b/>
          <w:i/>
          <w:iCs/>
        </w:rPr>
        <w:t> </w:t>
      </w:r>
      <w:r w:rsidR="00E26AE2">
        <w:rPr>
          <w:b/>
          <w:i/>
          <w:iCs/>
        </w:rPr>
        <w:t>B</w:t>
      </w:r>
      <w:r>
        <w:rPr>
          <w:b/>
          <w:i/>
          <w:iCs/>
        </w:rPr>
        <w:t>iome</w:t>
      </w:r>
      <w:r w:rsidR="008870CF">
        <w:rPr>
          <w:b/>
          <w:i/>
          <w:iCs/>
        </w:rPr>
        <w:t xml:space="preserve"> forestier critique du </w:t>
      </w:r>
      <w:r>
        <w:rPr>
          <w:b/>
          <w:i/>
          <w:iCs/>
        </w:rPr>
        <w:t>bassin du Congo</w:t>
      </w:r>
      <w:r w:rsidR="00BE0C55">
        <w:rPr>
          <w:b/>
          <w:i/>
          <w:iCs/>
        </w:rPr>
        <w:t> </w:t>
      </w:r>
      <w:r>
        <w:rPr>
          <w:b/>
          <w:i/>
          <w:iCs/>
        </w:rPr>
        <w:t>»</w:t>
      </w:r>
      <w:r w:rsidR="00110191">
        <w:rPr>
          <w:b/>
          <w:i/>
          <w:iCs/>
        </w:rPr>
        <w:t>.</w:t>
      </w:r>
      <w:r>
        <w:rPr>
          <w:b/>
        </w:rPr>
        <w:t xml:space="preserve"> </w:t>
      </w:r>
      <w:r>
        <w:t>Pays participants</w:t>
      </w:r>
      <w:r w:rsidR="006E54C7">
        <w:t> :</w:t>
      </w:r>
      <w:r>
        <w:t xml:space="preserve"> Angola, Cameroun, Guinée équatoriale, République centrafricaine, République démocratique du Congo et Sao Tomé-et-Principe.</w:t>
      </w:r>
      <w:r>
        <w:rPr>
          <w:b/>
        </w:rPr>
        <w:t xml:space="preserve"> </w:t>
      </w:r>
      <w:bookmarkEnd w:id="55"/>
      <w:bookmarkEnd w:id="56"/>
      <w:bookmarkEnd w:id="57"/>
      <w:r>
        <w:t xml:space="preserve">L’objectif est d’améliorer la conservation et la gouvernance effective de paysages d’importance cruciale situés dans le biome forestier du bassin du Congo. </w:t>
      </w:r>
      <w:bookmarkStart w:id="58" w:name="_Hlk135394983"/>
      <w:r>
        <w:t>Le programme intégré vise à obtenir les résultats ci-après, qui contribuent à la mise en œuvre du KMGBF</w:t>
      </w:r>
      <w:r w:rsidR="006E54C7">
        <w:t> :</w:t>
      </w:r>
      <w:r>
        <w:t xml:space="preserve"> </w:t>
      </w:r>
      <w:bookmarkEnd w:id="58"/>
    </w:p>
    <w:p w14:paraId="42BF08B4" w14:textId="5672D099" w:rsidR="00DD5B4B" w:rsidRPr="00C67737" w:rsidRDefault="00084DDC" w:rsidP="00D32638">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t>1</w:t>
      </w:r>
      <w:r w:rsidR="00BE0C55">
        <w:rPr>
          <w:color w:val="000000" w:themeColor="text1"/>
          <w:sz w:val="24"/>
        </w:rPr>
        <w:t> 160 999 </w:t>
      </w:r>
      <w:r>
        <w:rPr>
          <w:color w:val="000000" w:themeColor="text1"/>
          <w:sz w:val="24"/>
        </w:rPr>
        <w:t>hectares d’aires protégées terrestres faisant l’objet d’une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BE0C55">
        <w:rPr>
          <w:b/>
          <w:color w:val="000000" w:themeColor="text1"/>
          <w:sz w:val="24"/>
        </w:rPr>
        <w:t> </w:t>
      </w:r>
      <w:r>
        <w:rPr>
          <w:b/>
          <w:color w:val="000000" w:themeColor="text1"/>
          <w:sz w:val="24"/>
        </w:rPr>
        <w:t>3</w:t>
      </w:r>
      <w:r>
        <w:rPr>
          <w:color w:val="000000" w:themeColor="text1"/>
          <w:sz w:val="24"/>
        </w:rPr>
        <w:t>.</w:t>
      </w:r>
    </w:p>
    <w:p w14:paraId="52DDA1F8" w14:textId="1AC8D6FF" w:rsidR="00E42F43" w:rsidRPr="00C67737" w:rsidRDefault="00E42F43" w:rsidP="00D32638">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t xml:space="preserve">Un </w:t>
      </w:r>
      <w:r w:rsidR="00683BDA">
        <w:rPr>
          <w:color w:val="000000" w:themeColor="text1"/>
          <w:sz w:val="24"/>
        </w:rPr>
        <w:t>éco</w:t>
      </w:r>
      <w:r>
        <w:rPr>
          <w:color w:val="000000" w:themeColor="text1"/>
          <w:sz w:val="24"/>
        </w:rPr>
        <w:t>système aquatique partagé faisant l’objet d’une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BE0C55">
        <w:rPr>
          <w:b/>
          <w:color w:val="000000" w:themeColor="text1"/>
          <w:sz w:val="24"/>
        </w:rPr>
        <w:t> </w:t>
      </w:r>
      <w:r>
        <w:rPr>
          <w:b/>
          <w:color w:val="000000" w:themeColor="text1"/>
          <w:sz w:val="24"/>
        </w:rPr>
        <w:t>10</w:t>
      </w:r>
      <w:r>
        <w:rPr>
          <w:color w:val="000000" w:themeColor="text1"/>
          <w:sz w:val="24"/>
        </w:rPr>
        <w:t>.</w:t>
      </w:r>
    </w:p>
    <w:p w14:paraId="489CB0F0" w14:textId="0270386B" w:rsidR="00DD5B4B" w:rsidRPr="00C67737" w:rsidRDefault="00350828" w:rsidP="00D32638">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t>50</w:t>
      </w:r>
      <w:r w:rsidR="00BE0C55">
        <w:rPr>
          <w:color w:val="000000" w:themeColor="text1"/>
          <w:sz w:val="24"/>
        </w:rPr>
        <w:t> 040 </w:t>
      </w:r>
      <w:r>
        <w:rPr>
          <w:color w:val="000000" w:themeColor="text1"/>
          <w:sz w:val="24"/>
        </w:rPr>
        <w:t>hectares de zones terrestres et d’écosystèmes faisant l’objet de mesures de remise en état</w:t>
      </w:r>
      <w:r w:rsidR="006E54C7">
        <w:rPr>
          <w:color w:val="000000" w:themeColor="text1"/>
          <w:sz w:val="24"/>
        </w:rPr>
        <w:t> :</w:t>
      </w:r>
      <w:r>
        <w:rPr>
          <w:color w:val="000000" w:themeColor="text1"/>
          <w:sz w:val="24"/>
        </w:rPr>
        <w:t xml:space="preserve"> </w:t>
      </w:r>
      <w:r>
        <w:rPr>
          <w:b/>
          <w:color w:val="000000" w:themeColor="text1"/>
          <w:sz w:val="24"/>
        </w:rPr>
        <w:t>Cible</w:t>
      </w:r>
      <w:r w:rsidR="00BE0C55">
        <w:rPr>
          <w:b/>
          <w:color w:val="000000" w:themeColor="text1"/>
          <w:sz w:val="24"/>
        </w:rPr>
        <w:t> </w:t>
      </w:r>
      <w:r>
        <w:rPr>
          <w:b/>
          <w:color w:val="000000" w:themeColor="text1"/>
          <w:sz w:val="24"/>
        </w:rPr>
        <w:t>2</w:t>
      </w:r>
      <w:r>
        <w:rPr>
          <w:color w:val="000000" w:themeColor="text1"/>
          <w:sz w:val="24"/>
        </w:rPr>
        <w:t xml:space="preserve">. </w:t>
      </w:r>
    </w:p>
    <w:p w14:paraId="3E3CB231" w14:textId="44BB2270" w:rsidR="00DD5B4B" w:rsidRPr="00C67737" w:rsidRDefault="00181C41" w:rsidP="00D32638">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lastRenderedPageBreak/>
        <w:t>1</w:t>
      </w:r>
      <w:r w:rsidR="00BE0C55">
        <w:rPr>
          <w:color w:val="000000" w:themeColor="text1"/>
          <w:sz w:val="24"/>
        </w:rPr>
        <w:t> 619 </w:t>
      </w:r>
      <w:r>
        <w:rPr>
          <w:color w:val="000000" w:themeColor="text1"/>
          <w:sz w:val="24"/>
        </w:rPr>
        <w:t xml:space="preserve">183 hectares de paysages faisant l’objet de pratiques améliorées </w:t>
      </w:r>
      <w:r w:rsidR="00254B37">
        <w:rPr>
          <w:color w:val="000000" w:themeColor="text1"/>
          <w:sz w:val="24"/>
        </w:rPr>
        <w:t>au profit de la biodiversité</w:t>
      </w:r>
      <w:r w:rsidR="006E54C7">
        <w:rPr>
          <w:color w:val="000000" w:themeColor="text1"/>
          <w:sz w:val="24"/>
        </w:rPr>
        <w:t> :</w:t>
      </w:r>
      <w:r>
        <w:rPr>
          <w:color w:val="000000" w:themeColor="text1"/>
          <w:sz w:val="24"/>
        </w:rPr>
        <w:t xml:space="preserve"> </w:t>
      </w:r>
      <w:r>
        <w:rPr>
          <w:b/>
          <w:bCs/>
          <w:color w:val="000000" w:themeColor="text1"/>
          <w:sz w:val="24"/>
        </w:rPr>
        <w:t>Cible</w:t>
      </w:r>
      <w:r w:rsidR="00BE0C55">
        <w:rPr>
          <w:b/>
          <w:bCs/>
          <w:color w:val="000000" w:themeColor="text1"/>
          <w:sz w:val="24"/>
        </w:rPr>
        <w:t> </w:t>
      </w:r>
      <w:r>
        <w:rPr>
          <w:b/>
          <w:bCs/>
          <w:color w:val="000000" w:themeColor="text1"/>
          <w:sz w:val="24"/>
        </w:rPr>
        <w:t>5, cible</w:t>
      </w:r>
      <w:r w:rsidR="00BE0C55">
        <w:rPr>
          <w:b/>
          <w:bCs/>
          <w:color w:val="000000" w:themeColor="text1"/>
          <w:sz w:val="24"/>
        </w:rPr>
        <w:t> </w:t>
      </w:r>
      <w:r>
        <w:rPr>
          <w:b/>
          <w:bCs/>
          <w:color w:val="000000" w:themeColor="text1"/>
          <w:sz w:val="24"/>
        </w:rPr>
        <w:t xml:space="preserve">9 </w:t>
      </w:r>
      <w:r>
        <w:rPr>
          <w:color w:val="000000" w:themeColor="text1"/>
          <w:sz w:val="24"/>
        </w:rPr>
        <w:t xml:space="preserve">et </w:t>
      </w:r>
      <w:r>
        <w:rPr>
          <w:b/>
          <w:bCs/>
          <w:color w:val="000000" w:themeColor="text1"/>
          <w:sz w:val="24"/>
        </w:rPr>
        <w:t>cible</w:t>
      </w:r>
      <w:r w:rsidR="00BE0C55">
        <w:rPr>
          <w:b/>
          <w:bCs/>
          <w:color w:val="000000" w:themeColor="text1"/>
          <w:sz w:val="24"/>
        </w:rPr>
        <w:t> </w:t>
      </w:r>
      <w:r>
        <w:rPr>
          <w:b/>
          <w:bCs/>
          <w:color w:val="000000" w:themeColor="text1"/>
          <w:sz w:val="24"/>
        </w:rPr>
        <w:t>10.</w:t>
      </w:r>
    </w:p>
    <w:p w14:paraId="6ACD6004" w14:textId="787AA6B2" w:rsidR="00DD5B4B" w:rsidRPr="00C67737" w:rsidRDefault="000A66B1" w:rsidP="00D32638">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t>135</w:t>
      </w:r>
      <w:r w:rsidR="00BE0C55">
        <w:rPr>
          <w:color w:val="000000" w:themeColor="text1"/>
          <w:sz w:val="24"/>
        </w:rPr>
        <w:t> 970 067 </w:t>
      </w:r>
      <w:r>
        <w:rPr>
          <w:color w:val="000000" w:themeColor="text1"/>
          <w:sz w:val="24"/>
        </w:rPr>
        <w:t>tonnes d</w:t>
      </w:r>
      <w:r w:rsidR="00BE0C55">
        <w:rPr>
          <w:color w:val="000000" w:themeColor="text1"/>
          <w:sz w:val="24"/>
        </w:rPr>
        <w:t>’</w:t>
      </w:r>
      <w:r>
        <w:rPr>
          <w:color w:val="000000" w:themeColor="text1"/>
          <w:sz w:val="24"/>
        </w:rPr>
        <w:t>émissions de gaz à effet de serre atténuées directement (</w:t>
      </w:r>
      <w:r w:rsidR="000C0CF1">
        <w:rPr>
          <w:color w:val="000000" w:themeColor="text1"/>
          <w:sz w:val="24"/>
        </w:rPr>
        <w:t xml:space="preserve">t. </w:t>
      </w:r>
      <w:proofErr w:type="spellStart"/>
      <w:r w:rsidR="000C0CF1">
        <w:rPr>
          <w:color w:val="000000" w:themeColor="text1"/>
          <w:sz w:val="24"/>
        </w:rPr>
        <w:t>éq</w:t>
      </w:r>
      <w:proofErr w:type="spellEnd"/>
      <w:r w:rsidR="000C0CF1">
        <w:rPr>
          <w:color w:val="000000" w:themeColor="text1"/>
          <w:sz w:val="24"/>
        </w:rPr>
        <w:t>. CO₂</w:t>
      </w:r>
      <w:r>
        <w:rPr>
          <w:color w:val="000000" w:themeColor="text1"/>
          <w:sz w:val="24"/>
        </w:rPr>
        <w:t xml:space="preserve">) </w:t>
      </w:r>
      <w:r>
        <w:rPr>
          <w:b/>
          <w:color w:val="000000" w:themeColor="text1"/>
          <w:sz w:val="24"/>
        </w:rPr>
        <w:t>Cible</w:t>
      </w:r>
      <w:r w:rsidR="00BE0C55">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BE0C55">
        <w:rPr>
          <w:b/>
          <w:color w:val="000000" w:themeColor="text1"/>
          <w:sz w:val="24"/>
        </w:rPr>
        <w:t> </w:t>
      </w:r>
      <w:r>
        <w:rPr>
          <w:b/>
          <w:color w:val="000000" w:themeColor="text1"/>
          <w:sz w:val="24"/>
        </w:rPr>
        <w:t>11</w:t>
      </w:r>
      <w:r>
        <w:rPr>
          <w:color w:val="000000" w:themeColor="text1"/>
          <w:sz w:val="24"/>
        </w:rPr>
        <w:t>.</w:t>
      </w:r>
    </w:p>
    <w:p w14:paraId="63E97096" w14:textId="55E4D0A4" w:rsidR="00DD5B4B" w:rsidRPr="00C67737" w:rsidRDefault="00217F6A" w:rsidP="00D32638">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t>239</w:t>
      </w:r>
      <w:r w:rsidR="00BE0C55">
        <w:rPr>
          <w:color w:val="000000" w:themeColor="text1"/>
          <w:sz w:val="24"/>
        </w:rPr>
        <w:t> </w:t>
      </w:r>
      <w:r>
        <w:rPr>
          <w:color w:val="000000" w:themeColor="text1"/>
          <w:sz w:val="24"/>
        </w:rPr>
        <w:t>281 personnes bénéficient d’investissements financés par le GEF (122</w:t>
      </w:r>
      <w:r w:rsidR="00BE0C55">
        <w:rPr>
          <w:color w:val="000000" w:themeColor="text1"/>
          <w:sz w:val="24"/>
        </w:rPr>
        <w:t> </w:t>
      </w:r>
      <w:r>
        <w:rPr>
          <w:color w:val="000000" w:themeColor="text1"/>
          <w:sz w:val="24"/>
        </w:rPr>
        <w:t>593 femmes et 116</w:t>
      </w:r>
      <w:r w:rsidR="00BE0C55">
        <w:rPr>
          <w:color w:val="000000" w:themeColor="text1"/>
          <w:sz w:val="24"/>
        </w:rPr>
        <w:t> </w:t>
      </w:r>
      <w:r>
        <w:rPr>
          <w:color w:val="000000" w:themeColor="text1"/>
          <w:sz w:val="24"/>
        </w:rPr>
        <w:t>688 hommes)</w:t>
      </w:r>
      <w:r w:rsidR="006E54C7">
        <w:rPr>
          <w:color w:val="000000" w:themeColor="text1"/>
          <w:sz w:val="24"/>
        </w:rPr>
        <w:t> :</w:t>
      </w:r>
      <w:r>
        <w:rPr>
          <w:color w:val="000000" w:themeColor="text1"/>
          <w:sz w:val="24"/>
        </w:rPr>
        <w:t xml:space="preserve"> </w:t>
      </w:r>
      <w:r>
        <w:rPr>
          <w:b/>
          <w:color w:val="000000" w:themeColor="text1"/>
          <w:sz w:val="24"/>
        </w:rPr>
        <w:t>Cible</w:t>
      </w:r>
      <w:r w:rsidR="00BE0C55">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BE0C55">
        <w:rPr>
          <w:b/>
          <w:color w:val="000000" w:themeColor="text1"/>
          <w:sz w:val="24"/>
        </w:rPr>
        <w:t> </w:t>
      </w:r>
      <w:r>
        <w:rPr>
          <w:b/>
          <w:color w:val="000000" w:themeColor="text1"/>
          <w:sz w:val="24"/>
        </w:rPr>
        <w:t>23</w:t>
      </w:r>
      <w:r>
        <w:rPr>
          <w:color w:val="000000" w:themeColor="text1"/>
          <w:sz w:val="24"/>
        </w:rPr>
        <w:t>.</w:t>
      </w:r>
    </w:p>
    <w:p w14:paraId="68E92AEC" w14:textId="0D247140" w:rsidR="00DD5B4B" w:rsidRPr="00C67737" w:rsidRDefault="09143092" w:rsidP="000B33CF">
      <w:pPr>
        <w:pStyle w:val="ListParagraph"/>
      </w:pPr>
      <w:r>
        <w:t>Le programme intégré du bassin du Congo renforcera également les politiques et les cadres réglementaires favorisant la conservation, la séquestration du carbone forestier et une gouvernance effective des forêts dans les paysages prioritaires. Il s’emploiera notamment à traiter la question des subventions préjudiciables à la diversité biologique accordées aux secteurs ayant une incidence sur les forêts (</w:t>
      </w:r>
      <w:r>
        <w:rPr>
          <w:b/>
          <w:bCs/>
        </w:rPr>
        <w:t>cibles</w:t>
      </w:r>
      <w:r w:rsidR="00BE0C55">
        <w:rPr>
          <w:b/>
          <w:bCs/>
        </w:rPr>
        <w:t> </w:t>
      </w:r>
      <w:r>
        <w:rPr>
          <w:b/>
          <w:bCs/>
        </w:rPr>
        <w:t>14</w:t>
      </w:r>
      <w:r>
        <w:t xml:space="preserve"> et </w:t>
      </w:r>
      <w:r>
        <w:rPr>
          <w:b/>
          <w:bCs/>
        </w:rPr>
        <w:t>18</w:t>
      </w:r>
      <w:r>
        <w:t>). Enfin, le programme intégré mobilisera des ressources supplémentaires afin de pérenniser les efforts de conservation et de séquestration du carbone forestier dans le bassin du Congo, notamment grâce à des partenariats avec le secteur privé (</w:t>
      </w:r>
      <w:r>
        <w:rPr>
          <w:b/>
          <w:bCs/>
        </w:rPr>
        <w:t>cible</w:t>
      </w:r>
      <w:r w:rsidR="0073607A">
        <w:rPr>
          <w:b/>
          <w:bCs/>
        </w:rPr>
        <w:t> </w:t>
      </w:r>
      <w:r>
        <w:rPr>
          <w:b/>
          <w:bCs/>
        </w:rPr>
        <w:t>19</w:t>
      </w:r>
      <w:r>
        <w:t>).</w:t>
      </w:r>
    </w:p>
    <w:p w14:paraId="10C1C776" w14:textId="13E8884C" w:rsidR="00C91105" w:rsidRPr="00C67737" w:rsidRDefault="5EBCA71A" w:rsidP="000B33CF">
      <w:pPr>
        <w:pStyle w:val="ListParagraph"/>
      </w:pPr>
      <w:bookmarkStart w:id="59" w:name="_Hlk162354183"/>
      <w:bookmarkStart w:id="60" w:name="_Toc171237801"/>
      <w:r>
        <w:rPr>
          <w:b/>
        </w:rPr>
        <w:t>Programme intégré</w:t>
      </w:r>
      <w:r>
        <w:rPr>
          <w:b/>
          <w:i/>
          <w:iCs/>
        </w:rPr>
        <w:t xml:space="preserve"> «</w:t>
      </w:r>
      <w:r w:rsidR="0073607A">
        <w:rPr>
          <w:b/>
          <w:i/>
          <w:iCs/>
        </w:rPr>
        <w:t> </w:t>
      </w:r>
      <w:r w:rsidR="008C255A">
        <w:rPr>
          <w:b/>
          <w:i/>
          <w:iCs/>
        </w:rPr>
        <w:t>B</w:t>
      </w:r>
      <w:r>
        <w:rPr>
          <w:b/>
          <w:i/>
          <w:iCs/>
        </w:rPr>
        <w:t>iome</w:t>
      </w:r>
      <w:r w:rsidR="00652541">
        <w:rPr>
          <w:b/>
          <w:i/>
          <w:iCs/>
        </w:rPr>
        <w:t xml:space="preserve"> forestier critique </w:t>
      </w:r>
      <w:r>
        <w:rPr>
          <w:b/>
          <w:i/>
          <w:iCs/>
        </w:rPr>
        <w:t>des forêts guinéennes</w:t>
      </w:r>
      <w:r w:rsidR="0073607A">
        <w:rPr>
          <w:b/>
          <w:i/>
          <w:iCs/>
        </w:rPr>
        <w:t> </w:t>
      </w:r>
      <w:r>
        <w:rPr>
          <w:b/>
          <w:i/>
          <w:iCs/>
        </w:rPr>
        <w:t>»</w:t>
      </w:r>
      <w:r w:rsidR="00110191">
        <w:rPr>
          <w:b/>
          <w:i/>
          <w:iCs/>
        </w:rPr>
        <w:t>.</w:t>
      </w:r>
      <w:r>
        <w:rPr>
          <w:b/>
        </w:rPr>
        <w:t xml:space="preserve"> </w:t>
      </w:r>
      <w:r>
        <w:t>Pays participants</w:t>
      </w:r>
      <w:r w:rsidR="006E54C7">
        <w:t> :</w:t>
      </w:r>
      <w:r>
        <w:t xml:space="preserve"> Guinée, Guinée-Bissau, Libéria et Sierra Leone</w:t>
      </w:r>
      <w:r w:rsidR="00A83F5B">
        <w:t>.</w:t>
      </w:r>
      <w:r>
        <w:rPr>
          <w:b/>
        </w:rPr>
        <w:t xml:space="preserve"> </w:t>
      </w:r>
      <w:bookmarkEnd w:id="54"/>
      <w:bookmarkEnd w:id="59"/>
      <w:bookmarkEnd w:id="60"/>
      <w:r>
        <w:t>L’objectif est de protéger les forêts guinéennes et d’en renforcer la gouvernance effective afin d’optimiser les retombées environnementales mondiales, de contribuer à la santé de la planète et de préserver le flux de services écosystémiques essentiels au bien-être humain. Le programme intégré vise à obtenir les résultats ci-après, qui contribuent à la mise en œuvre du KMGBF</w:t>
      </w:r>
      <w:r w:rsidR="006E54C7">
        <w:t> :</w:t>
      </w:r>
      <w:r>
        <w:t xml:space="preserve"> </w:t>
      </w:r>
    </w:p>
    <w:p w14:paraId="750DB8E1" w14:textId="4D1296B5" w:rsidR="00C91105" w:rsidRPr="00C67737" w:rsidRDefault="00074190" w:rsidP="00D32638">
      <w:pPr>
        <w:numPr>
          <w:ilvl w:val="0"/>
          <w:numId w:val="6"/>
        </w:numPr>
        <w:spacing w:before="120" w:after="120"/>
        <w:ind w:left="648"/>
        <w:contextualSpacing/>
        <w:rPr>
          <w:rFonts w:cstheme="minorHAnsi"/>
          <w:color w:val="000000" w:themeColor="text1"/>
          <w:sz w:val="24"/>
          <w:szCs w:val="24"/>
        </w:rPr>
      </w:pPr>
      <w:r>
        <w:rPr>
          <w:color w:val="000000" w:themeColor="text1"/>
          <w:sz w:val="24"/>
        </w:rPr>
        <w:t>275</w:t>
      </w:r>
      <w:r w:rsidR="0073607A">
        <w:rPr>
          <w:color w:val="000000" w:themeColor="text1"/>
          <w:sz w:val="24"/>
        </w:rPr>
        <w:t> 937 </w:t>
      </w:r>
      <w:r>
        <w:rPr>
          <w:color w:val="000000" w:themeColor="text1"/>
          <w:sz w:val="24"/>
        </w:rPr>
        <w:t>hectares de nouvelles aires terrestres protégées créées</w:t>
      </w:r>
      <w:r w:rsidR="006E54C7">
        <w:rPr>
          <w:color w:val="000000" w:themeColor="text1"/>
          <w:sz w:val="24"/>
        </w:rPr>
        <w:t> :</w:t>
      </w:r>
      <w:r>
        <w:rPr>
          <w:color w:val="000000" w:themeColor="text1"/>
          <w:sz w:val="24"/>
        </w:rPr>
        <w:t xml:space="preserve"> </w:t>
      </w:r>
      <w:r>
        <w:rPr>
          <w:b/>
          <w:color w:val="000000" w:themeColor="text1"/>
          <w:sz w:val="24"/>
        </w:rPr>
        <w:t>Cible</w:t>
      </w:r>
      <w:r w:rsidR="0073607A">
        <w:rPr>
          <w:b/>
          <w:color w:val="000000" w:themeColor="text1"/>
          <w:sz w:val="24"/>
        </w:rPr>
        <w:t> </w:t>
      </w:r>
      <w:r>
        <w:rPr>
          <w:b/>
          <w:color w:val="000000" w:themeColor="text1"/>
          <w:sz w:val="24"/>
        </w:rPr>
        <w:t>3</w:t>
      </w:r>
      <w:r>
        <w:rPr>
          <w:color w:val="000000" w:themeColor="text1"/>
          <w:sz w:val="24"/>
        </w:rPr>
        <w:t>.</w:t>
      </w:r>
    </w:p>
    <w:p w14:paraId="2A7A86BA" w14:textId="0C5406A5" w:rsidR="00C91105" w:rsidRPr="00C67737" w:rsidRDefault="00E95209" w:rsidP="00D32638">
      <w:pPr>
        <w:numPr>
          <w:ilvl w:val="0"/>
          <w:numId w:val="6"/>
        </w:numPr>
        <w:spacing w:before="120" w:after="120"/>
        <w:ind w:left="648"/>
        <w:contextualSpacing/>
        <w:rPr>
          <w:rFonts w:cstheme="minorHAnsi"/>
          <w:color w:val="000000" w:themeColor="text1"/>
          <w:sz w:val="24"/>
          <w:szCs w:val="24"/>
        </w:rPr>
      </w:pPr>
      <w:r>
        <w:rPr>
          <w:color w:val="000000" w:themeColor="text1"/>
          <w:sz w:val="24"/>
        </w:rPr>
        <w:t>626</w:t>
      </w:r>
      <w:r w:rsidR="0073607A">
        <w:rPr>
          <w:color w:val="000000" w:themeColor="text1"/>
          <w:sz w:val="24"/>
        </w:rPr>
        <w:t> 887 </w:t>
      </w:r>
      <w:r>
        <w:rPr>
          <w:color w:val="000000" w:themeColor="text1"/>
          <w:sz w:val="24"/>
        </w:rPr>
        <w:t>hectares d’aires protégées terrestres faisant l’objet d’une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73607A">
        <w:rPr>
          <w:b/>
          <w:color w:val="000000" w:themeColor="text1"/>
          <w:sz w:val="24"/>
        </w:rPr>
        <w:t> </w:t>
      </w:r>
      <w:r>
        <w:rPr>
          <w:b/>
          <w:color w:val="000000" w:themeColor="text1"/>
          <w:sz w:val="24"/>
        </w:rPr>
        <w:t>3</w:t>
      </w:r>
      <w:r>
        <w:rPr>
          <w:color w:val="000000" w:themeColor="text1"/>
          <w:sz w:val="24"/>
        </w:rPr>
        <w:t>.</w:t>
      </w:r>
    </w:p>
    <w:p w14:paraId="5AF2CB91" w14:textId="3988E42B" w:rsidR="00E42F43" w:rsidRPr="00C67737" w:rsidRDefault="00E42F43" w:rsidP="00D32638">
      <w:pPr>
        <w:numPr>
          <w:ilvl w:val="0"/>
          <w:numId w:val="6"/>
        </w:numPr>
        <w:spacing w:before="120" w:after="120"/>
        <w:ind w:left="648"/>
        <w:contextualSpacing/>
        <w:rPr>
          <w:rFonts w:cstheme="minorHAnsi"/>
          <w:color w:val="000000" w:themeColor="text1"/>
          <w:sz w:val="24"/>
          <w:szCs w:val="24"/>
        </w:rPr>
      </w:pPr>
      <w:r>
        <w:rPr>
          <w:color w:val="000000" w:themeColor="text1"/>
          <w:sz w:val="24"/>
        </w:rPr>
        <w:t xml:space="preserve">Un </w:t>
      </w:r>
      <w:r w:rsidR="006F5B83">
        <w:rPr>
          <w:color w:val="000000" w:themeColor="text1"/>
          <w:sz w:val="24"/>
        </w:rPr>
        <w:t>éco</w:t>
      </w:r>
      <w:r>
        <w:rPr>
          <w:color w:val="000000" w:themeColor="text1"/>
          <w:sz w:val="24"/>
        </w:rPr>
        <w:t>système aquatique partagé faisant l’objet d’une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73607A">
        <w:rPr>
          <w:b/>
          <w:color w:val="000000" w:themeColor="text1"/>
          <w:sz w:val="24"/>
        </w:rPr>
        <w:t> </w:t>
      </w:r>
      <w:r>
        <w:rPr>
          <w:b/>
          <w:color w:val="000000" w:themeColor="text1"/>
          <w:sz w:val="24"/>
        </w:rPr>
        <w:t>10</w:t>
      </w:r>
      <w:r>
        <w:rPr>
          <w:color w:val="000000" w:themeColor="text1"/>
          <w:sz w:val="24"/>
        </w:rPr>
        <w:t>.</w:t>
      </w:r>
    </w:p>
    <w:p w14:paraId="398F5221" w14:textId="26BE674B" w:rsidR="00C91105" w:rsidRPr="00C67737" w:rsidRDefault="003C4D46" w:rsidP="00D32638">
      <w:pPr>
        <w:numPr>
          <w:ilvl w:val="0"/>
          <w:numId w:val="6"/>
        </w:numPr>
        <w:spacing w:before="120" w:after="120"/>
        <w:ind w:left="648"/>
        <w:contextualSpacing/>
        <w:rPr>
          <w:rFonts w:cstheme="minorHAnsi"/>
          <w:color w:val="000000" w:themeColor="text1"/>
          <w:sz w:val="24"/>
          <w:szCs w:val="24"/>
        </w:rPr>
      </w:pPr>
      <w:r>
        <w:rPr>
          <w:color w:val="000000" w:themeColor="text1"/>
          <w:sz w:val="24"/>
        </w:rPr>
        <w:t>35</w:t>
      </w:r>
      <w:r w:rsidR="0073607A">
        <w:rPr>
          <w:color w:val="000000" w:themeColor="text1"/>
          <w:sz w:val="24"/>
        </w:rPr>
        <w:t> 400 </w:t>
      </w:r>
      <w:r>
        <w:rPr>
          <w:color w:val="000000" w:themeColor="text1"/>
          <w:sz w:val="24"/>
        </w:rPr>
        <w:t>hectares de zones terrestres et d’écosystèmes faisant l’objet de mesures de remise en état</w:t>
      </w:r>
      <w:r w:rsidR="006E54C7">
        <w:rPr>
          <w:color w:val="000000" w:themeColor="text1"/>
          <w:sz w:val="24"/>
        </w:rPr>
        <w:t> :</w:t>
      </w:r>
      <w:r>
        <w:rPr>
          <w:color w:val="000000" w:themeColor="text1"/>
          <w:sz w:val="24"/>
        </w:rPr>
        <w:t xml:space="preserve"> </w:t>
      </w:r>
      <w:r>
        <w:rPr>
          <w:b/>
          <w:color w:val="000000" w:themeColor="text1"/>
          <w:sz w:val="24"/>
        </w:rPr>
        <w:t>Cible</w:t>
      </w:r>
      <w:r w:rsidR="0073607A">
        <w:rPr>
          <w:b/>
          <w:color w:val="000000" w:themeColor="text1"/>
          <w:sz w:val="24"/>
        </w:rPr>
        <w:t> </w:t>
      </w:r>
      <w:r>
        <w:rPr>
          <w:b/>
          <w:color w:val="000000" w:themeColor="text1"/>
          <w:sz w:val="24"/>
        </w:rPr>
        <w:t>2</w:t>
      </w:r>
      <w:r>
        <w:rPr>
          <w:color w:val="000000" w:themeColor="text1"/>
          <w:sz w:val="24"/>
        </w:rPr>
        <w:t>.</w:t>
      </w:r>
    </w:p>
    <w:p w14:paraId="4A4E9D8B" w14:textId="579CF306" w:rsidR="00C91105" w:rsidRPr="00C67737" w:rsidRDefault="00936DD2" w:rsidP="00D32638">
      <w:pPr>
        <w:numPr>
          <w:ilvl w:val="0"/>
          <w:numId w:val="6"/>
        </w:numPr>
        <w:spacing w:before="120" w:after="120"/>
        <w:ind w:left="648"/>
        <w:contextualSpacing/>
        <w:rPr>
          <w:rFonts w:cstheme="minorHAnsi"/>
          <w:color w:val="000000" w:themeColor="text1"/>
          <w:sz w:val="24"/>
          <w:szCs w:val="24"/>
        </w:rPr>
      </w:pPr>
      <w:r>
        <w:rPr>
          <w:color w:val="000000" w:themeColor="text1"/>
          <w:sz w:val="24"/>
        </w:rPr>
        <w:t>394</w:t>
      </w:r>
      <w:r w:rsidR="0073607A">
        <w:rPr>
          <w:color w:val="000000" w:themeColor="text1"/>
          <w:sz w:val="24"/>
        </w:rPr>
        <w:t> 941 </w:t>
      </w:r>
      <w:r>
        <w:rPr>
          <w:color w:val="000000" w:themeColor="text1"/>
          <w:sz w:val="24"/>
        </w:rPr>
        <w:t>hectares de paysages faisant l’objet de pratiques améliorées au profit de la biodiversité</w:t>
      </w:r>
      <w:r w:rsidR="006E54C7">
        <w:rPr>
          <w:color w:val="000000" w:themeColor="text1"/>
          <w:sz w:val="24"/>
        </w:rPr>
        <w:t> :</w:t>
      </w:r>
      <w:r>
        <w:rPr>
          <w:color w:val="000000" w:themeColor="text1"/>
          <w:sz w:val="24"/>
        </w:rPr>
        <w:t xml:space="preserve"> </w:t>
      </w:r>
      <w:r>
        <w:rPr>
          <w:b/>
          <w:bCs/>
          <w:color w:val="000000" w:themeColor="text1"/>
          <w:sz w:val="24"/>
        </w:rPr>
        <w:t>Cible</w:t>
      </w:r>
      <w:r w:rsidR="0073607A">
        <w:rPr>
          <w:b/>
          <w:bCs/>
          <w:color w:val="000000" w:themeColor="text1"/>
          <w:sz w:val="24"/>
        </w:rPr>
        <w:t> </w:t>
      </w:r>
      <w:r>
        <w:rPr>
          <w:b/>
          <w:bCs/>
          <w:color w:val="000000" w:themeColor="text1"/>
          <w:sz w:val="24"/>
        </w:rPr>
        <w:t>5, cible</w:t>
      </w:r>
      <w:r w:rsidR="0073607A">
        <w:rPr>
          <w:b/>
          <w:bCs/>
          <w:color w:val="000000" w:themeColor="text1"/>
          <w:sz w:val="24"/>
        </w:rPr>
        <w:t> </w:t>
      </w:r>
      <w:r>
        <w:rPr>
          <w:b/>
          <w:bCs/>
          <w:color w:val="000000" w:themeColor="text1"/>
          <w:sz w:val="24"/>
        </w:rPr>
        <w:t xml:space="preserve">9 </w:t>
      </w:r>
      <w:r>
        <w:rPr>
          <w:color w:val="000000" w:themeColor="text1"/>
          <w:sz w:val="24"/>
        </w:rPr>
        <w:t xml:space="preserve">et </w:t>
      </w:r>
      <w:r>
        <w:rPr>
          <w:b/>
          <w:bCs/>
          <w:color w:val="000000" w:themeColor="text1"/>
          <w:sz w:val="24"/>
        </w:rPr>
        <w:t>cible</w:t>
      </w:r>
      <w:r w:rsidR="0073607A">
        <w:rPr>
          <w:b/>
          <w:bCs/>
          <w:color w:val="000000" w:themeColor="text1"/>
          <w:sz w:val="24"/>
        </w:rPr>
        <w:t> </w:t>
      </w:r>
      <w:r>
        <w:rPr>
          <w:b/>
          <w:bCs/>
          <w:color w:val="000000" w:themeColor="text1"/>
          <w:sz w:val="24"/>
        </w:rPr>
        <w:t>10.</w:t>
      </w:r>
    </w:p>
    <w:p w14:paraId="44FECA5E" w14:textId="71E308D4" w:rsidR="00C91105" w:rsidRPr="00C67737" w:rsidRDefault="007426BA" w:rsidP="00240AAA">
      <w:pPr>
        <w:numPr>
          <w:ilvl w:val="0"/>
          <w:numId w:val="6"/>
        </w:numPr>
        <w:spacing w:before="120" w:after="120"/>
        <w:ind w:left="648"/>
        <w:contextualSpacing/>
        <w:rPr>
          <w:rFonts w:cstheme="minorHAnsi"/>
          <w:color w:val="000000" w:themeColor="text1"/>
          <w:sz w:val="24"/>
          <w:szCs w:val="24"/>
        </w:rPr>
      </w:pPr>
      <w:r>
        <w:rPr>
          <w:color w:val="000000" w:themeColor="text1"/>
          <w:sz w:val="24"/>
        </w:rPr>
        <w:t>56</w:t>
      </w:r>
      <w:r w:rsidR="0073607A">
        <w:rPr>
          <w:color w:val="000000" w:themeColor="text1"/>
          <w:sz w:val="24"/>
        </w:rPr>
        <w:t> 257 721 </w:t>
      </w:r>
      <w:r>
        <w:rPr>
          <w:color w:val="000000" w:themeColor="text1"/>
          <w:sz w:val="24"/>
        </w:rPr>
        <w:t>tonnes d’émissions de gaz à effet de serre (GES) atténuées directement et 3</w:t>
      </w:r>
      <w:r w:rsidR="0073607A">
        <w:rPr>
          <w:color w:val="000000" w:themeColor="text1"/>
          <w:sz w:val="24"/>
        </w:rPr>
        <w:t> 500 000 </w:t>
      </w:r>
      <w:r>
        <w:rPr>
          <w:color w:val="000000" w:themeColor="text1"/>
          <w:sz w:val="24"/>
        </w:rPr>
        <w:t xml:space="preserve">tonnes atténuées indirectement (t </w:t>
      </w:r>
      <w:proofErr w:type="spellStart"/>
      <w:r>
        <w:rPr>
          <w:color w:val="000000" w:themeColor="text1"/>
          <w:sz w:val="24"/>
        </w:rPr>
        <w:t>éq</w:t>
      </w:r>
      <w:proofErr w:type="spellEnd"/>
      <w:r>
        <w:rPr>
          <w:color w:val="000000" w:themeColor="text1"/>
          <w:sz w:val="24"/>
        </w:rPr>
        <w:t>. CO₂)</w:t>
      </w:r>
      <w:r w:rsidR="006E54C7">
        <w:rPr>
          <w:color w:val="000000" w:themeColor="text1"/>
          <w:sz w:val="24"/>
        </w:rPr>
        <w:t> :</w:t>
      </w:r>
      <w:r>
        <w:rPr>
          <w:color w:val="000000" w:themeColor="text1"/>
          <w:sz w:val="24"/>
        </w:rPr>
        <w:t xml:space="preserve"> </w:t>
      </w:r>
      <w:r>
        <w:rPr>
          <w:b/>
          <w:color w:val="000000" w:themeColor="text1"/>
          <w:sz w:val="24"/>
        </w:rPr>
        <w:t>Cible</w:t>
      </w:r>
      <w:r w:rsidR="0073607A">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73607A">
        <w:rPr>
          <w:b/>
          <w:color w:val="000000" w:themeColor="text1"/>
          <w:sz w:val="24"/>
        </w:rPr>
        <w:t> </w:t>
      </w:r>
      <w:r>
        <w:rPr>
          <w:b/>
          <w:color w:val="000000" w:themeColor="text1"/>
          <w:sz w:val="24"/>
        </w:rPr>
        <w:t>11</w:t>
      </w:r>
      <w:r>
        <w:rPr>
          <w:color w:val="000000" w:themeColor="text1"/>
          <w:sz w:val="24"/>
        </w:rPr>
        <w:t>.</w:t>
      </w:r>
    </w:p>
    <w:p w14:paraId="150C91D7" w14:textId="1DCBE598" w:rsidR="00AD6B44" w:rsidRPr="00C67737" w:rsidRDefault="001A3699" w:rsidP="00240AAA">
      <w:pPr>
        <w:numPr>
          <w:ilvl w:val="0"/>
          <w:numId w:val="6"/>
        </w:numPr>
        <w:spacing w:before="120" w:after="120"/>
        <w:ind w:left="648"/>
        <w:contextualSpacing/>
        <w:rPr>
          <w:rFonts w:cstheme="minorHAnsi"/>
          <w:color w:val="000000" w:themeColor="text1"/>
          <w:sz w:val="24"/>
          <w:szCs w:val="24"/>
        </w:rPr>
      </w:pPr>
      <w:r>
        <w:rPr>
          <w:color w:val="000000" w:themeColor="text1"/>
          <w:sz w:val="24"/>
        </w:rPr>
        <w:t>524</w:t>
      </w:r>
      <w:r w:rsidR="0073607A">
        <w:rPr>
          <w:color w:val="000000" w:themeColor="text1"/>
          <w:sz w:val="24"/>
        </w:rPr>
        <w:t> </w:t>
      </w:r>
      <w:r>
        <w:rPr>
          <w:color w:val="000000" w:themeColor="text1"/>
          <w:sz w:val="24"/>
        </w:rPr>
        <w:t>148 personnes bénéficient d’investissements financés par le GEF (204</w:t>
      </w:r>
      <w:r w:rsidR="0073607A">
        <w:rPr>
          <w:color w:val="000000" w:themeColor="text1"/>
          <w:sz w:val="24"/>
        </w:rPr>
        <w:t> </w:t>
      </w:r>
      <w:r>
        <w:rPr>
          <w:color w:val="000000" w:themeColor="text1"/>
          <w:sz w:val="24"/>
        </w:rPr>
        <w:t>067 femmes et 320</w:t>
      </w:r>
      <w:r w:rsidR="0073607A">
        <w:rPr>
          <w:color w:val="000000" w:themeColor="text1"/>
          <w:sz w:val="24"/>
        </w:rPr>
        <w:t> </w:t>
      </w:r>
      <w:r>
        <w:rPr>
          <w:color w:val="000000" w:themeColor="text1"/>
          <w:sz w:val="24"/>
        </w:rPr>
        <w:t>081 hommes)</w:t>
      </w:r>
      <w:r w:rsidR="006E54C7">
        <w:rPr>
          <w:color w:val="000000" w:themeColor="text1"/>
          <w:sz w:val="24"/>
        </w:rPr>
        <w:t> :</w:t>
      </w:r>
      <w:r>
        <w:rPr>
          <w:color w:val="000000" w:themeColor="text1"/>
          <w:sz w:val="24"/>
        </w:rPr>
        <w:t xml:space="preserve"> </w:t>
      </w:r>
      <w:r>
        <w:rPr>
          <w:b/>
          <w:color w:val="000000" w:themeColor="text1"/>
          <w:sz w:val="24"/>
        </w:rPr>
        <w:t>Cible</w:t>
      </w:r>
      <w:r w:rsidR="0073607A">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73607A">
        <w:rPr>
          <w:b/>
          <w:color w:val="000000" w:themeColor="text1"/>
          <w:sz w:val="24"/>
        </w:rPr>
        <w:t> </w:t>
      </w:r>
      <w:r>
        <w:rPr>
          <w:b/>
          <w:color w:val="000000" w:themeColor="text1"/>
          <w:sz w:val="24"/>
        </w:rPr>
        <w:t>23</w:t>
      </w:r>
      <w:r>
        <w:rPr>
          <w:color w:val="000000" w:themeColor="text1"/>
          <w:sz w:val="24"/>
        </w:rPr>
        <w:t>.</w:t>
      </w:r>
    </w:p>
    <w:p w14:paraId="70340DA0" w14:textId="789541A1" w:rsidR="00C91105" w:rsidRPr="00C67737" w:rsidRDefault="376F5721" w:rsidP="000B33CF">
      <w:pPr>
        <w:pStyle w:val="ListParagraph"/>
      </w:pPr>
      <w:r>
        <w:t>Le programme intégré appuie également l’élaboration de plans intégrés et participatifs d’aménagement du territoire et de planification spatiale, ainsi que la mise à jour des données et informations nécessaires à leur application effective (</w:t>
      </w:r>
      <w:r>
        <w:rPr>
          <w:b/>
          <w:bCs/>
        </w:rPr>
        <w:t>cible</w:t>
      </w:r>
      <w:r w:rsidR="0073607A">
        <w:rPr>
          <w:b/>
          <w:bCs/>
        </w:rPr>
        <w:t> </w:t>
      </w:r>
      <w:r>
        <w:rPr>
          <w:b/>
          <w:bCs/>
        </w:rPr>
        <w:t>1</w:t>
      </w:r>
      <w:r>
        <w:t>). Il vise en outre à améliorer le cadre d’action et les conditions propices à la conservation et à la gestion des forêts, notamment en s’attaquant aux incitations et aux subventions préjudiciables à la diversité biologique (</w:t>
      </w:r>
      <w:r>
        <w:rPr>
          <w:b/>
          <w:bCs/>
        </w:rPr>
        <w:t>cibles</w:t>
      </w:r>
      <w:r w:rsidR="0073607A">
        <w:rPr>
          <w:b/>
          <w:bCs/>
        </w:rPr>
        <w:t> </w:t>
      </w:r>
      <w:r>
        <w:rPr>
          <w:b/>
          <w:bCs/>
        </w:rPr>
        <w:t>14</w:t>
      </w:r>
      <w:r>
        <w:t xml:space="preserve"> et </w:t>
      </w:r>
      <w:r>
        <w:rPr>
          <w:b/>
          <w:bCs/>
        </w:rPr>
        <w:t>18</w:t>
      </w:r>
      <w:r>
        <w:t>). L’un des principaux résultats attendus du programme sera l’élaboration de stratégies de financement durable pour la gestion des aires protégées et la conservation des forêts (</w:t>
      </w:r>
      <w:r>
        <w:rPr>
          <w:b/>
          <w:bCs/>
        </w:rPr>
        <w:t>cible</w:t>
      </w:r>
      <w:r w:rsidR="008143ED">
        <w:rPr>
          <w:b/>
          <w:bCs/>
        </w:rPr>
        <w:t> </w:t>
      </w:r>
      <w:r>
        <w:rPr>
          <w:b/>
          <w:bCs/>
        </w:rPr>
        <w:t>19</w:t>
      </w:r>
      <w:r>
        <w:t>). </w:t>
      </w:r>
    </w:p>
    <w:p w14:paraId="29642595" w14:textId="397ECF7F" w:rsidR="00C91105" w:rsidRPr="00C67737" w:rsidRDefault="00942938" w:rsidP="000B33CF">
      <w:pPr>
        <w:pStyle w:val="ListParagraph"/>
      </w:pPr>
      <w:bookmarkStart w:id="61" w:name="_Hlk135375758"/>
      <w:bookmarkStart w:id="62" w:name="_Toc136871757"/>
      <w:bookmarkStart w:id="63" w:name="_Toc171237802"/>
      <w:r>
        <w:rPr>
          <w:b/>
        </w:rPr>
        <w:t>Programme intégré</w:t>
      </w:r>
      <w:r>
        <w:rPr>
          <w:b/>
          <w:i/>
          <w:iCs/>
        </w:rPr>
        <w:t xml:space="preserve"> «</w:t>
      </w:r>
      <w:r w:rsidR="008143ED">
        <w:rPr>
          <w:b/>
          <w:i/>
          <w:iCs/>
        </w:rPr>
        <w:t> </w:t>
      </w:r>
      <w:r w:rsidR="008C255A">
        <w:rPr>
          <w:b/>
          <w:i/>
          <w:iCs/>
        </w:rPr>
        <w:t>B</w:t>
      </w:r>
      <w:r>
        <w:rPr>
          <w:b/>
          <w:i/>
          <w:iCs/>
        </w:rPr>
        <w:t xml:space="preserve">iome forestier </w:t>
      </w:r>
      <w:r w:rsidR="00E316AA">
        <w:rPr>
          <w:b/>
          <w:i/>
          <w:iCs/>
        </w:rPr>
        <w:t>critique</w:t>
      </w:r>
      <w:r>
        <w:rPr>
          <w:b/>
          <w:i/>
          <w:iCs/>
        </w:rPr>
        <w:t xml:space="preserve"> de l’Indo-Malaisie</w:t>
      </w:r>
      <w:r w:rsidR="008143ED">
        <w:rPr>
          <w:b/>
          <w:i/>
          <w:iCs/>
        </w:rPr>
        <w:t> </w:t>
      </w:r>
      <w:r>
        <w:rPr>
          <w:b/>
          <w:i/>
          <w:iCs/>
        </w:rPr>
        <w:t>»</w:t>
      </w:r>
      <w:r w:rsidR="00110191">
        <w:rPr>
          <w:b/>
        </w:rPr>
        <w:t xml:space="preserve">. </w:t>
      </w:r>
      <w:r>
        <w:t>Pays participants</w:t>
      </w:r>
      <w:r w:rsidR="006E54C7">
        <w:t> :</w:t>
      </w:r>
      <w:r>
        <w:t xml:space="preserve"> Papouasie</w:t>
      </w:r>
      <w:r w:rsidR="008143ED">
        <w:t>–</w:t>
      </w:r>
      <w:r>
        <w:t>Nouvelle-Guinée, République démocratique populaire lao et Thaïlande.</w:t>
      </w:r>
      <w:r>
        <w:rPr>
          <w:b/>
        </w:rPr>
        <w:t xml:space="preserve"> </w:t>
      </w:r>
      <w:bookmarkEnd w:id="61"/>
      <w:bookmarkEnd w:id="62"/>
      <w:bookmarkEnd w:id="63"/>
      <w:r>
        <w:t xml:space="preserve">L’objectif est </w:t>
      </w:r>
      <w:r>
        <w:lastRenderedPageBreak/>
        <w:t xml:space="preserve">de préserver l’intégrité des forêts primaires d’importance mondiale de l’Indo-Malaisie afin d’optimiser </w:t>
      </w:r>
      <w:proofErr w:type="gramStart"/>
      <w:r>
        <w:t>les multiples retombées</w:t>
      </w:r>
      <w:proofErr w:type="gramEnd"/>
      <w:r>
        <w:t xml:space="preserve"> environnementales mondiales associées au carbone et à la diversité biologique, ainsi que de contribuer au bien-être humain. </w:t>
      </w:r>
      <w:bookmarkStart w:id="64" w:name="_Hlk135380249"/>
      <w:r>
        <w:t>Le programme intégré vise à obtenir les résultats ci-après, qui contribuent à la mise en œuvre du KMGBF</w:t>
      </w:r>
      <w:r w:rsidR="006E54C7">
        <w:t> :</w:t>
      </w:r>
      <w:r>
        <w:t xml:space="preserve"> </w:t>
      </w:r>
    </w:p>
    <w:bookmarkEnd w:id="64"/>
    <w:p w14:paraId="020283A0" w14:textId="6670C267" w:rsidR="00C91105" w:rsidRPr="00C67737" w:rsidRDefault="00D4062F" w:rsidP="00240AAA">
      <w:pPr>
        <w:numPr>
          <w:ilvl w:val="0"/>
          <w:numId w:val="6"/>
        </w:numPr>
        <w:spacing w:before="120" w:after="120"/>
        <w:ind w:left="734" w:hanging="446"/>
        <w:contextualSpacing/>
        <w:rPr>
          <w:rFonts w:cstheme="minorHAnsi"/>
          <w:color w:val="000000" w:themeColor="text1"/>
          <w:sz w:val="24"/>
          <w:szCs w:val="24"/>
        </w:rPr>
      </w:pPr>
      <w:r>
        <w:rPr>
          <w:color w:val="000000" w:themeColor="text1"/>
          <w:sz w:val="24"/>
        </w:rPr>
        <w:t>1</w:t>
      </w:r>
      <w:r w:rsidR="008143ED">
        <w:rPr>
          <w:color w:val="000000" w:themeColor="text1"/>
          <w:sz w:val="24"/>
        </w:rPr>
        <w:t> 244 087 </w:t>
      </w:r>
      <w:r>
        <w:rPr>
          <w:color w:val="000000" w:themeColor="text1"/>
          <w:sz w:val="24"/>
        </w:rPr>
        <w:t>hectares de nouvelles aires terrestres protégées créées</w:t>
      </w:r>
      <w:r w:rsidR="006E54C7">
        <w:rPr>
          <w:color w:val="000000" w:themeColor="text1"/>
          <w:sz w:val="24"/>
        </w:rPr>
        <w:t> :</w:t>
      </w:r>
      <w:r>
        <w:rPr>
          <w:color w:val="000000" w:themeColor="text1"/>
          <w:sz w:val="24"/>
        </w:rPr>
        <w:t xml:space="preserve"> </w:t>
      </w:r>
      <w:r>
        <w:rPr>
          <w:b/>
          <w:color w:val="000000" w:themeColor="text1"/>
          <w:sz w:val="24"/>
        </w:rPr>
        <w:t>Cible</w:t>
      </w:r>
      <w:r w:rsidR="008143ED">
        <w:rPr>
          <w:b/>
          <w:color w:val="000000" w:themeColor="text1"/>
          <w:sz w:val="24"/>
        </w:rPr>
        <w:t> </w:t>
      </w:r>
      <w:r>
        <w:rPr>
          <w:b/>
          <w:color w:val="000000" w:themeColor="text1"/>
          <w:sz w:val="24"/>
        </w:rPr>
        <w:t>3</w:t>
      </w:r>
      <w:r>
        <w:rPr>
          <w:color w:val="000000" w:themeColor="text1"/>
          <w:sz w:val="24"/>
        </w:rPr>
        <w:t>.</w:t>
      </w:r>
    </w:p>
    <w:p w14:paraId="358030F8" w14:textId="1676644D" w:rsidR="00C91105" w:rsidRPr="00C67737" w:rsidRDefault="00C91105" w:rsidP="00240AAA">
      <w:pPr>
        <w:numPr>
          <w:ilvl w:val="0"/>
          <w:numId w:val="6"/>
        </w:numPr>
        <w:spacing w:before="120" w:after="120"/>
        <w:ind w:left="734" w:hanging="446"/>
        <w:contextualSpacing/>
        <w:rPr>
          <w:rFonts w:cstheme="minorHAnsi"/>
          <w:color w:val="000000" w:themeColor="text1"/>
          <w:sz w:val="24"/>
          <w:szCs w:val="24"/>
        </w:rPr>
      </w:pPr>
      <w:r>
        <w:rPr>
          <w:color w:val="000000" w:themeColor="text1"/>
          <w:sz w:val="24"/>
        </w:rPr>
        <w:t>2</w:t>
      </w:r>
      <w:r w:rsidR="008143ED">
        <w:rPr>
          <w:color w:val="000000" w:themeColor="text1"/>
          <w:sz w:val="24"/>
        </w:rPr>
        <w:t> 032 687 </w:t>
      </w:r>
      <w:r>
        <w:rPr>
          <w:color w:val="000000" w:themeColor="text1"/>
          <w:sz w:val="24"/>
        </w:rPr>
        <w:t>hectares d’aires protégées terrestres faisant l’objet d’une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8143ED">
        <w:rPr>
          <w:b/>
          <w:color w:val="000000" w:themeColor="text1"/>
          <w:sz w:val="24"/>
        </w:rPr>
        <w:t> </w:t>
      </w:r>
      <w:r>
        <w:rPr>
          <w:b/>
          <w:color w:val="000000" w:themeColor="text1"/>
          <w:sz w:val="24"/>
        </w:rPr>
        <w:t>3</w:t>
      </w:r>
      <w:r>
        <w:rPr>
          <w:color w:val="000000" w:themeColor="text1"/>
          <w:sz w:val="24"/>
        </w:rPr>
        <w:t>.</w:t>
      </w:r>
    </w:p>
    <w:p w14:paraId="11E37B82" w14:textId="357A5B27" w:rsidR="00C91105" w:rsidRPr="00C67737" w:rsidRDefault="00C91105" w:rsidP="00240AAA">
      <w:pPr>
        <w:numPr>
          <w:ilvl w:val="0"/>
          <w:numId w:val="6"/>
        </w:numPr>
        <w:spacing w:before="120" w:after="120"/>
        <w:ind w:left="734" w:hanging="446"/>
        <w:contextualSpacing/>
        <w:rPr>
          <w:rFonts w:cstheme="minorHAnsi"/>
          <w:color w:val="000000" w:themeColor="text1"/>
          <w:sz w:val="24"/>
          <w:szCs w:val="24"/>
        </w:rPr>
      </w:pPr>
      <w:r>
        <w:rPr>
          <w:color w:val="000000" w:themeColor="text1"/>
          <w:sz w:val="24"/>
        </w:rPr>
        <w:t>8</w:t>
      </w:r>
      <w:r w:rsidR="008143ED">
        <w:rPr>
          <w:color w:val="000000" w:themeColor="text1"/>
          <w:sz w:val="24"/>
        </w:rPr>
        <w:t> 535 </w:t>
      </w:r>
      <w:r>
        <w:rPr>
          <w:color w:val="000000" w:themeColor="text1"/>
          <w:sz w:val="24"/>
        </w:rPr>
        <w:t>hectares de zones terrestres et d’écosystèmes faisant l’objet de mesures de remise en état</w:t>
      </w:r>
      <w:r w:rsidR="006E54C7">
        <w:rPr>
          <w:color w:val="000000" w:themeColor="text1"/>
          <w:sz w:val="24"/>
        </w:rPr>
        <w:t> :</w:t>
      </w:r>
      <w:r>
        <w:rPr>
          <w:color w:val="000000" w:themeColor="text1"/>
          <w:sz w:val="24"/>
        </w:rPr>
        <w:t xml:space="preserve"> </w:t>
      </w:r>
      <w:r>
        <w:rPr>
          <w:b/>
          <w:color w:val="000000" w:themeColor="text1"/>
          <w:sz w:val="24"/>
        </w:rPr>
        <w:t>Cible</w:t>
      </w:r>
      <w:r w:rsidR="008143ED">
        <w:rPr>
          <w:b/>
          <w:color w:val="000000" w:themeColor="text1"/>
          <w:sz w:val="24"/>
        </w:rPr>
        <w:t> </w:t>
      </w:r>
      <w:r>
        <w:rPr>
          <w:b/>
          <w:color w:val="000000" w:themeColor="text1"/>
          <w:sz w:val="24"/>
        </w:rPr>
        <w:t>2</w:t>
      </w:r>
      <w:r>
        <w:rPr>
          <w:color w:val="000000" w:themeColor="text1"/>
          <w:sz w:val="24"/>
        </w:rPr>
        <w:t xml:space="preserve">. </w:t>
      </w:r>
    </w:p>
    <w:p w14:paraId="5F05D370" w14:textId="6E78BBEA" w:rsidR="00C91105" w:rsidRPr="00C67737" w:rsidRDefault="00A12441" w:rsidP="00240AAA">
      <w:pPr>
        <w:numPr>
          <w:ilvl w:val="0"/>
          <w:numId w:val="6"/>
        </w:numPr>
        <w:spacing w:before="120" w:after="120"/>
        <w:ind w:left="734" w:hanging="446"/>
        <w:contextualSpacing/>
        <w:rPr>
          <w:rFonts w:cstheme="minorHAnsi"/>
          <w:color w:val="000000" w:themeColor="text1"/>
          <w:sz w:val="24"/>
          <w:szCs w:val="24"/>
        </w:rPr>
      </w:pPr>
      <w:r>
        <w:rPr>
          <w:color w:val="000000" w:themeColor="text1"/>
          <w:sz w:val="24"/>
        </w:rPr>
        <w:t>154</w:t>
      </w:r>
      <w:r w:rsidR="008143ED">
        <w:rPr>
          <w:color w:val="000000" w:themeColor="text1"/>
          <w:sz w:val="24"/>
        </w:rPr>
        <w:t> 007 </w:t>
      </w:r>
      <w:r>
        <w:rPr>
          <w:color w:val="000000" w:themeColor="text1"/>
          <w:sz w:val="24"/>
        </w:rPr>
        <w:t xml:space="preserve">hectares de paysages faisant l’objet de pratiques améliorées </w:t>
      </w:r>
      <w:r w:rsidR="00254B37">
        <w:rPr>
          <w:color w:val="000000" w:themeColor="text1"/>
          <w:sz w:val="24"/>
        </w:rPr>
        <w:t>au profit de la biodiversité</w:t>
      </w:r>
      <w:r w:rsidR="006E54C7">
        <w:rPr>
          <w:color w:val="000000" w:themeColor="text1"/>
          <w:sz w:val="24"/>
        </w:rPr>
        <w:t> :</w:t>
      </w:r>
      <w:r>
        <w:rPr>
          <w:color w:val="000000" w:themeColor="text1"/>
          <w:sz w:val="24"/>
        </w:rPr>
        <w:t xml:space="preserve"> </w:t>
      </w:r>
      <w:r>
        <w:rPr>
          <w:b/>
          <w:bCs/>
          <w:color w:val="000000" w:themeColor="text1"/>
          <w:sz w:val="24"/>
        </w:rPr>
        <w:t>Cible</w:t>
      </w:r>
      <w:r w:rsidR="008143ED">
        <w:rPr>
          <w:b/>
          <w:bCs/>
          <w:color w:val="000000" w:themeColor="text1"/>
          <w:sz w:val="24"/>
        </w:rPr>
        <w:t> </w:t>
      </w:r>
      <w:r>
        <w:rPr>
          <w:b/>
          <w:bCs/>
          <w:color w:val="000000" w:themeColor="text1"/>
          <w:sz w:val="24"/>
        </w:rPr>
        <w:t>5, cible</w:t>
      </w:r>
      <w:r w:rsidR="008143ED">
        <w:rPr>
          <w:b/>
          <w:bCs/>
          <w:color w:val="000000" w:themeColor="text1"/>
          <w:sz w:val="24"/>
        </w:rPr>
        <w:t> </w:t>
      </w:r>
      <w:r>
        <w:rPr>
          <w:b/>
          <w:bCs/>
          <w:color w:val="000000" w:themeColor="text1"/>
          <w:sz w:val="24"/>
        </w:rPr>
        <w:t xml:space="preserve">9 </w:t>
      </w:r>
      <w:r w:rsidRPr="0095685C">
        <w:rPr>
          <w:color w:val="000000" w:themeColor="text1"/>
          <w:sz w:val="24"/>
        </w:rPr>
        <w:t>et</w:t>
      </w:r>
      <w:r>
        <w:rPr>
          <w:b/>
          <w:bCs/>
          <w:color w:val="000000" w:themeColor="text1"/>
          <w:sz w:val="24"/>
        </w:rPr>
        <w:t xml:space="preserve"> cible</w:t>
      </w:r>
      <w:r w:rsidR="008143ED">
        <w:rPr>
          <w:b/>
          <w:bCs/>
          <w:color w:val="000000" w:themeColor="text1"/>
          <w:sz w:val="24"/>
        </w:rPr>
        <w:t> </w:t>
      </w:r>
      <w:r>
        <w:rPr>
          <w:b/>
          <w:bCs/>
          <w:color w:val="000000" w:themeColor="text1"/>
          <w:sz w:val="24"/>
        </w:rPr>
        <w:t>10.</w:t>
      </w:r>
    </w:p>
    <w:p w14:paraId="7D8D45C7" w14:textId="5B44A508" w:rsidR="00C91105" w:rsidRPr="00C67737" w:rsidRDefault="00E02345" w:rsidP="00240AAA">
      <w:pPr>
        <w:numPr>
          <w:ilvl w:val="0"/>
          <w:numId w:val="6"/>
        </w:numPr>
        <w:spacing w:before="120" w:after="120"/>
        <w:ind w:left="734" w:hanging="446"/>
        <w:contextualSpacing/>
        <w:rPr>
          <w:rFonts w:cstheme="minorHAnsi"/>
          <w:color w:val="000000" w:themeColor="text1"/>
          <w:sz w:val="24"/>
          <w:szCs w:val="24"/>
        </w:rPr>
      </w:pPr>
      <w:r>
        <w:rPr>
          <w:color w:val="000000" w:themeColor="text1"/>
          <w:sz w:val="24"/>
        </w:rPr>
        <w:t>21</w:t>
      </w:r>
      <w:r w:rsidR="008143ED">
        <w:rPr>
          <w:color w:val="000000" w:themeColor="text1"/>
          <w:sz w:val="24"/>
        </w:rPr>
        <w:t> 613 456 </w:t>
      </w:r>
      <w:r>
        <w:rPr>
          <w:color w:val="000000" w:themeColor="text1"/>
          <w:sz w:val="24"/>
        </w:rPr>
        <w:t>tonnes d</w:t>
      </w:r>
      <w:r w:rsidR="008143ED">
        <w:rPr>
          <w:color w:val="000000" w:themeColor="text1"/>
          <w:sz w:val="24"/>
        </w:rPr>
        <w:t>’</w:t>
      </w:r>
      <w:r>
        <w:rPr>
          <w:color w:val="000000" w:themeColor="text1"/>
          <w:sz w:val="24"/>
        </w:rPr>
        <w:t>émissions de gaz à effet de serre atténuées directement (</w:t>
      </w:r>
      <w:r w:rsidR="000C0CF1">
        <w:rPr>
          <w:color w:val="000000" w:themeColor="text1"/>
          <w:sz w:val="24"/>
        </w:rPr>
        <w:t xml:space="preserve">t. </w:t>
      </w:r>
      <w:proofErr w:type="spellStart"/>
      <w:r w:rsidR="000C0CF1">
        <w:rPr>
          <w:color w:val="000000" w:themeColor="text1"/>
          <w:sz w:val="24"/>
        </w:rPr>
        <w:t>éq</w:t>
      </w:r>
      <w:proofErr w:type="spellEnd"/>
      <w:r w:rsidR="000C0CF1">
        <w:rPr>
          <w:color w:val="000000" w:themeColor="text1"/>
          <w:sz w:val="24"/>
        </w:rPr>
        <w:t>. CO₂</w:t>
      </w:r>
      <w:r>
        <w:rPr>
          <w:color w:val="000000" w:themeColor="text1"/>
          <w:sz w:val="24"/>
        </w:rPr>
        <w:t xml:space="preserve">) </w:t>
      </w:r>
      <w:r>
        <w:rPr>
          <w:b/>
          <w:color w:val="000000" w:themeColor="text1"/>
          <w:sz w:val="24"/>
        </w:rPr>
        <w:t>Cible</w:t>
      </w:r>
      <w:r w:rsidR="008143ED">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8143ED">
        <w:rPr>
          <w:b/>
          <w:color w:val="000000" w:themeColor="text1"/>
          <w:sz w:val="24"/>
        </w:rPr>
        <w:t> </w:t>
      </w:r>
      <w:r>
        <w:rPr>
          <w:b/>
          <w:color w:val="000000" w:themeColor="text1"/>
          <w:sz w:val="24"/>
        </w:rPr>
        <w:t>11</w:t>
      </w:r>
      <w:r>
        <w:rPr>
          <w:color w:val="000000" w:themeColor="text1"/>
          <w:sz w:val="24"/>
        </w:rPr>
        <w:t>.</w:t>
      </w:r>
    </w:p>
    <w:p w14:paraId="6F625E99" w14:textId="7E924FE6" w:rsidR="00AD6B44" w:rsidRPr="00C67737" w:rsidRDefault="00C91105" w:rsidP="00240AAA">
      <w:pPr>
        <w:numPr>
          <w:ilvl w:val="0"/>
          <w:numId w:val="6"/>
        </w:numPr>
        <w:spacing w:before="120" w:after="120"/>
        <w:ind w:left="734" w:hanging="446"/>
        <w:contextualSpacing/>
        <w:rPr>
          <w:rFonts w:cstheme="minorHAnsi"/>
          <w:color w:val="000000" w:themeColor="text1"/>
          <w:sz w:val="24"/>
          <w:szCs w:val="24"/>
        </w:rPr>
      </w:pPr>
      <w:r>
        <w:rPr>
          <w:color w:val="000000" w:themeColor="text1"/>
          <w:sz w:val="24"/>
        </w:rPr>
        <w:t>19</w:t>
      </w:r>
      <w:r w:rsidR="008143ED">
        <w:rPr>
          <w:color w:val="000000" w:themeColor="text1"/>
          <w:sz w:val="24"/>
        </w:rPr>
        <w:t> </w:t>
      </w:r>
      <w:r>
        <w:rPr>
          <w:color w:val="000000" w:themeColor="text1"/>
          <w:sz w:val="24"/>
        </w:rPr>
        <w:t>400 personnes bénéficient d’investissements financés par le GEF (10</w:t>
      </w:r>
      <w:r w:rsidR="008143ED">
        <w:rPr>
          <w:color w:val="000000" w:themeColor="text1"/>
          <w:sz w:val="24"/>
        </w:rPr>
        <w:t> </w:t>
      </w:r>
      <w:r>
        <w:rPr>
          <w:color w:val="000000" w:themeColor="text1"/>
          <w:sz w:val="24"/>
        </w:rPr>
        <w:t>200 femmes et 9</w:t>
      </w:r>
      <w:r w:rsidR="008143ED">
        <w:rPr>
          <w:color w:val="000000" w:themeColor="text1"/>
          <w:sz w:val="24"/>
        </w:rPr>
        <w:t> </w:t>
      </w:r>
      <w:r>
        <w:rPr>
          <w:color w:val="000000" w:themeColor="text1"/>
          <w:sz w:val="24"/>
        </w:rPr>
        <w:t>200 hommes)</w:t>
      </w:r>
      <w:r w:rsidR="006E54C7">
        <w:rPr>
          <w:color w:val="000000" w:themeColor="text1"/>
          <w:sz w:val="24"/>
        </w:rPr>
        <w:t> :</w:t>
      </w:r>
      <w:r>
        <w:rPr>
          <w:color w:val="000000" w:themeColor="text1"/>
          <w:sz w:val="24"/>
        </w:rPr>
        <w:t xml:space="preserve"> </w:t>
      </w:r>
      <w:r>
        <w:rPr>
          <w:b/>
          <w:color w:val="000000" w:themeColor="text1"/>
          <w:sz w:val="24"/>
        </w:rPr>
        <w:t>Cible</w:t>
      </w:r>
      <w:r w:rsidR="008143ED">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8143ED">
        <w:rPr>
          <w:b/>
          <w:color w:val="000000" w:themeColor="text1"/>
          <w:sz w:val="24"/>
        </w:rPr>
        <w:t> </w:t>
      </w:r>
      <w:r>
        <w:rPr>
          <w:b/>
          <w:color w:val="000000" w:themeColor="text1"/>
          <w:sz w:val="24"/>
        </w:rPr>
        <w:t>23</w:t>
      </w:r>
      <w:r>
        <w:rPr>
          <w:color w:val="000000" w:themeColor="text1"/>
          <w:sz w:val="24"/>
        </w:rPr>
        <w:t>.</w:t>
      </w:r>
      <w:bookmarkStart w:id="65" w:name="_Hlk135389909"/>
    </w:p>
    <w:p w14:paraId="4673D2E4" w14:textId="6CE9C0EC" w:rsidR="00AD6B44" w:rsidRPr="00C67737" w:rsidRDefault="27FF3FA2" w:rsidP="000B33CF">
      <w:pPr>
        <w:pStyle w:val="ListParagraph"/>
      </w:pPr>
      <w:r>
        <w:t>Le programme intégré appuie également, à différentes échelles, l’élaboration et le renforcement d’un environnement favorable à la conservation des forêts (</w:t>
      </w:r>
      <w:r>
        <w:rPr>
          <w:b/>
          <w:bCs/>
        </w:rPr>
        <w:t>cibles</w:t>
      </w:r>
      <w:r w:rsidR="008143ED">
        <w:rPr>
          <w:b/>
          <w:bCs/>
        </w:rPr>
        <w:t> </w:t>
      </w:r>
      <w:r>
        <w:rPr>
          <w:b/>
          <w:bCs/>
        </w:rPr>
        <w:t>14</w:t>
      </w:r>
      <w:r>
        <w:t xml:space="preserve"> et </w:t>
      </w:r>
      <w:r>
        <w:rPr>
          <w:b/>
          <w:bCs/>
        </w:rPr>
        <w:t>18</w:t>
      </w:r>
      <w:r>
        <w:t>). En outre, des stratégies de financement durable seront élaborées pour la gestion des aires protégées et la conservation des forêts (</w:t>
      </w:r>
      <w:r>
        <w:rPr>
          <w:b/>
          <w:bCs/>
        </w:rPr>
        <w:t>cible</w:t>
      </w:r>
      <w:r w:rsidR="00627745">
        <w:rPr>
          <w:b/>
          <w:bCs/>
        </w:rPr>
        <w:t> </w:t>
      </w:r>
      <w:r>
        <w:rPr>
          <w:b/>
          <w:bCs/>
        </w:rPr>
        <w:t>19</w:t>
      </w:r>
      <w:r>
        <w:t>). </w:t>
      </w:r>
      <w:bookmarkStart w:id="66" w:name="_Toc136871758"/>
      <w:bookmarkEnd w:id="65"/>
    </w:p>
    <w:bookmarkEnd w:id="66"/>
    <w:p w14:paraId="4A389676" w14:textId="0684C440" w:rsidR="00C91105" w:rsidRPr="00C67737" w:rsidRDefault="0084163D" w:rsidP="000B33CF">
      <w:pPr>
        <w:pStyle w:val="ListParagraph"/>
      </w:pPr>
      <w:r>
        <w:rPr>
          <w:b/>
          <w:i/>
          <w:iCs/>
        </w:rPr>
        <w:t>Programme intégré «</w:t>
      </w:r>
      <w:r w:rsidR="00627745">
        <w:rPr>
          <w:b/>
          <w:i/>
          <w:iCs/>
        </w:rPr>
        <w:t> </w:t>
      </w:r>
      <w:r w:rsidR="0095685C">
        <w:rPr>
          <w:b/>
          <w:i/>
          <w:iCs/>
        </w:rPr>
        <w:t>B</w:t>
      </w:r>
      <w:r>
        <w:rPr>
          <w:b/>
          <w:i/>
          <w:iCs/>
        </w:rPr>
        <w:t>iome forestie</w:t>
      </w:r>
      <w:r w:rsidR="00DD25A0">
        <w:rPr>
          <w:b/>
          <w:i/>
          <w:iCs/>
        </w:rPr>
        <w:t>r</w:t>
      </w:r>
      <w:r>
        <w:rPr>
          <w:b/>
          <w:i/>
          <w:iCs/>
        </w:rPr>
        <w:t xml:space="preserve"> </w:t>
      </w:r>
      <w:r w:rsidR="00DD25A0">
        <w:rPr>
          <w:b/>
          <w:i/>
          <w:iCs/>
        </w:rPr>
        <w:t>critique</w:t>
      </w:r>
      <w:r>
        <w:rPr>
          <w:b/>
          <w:i/>
          <w:iCs/>
        </w:rPr>
        <w:t xml:space="preserve"> de Mésoamérique</w:t>
      </w:r>
      <w:r w:rsidR="00627745">
        <w:rPr>
          <w:b/>
          <w:i/>
          <w:iCs/>
        </w:rPr>
        <w:t> </w:t>
      </w:r>
      <w:r>
        <w:rPr>
          <w:b/>
          <w:i/>
          <w:iCs/>
        </w:rPr>
        <w:t>»</w:t>
      </w:r>
      <w:r w:rsidR="00110191">
        <w:rPr>
          <w:b/>
          <w:i/>
          <w:iCs/>
        </w:rPr>
        <w:t>.</w:t>
      </w:r>
      <w:r>
        <w:t xml:space="preserve"> Pays participants</w:t>
      </w:r>
      <w:r w:rsidR="006E54C7">
        <w:t> :</w:t>
      </w:r>
      <w:r>
        <w:t xml:space="preserve"> El Salvador, Guatemala, Honduras, Mexique et Panama. L’objectif est de préserver les forêts primaires de Mésoamérique en renforçant leur gouvernance, leur protection et leur restauration, ainsi que la coopération régionale, et en mobilisant des financements stables à long terme. Il </w:t>
      </w:r>
      <w:r w:rsidR="004818D5">
        <w:t>entend</w:t>
      </w:r>
      <w:r>
        <w:t xml:space="preserve"> ainsi assurer un flux durable de services écosystémiques au profit des populations et de la planète. Le programme intégré vise à obtenir les résultats ci-après, qui contribuent à la mise en œuvre du KMGBF</w:t>
      </w:r>
      <w:r w:rsidR="006E54C7">
        <w:t> :</w:t>
      </w:r>
      <w:r>
        <w:t xml:space="preserve"> </w:t>
      </w:r>
    </w:p>
    <w:p w14:paraId="77F119BC" w14:textId="20BC50E8" w:rsidR="00C91105" w:rsidRPr="00C67737" w:rsidRDefault="0068217F" w:rsidP="00240AAA">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t>4</w:t>
      </w:r>
      <w:r w:rsidR="00627745">
        <w:rPr>
          <w:color w:val="000000" w:themeColor="text1"/>
          <w:sz w:val="24"/>
        </w:rPr>
        <w:t> 180 828 </w:t>
      </w:r>
      <w:r>
        <w:rPr>
          <w:color w:val="000000" w:themeColor="text1"/>
          <w:sz w:val="24"/>
        </w:rPr>
        <w:t>hectares d’aires protégées terrestres faisant l</w:t>
      </w:r>
      <w:r w:rsidR="00627745">
        <w:rPr>
          <w:color w:val="000000" w:themeColor="text1"/>
          <w:sz w:val="24"/>
        </w:rPr>
        <w:t>’</w:t>
      </w:r>
      <w:r>
        <w:rPr>
          <w:color w:val="000000" w:themeColor="text1"/>
          <w:sz w:val="24"/>
        </w:rPr>
        <w:t>objet d’une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627745">
        <w:rPr>
          <w:b/>
          <w:color w:val="000000" w:themeColor="text1"/>
          <w:sz w:val="24"/>
        </w:rPr>
        <w:t> </w:t>
      </w:r>
      <w:r>
        <w:rPr>
          <w:b/>
          <w:color w:val="000000" w:themeColor="text1"/>
          <w:sz w:val="24"/>
        </w:rPr>
        <w:t>3</w:t>
      </w:r>
      <w:r>
        <w:rPr>
          <w:color w:val="000000" w:themeColor="text1"/>
          <w:sz w:val="24"/>
        </w:rPr>
        <w:t>.</w:t>
      </w:r>
    </w:p>
    <w:p w14:paraId="77753E93" w14:textId="76275F2A" w:rsidR="00C91105" w:rsidRPr="00C67737" w:rsidRDefault="00FF4459" w:rsidP="00240AAA">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t>41</w:t>
      </w:r>
      <w:r w:rsidR="00627745">
        <w:rPr>
          <w:color w:val="000000" w:themeColor="text1"/>
          <w:sz w:val="24"/>
        </w:rPr>
        <w:t> 434 </w:t>
      </w:r>
      <w:r>
        <w:rPr>
          <w:color w:val="000000" w:themeColor="text1"/>
          <w:sz w:val="24"/>
        </w:rPr>
        <w:t>hectares de zones terrestres et d’écosystèmes faisant l’objet de mesures de remise en état</w:t>
      </w:r>
      <w:r w:rsidR="006E54C7">
        <w:rPr>
          <w:color w:val="000000" w:themeColor="text1"/>
          <w:sz w:val="24"/>
        </w:rPr>
        <w:t> :</w:t>
      </w:r>
      <w:r>
        <w:rPr>
          <w:color w:val="000000" w:themeColor="text1"/>
          <w:sz w:val="24"/>
        </w:rPr>
        <w:t xml:space="preserve"> </w:t>
      </w:r>
      <w:r>
        <w:rPr>
          <w:b/>
          <w:color w:val="000000" w:themeColor="text1"/>
          <w:sz w:val="24"/>
        </w:rPr>
        <w:t>Cible</w:t>
      </w:r>
      <w:r w:rsidR="00627745">
        <w:rPr>
          <w:b/>
          <w:color w:val="000000" w:themeColor="text1"/>
          <w:sz w:val="24"/>
        </w:rPr>
        <w:t> </w:t>
      </w:r>
      <w:r>
        <w:rPr>
          <w:b/>
          <w:color w:val="000000" w:themeColor="text1"/>
          <w:sz w:val="24"/>
        </w:rPr>
        <w:t>2</w:t>
      </w:r>
      <w:r>
        <w:rPr>
          <w:color w:val="000000" w:themeColor="text1"/>
          <w:sz w:val="24"/>
        </w:rPr>
        <w:t xml:space="preserve">. </w:t>
      </w:r>
    </w:p>
    <w:p w14:paraId="67EE8237" w14:textId="06188D91" w:rsidR="00C91105" w:rsidRPr="00C67737" w:rsidRDefault="0075452B" w:rsidP="00240AAA">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t>1</w:t>
      </w:r>
      <w:r w:rsidR="00627745">
        <w:rPr>
          <w:color w:val="000000" w:themeColor="text1"/>
          <w:sz w:val="24"/>
        </w:rPr>
        <w:t> 302 061 </w:t>
      </w:r>
      <w:r>
        <w:rPr>
          <w:color w:val="000000" w:themeColor="text1"/>
          <w:sz w:val="24"/>
        </w:rPr>
        <w:t xml:space="preserve">hectares de paysages faisant l’objet de pratiques améliorées </w:t>
      </w:r>
      <w:r w:rsidR="00254B37">
        <w:rPr>
          <w:color w:val="000000" w:themeColor="text1"/>
          <w:sz w:val="24"/>
        </w:rPr>
        <w:t>au profit de la biodiversité</w:t>
      </w:r>
      <w:r w:rsidR="006E54C7">
        <w:rPr>
          <w:color w:val="000000" w:themeColor="text1"/>
          <w:sz w:val="24"/>
        </w:rPr>
        <w:t> :</w:t>
      </w:r>
      <w:r>
        <w:rPr>
          <w:color w:val="000000" w:themeColor="text1"/>
          <w:sz w:val="24"/>
        </w:rPr>
        <w:t xml:space="preserve"> </w:t>
      </w:r>
      <w:r>
        <w:rPr>
          <w:b/>
          <w:bCs/>
          <w:color w:val="000000" w:themeColor="text1"/>
          <w:sz w:val="24"/>
        </w:rPr>
        <w:t>Cible</w:t>
      </w:r>
      <w:r w:rsidR="00627745">
        <w:rPr>
          <w:b/>
          <w:bCs/>
          <w:color w:val="000000" w:themeColor="text1"/>
          <w:sz w:val="24"/>
        </w:rPr>
        <w:t> </w:t>
      </w:r>
      <w:r>
        <w:rPr>
          <w:b/>
          <w:bCs/>
          <w:color w:val="000000" w:themeColor="text1"/>
          <w:sz w:val="24"/>
        </w:rPr>
        <w:t>5, cible</w:t>
      </w:r>
      <w:r w:rsidR="00627745">
        <w:rPr>
          <w:b/>
          <w:bCs/>
          <w:color w:val="000000" w:themeColor="text1"/>
          <w:sz w:val="24"/>
        </w:rPr>
        <w:t> </w:t>
      </w:r>
      <w:r>
        <w:rPr>
          <w:b/>
          <w:bCs/>
          <w:color w:val="000000" w:themeColor="text1"/>
          <w:sz w:val="24"/>
        </w:rPr>
        <w:t xml:space="preserve">9 </w:t>
      </w:r>
      <w:r>
        <w:rPr>
          <w:color w:val="000000" w:themeColor="text1"/>
          <w:sz w:val="24"/>
        </w:rPr>
        <w:t xml:space="preserve">et </w:t>
      </w:r>
      <w:r>
        <w:rPr>
          <w:b/>
          <w:bCs/>
          <w:color w:val="000000" w:themeColor="text1"/>
          <w:sz w:val="24"/>
        </w:rPr>
        <w:t>cible</w:t>
      </w:r>
      <w:r w:rsidR="00627745">
        <w:rPr>
          <w:b/>
          <w:bCs/>
          <w:color w:val="000000" w:themeColor="text1"/>
          <w:sz w:val="24"/>
        </w:rPr>
        <w:t> </w:t>
      </w:r>
      <w:r>
        <w:rPr>
          <w:b/>
          <w:bCs/>
          <w:color w:val="000000" w:themeColor="text1"/>
          <w:sz w:val="24"/>
        </w:rPr>
        <w:t>10.</w:t>
      </w:r>
    </w:p>
    <w:p w14:paraId="440658B7" w14:textId="2D45CBFE" w:rsidR="00C91105" w:rsidRPr="00C67737" w:rsidRDefault="00C91105" w:rsidP="00240AAA">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t xml:space="preserve">Un </w:t>
      </w:r>
      <w:r w:rsidR="006F5B83">
        <w:rPr>
          <w:color w:val="000000" w:themeColor="text1"/>
          <w:sz w:val="24"/>
        </w:rPr>
        <w:t>éco</w:t>
      </w:r>
      <w:r>
        <w:rPr>
          <w:color w:val="000000" w:themeColor="text1"/>
          <w:sz w:val="24"/>
        </w:rPr>
        <w:t>système aquatique partagé faisant l</w:t>
      </w:r>
      <w:r w:rsidR="00627745">
        <w:rPr>
          <w:color w:val="000000" w:themeColor="text1"/>
          <w:sz w:val="24"/>
        </w:rPr>
        <w:t>’</w:t>
      </w:r>
      <w:r>
        <w:rPr>
          <w:color w:val="000000" w:themeColor="text1"/>
          <w:sz w:val="24"/>
        </w:rPr>
        <w:t>objet d’une gestion améliorée</w:t>
      </w:r>
      <w:r w:rsidR="006E54C7">
        <w:rPr>
          <w:color w:val="000000" w:themeColor="text1"/>
          <w:sz w:val="24"/>
        </w:rPr>
        <w:t> :</w:t>
      </w:r>
      <w:r>
        <w:rPr>
          <w:color w:val="000000" w:themeColor="text1"/>
          <w:sz w:val="24"/>
        </w:rPr>
        <w:t xml:space="preserve"> </w:t>
      </w:r>
      <w:r>
        <w:rPr>
          <w:b/>
          <w:color w:val="000000" w:themeColor="text1"/>
          <w:sz w:val="24"/>
        </w:rPr>
        <w:t>Cible</w:t>
      </w:r>
      <w:r w:rsidR="00627745">
        <w:rPr>
          <w:b/>
          <w:color w:val="000000" w:themeColor="text1"/>
          <w:sz w:val="24"/>
        </w:rPr>
        <w:t> </w:t>
      </w:r>
      <w:r>
        <w:rPr>
          <w:b/>
          <w:color w:val="000000" w:themeColor="text1"/>
          <w:sz w:val="24"/>
        </w:rPr>
        <w:t>10</w:t>
      </w:r>
      <w:r>
        <w:rPr>
          <w:color w:val="000000" w:themeColor="text1"/>
          <w:sz w:val="24"/>
        </w:rPr>
        <w:t>.</w:t>
      </w:r>
    </w:p>
    <w:p w14:paraId="42862B10" w14:textId="0E79C2F1" w:rsidR="00C91105" w:rsidRPr="00C67737" w:rsidRDefault="002A37D2" w:rsidP="00240AAA">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t>42</w:t>
      </w:r>
      <w:r w:rsidR="00627745">
        <w:rPr>
          <w:color w:val="000000" w:themeColor="text1"/>
          <w:sz w:val="24"/>
        </w:rPr>
        <w:t> 319 966 </w:t>
      </w:r>
      <w:r>
        <w:rPr>
          <w:color w:val="000000" w:themeColor="text1"/>
          <w:sz w:val="24"/>
        </w:rPr>
        <w:t>tonnes d’émissions de gaz à effet de serre (GES) atténuées directement et 2</w:t>
      </w:r>
      <w:r w:rsidR="00627745">
        <w:rPr>
          <w:color w:val="000000" w:themeColor="text1"/>
          <w:sz w:val="24"/>
        </w:rPr>
        <w:t> 678 551 </w:t>
      </w:r>
      <w:r>
        <w:rPr>
          <w:color w:val="000000" w:themeColor="text1"/>
          <w:sz w:val="24"/>
        </w:rPr>
        <w:t xml:space="preserve">tonnes atténuées indirectement (t </w:t>
      </w:r>
      <w:proofErr w:type="spellStart"/>
      <w:r>
        <w:rPr>
          <w:color w:val="000000" w:themeColor="text1"/>
          <w:sz w:val="24"/>
        </w:rPr>
        <w:t>éq</w:t>
      </w:r>
      <w:proofErr w:type="spellEnd"/>
      <w:r>
        <w:rPr>
          <w:color w:val="000000" w:themeColor="text1"/>
          <w:sz w:val="24"/>
        </w:rPr>
        <w:t>. CO₂)</w:t>
      </w:r>
      <w:r w:rsidR="006E54C7">
        <w:rPr>
          <w:color w:val="000000" w:themeColor="text1"/>
          <w:sz w:val="24"/>
        </w:rPr>
        <w:t> :</w:t>
      </w:r>
      <w:r>
        <w:rPr>
          <w:color w:val="000000" w:themeColor="text1"/>
          <w:sz w:val="24"/>
        </w:rPr>
        <w:t xml:space="preserve"> </w:t>
      </w:r>
      <w:r>
        <w:rPr>
          <w:b/>
          <w:color w:val="000000" w:themeColor="text1"/>
          <w:sz w:val="24"/>
        </w:rPr>
        <w:t>Cible</w:t>
      </w:r>
      <w:r w:rsidR="00627745">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627745">
        <w:rPr>
          <w:b/>
          <w:color w:val="000000" w:themeColor="text1"/>
          <w:sz w:val="24"/>
        </w:rPr>
        <w:t> </w:t>
      </w:r>
      <w:r>
        <w:rPr>
          <w:b/>
          <w:color w:val="000000" w:themeColor="text1"/>
          <w:sz w:val="24"/>
        </w:rPr>
        <w:t>11</w:t>
      </w:r>
      <w:r>
        <w:rPr>
          <w:color w:val="000000" w:themeColor="text1"/>
          <w:sz w:val="24"/>
        </w:rPr>
        <w:t>.</w:t>
      </w:r>
    </w:p>
    <w:p w14:paraId="302EE2B3" w14:textId="3A63E010" w:rsidR="00C91105" w:rsidRPr="00C67737" w:rsidRDefault="00F921E3" w:rsidP="00240AAA">
      <w:pPr>
        <w:numPr>
          <w:ilvl w:val="0"/>
          <w:numId w:val="6"/>
        </w:numPr>
        <w:spacing w:before="120" w:after="120"/>
        <w:ind w:left="835" w:hanging="547"/>
        <w:contextualSpacing/>
        <w:rPr>
          <w:rFonts w:cstheme="minorHAnsi"/>
          <w:color w:val="000000" w:themeColor="text1"/>
          <w:sz w:val="24"/>
          <w:szCs w:val="24"/>
        </w:rPr>
      </w:pPr>
      <w:r>
        <w:rPr>
          <w:color w:val="000000" w:themeColor="text1"/>
          <w:sz w:val="24"/>
        </w:rPr>
        <w:t>171</w:t>
      </w:r>
      <w:r w:rsidR="00627745">
        <w:rPr>
          <w:color w:val="000000" w:themeColor="text1"/>
          <w:sz w:val="24"/>
        </w:rPr>
        <w:t> </w:t>
      </w:r>
      <w:r>
        <w:rPr>
          <w:color w:val="000000" w:themeColor="text1"/>
          <w:sz w:val="24"/>
        </w:rPr>
        <w:t>016 personnes bénéficient d’investissements financés par le GEF (77</w:t>
      </w:r>
      <w:r w:rsidR="00627745">
        <w:rPr>
          <w:color w:val="000000" w:themeColor="text1"/>
          <w:sz w:val="24"/>
        </w:rPr>
        <w:t> </w:t>
      </w:r>
      <w:r>
        <w:rPr>
          <w:color w:val="000000" w:themeColor="text1"/>
          <w:sz w:val="24"/>
        </w:rPr>
        <w:t>200 femmes et 93</w:t>
      </w:r>
      <w:r w:rsidR="00627745">
        <w:rPr>
          <w:color w:val="000000" w:themeColor="text1"/>
          <w:sz w:val="24"/>
        </w:rPr>
        <w:t> </w:t>
      </w:r>
      <w:r>
        <w:rPr>
          <w:color w:val="000000" w:themeColor="text1"/>
          <w:sz w:val="24"/>
        </w:rPr>
        <w:t>816 hommes)</w:t>
      </w:r>
      <w:r w:rsidR="006E54C7">
        <w:rPr>
          <w:color w:val="000000" w:themeColor="text1"/>
          <w:sz w:val="24"/>
        </w:rPr>
        <w:t> :</w:t>
      </w:r>
      <w:r>
        <w:rPr>
          <w:color w:val="000000" w:themeColor="text1"/>
          <w:sz w:val="24"/>
        </w:rPr>
        <w:t xml:space="preserve"> </w:t>
      </w:r>
      <w:r>
        <w:rPr>
          <w:b/>
          <w:color w:val="000000" w:themeColor="text1"/>
          <w:sz w:val="24"/>
        </w:rPr>
        <w:t>Cible</w:t>
      </w:r>
      <w:r w:rsidR="00627745">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627745">
        <w:rPr>
          <w:b/>
          <w:color w:val="000000" w:themeColor="text1"/>
          <w:sz w:val="24"/>
        </w:rPr>
        <w:t> </w:t>
      </w:r>
      <w:r>
        <w:rPr>
          <w:b/>
          <w:color w:val="000000" w:themeColor="text1"/>
          <w:sz w:val="24"/>
        </w:rPr>
        <w:t>23</w:t>
      </w:r>
      <w:r>
        <w:rPr>
          <w:color w:val="000000" w:themeColor="text1"/>
          <w:sz w:val="24"/>
        </w:rPr>
        <w:t>.</w:t>
      </w:r>
    </w:p>
    <w:p w14:paraId="63A49FF5" w14:textId="65D8971D" w:rsidR="00AD6B44" w:rsidRPr="00C67737" w:rsidRDefault="27FF3FA2" w:rsidP="000B33CF">
      <w:pPr>
        <w:pStyle w:val="ListParagraph"/>
      </w:pPr>
      <w:r>
        <w:t xml:space="preserve">Le programme intégré fournit une assistance technique et appuie des démarches participatives visant à examiner, actualiser ou élaborer des instruments favorisant la protection et la conservation des forêts primaires. Il s’appuie à cette fin sur des démarches intersectorielles destinées à renforcer la cohérence des politiques. Ces instruments comprendront des plans </w:t>
      </w:r>
      <w:r>
        <w:lastRenderedPageBreak/>
        <w:t xml:space="preserve">d’aménagement du territoire, des réglementations relatives à l’exploitation forestière, des politiques et réglementations encadrant l’octroi de concessions minières, des plans de vie des peuples autochtones, ainsi que des procédures de consultation des peuples autochtones </w:t>
      </w:r>
      <w:r>
        <w:rPr>
          <w:b/>
          <w:bCs/>
        </w:rPr>
        <w:t>(</w:t>
      </w:r>
      <w:r w:rsidR="004818D5">
        <w:rPr>
          <w:b/>
          <w:bCs/>
        </w:rPr>
        <w:t>c</w:t>
      </w:r>
      <w:r>
        <w:rPr>
          <w:b/>
          <w:bCs/>
        </w:rPr>
        <w:t>ible</w:t>
      </w:r>
      <w:r w:rsidR="00627745">
        <w:rPr>
          <w:b/>
          <w:bCs/>
        </w:rPr>
        <w:t> </w:t>
      </w:r>
      <w:r>
        <w:rPr>
          <w:b/>
          <w:bCs/>
        </w:rPr>
        <w:t>1, cible</w:t>
      </w:r>
      <w:r w:rsidR="00627745">
        <w:rPr>
          <w:b/>
          <w:bCs/>
        </w:rPr>
        <w:t> </w:t>
      </w:r>
      <w:r>
        <w:rPr>
          <w:b/>
          <w:bCs/>
        </w:rPr>
        <w:t xml:space="preserve">14 </w:t>
      </w:r>
      <w:r>
        <w:t xml:space="preserve">et </w:t>
      </w:r>
      <w:r>
        <w:rPr>
          <w:b/>
          <w:bCs/>
        </w:rPr>
        <w:t>cible</w:t>
      </w:r>
      <w:r w:rsidR="00627745">
        <w:rPr>
          <w:b/>
          <w:bCs/>
        </w:rPr>
        <w:t> </w:t>
      </w:r>
      <w:r>
        <w:rPr>
          <w:b/>
          <w:bCs/>
        </w:rPr>
        <w:t>18).</w:t>
      </w:r>
      <w:r>
        <w:t xml:space="preserve"> Le programme intégré vise en outre à mobiliser des investissements provenant de diverses sources afin d’appuyer à long terme la conservation et l’utilisation durable des forêts primaires </w:t>
      </w:r>
      <w:r>
        <w:rPr>
          <w:b/>
        </w:rPr>
        <w:t>(</w:t>
      </w:r>
      <w:r w:rsidR="004818D5">
        <w:rPr>
          <w:b/>
        </w:rPr>
        <w:t>c</w:t>
      </w:r>
      <w:r>
        <w:rPr>
          <w:b/>
        </w:rPr>
        <w:t>ible</w:t>
      </w:r>
      <w:r w:rsidR="000335D9">
        <w:rPr>
          <w:b/>
        </w:rPr>
        <w:t> </w:t>
      </w:r>
      <w:r>
        <w:rPr>
          <w:b/>
        </w:rPr>
        <w:t>19</w:t>
      </w:r>
      <w:r>
        <w:t>).</w:t>
      </w:r>
    </w:p>
    <w:p w14:paraId="34F5DA68" w14:textId="258ACE8C" w:rsidR="00C91105" w:rsidRPr="00C67737" w:rsidRDefault="006F4A08" w:rsidP="000B33CF">
      <w:pPr>
        <w:pStyle w:val="ListParagraph"/>
      </w:pPr>
      <w:bookmarkStart w:id="67" w:name="_Toc155558260"/>
      <w:bookmarkStart w:id="68" w:name="_Hlk153981764"/>
      <w:bookmarkStart w:id="69" w:name="_Toc171237804"/>
      <w:bookmarkEnd w:id="39"/>
      <w:r>
        <w:rPr>
          <w:b/>
          <w:i/>
          <w:iCs/>
        </w:rPr>
        <w:t>Programme intégré «</w:t>
      </w:r>
      <w:r w:rsidR="000335D9">
        <w:rPr>
          <w:b/>
          <w:i/>
          <w:iCs/>
        </w:rPr>
        <w:t> </w:t>
      </w:r>
      <w:r w:rsidR="00AC5BA5">
        <w:rPr>
          <w:b/>
          <w:i/>
          <w:iCs/>
        </w:rPr>
        <w:t>Conservation</w:t>
      </w:r>
      <w:r>
        <w:rPr>
          <w:b/>
          <w:i/>
          <w:iCs/>
        </w:rPr>
        <w:t xml:space="preserve"> des espèces sauvages pour le développement</w:t>
      </w:r>
      <w:r w:rsidR="000335D9">
        <w:rPr>
          <w:b/>
          <w:i/>
          <w:iCs/>
        </w:rPr>
        <w:t> </w:t>
      </w:r>
      <w:r>
        <w:rPr>
          <w:b/>
          <w:i/>
          <w:iCs/>
        </w:rPr>
        <w:t>»</w:t>
      </w:r>
      <w:r w:rsidR="00110191">
        <w:rPr>
          <w:b/>
          <w:i/>
          <w:iCs/>
        </w:rPr>
        <w:t xml:space="preserve">. </w:t>
      </w:r>
      <w:r>
        <w:t>Pays participants</w:t>
      </w:r>
      <w:r w:rsidR="006E54C7">
        <w:t> :</w:t>
      </w:r>
      <w:r>
        <w:t xml:space="preserve"> Colombie, Eswatini, Éthiopie, Guinée, Indonésie, Kenya, Mexique, Mozambique, Népal, Ouganda, Paraguay, Philippines, Thaïlande et Zambie. </w:t>
      </w:r>
      <w:bookmarkEnd w:id="67"/>
      <w:bookmarkEnd w:id="68"/>
      <w:bookmarkEnd w:id="69"/>
      <w:r>
        <w:t xml:space="preserve">L’objectif est de préserver </w:t>
      </w:r>
      <w:r w:rsidR="0078136B">
        <w:t xml:space="preserve">les espèces sauvages </w:t>
      </w:r>
      <w:r>
        <w:t xml:space="preserve">et les paysages afin d’optimiser les avantages environnementaux mondiaux et de veiller à ce que les pays et les communautés tirent parti de ces actifs naturels. Le programme intégré s’appuie sur le Programme mondial pour la vie sauvage mis en œuvre durant </w:t>
      </w:r>
      <w:r w:rsidR="00376C22">
        <w:t>GEF</w:t>
      </w:r>
      <w:r w:rsidR="00376C22">
        <w:noBreakHyphen/>
      </w:r>
      <w:r>
        <w:t xml:space="preserve">6 et </w:t>
      </w:r>
      <w:r w:rsidR="00376C22">
        <w:t>GEF</w:t>
      </w:r>
      <w:r w:rsidR="00376C22">
        <w:noBreakHyphen/>
      </w:r>
      <w:r>
        <w:t>7 et vise à contribuer à la réalisation du KMGBF en concourant aux résultats suivants</w:t>
      </w:r>
      <w:r w:rsidR="006E54C7">
        <w:t> :</w:t>
      </w:r>
    </w:p>
    <w:p w14:paraId="56C88EAA" w14:textId="1CDCA1AD" w:rsidR="00C91105" w:rsidRPr="00C67737" w:rsidRDefault="00C91105" w:rsidP="00240AAA">
      <w:pPr>
        <w:numPr>
          <w:ilvl w:val="0"/>
          <w:numId w:val="6"/>
        </w:numPr>
        <w:tabs>
          <w:tab w:val="num" w:pos="90"/>
        </w:tabs>
        <w:spacing w:before="120" w:after="120"/>
        <w:ind w:left="648"/>
        <w:contextualSpacing/>
        <w:rPr>
          <w:rFonts w:cstheme="minorHAnsi"/>
          <w:snapToGrid w:val="0"/>
          <w:color w:val="000000" w:themeColor="text1"/>
          <w:sz w:val="24"/>
          <w:szCs w:val="24"/>
        </w:rPr>
      </w:pPr>
      <w:r>
        <w:rPr>
          <w:snapToGrid w:val="0"/>
          <w:color w:val="000000" w:themeColor="text1"/>
          <w:sz w:val="24"/>
        </w:rPr>
        <w:t xml:space="preserve"> 378</w:t>
      </w:r>
      <w:r w:rsidR="000335D9">
        <w:rPr>
          <w:snapToGrid w:val="0"/>
          <w:color w:val="000000" w:themeColor="text1"/>
          <w:sz w:val="24"/>
        </w:rPr>
        <w:t> 400 </w:t>
      </w:r>
      <w:r>
        <w:rPr>
          <w:snapToGrid w:val="0"/>
          <w:color w:val="000000" w:themeColor="text1"/>
          <w:sz w:val="24"/>
        </w:rPr>
        <w:t>hectares de nouvelles aires terrestres protégées créées</w:t>
      </w:r>
      <w:r w:rsidR="006E54C7">
        <w:rPr>
          <w:snapToGrid w:val="0"/>
          <w:color w:val="000000" w:themeColor="text1"/>
          <w:sz w:val="24"/>
        </w:rPr>
        <w:t> :</w:t>
      </w:r>
      <w:r>
        <w:rPr>
          <w:snapToGrid w:val="0"/>
          <w:color w:val="000000" w:themeColor="text1"/>
          <w:sz w:val="24"/>
        </w:rPr>
        <w:t xml:space="preserve"> </w:t>
      </w:r>
      <w:r>
        <w:rPr>
          <w:b/>
          <w:snapToGrid w:val="0"/>
          <w:color w:val="000000" w:themeColor="text1"/>
          <w:sz w:val="24"/>
        </w:rPr>
        <w:t>Cible</w:t>
      </w:r>
      <w:r w:rsidR="000335D9">
        <w:rPr>
          <w:b/>
          <w:snapToGrid w:val="0"/>
          <w:color w:val="000000" w:themeColor="text1"/>
          <w:sz w:val="24"/>
        </w:rPr>
        <w:t> </w:t>
      </w:r>
      <w:r>
        <w:rPr>
          <w:b/>
          <w:snapToGrid w:val="0"/>
          <w:color w:val="000000" w:themeColor="text1"/>
          <w:sz w:val="24"/>
        </w:rPr>
        <w:t>3</w:t>
      </w:r>
      <w:r>
        <w:rPr>
          <w:snapToGrid w:val="0"/>
          <w:color w:val="000000" w:themeColor="text1"/>
          <w:sz w:val="24"/>
        </w:rPr>
        <w:t>.</w:t>
      </w:r>
    </w:p>
    <w:p w14:paraId="6715E327" w14:textId="5ED08CA2" w:rsidR="00C91105" w:rsidRPr="00C67737" w:rsidRDefault="055EA3EA" w:rsidP="00240AAA">
      <w:pPr>
        <w:numPr>
          <w:ilvl w:val="0"/>
          <w:numId w:val="6"/>
        </w:numPr>
        <w:tabs>
          <w:tab w:val="num" w:pos="90"/>
        </w:tabs>
        <w:spacing w:before="120" w:after="120"/>
        <w:ind w:left="648"/>
        <w:contextualSpacing/>
        <w:rPr>
          <w:rFonts w:cstheme="minorHAnsi"/>
          <w:snapToGrid w:val="0"/>
          <w:color w:val="000000" w:themeColor="text1"/>
          <w:sz w:val="24"/>
          <w:szCs w:val="24"/>
        </w:rPr>
      </w:pPr>
      <w:r>
        <w:rPr>
          <w:snapToGrid w:val="0"/>
          <w:color w:val="000000" w:themeColor="text1"/>
          <w:sz w:val="24"/>
        </w:rPr>
        <w:t>26</w:t>
      </w:r>
      <w:r w:rsidR="000335D9">
        <w:rPr>
          <w:snapToGrid w:val="0"/>
          <w:color w:val="000000" w:themeColor="text1"/>
          <w:sz w:val="24"/>
        </w:rPr>
        <w:t> 615 977 </w:t>
      </w:r>
      <w:r>
        <w:rPr>
          <w:snapToGrid w:val="0"/>
          <w:color w:val="000000" w:themeColor="text1"/>
          <w:sz w:val="24"/>
        </w:rPr>
        <w:t>hectares d’aires protégées terrestres faisant l</w:t>
      </w:r>
      <w:r w:rsidR="000335D9">
        <w:rPr>
          <w:snapToGrid w:val="0"/>
          <w:color w:val="000000" w:themeColor="text1"/>
          <w:sz w:val="24"/>
        </w:rPr>
        <w:t>’</w:t>
      </w:r>
      <w:r>
        <w:rPr>
          <w:snapToGrid w:val="0"/>
          <w:color w:val="000000" w:themeColor="text1"/>
          <w:sz w:val="24"/>
        </w:rPr>
        <w:t>objet d</w:t>
      </w:r>
      <w:r w:rsidR="000335D9">
        <w:rPr>
          <w:snapToGrid w:val="0"/>
          <w:color w:val="000000" w:themeColor="text1"/>
          <w:sz w:val="24"/>
        </w:rPr>
        <w:t>’</w:t>
      </w:r>
      <w:r>
        <w:rPr>
          <w:snapToGrid w:val="0"/>
          <w:color w:val="000000" w:themeColor="text1"/>
          <w:sz w:val="24"/>
        </w:rPr>
        <w:t>une gestion améliorée</w:t>
      </w:r>
      <w:r w:rsidR="006E54C7">
        <w:rPr>
          <w:snapToGrid w:val="0"/>
          <w:color w:val="000000" w:themeColor="text1"/>
          <w:sz w:val="24"/>
        </w:rPr>
        <w:t> :</w:t>
      </w:r>
      <w:r>
        <w:rPr>
          <w:snapToGrid w:val="0"/>
          <w:color w:val="000000" w:themeColor="text1"/>
          <w:sz w:val="24"/>
        </w:rPr>
        <w:t xml:space="preserve"> </w:t>
      </w:r>
      <w:r>
        <w:rPr>
          <w:b/>
          <w:snapToGrid w:val="0"/>
          <w:color w:val="000000" w:themeColor="text1"/>
          <w:sz w:val="24"/>
        </w:rPr>
        <w:t>Cible</w:t>
      </w:r>
      <w:r w:rsidR="000335D9">
        <w:rPr>
          <w:b/>
          <w:snapToGrid w:val="0"/>
          <w:color w:val="000000" w:themeColor="text1"/>
          <w:sz w:val="24"/>
        </w:rPr>
        <w:t> </w:t>
      </w:r>
      <w:r>
        <w:rPr>
          <w:b/>
          <w:snapToGrid w:val="0"/>
          <w:color w:val="000000" w:themeColor="text1"/>
          <w:sz w:val="24"/>
        </w:rPr>
        <w:t>3</w:t>
      </w:r>
      <w:r>
        <w:rPr>
          <w:snapToGrid w:val="0"/>
          <w:color w:val="000000" w:themeColor="text1"/>
          <w:sz w:val="24"/>
        </w:rPr>
        <w:t>.</w:t>
      </w:r>
    </w:p>
    <w:p w14:paraId="4DB82F60" w14:textId="5A524362" w:rsidR="00C91105" w:rsidRPr="00C67737" w:rsidRDefault="76BEEFE8" w:rsidP="00240AAA">
      <w:pPr>
        <w:numPr>
          <w:ilvl w:val="0"/>
          <w:numId w:val="6"/>
        </w:numPr>
        <w:tabs>
          <w:tab w:val="num" w:pos="90"/>
        </w:tabs>
        <w:spacing w:before="120" w:after="120"/>
        <w:ind w:left="648"/>
        <w:contextualSpacing/>
        <w:rPr>
          <w:rFonts w:cstheme="minorHAnsi"/>
          <w:snapToGrid w:val="0"/>
          <w:color w:val="000000" w:themeColor="text1"/>
          <w:sz w:val="24"/>
          <w:szCs w:val="24"/>
        </w:rPr>
      </w:pPr>
      <w:r>
        <w:rPr>
          <w:snapToGrid w:val="0"/>
          <w:color w:val="000000" w:themeColor="text1"/>
          <w:sz w:val="24"/>
        </w:rPr>
        <w:t>123</w:t>
      </w:r>
      <w:r w:rsidR="000335D9">
        <w:rPr>
          <w:snapToGrid w:val="0"/>
          <w:color w:val="000000" w:themeColor="text1"/>
          <w:sz w:val="24"/>
        </w:rPr>
        <w:t> 055 </w:t>
      </w:r>
      <w:r>
        <w:rPr>
          <w:snapToGrid w:val="0"/>
          <w:color w:val="000000" w:themeColor="text1"/>
          <w:sz w:val="24"/>
        </w:rPr>
        <w:t>hectares de zones terrestres et d’écosystèmes faisant l’objet de mesures de remise en état</w:t>
      </w:r>
      <w:r w:rsidR="006E54C7">
        <w:rPr>
          <w:snapToGrid w:val="0"/>
          <w:color w:val="000000" w:themeColor="text1"/>
          <w:sz w:val="24"/>
        </w:rPr>
        <w:t> :</w:t>
      </w:r>
      <w:r>
        <w:rPr>
          <w:snapToGrid w:val="0"/>
          <w:color w:val="000000" w:themeColor="text1"/>
          <w:sz w:val="24"/>
        </w:rPr>
        <w:t xml:space="preserve"> </w:t>
      </w:r>
      <w:r>
        <w:rPr>
          <w:b/>
          <w:snapToGrid w:val="0"/>
          <w:color w:val="000000" w:themeColor="text1"/>
          <w:sz w:val="24"/>
        </w:rPr>
        <w:t>Cible</w:t>
      </w:r>
      <w:r w:rsidR="000335D9">
        <w:rPr>
          <w:b/>
          <w:snapToGrid w:val="0"/>
          <w:color w:val="000000" w:themeColor="text1"/>
          <w:sz w:val="24"/>
        </w:rPr>
        <w:t> </w:t>
      </w:r>
      <w:r>
        <w:rPr>
          <w:b/>
          <w:snapToGrid w:val="0"/>
          <w:color w:val="000000" w:themeColor="text1"/>
          <w:sz w:val="24"/>
        </w:rPr>
        <w:t>2</w:t>
      </w:r>
      <w:r>
        <w:rPr>
          <w:snapToGrid w:val="0"/>
          <w:color w:val="000000" w:themeColor="text1"/>
          <w:sz w:val="24"/>
        </w:rPr>
        <w:t>.</w:t>
      </w:r>
    </w:p>
    <w:p w14:paraId="2DFE5868" w14:textId="2D097D29" w:rsidR="00C91105" w:rsidRPr="00C67737" w:rsidRDefault="731AF216" w:rsidP="00240AAA">
      <w:pPr>
        <w:numPr>
          <w:ilvl w:val="0"/>
          <w:numId w:val="6"/>
        </w:numPr>
        <w:tabs>
          <w:tab w:val="num" w:pos="90"/>
        </w:tabs>
        <w:spacing w:before="120" w:after="120"/>
        <w:ind w:left="648"/>
        <w:contextualSpacing/>
        <w:rPr>
          <w:snapToGrid w:val="0"/>
          <w:color w:val="000000" w:themeColor="text1"/>
          <w:sz w:val="24"/>
          <w:szCs w:val="24"/>
        </w:rPr>
      </w:pPr>
      <w:r>
        <w:rPr>
          <w:snapToGrid w:val="0"/>
          <w:color w:val="000000" w:themeColor="text1"/>
          <w:sz w:val="24"/>
        </w:rPr>
        <w:t>7</w:t>
      </w:r>
      <w:r w:rsidR="000335D9">
        <w:rPr>
          <w:snapToGrid w:val="0"/>
          <w:color w:val="000000" w:themeColor="text1"/>
          <w:sz w:val="24"/>
        </w:rPr>
        <w:t> 374 204 </w:t>
      </w:r>
      <w:r>
        <w:rPr>
          <w:snapToGrid w:val="0"/>
          <w:color w:val="000000" w:themeColor="text1"/>
          <w:sz w:val="24"/>
        </w:rPr>
        <w:t xml:space="preserve">hectares de paysages faisant l’objet de pratiques améliorées </w:t>
      </w:r>
      <w:r w:rsidR="00254B37">
        <w:rPr>
          <w:snapToGrid w:val="0"/>
          <w:color w:val="000000" w:themeColor="text1"/>
          <w:sz w:val="24"/>
        </w:rPr>
        <w:t>au profit de la biodiversité</w:t>
      </w:r>
      <w:r w:rsidR="006E54C7">
        <w:rPr>
          <w:snapToGrid w:val="0"/>
          <w:color w:val="000000" w:themeColor="text1"/>
          <w:sz w:val="24"/>
        </w:rPr>
        <w:t> :</w:t>
      </w:r>
      <w:r>
        <w:rPr>
          <w:snapToGrid w:val="0"/>
          <w:color w:val="000000" w:themeColor="text1"/>
          <w:sz w:val="24"/>
        </w:rPr>
        <w:t xml:space="preserve"> </w:t>
      </w:r>
      <w:r>
        <w:rPr>
          <w:b/>
          <w:bCs/>
          <w:snapToGrid w:val="0"/>
          <w:color w:val="000000" w:themeColor="text1"/>
          <w:sz w:val="24"/>
        </w:rPr>
        <w:t>Cible</w:t>
      </w:r>
      <w:r w:rsidR="000335D9">
        <w:rPr>
          <w:b/>
          <w:bCs/>
          <w:snapToGrid w:val="0"/>
          <w:color w:val="000000" w:themeColor="text1"/>
          <w:sz w:val="24"/>
        </w:rPr>
        <w:t> </w:t>
      </w:r>
      <w:r>
        <w:rPr>
          <w:b/>
          <w:bCs/>
          <w:snapToGrid w:val="0"/>
          <w:color w:val="000000" w:themeColor="text1"/>
          <w:sz w:val="24"/>
        </w:rPr>
        <w:t>5, cible</w:t>
      </w:r>
      <w:r w:rsidR="000335D9">
        <w:rPr>
          <w:b/>
          <w:bCs/>
          <w:snapToGrid w:val="0"/>
          <w:color w:val="000000" w:themeColor="text1"/>
          <w:sz w:val="24"/>
        </w:rPr>
        <w:t> </w:t>
      </w:r>
      <w:r>
        <w:rPr>
          <w:b/>
          <w:bCs/>
          <w:snapToGrid w:val="0"/>
          <w:color w:val="000000" w:themeColor="text1"/>
          <w:sz w:val="24"/>
        </w:rPr>
        <w:t xml:space="preserve">9 </w:t>
      </w:r>
      <w:r>
        <w:rPr>
          <w:snapToGrid w:val="0"/>
          <w:color w:val="000000" w:themeColor="text1"/>
          <w:sz w:val="24"/>
        </w:rPr>
        <w:t xml:space="preserve">et </w:t>
      </w:r>
      <w:r>
        <w:rPr>
          <w:b/>
          <w:bCs/>
          <w:snapToGrid w:val="0"/>
          <w:color w:val="000000" w:themeColor="text1"/>
          <w:sz w:val="24"/>
        </w:rPr>
        <w:t>cible</w:t>
      </w:r>
      <w:r w:rsidR="000335D9">
        <w:rPr>
          <w:b/>
          <w:bCs/>
          <w:snapToGrid w:val="0"/>
          <w:color w:val="000000" w:themeColor="text1"/>
          <w:sz w:val="24"/>
        </w:rPr>
        <w:t> </w:t>
      </w:r>
      <w:r>
        <w:rPr>
          <w:b/>
          <w:bCs/>
          <w:snapToGrid w:val="0"/>
          <w:color w:val="000000" w:themeColor="text1"/>
          <w:sz w:val="24"/>
        </w:rPr>
        <w:t>10.</w:t>
      </w:r>
    </w:p>
    <w:p w14:paraId="11926227" w14:textId="5F43B9B9" w:rsidR="00C91105" w:rsidRPr="00C67737" w:rsidRDefault="1677B546" w:rsidP="47328CA3">
      <w:pPr>
        <w:numPr>
          <w:ilvl w:val="0"/>
          <w:numId w:val="6"/>
        </w:numPr>
        <w:tabs>
          <w:tab w:val="num" w:pos="90"/>
        </w:tabs>
        <w:spacing w:before="120" w:after="120"/>
        <w:ind w:left="648"/>
        <w:contextualSpacing/>
        <w:rPr>
          <w:snapToGrid w:val="0"/>
          <w:color w:val="000000" w:themeColor="text1"/>
          <w:sz w:val="24"/>
          <w:szCs w:val="24"/>
        </w:rPr>
      </w:pPr>
      <w:r>
        <w:rPr>
          <w:snapToGrid w:val="0"/>
          <w:color w:val="000000" w:themeColor="text1"/>
          <w:sz w:val="24"/>
        </w:rPr>
        <w:t xml:space="preserve"> 29</w:t>
      </w:r>
      <w:r w:rsidR="000335D9">
        <w:rPr>
          <w:snapToGrid w:val="0"/>
          <w:color w:val="000000" w:themeColor="text1"/>
          <w:sz w:val="24"/>
        </w:rPr>
        <w:t> 085 472 </w:t>
      </w:r>
      <w:r>
        <w:rPr>
          <w:snapToGrid w:val="0"/>
          <w:color w:val="000000" w:themeColor="text1"/>
          <w:sz w:val="24"/>
        </w:rPr>
        <w:t>millions de tonnes d</w:t>
      </w:r>
      <w:r w:rsidR="000335D9">
        <w:rPr>
          <w:snapToGrid w:val="0"/>
          <w:color w:val="000000" w:themeColor="text1"/>
          <w:sz w:val="24"/>
        </w:rPr>
        <w:t>’</w:t>
      </w:r>
      <w:r>
        <w:rPr>
          <w:snapToGrid w:val="0"/>
          <w:color w:val="000000" w:themeColor="text1"/>
          <w:sz w:val="24"/>
        </w:rPr>
        <w:t>émissions de gaz à effet de</w:t>
      </w:r>
      <w:r>
        <w:rPr>
          <w:color w:val="000000" w:themeColor="text1"/>
          <w:sz w:val="24"/>
        </w:rPr>
        <w:t xml:space="preserve"> serre atténuées (</w:t>
      </w:r>
      <w:r w:rsidR="000C0CF1">
        <w:rPr>
          <w:color w:val="000000" w:themeColor="text1"/>
          <w:sz w:val="24"/>
        </w:rPr>
        <w:t xml:space="preserve">t. </w:t>
      </w:r>
      <w:proofErr w:type="spellStart"/>
      <w:r w:rsidR="000C0CF1">
        <w:rPr>
          <w:color w:val="000000" w:themeColor="text1"/>
          <w:sz w:val="24"/>
        </w:rPr>
        <w:t>éq</w:t>
      </w:r>
      <w:proofErr w:type="spellEnd"/>
      <w:r w:rsidR="000C0CF1">
        <w:rPr>
          <w:color w:val="000000" w:themeColor="text1"/>
          <w:sz w:val="24"/>
        </w:rPr>
        <w:t>. CO₂</w:t>
      </w:r>
      <w:r>
        <w:rPr>
          <w:snapToGrid w:val="0"/>
          <w:color w:val="000000" w:themeColor="text1"/>
          <w:sz w:val="24"/>
        </w:rPr>
        <w:t>)</w:t>
      </w:r>
      <w:r w:rsidR="006E54C7">
        <w:rPr>
          <w:snapToGrid w:val="0"/>
          <w:color w:val="000000" w:themeColor="text1"/>
          <w:sz w:val="24"/>
        </w:rPr>
        <w:t> :</w:t>
      </w:r>
      <w:r>
        <w:rPr>
          <w:snapToGrid w:val="0"/>
          <w:color w:val="000000" w:themeColor="text1"/>
          <w:sz w:val="24"/>
        </w:rPr>
        <w:t xml:space="preserve"> </w:t>
      </w:r>
      <w:r>
        <w:rPr>
          <w:b/>
          <w:snapToGrid w:val="0"/>
          <w:color w:val="000000" w:themeColor="text1"/>
          <w:sz w:val="24"/>
        </w:rPr>
        <w:t>Cible</w:t>
      </w:r>
      <w:r w:rsidR="000335D9">
        <w:rPr>
          <w:b/>
          <w:snapToGrid w:val="0"/>
          <w:color w:val="000000" w:themeColor="text1"/>
          <w:sz w:val="24"/>
        </w:rPr>
        <w:t> </w:t>
      </w:r>
      <w:r>
        <w:rPr>
          <w:b/>
          <w:snapToGrid w:val="0"/>
          <w:color w:val="000000" w:themeColor="text1"/>
          <w:sz w:val="24"/>
        </w:rPr>
        <w:t>8</w:t>
      </w:r>
      <w:r>
        <w:rPr>
          <w:snapToGrid w:val="0"/>
          <w:color w:val="000000" w:themeColor="text1"/>
          <w:sz w:val="24"/>
        </w:rPr>
        <w:t xml:space="preserve"> et </w:t>
      </w:r>
      <w:r>
        <w:rPr>
          <w:b/>
          <w:snapToGrid w:val="0"/>
          <w:color w:val="000000" w:themeColor="text1"/>
          <w:sz w:val="24"/>
        </w:rPr>
        <w:t>cible</w:t>
      </w:r>
      <w:r w:rsidR="000335D9">
        <w:rPr>
          <w:b/>
          <w:snapToGrid w:val="0"/>
          <w:color w:val="000000" w:themeColor="text1"/>
          <w:sz w:val="24"/>
        </w:rPr>
        <w:t> </w:t>
      </w:r>
      <w:r>
        <w:rPr>
          <w:b/>
          <w:snapToGrid w:val="0"/>
          <w:color w:val="000000" w:themeColor="text1"/>
          <w:sz w:val="24"/>
        </w:rPr>
        <w:t>11</w:t>
      </w:r>
      <w:r>
        <w:rPr>
          <w:snapToGrid w:val="0"/>
          <w:color w:val="000000" w:themeColor="text1"/>
          <w:sz w:val="24"/>
        </w:rPr>
        <w:t>.</w:t>
      </w:r>
    </w:p>
    <w:p w14:paraId="37CC39E0" w14:textId="542B05D4" w:rsidR="00C91105" w:rsidRPr="00C67737" w:rsidRDefault="1463C037" w:rsidP="00240AAA">
      <w:pPr>
        <w:numPr>
          <w:ilvl w:val="0"/>
          <w:numId w:val="6"/>
        </w:numPr>
        <w:tabs>
          <w:tab w:val="num" w:pos="90"/>
        </w:tabs>
        <w:spacing w:before="120" w:after="120"/>
        <w:ind w:left="648"/>
        <w:contextualSpacing/>
        <w:rPr>
          <w:snapToGrid w:val="0"/>
          <w:color w:val="000000" w:themeColor="text1"/>
          <w:sz w:val="24"/>
          <w:szCs w:val="24"/>
        </w:rPr>
      </w:pPr>
      <w:r>
        <w:rPr>
          <w:snapToGrid w:val="0"/>
          <w:color w:val="000000" w:themeColor="text1"/>
          <w:sz w:val="24"/>
        </w:rPr>
        <w:t xml:space="preserve"> 999</w:t>
      </w:r>
      <w:r w:rsidR="000335D9">
        <w:rPr>
          <w:snapToGrid w:val="0"/>
          <w:color w:val="000000" w:themeColor="text1"/>
          <w:sz w:val="24"/>
        </w:rPr>
        <w:t> </w:t>
      </w:r>
      <w:r>
        <w:rPr>
          <w:snapToGrid w:val="0"/>
          <w:color w:val="000000" w:themeColor="text1"/>
          <w:sz w:val="24"/>
        </w:rPr>
        <w:t>405 personnes bénéficient d’investissements financés par le GEF (dont 496</w:t>
      </w:r>
      <w:r w:rsidR="000335D9">
        <w:rPr>
          <w:snapToGrid w:val="0"/>
          <w:color w:val="000000" w:themeColor="text1"/>
          <w:sz w:val="24"/>
        </w:rPr>
        <w:t> </w:t>
      </w:r>
      <w:r>
        <w:rPr>
          <w:snapToGrid w:val="0"/>
          <w:color w:val="000000" w:themeColor="text1"/>
          <w:sz w:val="24"/>
        </w:rPr>
        <w:t>776 femmes)</w:t>
      </w:r>
      <w:r w:rsidR="006E54C7">
        <w:rPr>
          <w:snapToGrid w:val="0"/>
          <w:color w:val="000000" w:themeColor="text1"/>
          <w:sz w:val="24"/>
        </w:rPr>
        <w:t> :</w:t>
      </w:r>
      <w:r>
        <w:rPr>
          <w:snapToGrid w:val="0"/>
          <w:color w:val="000000" w:themeColor="text1"/>
          <w:sz w:val="24"/>
        </w:rPr>
        <w:t xml:space="preserve"> </w:t>
      </w:r>
      <w:r>
        <w:rPr>
          <w:b/>
          <w:snapToGrid w:val="0"/>
          <w:color w:val="000000" w:themeColor="text1"/>
          <w:sz w:val="24"/>
        </w:rPr>
        <w:t>Cible</w:t>
      </w:r>
      <w:r w:rsidR="000335D9">
        <w:rPr>
          <w:b/>
          <w:snapToGrid w:val="0"/>
          <w:color w:val="000000" w:themeColor="text1"/>
          <w:sz w:val="24"/>
        </w:rPr>
        <w:t> </w:t>
      </w:r>
      <w:r>
        <w:rPr>
          <w:b/>
          <w:snapToGrid w:val="0"/>
          <w:color w:val="000000" w:themeColor="text1"/>
          <w:sz w:val="24"/>
        </w:rPr>
        <w:t>22</w:t>
      </w:r>
      <w:r>
        <w:rPr>
          <w:snapToGrid w:val="0"/>
          <w:color w:val="000000" w:themeColor="text1"/>
          <w:sz w:val="24"/>
        </w:rPr>
        <w:t xml:space="preserve"> et </w:t>
      </w:r>
      <w:r>
        <w:rPr>
          <w:b/>
          <w:snapToGrid w:val="0"/>
          <w:color w:val="000000" w:themeColor="text1"/>
          <w:sz w:val="24"/>
        </w:rPr>
        <w:t>cible</w:t>
      </w:r>
      <w:r w:rsidR="000335D9">
        <w:rPr>
          <w:b/>
          <w:snapToGrid w:val="0"/>
          <w:color w:val="000000" w:themeColor="text1"/>
          <w:sz w:val="24"/>
        </w:rPr>
        <w:t> </w:t>
      </w:r>
      <w:r>
        <w:rPr>
          <w:b/>
          <w:snapToGrid w:val="0"/>
          <w:color w:val="000000" w:themeColor="text1"/>
          <w:sz w:val="24"/>
        </w:rPr>
        <w:t>23</w:t>
      </w:r>
      <w:r>
        <w:rPr>
          <w:snapToGrid w:val="0"/>
          <w:color w:val="000000" w:themeColor="text1"/>
          <w:sz w:val="24"/>
        </w:rPr>
        <w:t>.</w:t>
      </w:r>
    </w:p>
    <w:p w14:paraId="30D519B2" w14:textId="52FF9C2C" w:rsidR="00C91105" w:rsidRPr="00C67737" w:rsidRDefault="5F2FF2BF" w:rsidP="000B33CF">
      <w:pPr>
        <w:pStyle w:val="ListParagraph"/>
      </w:pPr>
      <w:r>
        <w:t xml:space="preserve">Le programme intégré est conçu pour contribuer directement à la réalisation des </w:t>
      </w:r>
      <w:r>
        <w:rPr>
          <w:b/>
          <w:bCs/>
        </w:rPr>
        <w:t>cibles</w:t>
      </w:r>
      <w:r w:rsidR="000335D9">
        <w:rPr>
          <w:b/>
          <w:bCs/>
        </w:rPr>
        <w:t> </w:t>
      </w:r>
      <w:r>
        <w:rPr>
          <w:b/>
          <w:bCs/>
        </w:rPr>
        <w:t>3, 4</w:t>
      </w:r>
      <w:r>
        <w:t xml:space="preserve"> et </w:t>
      </w:r>
      <w:r>
        <w:rPr>
          <w:b/>
          <w:bCs/>
        </w:rPr>
        <w:t>5</w:t>
      </w:r>
      <w:r>
        <w:t>, notamment en appuyant des réseaux représentatifs d’aires protégées efficacement gérées (</w:t>
      </w:r>
      <w:r>
        <w:rPr>
          <w:b/>
          <w:bCs/>
        </w:rPr>
        <w:t>cible</w:t>
      </w:r>
      <w:r w:rsidR="000335D9">
        <w:rPr>
          <w:b/>
          <w:bCs/>
        </w:rPr>
        <w:t> </w:t>
      </w:r>
      <w:r>
        <w:rPr>
          <w:b/>
          <w:bCs/>
        </w:rPr>
        <w:t>3</w:t>
      </w:r>
      <w:r>
        <w:t>), grâce à des mesures de conservation menées sur le terrain, de réduction des menaces et de mobilisation des communautés. Il y contribuera également par l’accroissement des financements en faveur de la conservation, l’amélioration de la gouvernance et le renforcement des moyens de subsistance des communautés. Le risque d’extinction des espèces menacées (</w:t>
      </w:r>
      <w:r>
        <w:rPr>
          <w:b/>
          <w:bCs/>
        </w:rPr>
        <w:t>cible</w:t>
      </w:r>
      <w:r w:rsidR="000335D9">
        <w:rPr>
          <w:b/>
          <w:bCs/>
        </w:rPr>
        <w:t> </w:t>
      </w:r>
      <w:r>
        <w:rPr>
          <w:b/>
          <w:bCs/>
        </w:rPr>
        <w:t>4</w:t>
      </w:r>
      <w:r>
        <w:t xml:space="preserve">) sera réduit grâce à diverses mesures de gestion, dont la conservation menée sur le terrain, ainsi qu’à l’amélioration du financement et du partage des avantages. La réduction des conflits entre les êtres humains et </w:t>
      </w:r>
      <w:r w:rsidR="00907379">
        <w:t>les espèces</w:t>
      </w:r>
      <w:r>
        <w:t xml:space="preserve"> sauvage</w:t>
      </w:r>
      <w:r w:rsidR="00B811BE">
        <w:t>s</w:t>
      </w:r>
      <w:r>
        <w:t xml:space="preserve"> (</w:t>
      </w:r>
      <w:r>
        <w:rPr>
          <w:b/>
          <w:bCs/>
        </w:rPr>
        <w:t>cible 4</w:t>
      </w:r>
      <w:r>
        <w:t>) constitue un résultat spécifique du programme intégré. Le commerce légal et durable d’espèces sauvages (</w:t>
      </w:r>
      <w:r>
        <w:rPr>
          <w:b/>
          <w:bCs/>
        </w:rPr>
        <w:t>cible</w:t>
      </w:r>
      <w:r w:rsidR="000335D9">
        <w:rPr>
          <w:b/>
          <w:bCs/>
        </w:rPr>
        <w:t> </w:t>
      </w:r>
      <w:r>
        <w:rPr>
          <w:b/>
          <w:bCs/>
        </w:rPr>
        <w:t>5</w:t>
      </w:r>
      <w:r>
        <w:t>) sera favorisé par des interventions tout au long des chaînes d’approvisionnement du commerce d’espèces sauvages, ainsi que par des mesures de lutte contre le braconnage dans les paysages prioritaires et les chaînes de valeur liées à l’utilisation durable. Le risque de transmission zoonotique découlant de certaines formes de commerce et d’utilisation d’espèces sauvages (</w:t>
      </w:r>
      <w:r>
        <w:rPr>
          <w:b/>
          <w:bCs/>
        </w:rPr>
        <w:t>cible</w:t>
      </w:r>
      <w:r w:rsidR="000335D9">
        <w:rPr>
          <w:b/>
          <w:bCs/>
        </w:rPr>
        <w:t> </w:t>
      </w:r>
      <w:r>
        <w:rPr>
          <w:b/>
          <w:bCs/>
        </w:rPr>
        <w:t>5</w:t>
      </w:r>
      <w:r>
        <w:t>) est pris en compte dans les activités ciblées et les résultats connexes du programme intégré. </w:t>
      </w:r>
    </w:p>
    <w:p w14:paraId="280E7692" w14:textId="28750BD2" w:rsidR="00C91105" w:rsidRPr="00C67737" w:rsidRDefault="003E38B7" w:rsidP="000B33CF">
      <w:pPr>
        <w:pStyle w:val="ListParagraph"/>
      </w:pPr>
      <w:bookmarkStart w:id="70" w:name="_Toc155558261"/>
      <w:bookmarkStart w:id="71" w:name="_Toc171237805"/>
      <w:r>
        <w:rPr>
          <w:b/>
          <w:i/>
          <w:iCs/>
        </w:rPr>
        <w:t>Programme intégré «</w:t>
      </w:r>
      <w:r w:rsidR="000335D9">
        <w:rPr>
          <w:b/>
          <w:i/>
          <w:iCs/>
        </w:rPr>
        <w:t> </w:t>
      </w:r>
      <w:r>
        <w:rPr>
          <w:b/>
          <w:i/>
          <w:iCs/>
        </w:rPr>
        <w:t>Systèmes alimentaires</w:t>
      </w:r>
      <w:r w:rsidR="001260FF">
        <w:rPr>
          <w:b/>
          <w:i/>
          <w:iCs/>
        </w:rPr>
        <w:t> </w:t>
      </w:r>
      <w:r>
        <w:rPr>
          <w:b/>
          <w:i/>
          <w:iCs/>
        </w:rPr>
        <w:t>»</w:t>
      </w:r>
      <w:r w:rsidR="00110191">
        <w:rPr>
          <w:b/>
          <w:i/>
          <w:iCs/>
        </w:rPr>
        <w:t>.</w:t>
      </w:r>
      <w:r>
        <w:rPr>
          <w:b/>
        </w:rPr>
        <w:t xml:space="preserve"> </w:t>
      </w:r>
      <w:r>
        <w:t>Pays participants</w:t>
      </w:r>
      <w:r w:rsidR="006E54C7">
        <w:t> :</w:t>
      </w:r>
      <w:r>
        <w:t xml:space="preserve"> Afrique du Sud, Angola, Argentine, Bénin, Bhoutan, Burkina Faso, Chili, Chine, Costa Rica, Équateur, Eswatini, </w:t>
      </w:r>
      <w:r>
        <w:lastRenderedPageBreak/>
        <w:t xml:space="preserve">Éthiopie, Ghana, Grenade, </w:t>
      </w:r>
      <w:r w:rsidR="00B811BE">
        <w:t xml:space="preserve">Îles Salomon, </w:t>
      </w:r>
      <w:r>
        <w:t>Inde, Indonésie, Kazakhstan, Kenya, Malaisie, Mexique, Namibie, Nauru, Nigéria, Ouganda, Pakistan, Pérou, Philippines, Sri Lanka, Tanzanie, Tchad, Türkiye</w:t>
      </w:r>
      <w:r w:rsidR="00B811BE">
        <w:t>.</w:t>
      </w:r>
      <w:r>
        <w:t xml:space="preserve"> </w:t>
      </w:r>
      <w:bookmarkEnd w:id="70"/>
      <w:bookmarkEnd w:id="71"/>
      <w:r>
        <w:t>L’objectif est de catalyser la transformation des systèmes alimentaires afin qu’ils deviennent durables et régénérateurs, favorables à la nature, résilients face au changement climatique et exempts de pollution. Le programme intégré vise à obtenir les résultats ci-après, qui contribuent à la mise en œuvre du KMGBF</w:t>
      </w:r>
      <w:r w:rsidR="006E54C7">
        <w:t> :</w:t>
      </w:r>
    </w:p>
    <w:p w14:paraId="4DE7932F" w14:textId="6C937C3E" w:rsidR="00C91105" w:rsidRPr="00C67737" w:rsidRDefault="00531CA0" w:rsidP="00FF1366">
      <w:pPr>
        <w:numPr>
          <w:ilvl w:val="0"/>
          <w:numId w:val="6"/>
        </w:numPr>
        <w:tabs>
          <w:tab w:val="num" w:pos="90"/>
        </w:tabs>
        <w:spacing w:before="0"/>
        <w:ind w:left="648"/>
        <w:contextualSpacing/>
        <w:rPr>
          <w:color w:val="000000" w:themeColor="text1"/>
          <w:sz w:val="24"/>
          <w:szCs w:val="24"/>
        </w:rPr>
      </w:pPr>
      <w:r>
        <w:rPr>
          <w:color w:val="000000" w:themeColor="text1"/>
          <w:sz w:val="24"/>
        </w:rPr>
        <w:t>487</w:t>
      </w:r>
      <w:r w:rsidR="001260FF">
        <w:rPr>
          <w:color w:val="000000" w:themeColor="text1"/>
          <w:sz w:val="24"/>
        </w:rPr>
        <w:t> 248 </w:t>
      </w:r>
      <w:r>
        <w:rPr>
          <w:color w:val="000000" w:themeColor="text1"/>
          <w:sz w:val="24"/>
        </w:rPr>
        <w:t>hectares de forêts, de terres boisées et de prairies naturelles faisant l’objet de mesures de restauration</w:t>
      </w:r>
      <w:r w:rsidR="006E54C7">
        <w:rPr>
          <w:color w:val="000000" w:themeColor="text1"/>
          <w:sz w:val="24"/>
        </w:rPr>
        <w:t> :</w:t>
      </w:r>
      <w:r>
        <w:rPr>
          <w:color w:val="000000" w:themeColor="text1"/>
          <w:sz w:val="24"/>
        </w:rPr>
        <w:t xml:space="preserve"> </w:t>
      </w:r>
      <w:r w:rsidR="003F6F19">
        <w:rPr>
          <w:b/>
          <w:color w:val="000000" w:themeColor="text1"/>
          <w:sz w:val="24"/>
        </w:rPr>
        <w:t>c</w:t>
      </w:r>
      <w:r>
        <w:rPr>
          <w:b/>
          <w:color w:val="000000" w:themeColor="text1"/>
          <w:sz w:val="24"/>
        </w:rPr>
        <w:t>ible</w:t>
      </w:r>
      <w:r w:rsidR="001260FF">
        <w:rPr>
          <w:b/>
          <w:color w:val="000000" w:themeColor="text1"/>
          <w:sz w:val="24"/>
        </w:rPr>
        <w:t> </w:t>
      </w:r>
      <w:r>
        <w:rPr>
          <w:b/>
          <w:color w:val="000000" w:themeColor="text1"/>
          <w:sz w:val="24"/>
        </w:rPr>
        <w:t>2.</w:t>
      </w:r>
      <w:r>
        <w:rPr>
          <w:color w:val="000000" w:themeColor="text1"/>
          <w:sz w:val="24"/>
        </w:rPr>
        <w:t xml:space="preserve"> </w:t>
      </w:r>
    </w:p>
    <w:p w14:paraId="48064B3D" w14:textId="62ED04E9" w:rsidR="00C91105" w:rsidRPr="00C67737" w:rsidRDefault="00531CA0" w:rsidP="00FF1366">
      <w:pPr>
        <w:numPr>
          <w:ilvl w:val="0"/>
          <w:numId w:val="6"/>
        </w:numPr>
        <w:tabs>
          <w:tab w:val="num" w:pos="90"/>
        </w:tabs>
        <w:ind w:left="648"/>
        <w:contextualSpacing/>
        <w:rPr>
          <w:color w:val="000000" w:themeColor="text1"/>
          <w:sz w:val="24"/>
          <w:szCs w:val="24"/>
        </w:rPr>
      </w:pPr>
      <w:r>
        <w:rPr>
          <w:color w:val="000000" w:themeColor="text1"/>
          <w:sz w:val="24"/>
        </w:rPr>
        <w:t>6</w:t>
      </w:r>
      <w:r w:rsidR="001260FF">
        <w:rPr>
          <w:color w:val="000000" w:themeColor="text1"/>
          <w:sz w:val="24"/>
        </w:rPr>
        <w:t> 359 738 </w:t>
      </w:r>
      <w:r>
        <w:rPr>
          <w:color w:val="000000" w:themeColor="text1"/>
          <w:sz w:val="24"/>
        </w:rPr>
        <w:t xml:space="preserve">hectares de paysages faisant l’objet de pratiques améliorées </w:t>
      </w:r>
      <w:r w:rsidR="00254B37">
        <w:rPr>
          <w:color w:val="000000" w:themeColor="text1"/>
          <w:sz w:val="24"/>
        </w:rPr>
        <w:t>au profit de la biodiversité</w:t>
      </w:r>
      <w:r w:rsidR="006E54C7">
        <w:rPr>
          <w:color w:val="000000" w:themeColor="text1"/>
          <w:sz w:val="24"/>
        </w:rPr>
        <w:t> :</w:t>
      </w:r>
      <w:r>
        <w:rPr>
          <w:color w:val="000000" w:themeColor="text1"/>
          <w:sz w:val="24"/>
        </w:rPr>
        <w:t xml:space="preserve"> </w:t>
      </w:r>
      <w:r w:rsidR="003F6F19">
        <w:rPr>
          <w:b/>
          <w:bCs/>
          <w:color w:val="000000" w:themeColor="text1"/>
          <w:sz w:val="24"/>
        </w:rPr>
        <w:t>c</w:t>
      </w:r>
      <w:r>
        <w:rPr>
          <w:b/>
          <w:bCs/>
          <w:color w:val="000000" w:themeColor="text1"/>
          <w:sz w:val="24"/>
        </w:rPr>
        <w:t>ible</w:t>
      </w:r>
      <w:r w:rsidR="001260FF">
        <w:rPr>
          <w:b/>
          <w:bCs/>
          <w:color w:val="000000" w:themeColor="text1"/>
          <w:sz w:val="24"/>
        </w:rPr>
        <w:t> </w:t>
      </w:r>
      <w:r>
        <w:rPr>
          <w:b/>
          <w:bCs/>
          <w:color w:val="000000" w:themeColor="text1"/>
          <w:sz w:val="24"/>
        </w:rPr>
        <w:t>5, cible</w:t>
      </w:r>
      <w:r w:rsidR="001260FF">
        <w:rPr>
          <w:b/>
          <w:bCs/>
          <w:color w:val="000000" w:themeColor="text1"/>
          <w:sz w:val="24"/>
        </w:rPr>
        <w:t> </w:t>
      </w:r>
      <w:r>
        <w:rPr>
          <w:b/>
          <w:bCs/>
          <w:color w:val="000000" w:themeColor="text1"/>
          <w:sz w:val="24"/>
        </w:rPr>
        <w:t xml:space="preserve">9 </w:t>
      </w:r>
      <w:r>
        <w:rPr>
          <w:color w:val="000000" w:themeColor="text1"/>
          <w:sz w:val="24"/>
        </w:rPr>
        <w:t xml:space="preserve">et </w:t>
      </w:r>
      <w:r>
        <w:rPr>
          <w:b/>
          <w:bCs/>
          <w:color w:val="000000" w:themeColor="text1"/>
          <w:sz w:val="24"/>
        </w:rPr>
        <w:t>cible</w:t>
      </w:r>
      <w:r w:rsidR="001260FF">
        <w:rPr>
          <w:b/>
          <w:bCs/>
          <w:color w:val="000000" w:themeColor="text1"/>
          <w:sz w:val="24"/>
        </w:rPr>
        <w:t> </w:t>
      </w:r>
      <w:r>
        <w:rPr>
          <w:b/>
          <w:bCs/>
          <w:color w:val="000000" w:themeColor="text1"/>
          <w:sz w:val="24"/>
        </w:rPr>
        <w:t>10.</w:t>
      </w:r>
    </w:p>
    <w:p w14:paraId="348142D8" w14:textId="39E518F5" w:rsidR="00C91105" w:rsidRPr="00C67737" w:rsidRDefault="377411CD" w:rsidP="00FF1366">
      <w:pPr>
        <w:numPr>
          <w:ilvl w:val="0"/>
          <w:numId w:val="6"/>
        </w:numPr>
        <w:ind w:left="648"/>
        <w:contextualSpacing/>
        <w:rPr>
          <w:color w:val="000000" w:themeColor="text1"/>
          <w:sz w:val="24"/>
          <w:szCs w:val="24"/>
        </w:rPr>
      </w:pPr>
      <w:r>
        <w:rPr>
          <w:color w:val="000000" w:themeColor="text1"/>
          <w:sz w:val="24"/>
        </w:rPr>
        <w:t>5</w:t>
      </w:r>
      <w:r w:rsidR="001260FF">
        <w:rPr>
          <w:color w:val="000000" w:themeColor="text1"/>
          <w:sz w:val="24"/>
        </w:rPr>
        <w:t> 000 </w:t>
      </w:r>
      <w:r>
        <w:rPr>
          <w:color w:val="000000" w:themeColor="text1"/>
          <w:sz w:val="24"/>
        </w:rPr>
        <w:t>hectares d’habitats marins faisant l</w:t>
      </w:r>
      <w:r w:rsidR="001260FF">
        <w:rPr>
          <w:color w:val="000000" w:themeColor="text1"/>
          <w:sz w:val="24"/>
        </w:rPr>
        <w:t>’</w:t>
      </w:r>
      <w:r>
        <w:rPr>
          <w:color w:val="000000" w:themeColor="text1"/>
          <w:sz w:val="24"/>
        </w:rPr>
        <w:t>objet de pratiques améliorées</w:t>
      </w:r>
      <w:r w:rsidR="006E54C7">
        <w:rPr>
          <w:color w:val="000000" w:themeColor="text1"/>
          <w:sz w:val="24"/>
        </w:rPr>
        <w:t> :</w:t>
      </w:r>
      <w:r>
        <w:rPr>
          <w:color w:val="000000" w:themeColor="text1"/>
          <w:sz w:val="24"/>
        </w:rPr>
        <w:t xml:space="preserve"> </w:t>
      </w:r>
      <w:r w:rsidR="003F6F19">
        <w:rPr>
          <w:b/>
          <w:color w:val="000000" w:themeColor="text1"/>
          <w:sz w:val="24"/>
        </w:rPr>
        <w:t>c</w:t>
      </w:r>
      <w:r>
        <w:rPr>
          <w:b/>
          <w:color w:val="000000" w:themeColor="text1"/>
          <w:sz w:val="24"/>
        </w:rPr>
        <w:t>ible</w:t>
      </w:r>
      <w:r w:rsidR="001260FF">
        <w:rPr>
          <w:b/>
          <w:color w:val="000000" w:themeColor="text1"/>
          <w:sz w:val="24"/>
        </w:rPr>
        <w:t> </w:t>
      </w:r>
      <w:r>
        <w:rPr>
          <w:b/>
          <w:color w:val="000000" w:themeColor="text1"/>
          <w:sz w:val="24"/>
        </w:rPr>
        <w:t>10</w:t>
      </w:r>
      <w:r>
        <w:rPr>
          <w:color w:val="000000" w:themeColor="text1"/>
          <w:sz w:val="24"/>
        </w:rPr>
        <w:t xml:space="preserve">. </w:t>
      </w:r>
    </w:p>
    <w:p w14:paraId="5DEE3095" w14:textId="54F8B13B" w:rsidR="00C91105" w:rsidRPr="00C67737" w:rsidRDefault="000C3F52" w:rsidP="00FF1366">
      <w:pPr>
        <w:numPr>
          <w:ilvl w:val="0"/>
          <w:numId w:val="6"/>
        </w:numPr>
        <w:tabs>
          <w:tab w:val="num" w:pos="90"/>
        </w:tabs>
        <w:ind w:left="648"/>
        <w:contextualSpacing/>
        <w:rPr>
          <w:color w:val="000000" w:themeColor="text1"/>
          <w:sz w:val="24"/>
          <w:szCs w:val="24"/>
        </w:rPr>
      </w:pPr>
      <w:r>
        <w:rPr>
          <w:color w:val="000000" w:themeColor="text1"/>
          <w:sz w:val="24"/>
        </w:rPr>
        <w:t>129</w:t>
      </w:r>
      <w:r w:rsidR="001260FF">
        <w:rPr>
          <w:color w:val="000000" w:themeColor="text1"/>
          <w:sz w:val="24"/>
        </w:rPr>
        <w:t> 295 137 </w:t>
      </w:r>
      <w:r>
        <w:rPr>
          <w:color w:val="000000" w:themeColor="text1"/>
          <w:sz w:val="24"/>
        </w:rPr>
        <w:t>millions de tonnes d</w:t>
      </w:r>
      <w:r w:rsidR="001260FF">
        <w:rPr>
          <w:color w:val="000000" w:themeColor="text1"/>
          <w:sz w:val="24"/>
        </w:rPr>
        <w:t>’</w:t>
      </w:r>
      <w:r>
        <w:rPr>
          <w:color w:val="000000" w:themeColor="text1"/>
          <w:sz w:val="24"/>
        </w:rPr>
        <w:t>émissions de gaz à effet de serre atténuées (</w:t>
      </w:r>
      <w:r w:rsidR="000C0CF1">
        <w:rPr>
          <w:color w:val="000000" w:themeColor="text1"/>
          <w:sz w:val="24"/>
        </w:rPr>
        <w:t xml:space="preserve">t. </w:t>
      </w:r>
      <w:proofErr w:type="spellStart"/>
      <w:r w:rsidR="000C0CF1">
        <w:rPr>
          <w:color w:val="000000" w:themeColor="text1"/>
          <w:sz w:val="24"/>
        </w:rPr>
        <w:t>éq</w:t>
      </w:r>
      <w:proofErr w:type="spellEnd"/>
      <w:r w:rsidR="000C0CF1">
        <w:rPr>
          <w:color w:val="000000" w:themeColor="text1"/>
          <w:sz w:val="24"/>
        </w:rPr>
        <w:t>. CO₂</w:t>
      </w:r>
      <w:r>
        <w:rPr>
          <w:color w:val="000000" w:themeColor="text1"/>
          <w:sz w:val="24"/>
        </w:rPr>
        <w:t>)</w:t>
      </w:r>
      <w:r w:rsidR="006E54C7">
        <w:rPr>
          <w:color w:val="000000" w:themeColor="text1"/>
          <w:sz w:val="24"/>
        </w:rPr>
        <w:t> :</w:t>
      </w:r>
      <w:r>
        <w:rPr>
          <w:color w:val="000000" w:themeColor="text1"/>
          <w:sz w:val="24"/>
        </w:rPr>
        <w:t xml:space="preserve"> </w:t>
      </w:r>
      <w:r w:rsidR="003F6F19">
        <w:rPr>
          <w:b/>
          <w:color w:val="000000" w:themeColor="text1"/>
          <w:sz w:val="24"/>
        </w:rPr>
        <w:t>c</w:t>
      </w:r>
      <w:r>
        <w:rPr>
          <w:b/>
          <w:color w:val="000000" w:themeColor="text1"/>
          <w:sz w:val="24"/>
        </w:rPr>
        <w:t>ible</w:t>
      </w:r>
      <w:r w:rsidR="001260FF">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1260FF">
        <w:rPr>
          <w:b/>
          <w:color w:val="000000" w:themeColor="text1"/>
          <w:sz w:val="24"/>
        </w:rPr>
        <w:t> </w:t>
      </w:r>
      <w:r>
        <w:rPr>
          <w:b/>
          <w:color w:val="000000" w:themeColor="text1"/>
          <w:sz w:val="24"/>
        </w:rPr>
        <w:t>11</w:t>
      </w:r>
      <w:r>
        <w:rPr>
          <w:color w:val="000000" w:themeColor="text1"/>
          <w:sz w:val="24"/>
        </w:rPr>
        <w:t>.</w:t>
      </w:r>
    </w:p>
    <w:p w14:paraId="56B37A2F" w14:textId="0A31A07C" w:rsidR="006A500E" w:rsidRPr="0079459B" w:rsidRDefault="000C3F52" w:rsidP="0079459B">
      <w:pPr>
        <w:numPr>
          <w:ilvl w:val="0"/>
          <w:numId w:val="6"/>
        </w:numPr>
        <w:tabs>
          <w:tab w:val="num" w:pos="90"/>
        </w:tabs>
        <w:ind w:left="648"/>
        <w:contextualSpacing/>
        <w:rPr>
          <w:color w:val="000000" w:themeColor="text1"/>
          <w:sz w:val="24"/>
          <w:szCs w:val="24"/>
        </w:rPr>
      </w:pPr>
      <w:r>
        <w:rPr>
          <w:color w:val="000000" w:themeColor="text1"/>
          <w:sz w:val="24"/>
        </w:rPr>
        <w:t>35</w:t>
      </w:r>
      <w:r w:rsidR="001260FF">
        <w:rPr>
          <w:color w:val="000000" w:themeColor="text1"/>
          <w:sz w:val="24"/>
        </w:rPr>
        <w:t> </w:t>
      </w:r>
      <w:r>
        <w:rPr>
          <w:color w:val="000000" w:themeColor="text1"/>
          <w:sz w:val="24"/>
        </w:rPr>
        <w:t>000 personnes bénéficient d’investissements financés par le GEF</w:t>
      </w:r>
      <w:r w:rsidR="006E54C7">
        <w:rPr>
          <w:color w:val="000000" w:themeColor="text1"/>
          <w:sz w:val="24"/>
        </w:rPr>
        <w:t> :</w:t>
      </w:r>
      <w:r>
        <w:rPr>
          <w:color w:val="000000" w:themeColor="text1"/>
          <w:sz w:val="24"/>
        </w:rPr>
        <w:t xml:space="preserve"> </w:t>
      </w:r>
      <w:r w:rsidR="003F6F19">
        <w:rPr>
          <w:b/>
          <w:color w:val="000000" w:themeColor="text1"/>
          <w:sz w:val="24"/>
        </w:rPr>
        <w:t>c</w:t>
      </w:r>
      <w:r>
        <w:rPr>
          <w:b/>
          <w:color w:val="000000" w:themeColor="text1"/>
          <w:sz w:val="24"/>
        </w:rPr>
        <w:t>ible</w:t>
      </w:r>
      <w:r w:rsidR="001260FF">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1260FF">
        <w:rPr>
          <w:b/>
          <w:color w:val="000000" w:themeColor="text1"/>
          <w:sz w:val="24"/>
        </w:rPr>
        <w:t> </w:t>
      </w:r>
      <w:r>
        <w:rPr>
          <w:b/>
          <w:color w:val="000000" w:themeColor="text1"/>
          <w:sz w:val="24"/>
        </w:rPr>
        <w:t>23</w:t>
      </w:r>
      <w:r>
        <w:rPr>
          <w:color w:val="000000" w:themeColor="text1"/>
          <w:sz w:val="24"/>
        </w:rPr>
        <w:t>.</w:t>
      </w:r>
    </w:p>
    <w:p w14:paraId="1C9BDC6B" w14:textId="3DB4EF9F" w:rsidR="00C91105" w:rsidRPr="00C67737" w:rsidRDefault="00C91105" w:rsidP="000B33CF">
      <w:pPr>
        <w:pStyle w:val="ListParagraph"/>
      </w:pPr>
      <w:r>
        <w:t>Le programme intégré appuie également la planification spatiale intégrée (</w:t>
      </w:r>
      <w:r>
        <w:rPr>
          <w:b/>
          <w:bCs/>
        </w:rPr>
        <w:t>cible</w:t>
      </w:r>
      <w:r w:rsidR="001260FF">
        <w:rPr>
          <w:b/>
          <w:bCs/>
        </w:rPr>
        <w:t> </w:t>
      </w:r>
      <w:r>
        <w:rPr>
          <w:b/>
          <w:bCs/>
        </w:rPr>
        <w:t>1</w:t>
      </w:r>
      <w:r>
        <w:t>)</w:t>
      </w:r>
      <w:r w:rsidR="001260FF">
        <w:t> </w:t>
      </w:r>
      <w:r>
        <w:t>; promeut l’amélioration des pratiques de gestion tout au long des chaînes de valeur afin de réduire les risques de pollution et ses effets néfastes (</w:t>
      </w:r>
      <w:r>
        <w:rPr>
          <w:b/>
          <w:bCs/>
        </w:rPr>
        <w:t>cible</w:t>
      </w:r>
      <w:r w:rsidR="001260FF">
        <w:rPr>
          <w:b/>
          <w:bCs/>
        </w:rPr>
        <w:t> </w:t>
      </w:r>
      <w:r>
        <w:rPr>
          <w:b/>
          <w:bCs/>
        </w:rPr>
        <w:t>7</w:t>
      </w:r>
      <w:r>
        <w:t>)</w:t>
      </w:r>
      <w:r w:rsidR="001260FF">
        <w:t> </w:t>
      </w:r>
      <w:r>
        <w:t>; encourage les entreprises à divulguer leurs risques, leurs dépendances et leurs incidences sur la diversité biologique, ainsi qu’à informer les consommateurs afin de favoriser des modes de consommation durables (</w:t>
      </w:r>
      <w:r>
        <w:rPr>
          <w:b/>
          <w:bCs/>
        </w:rPr>
        <w:t>cible</w:t>
      </w:r>
      <w:r w:rsidR="001260FF">
        <w:rPr>
          <w:b/>
          <w:bCs/>
        </w:rPr>
        <w:t> </w:t>
      </w:r>
      <w:r>
        <w:rPr>
          <w:b/>
          <w:bCs/>
        </w:rPr>
        <w:t>15</w:t>
      </w:r>
      <w:r>
        <w:t>)</w:t>
      </w:r>
      <w:r w:rsidR="001260FF">
        <w:t> </w:t>
      </w:r>
      <w:r>
        <w:t>; traite des enjeux liés à la consommation alimentaire et au gaspillage alimentaire (</w:t>
      </w:r>
      <w:r>
        <w:rPr>
          <w:b/>
          <w:bCs/>
        </w:rPr>
        <w:t>cible</w:t>
      </w:r>
      <w:r w:rsidR="001260FF">
        <w:rPr>
          <w:b/>
          <w:bCs/>
        </w:rPr>
        <w:t> </w:t>
      </w:r>
      <w:r>
        <w:rPr>
          <w:b/>
          <w:bCs/>
        </w:rPr>
        <w:t>18</w:t>
      </w:r>
      <w:r>
        <w:t>)</w:t>
      </w:r>
      <w:r w:rsidR="001260FF">
        <w:t> </w:t>
      </w:r>
      <w:r>
        <w:t>; et mobilise un large éventail de bailleurs de fonds afin d’orienter leurs pratiques de sélection des investissements vers la durabilité environnementale et de mobiliser des financements supplémentaires et de plus grande ampleur, notamment au moyen de mécanismes de financement mixte (</w:t>
      </w:r>
      <w:r>
        <w:rPr>
          <w:b/>
          <w:bCs/>
        </w:rPr>
        <w:t>cible</w:t>
      </w:r>
      <w:r w:rsidR="001260FF">
        <w:rPr>
          <w:b/>
          <w:bCs/>
        </w:rPr>
        <w:t> </w:t>
      </w:r>
      <w:r>
        <w:rPr>
          <w:b/>
          <w:bCs/>
        </w:rPr>
        <w:t>19)</w:t>
      </w:r>
      <w:r>
        <w:t>.</w:t>
      </w:r>
    </w:p>
    <w:p w14:paraId="66F5D0B4" w14:textId="1026C40C" w:rsidR="00C91105" w:rsidRPr="00C67737" w:rsidRDefault="00E3623A" w:rsidP="000B33CF">
      <w:pPr>
        <w:pStyle w:val="ListParagraph"/>
      </w:pPr>
      <w:bookmarkStart w:id="72" w:name="_Toc136518482"/>
      <w:bookmarkStart w:id="73" w:name="_Toc155558262"/>
      <w:bookmarkStart w:id="74" w:name="_Toc171237806"/>
      <w:r>
        <w:rPr>
          <w:b/>
          <w:i/>
          <w:iCs/>
        </w:rPr>
        <w:t>Programme intégré «</w:t>
      </w:r>
      <w:r w:rsidR="00D30E4C">
        <w:rPr>
          <w:b/>
          <w:i/>
          <w:iCs/>
        </w:rPr>
        <w:t> </w:t>
      </w:r>
      <w:r>
        <w:rPr>
          <w:b/>
          <w:i/>
          <w:iCs/>
        </w:rPr>
        <w:t>Océans propres et sains</w:t>
      </w:r>
      <w:r w:rsidR="00D30E4C">
        <w:rPr>
          <w:b/>
          <w:i/>
          <w:iCs/>
        </w:rPr>
        <w:t> </w:t>
      </w:r>
      <w:r>
        <w:rPr>
          <w:b/>
          <w:i/>
          <w:iCs/>
        </w:rPr>
        <w:t>»</w:t>
      </w:r>
      <w:r w:rsidR="00110191">
        <w:rPr>
          <w:b/>
          <w:i/>
          <w:iCs/>
        </w:rPr>
        <w:t xml:space="preserve">. </w:t>
      </w:r>
      <w:r>
        <w:t>Pays participants</w:t>
      </w:r>
      <w:r w:rsidR="006E54C7">
        <w:t> :</w:t>
      </w:r>
      <w:r>
        <w:t xml:space="preserve"> Grenade, Madagascar, Maldives, Mexique, Moldova, Panama, Pérou, Saint-Kitts-et-Nevis, Sri Lanka, Thaïlande, Trinité-et-Tobago, Venezuela et Viet Nam. </w:t>
      </w:r>
      <w:bookmarkEnd w:id="72"/>
      <w:bookmarkEnd w:id="73"/>
      <w:bookmarkEnd w:id="74"/>
      <w:r>
        <w:t xml:space="preserve">L’objectif est de réduire la pollution côtière d’origine agricole, industrielle et municipale au moyen de mesures </w:t>
      </w:r>
      <w:r w:rsidR="00BF5491">
        <w:t xml:space="preserve">de politique publique et </w:t>
      </w:r>
      <w:r>
        <w:t>réglementaires, d’investissements dans les infrastructures et de solutions fondées sur la nature.</w:t>
      </w:r>
      <w:r w:rsidR="00D30E4C">
        <w:rPr>
          <w:i/>
        </w:rPr>
        <w:t xml:space="preserve"> </w:t>
      </w:r>
      <w:r>
        <w:t>Le programme intégré vise à obtenir les résultats ci-après, qui contribuent à la mise en œuvre du KMGBF</w:t>
      </w:r>
      <w:r w:rsidR="006E54C7">
        <w:t> :</w:t>
      </w:r>
    </w:p>
    <w:p w14:paraId="7F54894A" w14:textId="1EC831EB" w:rsidR="00C91105" w:rsidRPr="00C67737" w:rsidRDefault="13AFDC79" w:rsidP="00FF1366">
      <w:pPr>
        <w:numPr>
          <w:ilvl w:val="0"/>
          <w:numId w:val="6"/>
        </w:numPr>
        <w:tabs>
          <w:tab w:val="num" w:pos="90"/>
        </w:tabs>
        <w:spacing w:before="120" w:after="120"/>
        <w:ind w:left="835" w:hanging="547"/>
        <w:contextualSpacing/>
        <w:rPr>
          <w:color w:val="000000" w:themeColor="text1"/>
          <w:sz w:val="24"/>
          <w:szCs w:val="24"/>
        </w:rPr>
      </w:pPr>
      <w:r>
        <w:rPr>
          <w:color w:val="000000" w:themeColor="text1"/>
          <w:sz w:val="24"/>
        </w:rPr>
        <w:t>311</w:t>
      </w:r>
      <w:r w:rsidR="00D30E4C">
        <w:rPr>
          <w:color w:val="000000" w:themeColor="text1"/>
          <w:sz w:val="24"/>
        </w:rPr>
        <w:t> 327 </w:t>
      </w:r>
      <w:r>
        <w:rPr>
          <w:color w:val="000000" w:themeColor="text1"/>
          <w:sz w:val="24"/>
        </w:rPr>
        <w:t>hectares d’aires protégées terrestres créées ou faisant l</w:t>
      </w:r>
      <w:r w:rsidR="00D30E4C">
        <w:rPr>
          <w:color w:val="000000" w:themeColor="text1"/>
          <w:sz w:val="24"/>
        </w:rPr>
        <w:t>’</w:t>
      </w:r>
      <w:r>
        <w:rPr>
          <w:color w:val="000000" w:themeColor="text1"/>
          <w:sz w:val="24"/>
        </w:rPr>
        <w:t>objet d’une gestion améliorée</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D30E4C">
        <w:rPr>
          <w:b/>
          <w:color w:val="000000" w:themeColor="text1"/>
          <w:sz w:val="24"/>
        </w:rPr>
        <w:t> </w:t>
      </w:r>
      <w:r>
        <w:rPr>
          <w:b/>
          <w:color w:val="000000" w:themeColor="text1"/>
          <w:sz w:val="24"/>
        </w:rPr>
        <w:t>3</w:t>
      </w:r>
      <w:r>
        <w:rPr>
          <w:color w:val="000000" w:themeColor="text1"/>
          <w:sz w:val="24"/>
        </w:rPr>
        <w:t>.</w:t>
      </w:r>
    </w:p>
    <w:p w14:paraId="6923DE68" w14:textId="1FEEC306" w:rsidR="00C91105" w:rsidRPr="00C67737" w:rsidRDefault="1C7E96CA" w:rsidP="00FF1366">
      <w:pPr>
        <w:numPr>
          <w:ilvl w:val="0"/>
          <w:numId w:val="6"/>
        </w:numPr>
        <w:tabs>
          <w:tab w:val="num" w:pos="90"/>
        </w:tabs>
        <w:spacing w:before="120" w:after="120"/>
        <w:ind w:left="835" w:hanging="547"/>
        <w:contextualSpacing/>
        <w:rPr>
          <w:color w:val="000000" w:themeColor="text1"/>
          <w:sz w:val="24"/>
          <w:szCs w:val="24"/>
        </w:rPr>
      </w:pPr>
      <w:r>
        <w:rPr>
          <w:color w:val="000000" w:themeColor="text1"/>
          <w:sz w:val="24"/>
        </w:rPr>
        <w:t>414</w:t>
      </w:r>
      <w:r w:rsidR="00D30E4C">
        <w:rPr>
          <w:color w:val="000000" w:themeColor="text1"/>
          <w:sz w:val="24"/>
        </w:rPr>
        <w:t> 582 </w:t>
      </w:r>
      <w:r>
        <w:rPr>
          <w:color w:val="000000" w:themeColor="text1"/>
          <w:sz w:val="24"/>
        </w:rPr>
        <w:t>hectares d’aires marines protégées créées ou faisant l</w:t>
      </w:r>
      <w:r w:rsidR="00D30E4C">
        <w:rPr>
          <w:color w:val="000000" w:themeColor="text1"/>
          <w:sz w:val="24"/>
        </w:rPr>
        <w:t>’</w:t>
      </w:r>
      <w:r>
        <w:rPr>
          <w:color w:val="000000" w:themeColor="text1"/>
          <w:sz w:val="24"/>
        </w:rPr>
        <w:t>objet d’une gestion améliorée</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D30E4C">
        <w:rPr>
          <w:b/>
          <w:color w:val="000000" w:themeColor="text1"/>
          <w:sz w:val="24"/>
        </w:rPr>
        <w:t> </w:t>
      </w:r>
      <w:r>
        <w:rPr>
          <w:b/>
          <w:color w:val="000000" w:themeColor="text1"/>
          <w:sz w:val="24"/>
        </w:rPr>
        <w:t>3</w:t>
      </w:r>
      <w:r>
        <w:rPr>
          <w:color w:val="000000" w:themeColor="text1"/>
          <w:sz w:val="24"/>
        </w:rPr>
        <w:t>.</w:t>
      </w:r>
    </w:p>
    <w:p w14:paraId="18BE421A" w14:textId="48FB7D0D" w:rsidR="00C91105" w:rsidRPr="00C67737" w:rsidRDefault="0172BCCD" w:rsidP="00FF1366">
      <w:pPr>
        <w:numPr>
          <w:ilvl w:val="0"/>
          <w:numId w:val="6"/>
        </w:numPr>
        <w:tabs>
          <w:tab w:val="num" w:pos="90"/>
        </w:tabs>
        <w:spacing w:before="120" w:after="120"/>
        <w:ind w:left="835" w:hanging="547"/>
        <w:contextualSpacing/>
        <w:rPr>
          <w:color w:val="000000" w:themeColor="text1"/>
          <w:sz w:val="24"/>
          <w:szCs w:val="24"/>
        </w:rPr>
      </w:pPr>
      <w:r>
        <w:rPr>
          <w:color w:val="000000" w:themeColor="text1"/>
          <w:sz w:val="24"/>
        </w:rPr>
        <w:t>93</w:t>
      </w:r>
      <w:r w:rsidR="00D30E4C">
        <w:rPr>
          <w:color w:val="000000" w:themeColor="text1"/>
          <w:sz w:val="24"/>
        </w:rPr>
        <w:t> 039 </w:t>
      </w:r>
      <w:r>
        <w:rPr>
          <w:color w:val="000000" w:themeColor="text1"/>
          <w:sz w:val="24"/>
        </w:rPr>
        <w:t>hectares de forêts, de terres boisées, de prairies et de zones humides faisant l’objet de mesures de restauration</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D30E4C">
        <w:rPr>
          <w:b/>
          <w:color w:val="000000" w:themeColor="text1"/>
          <w:sz w:val="24"/>
        </w:rPr>
        <w:t> </w:t>
      </w:r>
      <w:r>
        <w:rPr>
          <w:b/>
          <w:color w:val="000000" w:themeColor="text1"/>
          <w:sz w:val="24"/>
        </w:rPr>
        <w:t>2</w:t>
      </w:r>
      <w:r>
        <w:rPr>
          <w:color w:val="000000" w:themeColor="text1"/>
          <w:sz w:val="24"/>
        </w:rPr>
        <w:t xml:space="preserve">. </w:t>
      </w:r>
    </w:p>
    <w:p w14:paraId="55FA8B81" w14:textId="5C0048AC" w:rsidR="00C91105" w:rsidRPr="00C67737" w:rsidRDefault="60D58E82" w:rsidP="00FF1366">
      <w:pPr>
        <w:numPr>
          <w:ilvl w:val="0"/>
          <w:numId w:val="6"/>
        </w:numPr>
        <w:tabs>
          <w:tab w:val="num" w:pos="90"/>
        </w:tabs>
        <w:spacing w:before="120" w:after="120"/>
        <w:ind w:left="835" w:hanging="547"/>
        <w:contextualSpacing/>
        <w:rPr>
          <w:color w:val="000000" w:themeColor="text1"/>
          <w:sz w:val="24"/>
          <w:szCs w:val="24"/>
        </w:rPr>
      </w:pPr>
      <w:r>
        <w:rPr>
          <w:color w:val="000000" w:themeColor="text1"/>
          <w:sz w:val="24"/>
        </w:rPr>
        <w:t>1</w:t>
      </w:r>
      <w:bookmarkStart w:id="75" w:name="_Hlk135297025"/>
      <w:r w:rsidR="00D30E4C">
        <w:rPr>
          <w:color w:val="000000" w:themeColor="text1"/>
          <w:sz w:val="24"/>
        </w:rPr>
        <w:t> 339 078 </w:t>
      </w:r>
      <w:r>
        <w:rPr>
          <w:color w:val="000000" w:themeColor="text1"/>
          <w:sz w:val="24"/>
        </w:rPr>
        <w:t xml:space="preserve">hectares de paysages faisant l’objet de pratiques améliorées </w:t>
      </w:r>
      <w:r w:rsidR="00254B37">
        <w:rPr>
          <w:color w:val="000000" w:themeColor="text1"/>
          <w:sz w:val="24"/>
        </w:rPr>
        <w:t>au profit de la biodiversité</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D30E4C">
        <w:rPr>
          <w:b/>
          <w:color w:val="000000" w:themeColor="text1"/>
          <w:sz w:val="24"/>
        </w:rPr>
        <w:t> </w:t>
      </w:r>
      <w:r>
        <w:rPr>
          <w:b/>
          <w:color w:val="000000" w:themeColor="text1"/>
          <w:sz w:val="24"/>
        </w:rPr>
        <w:t>10</w:t>
      </w:r>
      <w:bookmarkEnd w:id="75"/>
      <w:r>
        <w:rPr>
          <w:color w:val="000000" w:themeColor="text1"/>
          <w:sz w:val="24"/>
        </w:rPr>
        <w:t>.</w:t>
      </w:r>
    </w:p>
    <w:p w14:paraId="07C6A637" w14:textId="618638AE" w:rsidR="00C91105" w:rsidRPr="00C67737" w:rsidRDefault="43CC5DB3" w:rsidP="00FF1366">
      <w:pPr>
        <w:numPr>
          <w:ilvl w:val="0"/>
          <w:numId w:val="6"/>
        </w:numPr>
        <w:tabs>
          <w:tab w:val="num" w:pos="90"/>
        </w:tabs>
        <w:spacing w:before="120" w:after="120"/>
        <w:ind w:left="835" w:hanging="547"/>
        <w:contextualSpacing/>
        <w:rPr>
          <w:color w:val="000000" w:themeColor="text1"/>
          <w:sz w:val="24"/>
          <w:szCs w:val="24"/>
        </w:rPr>
      </w:pPr>
      <w:r>
        <w:rPr>
          <w:color w:val="000000" w:themeColor="text1"/>
          <w:sz w:val="24"/>
        </w:rPr>
        <w:t>10</w:t>
      </w:r>
      <w:r w:rsidR="00D30E4C">
        <w:rPr>
          <w:color w:val="000000" w:themeColor="text1"/>
          <w:sz w:val="24"/>
        </w:rPr>
        <w:t> 513 888 </w:t>
      </w:r>
      <w:r>
        <w:rPr>
          <w:color w:val="000000" w:themeColor="text1"/>
          <w:sz w:val="24"/>
        </w:rPr>
        <w:t>hectares d’habitats marins faisant l</w:t>
      </w:r>
      <w:r w:rsidR="00D30E4C">
        <w:rPr>
          <w:color w:val="000000" w:themeColor="text1"/>
          <w:sz w:val="24"/>
        </w:rPr>
        <w:t>’</w:t>
      </w:r>
      <w:r>
        <w:rPr>
          <w:color w:val="000000" w:themeColor="text1"/>
          <w:sz w:val="24"/>
        </w:rPr>
        <w:t>objet de pratiques améliorées</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D30E4C">
        <w:rPr>
          <w:b/>
          <w:color w:val="000000" w:themeColor="text1"/>
          <w:sz w:val="24"/>
        </w:rPr>
        <w:t> </w:t>
      </w:r>
      <w:r>
        <w:rPr>
          <w:b/>
          <w:color w:val="000000" w:themeColor="text1"/>
          <w:sz w:val="24"/>
        </w:rPr>
        <w:t>10</w:t>
      </w:r>
      <w:r>
        <w:rPr>
          <w:color w:val="000000" w:themeColor="text1"/>
          <w:sz w:val="24"/>
        </w:rPr>
        <w:t>.</w:t>
      </w:r>
      <w:r>
        <w:rPr>
          <w:b/>
          <w:color w:val="000000" w:themeColor="text1"/>
          <w:sz w:val="24"/>
        </w:rPr>
        <w:t xml:space="preserve"> </w:t>
      </w:r>
    </w:p>
    <w:p w14:paraId="6AE330FE" w14:textId="32120A46" w:rsidR="00C91105" w:rsidRPr="00C67737" w:rsidRDefault="00C91105" w:rsidP="00FF1366">
      <w:pPr>
        <w:numPr>
          <w:ilvl w:val="0"/>
          <w:numId w:val="6"/>
        </w:numPr>
        <w:tabs>
          <w:tab w:val="num" w:pos="90"/>
        </w:tabs>
        <w:spacing w:before="120" w:after="120"/>
        <w:ind w:left="835" w:hanging="547"/>
        <w:contextualSpacing/>
        <w:rPr>
          <w:color w:val="000000" w:themeColor="text1"/>
          <w:sz w:val="24"/>
          <w:szCs w:val="24"/>
        </w:rPr>
      </w:pPr>
      <w:r>
        <w:rPr>
          <w:color w:val="000000" w:themeColor="text1"/>
          <w:sz w:val="24"/>
        </w:rPr>
        <w:t>9</w:t>
      </w:r>
      <w:r w:rsidR="00D30E4C">
        <w:rPr>
          <w:color w:val="000000" w:themeColor="text1"/>
          <w:sz w:val="24"/>
        </w:rPr>
        <w:t> 589 064 </w:t>
      </w:r>
      <w:r>
        <w:rPr>
          <w:color w:val="000000" w:themeColor="text1"/>
          <w:sz w:val="24"/>
        </w:rPr>
        <w:t>millions de tonnes d</w:t>
      </w:r>
      <w:r w:rsidR="00D30E4C">
        <w:rPr>
          <w:color w:val="000000" w:themeColor="text1"/>
          <w:sz w:val="24"/>
        </w:rPr>
        <w:t>’</w:t>
      </w:r>
      <w:r>
        <w:rPr>
          <w:color w:val="000000" w:themeColor="text1"/>
          <w:sz w:val="24"/>
        </w:rPr>
        <w:t>émissions de gaz à effet de serre atténuées (</w:t>
      </w:r>
      <w:r w:rsidR="000C0CF1">
        <w:rPr>
          <w:color w:val="000000" w:themeColor="text1"/>
          <w:sz w:val="24"/>
        </w:rPr>
        <w:t xml:space="preserve">t. </w:t>
      </w:r>
      <w:proofErr w:type="spellStart"/>
      <w:r w:rsidR="000C0CF1">
        <w:rPr>
          <w:color w:val="000000" w:themeColor="text1"/>
          <w:sz w:val="24"/>
        </w:rPr>
        <w:t>éq</w:t>
      </w:r>
      <w:proofErr w:type="spellEnd"/>
      <w:r w:rsidR="000C0CF1">
        <w:rPr>
          <w:color w:val="000000" w:themeColor="text1"/>
          <w:sz w:val="24"/>
        </w:rPr>
        <w:t>. CO₂</w:t>
      </w:r>
      <w:r>
        <w:rPr>
          <w:color w:val="000000" w:themeColor="text1"/>
          <w:sz w:val="24"/>
        </w:rPr>
        <w:t>)</w:t>
      </w:r>
      <w:r w:rsidR="006E54C7">
        <w:rPr>
          <w:color w:val="000000" w:themeColor="text1"/>
          <w:sz w:val="24"/>
        </w:rPr>
        <w:t> :</w:t>
      </w:r>
      <w:r>
        <w:rPr>
          <w:color w:val="000000" w:themeColor="text1"/>
          <w:sz w:val="24"/>
        </w:rPr>
        <w:t xml:space="preserve"> </w:t>
      </w:r>
      <w:r w:rsidR="00454912" w:rsidRPr="00454912">
        <w:rPr>
          <w:b/>
          <w:bCs/>
          <w:color w:val="000000" w:themeColor="text1"/>
          <w:sz w:val="24"/>
        </w:rPr>
        <w:t>c</w:t>
      </w:r>
      <w:r>
        <w:rPr>
          <w:b/>
          <w:color w:val="000000" w:themeColor="text1"/>
          <w:sz w:val="24"/>
        </w:rPr>
        <w:t>ible</w:t>
      </w:r>
      <w:r w:rsidR="00D30E4C">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D30E4C">
        <w:rPr>
          <w:b/>
          <w:color w:val="000000" w:themeColor="text1"/>
          <w:sz w:val="24"/>
        </w:rPr>
        <w:t> </w:t>
      </w:r>
      <w:r>
        <w:rPr>
          <w:b/>
          <w:color w:val="000000" w:themeColor="text1"/>
          <w:sz w:val="24"/>
        </w:rPr>
        <w:t>11.</w:t>
      </w:r>
    </w:p>
    <w:p w14:paraId="28DB7623" w14:textId="7F97AE4A" w:rsidR="00C91105" w:rsidRPr="00C67737" w:rsidRDefault="54AC1D37" w:rsidP="00FF1366">
      <w:pPr>
        <w:numPr>
          <w:ilvl w:val="0"/>
          <w:numId w:val="6"/>
        </w:numPr>
        <w:tabs>
          <w:tab w:val="num" w:pos="90"/>
        </w:tabs>
        <w:spacing w:before="120" w:after="120"/>
        <w:ind w:left="835" w:hanging="547"/>
        <w:contextualSpacing/>
        <w:rPr>
          <w:color w:val="000000" w:themeColor="text1"/>
          <w:sz w:val="24"/>
          <w:szCs w:val="24"/>
        </w:rPr>
      </w:pPr>
      <w:r>
        <w:rPr>
          <w:color w:val="000000" w:themeColor="text1"/>
          <w:sz w:val="24"/>
        </w:rPr>
        <w:lastRenderedPageBreak/>
        <w:t xml:space="preserve">10 </w:t>
      </w:r>
      <w:r w:rsidR="006F5B83">
        <w:rPr>
          <w:color w:val="000000" w:themeColor="text1"/>
          <w:sz w:val="24"/>
        </w:rPr>
        <w:t>éco</w:t>
      </w:r>
      <w:r>
        <w:rPr>
          <w:color w:val="000000" w:themeColor="text1"/>
          <w:sz w:val="24"/>
        </w:rPr>
        <w:t>systèmes aquatiques partagés faisant l</w:t>
      </w:r>
      <w:r w:rsidR="00D30E4C">
        <w:rPr>
          <w:color w:val="000000" w:themeColor="text1"/>
          <w:sz w:val="24"/>
        </w:rPr>
        <w:t>’</w:t>
      </w:r>
      <w:r>
        <w:rPr>
          <w:color w:val="000000" w:themeColor="text1"/>
          <w:sz w:val="24"/>
        </w:rPr>
        <w:t>objet d’une gestion améliorée</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D30E4C">
        <w:rPr>
          <w:b/>
          <w:color w:val="000000" w:themeColor="text1"/>
          <w:sz w:val="24"/>
        </w:rPr>
        <w:t> </w:t>
      </w:r>
      <w:r>
        <w:rPr>
          <w:b/>
          <w:color w:val="000000" w:themeColor="text1"/>
          <w:sz w:val="24"/>
        </w:rPr>
        <w:t>10</w:t>
      </w:r>
      <w:r>
        <w:rPr>
          <w:color w:val="000000" w:themeColor="text1"/>
          <w:sz w:val="24"/>
        </w:rPr>
        <w:t>.</w:t>
      </w:r>
    </w:p>
    <w:p w14:paraId="064FEBEB" w14:textId="004CA7D0" w:rsidR="00C91105" w:rsidRPr="00C67737" w:rsidRDefault="00C91105" w:rsidP="00FF1366">
      <w:pPr>
        <w:numPr>
          <w:ilvl w:val="0"/>
          <w:numId w:val="6"/>
        </w:numPr>
        <w:tabs>
          <w:tab w:val="num" w:pos="90"/>
        </w:tabs>
        <w:spacing w:before="120" w:after="120"/>
        <w:ind w:left="835" w:hanging="547"/>
        <w:contextualSpacing/>
        <w:rPr>
          <w:rFonts w:cstheme="minorHAnsi"/>
          <w:color w:val="000000" w:themeColor="text1"/>
          <w:sz w:val="24"/>
          <w:szCs w:val="24"/>
        </w:rPr>
      </w:pPr>
      <w:r>
        <w:rPr>
          <w:color w:val="000000" w:themeColor="text1"/>
          <w:sz w:val="24"/>
        </w:rPr>
        <w:t>120</w:t>
      </w:r>
      <w:r w:rsidR="00D30E4C">
        <w:rPr>
          <w:color w:val="000000" w:themeColor="text1"/>
          <w:sz w:val="24"/>
        </w:rPr>
        <w:t> </w:t>
      </w:r>
      <w:r>
        <w:rPr>
          <w:color w:val="000000" w:themeColor="text1"/>
          <w:sz w:val="24"/>
        </w:rPr>
        <w:t>tonnes de produits chimiques préoccupants à l’échelle mondiale et de déchets connexes réduites</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D30E4C">
        <w:rPr>
          <w:b/>
          <w:color w:val="000000" w:themeColor="text1"/>
          <w:sz w:val="24"/>
        </w:rPr>
        <w:t> </w:t>
      </w:r>
      <w:r>
        <w:rPr>
          <w:b/>
          <w:color w:val="000000" w:themeColor="text1"/>
          <w:sz w:val="24"/>
        </w:rPr>
        <w:t>7</w:t>
      </w:r>
      <w:r>
        <w:rPr>
          <w:color w:val="000000" w:themeColor="text1"/>
          <w:sz w:val="24"/>
        </w:rPr>
        <w:t>.</w:t>
      </w:r>
    </w:p>
    <w:p w14:paraId="5F7C03D4" w14:textId="6B97DC06" w:rsidR="00AD6B44" w:rsidRPr="00C67737" w:rsidRDefault="5E375903" w:rsidP="00FF1366">
      <w:pPr>
        <w:numPr>
          <w:ilvl w:val="0"/>
          <w:numId w:val="6"/>
        </w:numPr>
        <w:tabs>
          <w:tab w:val="num" w:pos="90"/>
        </w:tabs>
        <w:spacing w:before="120" w:after="120"/>
        <w:ind w:left="835" w:hanging="547"/>
        <w:contextualSpacing/>
        <w:rPr>
          <w:color w:val="000000" w:themeColor="text1"/>
          <w:sz w:val="24"/>
          <w:szCs w:val="24"/>
        </w:rPr>
      </w:pPr>
      <w:r>
        <w:rPr>
          <w:color w:val="000000" w:themeColor="text1"/>
          <w:sz w:val="24"/>
        </w:rPr>
        <w:t>526</w:t>
      </w:r>
      <w:r w:rsidR="00D30E4C">
        <w:rPr>
          <w:color w:val="000000" w:themeColor="text1"/>
          <w:sz w:val="24"/>
        </w:rPr>
        <w:t> </w:t>
      </w:r>
      <w:r>
        <w:rPr>
          <w:color w:val="000000" w:themeColor="text1"/>
          <w:sz w:val="24"/>
        </w:rPr>
        <w:t>403 personnes bénéficient d’investissements financés par le GEF</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D30E4C">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D30E4C">
        <w:rPr>
          <w:b/>
          <w:color w:val="000000" w:themeColor="text1"/>
          <w:sz w:val="24"/>
        </w:rPr>
        <w:t> </w:t>
      </w:r>
      <w:r>
        <w:rPr>
          <w:b/>
          <w:color w:val="000000" w:themeColor="text1"/>
          <w:sz w:val="24"/>
        </w:rPr>
        <w:t>23</w:t>
      </w:r>
      <w:r>
        <w:rPr>
          <w:color w:val="000000" w:themeColor="text1"/>
          <w:sz w:val="24"/>
        </w:rPr>
        <w:t>.</w:t>
      </w:r>
    </w:p>
    <w:p w14:paraId="2F58443B" w14:textId="4D9ED0C6" w:rsidR="00C91105" w:rsidRPr="00C67737" w:rsidRDefault="00813DC6" w:rsidP="000B33CF">
      <w:pPr>
        <w:pStyle w:val="ListParagraph"/>
      </w:pPr>
      <w:bookmarkStart w:id="76" w:name="_Toc171237807"/>
      <w:bookmarkStart w:id="77" w:name="_Hlk170729837"/>
      <w:r>
        <w:rPr>
          <w:b/>
          <w:i/>
          <w:iCs/>
        </w:rPr>
        <w:t>Programme intégré «</w:t>
      </w:r>
      <w:r w:rsidR="00D30E4C">
        <w:rPr>
          <w:b/>
          <w:i/>
          <w:iCs/>
        </w:rPr>
        <w:t> </w:t>
      </w:r>
      <w:r>
        <w:rPr>
          <w:b/>
          <w:i/>
          <w:iCs/>
        </w:rPr>
        <w:t>Développement d’une infrastructure de transport verte</w:t>
      </w:r>
      <w:r w:rsidR="00D30E4C">
        <w:rPr>
          <w:b/>
          <w:i/>
          <w:iCs/>
        </w:rPr>
        <w:t> </w:t>
      </w:r>
      <w:r>
        <w:rPr>
          <w:b/>
          <w:i/>
          <w:iCs/>
        </w:rPr>
        <w:t>»</w:t>
      </w:r>
      <w:r w:rsidR="00110191">
        <w:rPr>
          <w:b/>
          <w:i/>
          <w:iCs/>
        </w:rPr>
        <w:t>.</w:t>
      </w:r>
      <w:r>
        <w:rPr>
          <w:b/>
        </w:rPr>
        <w:t xml:space="preserve"> </w:t>
      </w:r>
      <w:r>
        <w:t>Pays participants</w:t>
      </w:r>
      <w:r w:rsidR="006E54C7">
        <w:t> :</w:t>
      </w:r>
      <w:r>
        <w:t xml:space="preserve"> Malaisie, Népal, Philippines, Suriname et Ukraine.</w:t>
      </w:r>
      <w:r>
        <w:rPr>
          <w:b/>
        </w:rPr>
        <w:t xml:space="preserve"> </w:t>
      </w:r>
      <w:r>
        <w:t>Le programme intégré préservera la diversité biologique et évitera d’éventuelles incidences négatives en privilégiant des mesures en amont, notamment dans les domaines des politiques publiques, de la planification, de la conception et du financement. Ces mesures doivent entraîner, en aval, une transformation systémique des modalités d’implantation et de construction des infrastructures de transport ainsi que d’entretien des infrastructures naturelles.</w:t>
      </w:r>
      <w:bookmarkEnd w:id="76"/>
      <w:r w:rsidR="00D30E4C">
        <w:t xml:space="preserve"> </w:t>
      </w:r>
      <w:r>
        <w:t xml:space="preserve">L’objectif est d’accélérer la transition vers des infrastructures de transport durables qui protègent et renforcent les principaux écosystèmes côtiers, marins et terrestres. </w:t>
      </w:r>
      <w:bookmarkEnd w:id="77"/>
      <w:r>
        <w:t>Le programme intégré vise à obtenir les résultats ci-après, qui contribuent à la mise en œuvre du KMGBF</w:t>
      </w:r>
      <w:r w:rsidR="006E54C7">
        <w:t> :</w:t>
      </w:r>
    </w:p>
    <w:p w14:paraId="683E61D3" w14:textId="2CC0FF8A"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Pr>
          <w:color w:val="000000" w:themeColor="text1"/>
          <w:sz w:val="24"/>
        </w:rPr>
        <w:t>259</w:t>
      </w:r>
      <w:r w:rsidR="00D30E4C">
        <w:rPr>
          <w:color w:val="000000" w:themeColor="text1"/>
          <w:sz w:val="24"/>
        </w:rPr>
        <w:t> 469 </w:t>
      </w:r>
      <w:r>
        <w:rPr>
          <w:color w:val="000000" w:themeColor="text1"/>
          <w:sz w:val="24"/>
        </w:rPr>
        <w:t>hectares d’aires protégées terrestres faisant l</w:t>
      </w:r>
      <w:r w:rsidR="00D30E4C">
        <w:rPr>
          <w:color w:val="000000" w:themeColor="text1"/>
          <w:sz w:val="24"/>
        </w:rPr>
        <w:t>’</w:t>
      </w:r>
      <w:r>
        <w:rPr>
          <w:color w:val="000000" w:themeColor="text1"/>
          <w:sz w:val="24"/>
        </w:rPr>
        <w:t>objet d’une gestion améliorée</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D30E4C">
        <w:rPr>
          <w:b/>
          <w:color w:val="000000" w:themeColor="text1"/>
          <w:sz w:val="24"/>
        </w:rPr>
        <w:t> </w:t>
      </w:r>
      <w:r>
        <w:rPr>
          <w:b/>
          <w:color w:val="000000" w:themeColor="text1"/>
          <w:sz w:val="24"/>
        </w:rPr>
        <w:t>3</w:t>
      </w:r>
      <w:r>
        <w:rPr>
          <w:color w:val="000000" w:themeColor="text1"/>
          <w:sz w:val="24"/>
        </w:rPr>
        <w:t>.</w:t>
      </w:r>
    </w:p>
    <w:p w14:paraId="3C3BC60D" w14:textId="4E2A672D"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Pr>
          <w:color w:val="000000" w:themeColor="text1"/>
          <w:sz w:val="24"/>
        </w:rPr>
        <w:t>30</w:t>
      </w:r>
      <w:r w:rsidR="00D30E4C">
        <w:rPr>
          <w:color w:val="000000" w:themeColor="text1"/>
          <w:sz w:val="24"/>
        </w:rPr>
        <w:t> 740 </w:t>
      </w:r>
      <w:r>
        <w:rPr>
          <w:color w:val="000000" w:themeColor="text1"/>
          <w:sz w:val="24"/>
        </w:rPr>
        <w:t>hectares de zones terrestres et d’écosystèmes faisant l’objet de mesures de remise en état</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CE1842">
        <w:rPr>
          <w:b/>
          <w:color w:val="000000" w:themeColor="text1"/>
          <w:sz w:val="24"/>
        </w:rPr>
        <w:t> </w:t>
      </w:r>
      <w:r>
        <w:rPr>
          <w:b/>
          <w:color w:val="000000" w:themeColor="text1"/>
          <w:sz w:val="24"/>
        </w:rPr>
        <w:t>2</w:t>
      </w:r>
      <w:r>
        <w:rPr>
          <w:color w:val="000000" w:themeColor="text1"/>
          <w:sz w:val="24"/>
        </w:rPr>
        <w:t xml:space="preserve">. </w:t>
      </w:r>
    </w:p>
    <w:p w14:paraId="5C29B7DD" w14:textId="60AACA84"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Pr>
          <w:color w:val="000000" w:themeColor="text1"/>
          <w:sz w:val="24"/>
        </w:rPr>
        <w:t>582</w:t>
      </w:r>
      <w:r w:rsidR="00CE1842">
        <w:rPr>
          <w:color w:val="000000" w:themeColor="text1"/>
          <w:sz w:val="24"/>
        </w:rPr>
        <w:t> 200 </w:t>
      </w:r>
      <w:r>
        <w:rPr>
          <w:color w:val="000000" w:themeColor="text1"/>
          <w:sz w:val="24"/>
        </w:rPr>
        <w:t xml:space="preserve">hectares de paysages faisant l’objet de pratiques améliorées </w:t>
      </w:r>
      <w:r w:rsidR="00254B37">
        <w:rPr>
          <w:color w:val="000000" w:themeColor="text1"/>
          <w:sz w:val="24"/>
        </w:rPr>
        <w:t>au profit de la biodiversité</w:t>
      </w:r>
      <w:r w:rsidR="006E54C7">
        <w:rPr>
          <w:color w:val="000000" w:themeColor="text1"/>
          <w:sz w:val="24"/>
        </w:rPr>
        <w:t> :</w:t>
      </w:r>
      <w:r>
        <w:rPr>
          <w:color w:val="000000" w:themeColor="text1"/>
          <w:sz w:val="24"/>
        </w:rPr>
        <w:t xml:space="preserve"> </w:t>
      </w:r>
      <w:r w:rsidR="00454912">
        <w:rPr>
          <w:b/>
          <w:bCs/>
          <w:color w:val="000000" w:themeColor="text1"/>
          <w:sz w:val="24"/>
        </w:rPr>
        <w:t>c</w:t>
      </w:r>
      <w:r>
        <w:rPr>
          <w:b/>
          <w:bCs/>
          <w:color w:val="000000" w:themeColor="text1"/>
          <w:sz w:val="24"/>
        </w:rPr>
        <w:t>ible</w:t>
      </w:r>
      <w:r w:rsidR="00CE1842">
        <w:rPr>
          <w:b/>
          <w:bCs/>
          <w:color w:val="000000" w:themeColor="text1"/>
          <w:sz w:val="24"/>
        </w:rPr>
        <w:t> </w:t>
      </w:r>
      <w:r>
        <w:rPr>
          <w:b/>
          <w:bCs/>
          <w:color w:val="000000" w:themeColor="text1"/>
          <w:sz w:val="24"/>
        </w:rPr>
        <w:t>5, cible</w:t>
      </w:r>
      <w:r w:rsidR="00CE1842">
        <w:rPr>
          <w:b/>
          <w:bCs/>
          <w:color w:val="000000" w:themeColor="text1"/>
          <w:sz w:val="24"/>
        </w:rPr>
        <w:t> </w:t>
      </w:r>
      <w:r>
        <w:rPr>
          <w:b/>
          <w:bCs/>
          <w:color w:val="000000" w:themeColor="text1"/>
          <w:sz w:val="24"/>
        </w:rPr>
        <w:t xml:space="preserve">9 </w:t>
      </w:r>
      <w:r>
        <w:rPr>
          <w:color w:val="000000" w:themeColor="text1"/>
          <w:sz w:val="24"/>
        </w:rPr>
        <w:t xml:space="preserve">et </w:t>
      </w:r>
      <w:r>
        <w:rPr>
          <w:b/>
          <w:bCs/>
          <w:color w:val="000000" w:themeColor="text1"/>
          <w:sz w:val="24"/>
        </w:rPr>
        <w:t>cible</w:t>
      </w:r>
      <w:r w:rsidR="00CE1842">
        <w:rPr>
          <w:b/>
          <w:bCs/>
          <w:color w:val="000000" w:themeColor="text1"/>
          <w:sz w:val="24"/>
        </w:rPr>
        <w:t> </w:t>
      </w:r>
      <w:r>
        <w:rPr>
          <w:b/>
          <w:bCs/>
          <w:color w:val="000000" w:themeColor="text1"/>
          <w:sz w:val="24"/>
        </w:rPr>
        <w:t>10.</w:t>
      </w:r>
    </w:p>
    <w:p w14:paraId="477F7CA4" w14:textId="02B8C251"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Pr>
          <w:color w:val="000000" w:themeColor="text1"/>
          <w:sz w:val="24"/>
        </w:rPr>
        <w:t>71</w:t>
      </w:r>
      <w:r w:rsidR="00CE1842">
        <w:rPr>
          <w:color w:val="000000" w:themeColor="text1"/>
          <w:sz w:val="24"/>
        </w:rPr>
        <w:t> 976 </w:t>
      </w:r>
      <w:r>
        <w:rPr>
          <w:color w:val="000000" w:themeColor="text1"/>
          <w:sz w:val="24"/>
        </w:rPr>
        <w:t>hectares d</w:t>
      </w:r>
      <w:r w:rsidR="00E82095">
        <w:rPr>
          <w:color w:val="000000" w:themeColor="text1"/>
          <w:sz w:val="24"/>
        </w:rPr>
        <w:t>’</w:t>
      </w:r>
      <w:r>
        <w:rPr>
          <w:color w:val="000000" w:themeColor="text1"/>
          <w:sz w:val="24"/>
        </w:rPr>
        <w:t xml:space="preserve">habitats marins faisant l’objet de pratiques améliorées </w:t>
      </w:r>
      <w:r w:rsidR="00254B37">
        <w:rPr>
          <w:color w:val="000000" w:themeColor="text1"/>
          <w:sz w:val="24"/>
        </w:rPr>
        <w:t>au profit de la biodiversité</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CE1842">
        <w:rPr>
          <w:b/>
          <w:color w:val="000000" w:themeColor="text1"/>
          <w:sz w:val="24"/>
        </w:rPr>
        <w:t> </w:t>
      </w:r>
      <w:r>
        <w:rPr>
          <w:b/>
          <w:color w:val="000000" w:themeColor="text1"/>
          <w:sz w:val="24"/>
        </w:rPr>
        <w:t>10</w:t>
      </w:r>
      <w:r>
        <w:rPr>
          <w:color w:val="000000" w:themeColor="text1"/>
          <w:sz w:val="24"/>
        </w:rPr>
        <w:t xml:space="preserve">. </w:t>
      </w:r>
    </w:p>
    <w:p w14:paraId="00DD73E0" w14:textId="1E14EC47"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Pr>
          <w:color w:val="000000" w:themeColor="text1"/>
          <w:sz w:val="24"/>
        </w:rPr>
        <w:t>8</w:t>
      </w:r>
      <w:r w:rsidR="00CE1842">
        <w:rPr>
          <w:color w:val="000000" w:themeColor="text1"/>
          <w:sz w:val="24"/>
        </w:rPr>
        <w:t> 115 017 </w:t>
      </w:r>
      <w:r>
        <w:rPr>
          <w:color w:val="000000" w:themeColor="text1"/>
          <w:sz w:val="24"/>
        </w:rPr>
        <w:t>tonnes d</w:t>
      </w:r>
      <w:r w:rsidR="00CE1842">
        <w:rPr>
          <w:color w:val="000000" w:themeColor="text1"/>
          <w:sz w:val="24"/>
        </w:rPr>
        <w:t>’</w:t>
      </w:r>
      <w:r>
        <w:rPr>
          <w:color w:val="000000" w:themeColor="text1"/>
          <w:sz w:val="24"/>
        </w:rPr>
        <w:t>émissions de gaz à effet de serre atténuées directement (</w:t>
      </w:r>
      <w:r w:rsidR="000C0CF1">
        <w:rPr>
          <w:color w:val="000000" w:themeColor="text1"/>
          <w:sz w:val="24"/>
        </w:rPr>
        <w:t xml:space="preserve">t. </w:t>
      </w:r>
      <w:proofErr w:type="spellStart"/>
      <w:r w:rsidR="000C0CF1">
        <w:rPr>
          <w:color w:val="000000" w:themeColor="text1"/>
          <w:sz w:val="24"/>
        </w:rPr>
        <w:t>éq</w:t>
      </w:r>
      <w:proofErr w:type="spellEnd"/>
      <w:r w:rsidR="000C0CF1">
        <w:rPr>
          <w:color w:val="000000" w:themeColor="text1"/>
          <w:sz w:val="24"/>
        </w:rPr>
        <w:t>. CO₂</w:t>
      </w:r>
      <w:r>
        <w:rPr>
          <w:color w:val="000000" w:themeColor="text1"/>
          <w:sz w:val="24"/>
        </w:rPr>
        <w:t xml:space="preserve">) </w:t>
      </w:r>
      <w:r w:rsidR="00454912">
        <w:rPr>
          <w:b/>
          <w:color w:val="000000" w:themeColor="text1"/>
          <w:sz w:val="24"/>
        </w:rPr>
        <w:t>c</w:t>
      </w:r>
      <w:r>
        <w:rPr>
          <w:b/>
          <w:color w:val="000000" w:themeColor="text1"/>
          <w:sz w:val="24"/>
        </w:rPr>
        <w:t>ible</w:t>
      </w:r>
      <w:r w:rsidR="00CE1842">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CE1842">
        <w:rPr>
          <w:b/>
          <w:color w:val="000000" w:themeColor="text1"/>
          <w:sz w:val="24"/>
        </w:rPr>
        <w:t> </w:t>
      </w:r>
      <w:r>
        <w:rPr>
          <w:b/>
          <w:color w:val="000000" w:themeColor="text1"/>
          <w:sz w:val="24"/>
        </w:rPr>
        <w:t>11</w:t>
      </w:r>
      <w:r>
        <w:rPr>
          <w:color w:val="000000" w:themeColor="text1"/>
          <w:sz w:val="24"/>
        </w:rPr>
        <w:t>.</w:t>
      </w:r>
    </w:p>
    <w:p w14:paraId="4AB3191D" w14:textId="6AF8C2F4"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Pr>
          <w:color w:val="000000" w:themeColor="text1"/>
          <w:sz w:val="24"/>
        </w:rPr>
        <w:t>267</w:t>
      </w:r>
      <w:r w:rsidR="00CE1842">
        <w:rPr>
          <w:color w:val="000000" w:themeColor="text1"/>
          <w:sz w:val="24"/>
        </w:rPr>
        <w:t> </w:t>
      </w:r>
      <w:r>
        <w:rPr>
          <w:color w:val="000000" w:themeColor="text1"/>
          <w:sz w:val="24"/>
        </w:rPr>
        <w:t>858 personnes bénéficient d’investissements financés par le GEF (143</w:t>
      </w:r>
      <w:r w:rsidR="00CE1842">
        <w:rPr>
          <w:color w:val="000000" w:themeColor="text1"/>
          <w:sz w:val="24"/>
        </w:rPr>
        <w:t> </w:t>
      </w:r>
      <w:r>
        <w:rPr>
          <w:color w:val="000000" w:themeColor="text1"/>
          <w:sz w:val="24"/>
        </w:rPr>
        <w:t>101 femmes et 124</w:t>
      </w:r>
      <w:r w:rsidR="00CE1842">
        <w:rPr>
          <w:color w:val="000000" w:themeColor="text1"/>
          <w:sz w:val="24"/>
        </w:rPr>
        <w:t> </w:t>
      </w:r>
      <w:r>
        <w:rPr>
          <w:color w:val="000000" w:themeColor="text1"/>
          <w:sz w:val="24"/>
        </w:rPr>
        <w:t>757 hommes)</w:t>
      </w:r>
      <w:r w:rsidR="006E54C7">
        <w:rPr>
          <w:color w:val="000000" w:themeColor="text1"/>
          <w:sz w:val="24"/>
        </w:rPr>
        <w:t> :</w:t>
      </w:r>
      <w:r>
        <w:rPr>
          <w:color w:val="000000" w:themeColor="text1"/>
          <w:sz w:val="24"/>
        </w:rPr>
        <w:t xml:space="preserve"> </w:t>
      </w:r>
      <w:r w:rsidR="00454912">
        <w:rPr>
          <w:b/>
          <w:color w:val="000000" w:themeColor="text1"/>
          <w:sz w:val="24"/>
        </w:rPr>
        <w:t>c</w:t>
      </w:r>
      <w:r>
        <w:rPr>
          <w:b/>
          <w:color w:val="000000" w:themeColor="text1"/>
          <w:sz w:val="24"/>
        </w:rPr>
        <w:t>ible</w:t>
      </w:r>
      <w:r w:rsidR="00CE1842">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CE1842">
        <w:rPr>
          <w:b/>
          <w:color w:val="000000" w:themeColor="text1"/>
          <w:sz w:val="24"/>
        </w:rPr>
        <w:t> </w:t>
      </w:r>
      <w:r>
        <w:rPr>
          <w:b/>
          <w:color w:val="000000" w:themeColor="text1"/>
          <w:sz w:val="24"/>
        </w:rPr>
        <w:t>23</w:t>
      </w:r>
      <w:r>
        <w:rPr>
          <w:color w:val="000000" w:themeColor="text1"/>
          <w:sz w:val="24"/>
        </w:rPr>
        <w:t>.</w:t>
      </w:r>
    </w:p>
    <w:p w14:paraId="40EC9982" w14:textId="76BA68CB" w:rsidR="00BD7EEA" w:rsidRPr="00C67737" w:rsidRDefault="009A1ED9" w:rsidP="000B33CF">
      <w:pPr>
        <w:pStyle w:val="ListParagraph"/>
      </w:pPr>
      <w:r>
        <w:rPr>
          <w:rStyle w:val="cf01"/>
          <w:rFonts w:asciiTheme="minorHAnsi" w:hAnsiTheme="minorHAnsi"/>
          <w:sz w:val="24"/>
        </w:rPr>
        <w:t xml:space="preserve"> </w:t>
      </w:r>
      <w:r>
        <w:t xml:space="preserve">Le programme intégré vise à intégrer la </w:t>
      </w:r>
      <w:proofErr w:type="spellStart"/>
      <w:r w:rsidR="00803A75">
        <w:t>biodiversité</w:t>
      </w:r>
      <w:r>
        <w:t>e</w:t>
      </w:r>
      <w:proofErr w:type="spellEnd"/>
      <w:r>
        <w:t xml:space="preserve"> dans les infrastructures de transport dès les premières étapes de leur conception, lorsque les possibilités d’influer sur les résultats en matière de biodiversité et de climat sont les plus importantes. Il contribue ainsi aux </w:t>
      </w:r>
      <w:r>
        <w:rPr>
          <w:b/>
          <w:bCs/>
        </w:rPr>
        <w:t>cibles</w:t>
      </w:r>
      <w:r w:rsidR="00CE1842">
        <w:rPr>
          <w:b/>
          <w:bCs/>
        </w:rPr>
        <w:t> </w:t>
      </w:r>
      <w:r>
        <w:rPr>
          <w:b/>
          <w:bCs/>
        </w:rPr>
        <w:t>2, 3, 5, 8, 9, 10, 11, 22</w:t>
      </w:r>
      <w:r>
        <w:t xml:space="preserve"> et </w:t>
      </w:r>
      <w:r>
        <w:rPr>
          <w:b/>
          <w:bCs/>
        </w:rPr>
        <w:t>23</w:t>
      </w:r>
      <w:r>
        <w:t>. Il concourt à la production d’avantages environnementaux mondiaux et à la réalisation des cibles du KMGBF</w:t>
      </w:r>
      <w:r w:rsidR="006E54C7">
        <w:t> :</w:t>
      </w:r>
      <w:r w:rsidR="006C044B">
        <w:t xml:space="preserve"> </w:t>
      </w:r>
      <w:r>
        <w:t>a) en évitant ou en réduisant les incidences négatives du développement des infrastructures de transport sur les écosystèmes</w:t>
      </w:r>
      <w:r w:rsidR="00CE1842">
        <w:t> </w:t>
      </w:r>
      <w:r>
        <w:t xml:space="preserve">; b) en encourageant la conservation d’écosystèmes sains, grâce à la mise en place de conditions propices à l’intégration généralisée de solutions d’infrastructure de transport favorables à la </w:t>
      </w:r>
      <w:r w:rsidR="00803A75">
        <w:t xml:space="preserve">biodiversité </w:t>
      </w:r>
      <w:r>
        <w:t>dans les portefeuilles nationaux d’infrastructures.</w:t>
      </w:r>
    </w:p>
    <w:p w14:paraId="1ED259CA" w14:textId="30705B3F" w:rsidR="00025C94" w:rsidRPr="00C67737" w:rsidRDefault="1141AC15" w:rsidP="000B33CF">
      <w:pPr>
        <w:pStyle w:val="ListParagraph"/>
      </w:pPr>
      <w:r>
        <w:rPr>
          <w:b/>
          <w:bCs/>
          <w:i/>
          <w:iCs/>
        </w:rPr>
        <w:t>Programme intégré «</w:t>
      </w:r>
      <w:r w:rsidR="00CE1842">
        <w:rPr>
          <w:b/>
          <w:bCs/>
          <w:i/>
          <w:iCs/>
        </w:rPr>
        <w:t> </w:t>
      </w:r>
      <w:r>
        <w:rPr>
          <w:b/>
          <w:bCs/>
          <w:i/>
          <w:iCs/>
        </w:rPr>
        <w:t>Villes durables</w:t>
      </w:r>
      <w:r w:rsidR="00CE1842">
        <w:rPr>
          <w:b/>
          <w:bCs/>
          <w:i/>
          <w:iCs/>
        </w:rPr>
        <w:t> </w:t>
      </w:r>
      <w:r>
        <w:rPr>
          <w:b/>
          <w:bCs/>
          <w:i/>
          <w:iCs/>
        </w:rPr>
        <w:t>»</w:t>
      </w:r>
      <w:r w:rsidR="00110191">
        <w:rPr>
          <w:b/>
          <w:bCs/>
          <w:i/>
          <w:iCs/>
        </w:rPr>
        <w:t>.</w:t>
      </w:r>
      <w:r>
        <w:t xml:space="preserve"> Pays participants</w:t>
      </w:r>
      <w:r w:rsidR="006E54C7">
        <w:t> :</w:t>
      </w:r>
      <w:r>
        <w:t xml:space="preserve"> Afrique du Sud, Algérie, Belize, Bénin, Chili, Chine, Congo, Cuba, Gabon, Guatemala, Kenya, Madagascar, Malaisie, Mali, Mongolie, Pérou, Philippines, Serbie, Sri Lanka et Zimbabwe. L’objectif est d’aider les villes et les collectivités locales à mettre en œuvre une planification urbaine intégrée, à appliquer des politiques et à investir dans un développement urbain favorable à la nature, résilient face aux </w:t>
      </w:r>
      <w:r>
        <w:lastRenderedPageBreak/>
        <w:t>changements climatiques et neutre en carbone. Le programme intégré vise à obtenir les résultats ci-après, qui contribuent à la mise en œuvre du KMGBF</w:t>
      </w:r>
      <w:r w:rsidR="006E54C7">
        <w:t> :</w:t>
      </w:r>
    </w:p>
    <w:p w14:paraId="06CB6757" w14:textId="1D0C5B24" w:rsidR="00025C94" w:rsidRPr="00C67737" w:rsidRDefault="00B47265" w:rsidP="00A0263D">
      <w:pPr>
        <w:numPr>
          <w:ilvl w:val="0"/>
          <w:numId w:val="6"/>
        </w:numPr>
        <w:tabs>
          <w:tab w:val="num" w:pos="90"/>
        </w:tabs>
        <w:spacing w:before="0" w:after="0"/>
        <w:ind w:left="835" w:hanging="547"/>
        <w:contextualSpacing/>
        <w:rPr>
          <w:rFonts w:cstheme="minorHAnsi"/>
          <w:color w:val="000000" w:themeColor="text1"/>
          <w:sz w:val="24"/>
          <w:szCs w:val="24"/>
        </w:rPr>
      </w:pPr>
      <w:r>
        <w:rPr>
          <w:color w:val="000000" w:themeColor="text1"/>
          <w:sz w:val="24"/>
        </w:rPr>
        <w:t>869</w:t>
      </w:r>
      <w:r w:rsidR="00CE1842">
        <w:rPr>
          <w:color w:val="000000" w:themeColor="text1"/>
          <w:sz w:val="24"/>
        </w:rPr>
        <w:t> </w:t>
      </w:r>
      <w:r>
        <w:rPr>
          <w:color w:val="000000" w:themeColor="text1"/>
          <w:sz w:val="24"/>
        </w:rPr>
        <w:t>hectares d’aires protégées terrestres faisant l</w:t>
      </w:r>
      <w:r w:rsidR="00CE1842">
        <w:rPr>
          <w:color w:val="000000" w:themeColor="text1"/>
          <w:sz w:val="24"/>
        </w:rPr>
        <w:t>’</w:t>
      </w:r>
      <w:r>
        <w:rPr>
          <w:color w:val="000000" w:themeColor="text1"/>
          <w:sz w:val="24"/>
        </w:rPr>
        <w:t>objet d</w:t>
      </w:r>
      <w:r w:rsidR="00CE1842">
        <w:rPr>
          <w:color w:val="000000" w:themeColor="text1"/>
          <w:sz w:val="24"/>
        </w:rPr>
        <w:t>’</w:t>
      </w:r>
      <w:r>
        <w:rPr>
          <w:color w:val="000000" w:themeColor="text1"/>
          <w:sz w:val="24"/>
        </w:rPr>
        <w:t>une gestion améliorée</w:t>
      </w:r>
      <w:r w:rsidR="006E54C7">
        <w:rPr>
          <w:color w:val="000000" w:themeColor="text1"/>
          <w:sz w:val="24"/>
        </w:rPr>
        <w:t> :</w:t>
      </w:r>
      <w:r>
        <w:rPr>
          <w:color w:val="000000" w:themeColor="text1"/>
          <w:sz w:val="24"/>
        </w:rPr>
        <w:t xml:space="preserve"> </w:t>
      </w:r>
      <w:r w:rsidR="0046151B">
        <w:rPr>
          <w:b/>
          <w:color w:val="000000" w:themeColor="text1"/>
          <w:sz w:val="24"/>
        </w:rPr>
        <w:t>c</w:t>
      </w:r>
      <w:r>
        <w:rPr>
          <w:b/>
          <w:color w:val="000000" w:themeColor="text1"/>
          <w:sz w:val="24"/>
        </w:rPr>
        <w:t>ible</w:t>
      </w:r>
      <w:r w:rsidR="00EC3697">
        <w:rPr>
          <w:b/>
          <w:color w:val="000000" w:themeColor="text1"/>
          <w:sz w:val="24"/>
        </w:rPr>
        <w:t> </w:t>
      </w:r>
      <w:r>
        <w:rPr>
          <w:b/>
          <w:color w:val="000000" w:themeColor="text1"/>
          <w:sz w:val="24"/>
        </w:rPr>
        <w:t>3</w:t>
      </w:r>
      <w:r>
        <w:rPr>
          <w:color w:val="000000" w:themeColor="text1"/>
          <w:sz w:val="24"/>
        </w:rPr>
        <w:t>.</w:t>
      </w:r>
    </w:p>
    <w:p w14:paraId="4448169F" w14:textId="72B7294C" w:rsidR="00025C94" w:rsidRPr="00C67737" w:rsidRDefault="00303D25" w:rsidP="00A0263D">
      <w:pPr>
        <w:numPr>
          <w:ilvl w:val="0"/>
          <w:numId w:val="6"/>
        </w:numPr>
        <w:tabs>
          <w:tab w:val="num" w:pos="90"/>
        </w:tabs>
        <w:spacing w:before="0" w:after="0"/>
        <w:ind w:left="835" w:hanging="547"/>
        <w:contextualSpacing/>
        <w:rPr>
          <w:rFonts w:cstheme="minorHAnsi"/>
          <w:color w:val="000000" w:themeColor="text1"/>
          <w:sz w:val="24"/>
          <w:szCs w:val="24"/>
        </w:rPr>
      </w:pPr>
      <w:r>
        <w:rPr>
          <w:color w:val="000000" w:themeColor="text1"/>
          <w:sz w:val="24"/>
        </w:rPr>
        <w:t>91</w:t>
      </w:r>
      <w:r w:rsidR="00EC3697">
        <w:rPr>
          <w:color w:val="000000" w:themeColor="text1"/>
          <w:sz w:val="24"/>
        </w:rPr>
        <w:t> 226 </w:t>
      </w:r>
      <w:r>
        <w:rPr>
          <w:color w:val="000000" w:themeColor="text1"/>
          <w:sz w:val="24"/>
        </w:rPr>
        <w:t>hectares de zones terrestres et d’écosystèmes faisant l’objet de mesures de remise en état</w:t>
      </w:r>
      <w:r w:rsidR="006E54C7">
        <w:rPr>
          <w:color w:val="000000" w:themeColor="text1"/>
          <w:sz w:val="24"/>
        </w:rPr>
        <w:t> :</w:t>
      </w:r>
      <w:r>
        <w:rPr>
          <w:color w:val="000000" w:themeColor="text1"/>
          <w:sz w:val="24"/>
        </w:rPr>
        <w:t xml:space="preserve"> </w:t>
      </w:r>
      <w:r w:rsidR="0046151B">
        <w:rPr>
          <w:b/>
          <w:color w:val="000000" w:themeColor="text1"/>
          <w:sz w:val="24"/>
        </w:rPr>
        <w:t>c</w:t>
      </w:r>
      <w:r>
        <w:rPr>
          <w:b/>
          <w:color w:val="000000" w:themeColor="text1"/>
          <w:sz w:val="24"/>
        </w:rPr>
        <w:t>ible</w:t>
      </w:r>
      <w:r w:rsidR="00EC3697">
        <w:rPr>
          <w:b/>
          <w:color w:val="000000" w:themeColor="text1"/>
          <w:sz w:val="24"/>
        </w:rPr>
        <w:t> </w:t>
      </w:r>
      <w:r>
        <w:rPr>
          <w:b/>
          <w:color w:val="000000" w:themeColor="text1"/>
          <w:sz w:val="24"/>
        </w:rPr>
        <w:t>2</w:t>
      </w:r>
      <w:r>
        <w:rPr>
          <w:color w:val="000000" w:themeColor="text1"/>
          <w:sz w:val="24"/>
        </w:rPr>
        <w:t xml:space="preserve">. </w:t>
      </w:r>
    </w:p>
    <w:p w14:paraId="1C98BD70" w14:textId="74D69969" w:rsidR="00025C94" w:rsidRPr="00C67737" w:rsidRDefault="00025C94" w:rsidP="00A0263D">
      <w:pPr>
        <w:numPr>
          <w:ilvl w:val="0"/>
          <w:numId w:val="6"/>
        </w:numPr>
        <w:tabs>
          <w:tab w:val="num" w:pos="90"/>
        </w:tabs>
        <w:spacing w:before="0" w:after="0"/>
        <w:ind w:left="835" w:hanging="547"/>
        <w:contextualSpacing/>
        <w:rPr>
          <w:rFonts w:cstheme="minorHAnsi"/>
          <w:color w:val="000000" w:themeColor="text1"/>
          <w:sz w:val="24"/>
          <w:szCs w:val="24"/>
        </w:rPr>
      </w:pPr>
      <w:r>
        <w:rPr>
          <w:color w:val="000000" w:themeColor="text1"/>
          <w:sz w:val="24"/>
        </w:rPr>
        <w:t>2</w:t>
      </w:r>
      <w:r w:rsidR="00EC3697">
        <w:rPr>
          <w:color w:val="000000" w:themeColor="text1"/>
          <w:sz w:val="24"/>
        </w:rPr>
        <w:t> 972 343 </w:t>
      </w:r>
      <w:r>
        <w:rPr>
          <w:color w:val="000000" w:themeColor="text1"/>
          <w:sz w:val="24"/>
        </w:rPr>
        <w:t xml:space="preserve">hectares de paysages faisant l’objet de pratiques améliorées </w:t>
      </w:r>
      <w:r w:rsidR="00254B37">
        <w:rPr>
          <w:color w:val="000000" w:themeColor="text1"/>
          <w:sz w:val="24"/>
        </w:rPr>
        <w:t>au profit de la biodiversité</w:t>
      </w:r>
      <w:r w:rsidR="006E54C7">
        <w:rPr>
          <w:color w:val="000000" w:themeColor="text1"/>
          <w:sz w:val="24"/>
        </w:rPr>
        <w:t> :</w:t>
      </w:r>
      <w:r>
        <w:rPr>
          <w:color w:val="000000" w:themeColor="text1"/>
          <w:sz w:val="24"/>
        </w:rPr>
        <w:t xml:space="preserve"> </w:t>
      </w:r>
      <w:r w:rsidR="0046151B">
        <w:rPr>
          <w:b/>
          <w:color w:val="000000" w:themeColor="text1"/>
          <w:sz w:val="24"/>
        </w:rPr>
        <w:t>c</w:t>
      </w:r>
      <w:r>
        <w:rPr>
          <w:b/>
          <w:color w:val="000000" w:themeColor="text1"/>
          <w:sz w:val="24"/>
        </w:rPr>
        <w:t>ible</w:t>
      </w:r>
      <w:r w:rsidR="00EC3697">
        <w:rPr>
          <w:b/>
          <w:color w:val="000000" w:themeColor="text1"/>
          <w:sz w:val="24"/>
        </w:rPr>
        <w:t> </w:t>
      </w:r>
      <w:r>
        <w:rPr>
          <w:b/>
          <w:color w:val="000000" w:themeColor="text1"/>
          <w:sz w:val="24"/>
        </w:rPr>
        <w:t>1</w:t>
      </w:r>
      <w:r>
        <w:rPr>
          <w:color w:val="000000" w:themeColor="text1"/>
          <w:sz w:val="24"/>
        </w:rPr>
        <w:t xml:space="preserve"> et </w:t>
      </w:r>
      <w:r>
        <w:rPr>
          <w:b/>
          <w:color w:val="000000" w:themeColor="text1"/>
          <w:sz w:val="24"/>
        </w:rPr>
        <w:t>cible</w:t>
      </w:r>
      <w:r w:rsidR="00EC3697">
        <w:rPr>
          <w:b/>
          <w:color w:val="000000" w:themeColor="text1"/>
          <w:sz w:val="24"/>
        </w:rPr>
        <w:t> </w:t>
      </w:r>
      <w:r>
        <w:rPr>
          <w:b/>
          <w:color w:val="000000" w:themeColor="text1"/>
          <w:sz w:val="24"/>
        </w:rPr>
        <w:t>10</w:t>
      </w:r>
      <w:r>
        <w:rPr>
          <w:color w:val="000000" w:themeColor="text1"/>
          <w:sz w:val="24"/>
        </w:rPr>
        <w:t>.</w:t>
      </w:r>
    </w:p>
    <w:p w14:paraId="2AA825D7" w14:textId="06CF4428" w:rsidR="00025C94" w:rsidRPr="00C67737" w:rsidRDefault="00340E57" w:rsidP="00A0263D">
      <w:pPr>
        <w:numPr>
          <w:ilvl w:val="0"/>
          <w:numId w:val="6"/>
        </w:numPr>
        <w:tabs>
          <w:tab w:val="num" w:pos="90"/>
        </w:tabs>
        <w:spacing w:before="0" w:after="0"/>
        <w:ind w:left="835" w:hanging="547"/>
        <w:contextualSpacing/>
        <w:rPr>
          <w:rFonts w:cstheme="minorHAnsi"/>
          <w:color w:val="000000" w:themeColor="text1"/>
          <w:sz w:val="24"/>
          <w:szCs w:val="24"/>
        </w:rPr>
      </w:pPr>
      <w:r>
        <w:rPr>
          <w:color w:val="000000" w:themeColor="text1"/>
          <w:sz w:val="24"/>
        </w:rPr>
        <w:t>398</w:t>
      </w:r>
      <w:r w:rsidR="00EC3697">
        <w:rPr>
          <w:color w:val="000000" w:themeColor="text1"/>
          <w:sz w:val="24"/>
        </w:rPr>
        <w:t> 005 </w:t>
      </w:r>
      <w:r>
        <w:rPr>
          <w:color w:val="000000" w:themeColor="text1"/>
          <w:sz w:val="24"/>
        </w:rPr>
        <w:t>hectares d’habitats marins faisant l</w:t>
      </w:r>
      <w:r w:rsidR="00EC3697">
        <w:rPr>
          <w:color w:val="000000" w:themeColor="text1"/>
          <w:sz w:val="24"/>
        </w:rPr>
        <w:t>’</w:t>
      </w:r>
      <w:r>
        <w:rPr>
          <w:color w:val="000000" w:themeColor="text1"/>
          <w:sz w:val="24"/>
        </w:rPr>
        <w:t>objet de pratiques améliorées</w:t>
      </w:r>
      <w:r w:rsidR="006E54C7">
        <w:rPr>
          <w:color w:val="000000" w:themeColor="text1"/>
          <w:sz w:val="24"/>
        </w:rPr>
        <w:t> :</w:t>
      </w:r>
      <w:r>
        <w:rPr>
          <w:color w:val="000000" w:themeColor="text1"/>
          <w:sz w:val="24"/>
        </w:rPr>
        <w:t xml:space="preserve"> </w:t>
      </w:r>
      <w:r w:rsidR="0046151B">
        <w:rPr>
          <w:b/>
          <w:color w:val="000000" w:themeColor="text1"/>
          <w:sz w:val="24"/>
        </w:rPr>
        <w:t>c</w:t>
      </w:r>
      <w:r>
        <w:rPr>
          <w:b/>
          <w:color w:val="000000" w:themeColor="text1"/>
          <w:sz w:val="24"/>
        </w:rPr>
        <w:t>ible</w:t>
      </w:r>
      <w:r w:rsidR="00EC3697">
        <w:rPr>
          <w:b/>
          <w:color w:val="000000" w:themeColor="text1"/>
          <w:sz w:val="24"/>
        </w:rPr>
        <w:t> </w:t>
      </w:r>
      <w:r>
        <w:rPr>
          <w:b/>
          <w:color w:val="000000" w:themeColor="text1"/>
          <w:sz w:val="24"/>
        </w:rPr>
        <w:t>1</w:t>
      </w:r>
      <w:r>
        <w:rPr>
          <w:color w:val="000000" w:themeColor="text1"/>
          <w:sz w:val="24"/>
        </w:rPr>
        <w:t xml:space="preserve">. </w:t>
      </w:r>
    </w:p>
    <w:p w14:paraId="0FC06CC5" w14:textId="52C3BA6C" w:rsidR="00025C94" w:rsidRPr="00C67737" w:rsidRDefault="009D25D2" w:rsidP="00A0263D">
      <w:pPr>
        <w:numPr>
          <w:ilvl w:val="0"/>
          <w:numId w:val="6"/>
        </w:numPr>
        <w:tabs>
          <w:tab w:val="num" w:pos="90"/>
        </w:tabs>
        <w:spacing w:before="0" w:after="0"/>
        <w:ind w:left="835" w:hanging="547"/>
        <w:contextualSpacing/>
        <w:rPr>
          <w:rFonts w:cstheme="minorHAnsi"/>
          <w:color w:val="000000" w:themeColor="text1"/>
          <w:sz w:val="24"/>
          <w:szCs w:val="24"/>
        </w:rPr>
      </w:pPr>
      <w:r>
        <w:rPr>
          <w:color w:val="000000" w:themeColor="text1"/>
          <w:sz w:val="24"/>
        </w:rPr>
        <w:t>56</w:t>
      </w:r>
      <w:r w:rsidR="00EC3697">
        <w:rPr>
          <w:color w:val="000000" w:themeColor="text1"/>
          <w:sz w:val="24"/>
        </w:rPr>
        <w:t> 445 356 </w:t>
      </w:r>
      <w:r>
        <w:rPr>
          <w:color w:val="000000" w:themeColor="text1"/>
          <w:sz w:val="24"/>
        </w:rPr>
        <w:t>tonnes d’émissions de GES atténuées directement et 60</w:t>
      </w:r>
      <w:r w:rsidR="00EC3697">
        <w:rPr>
          <w:color w:val="000000" w:themeColor="text1"/>
          <w:sz w:val="24"/>
        </w:rPr>
        <w:t> 381 495 </w:t>
      </w:r>
      <w:r>
        <w:rPr>
          <w:color w:val="000000" w:themeColor="text1"/>
          <w:sz w:val="24"/>
        </w:rPr>
        <w:t xml:space="preserve">tonnes atténuées indirectement (t </w:t>
      </w:r>
      <w:proofErr w:type="spellStart"/>
      <w:r>
        <w:rPr>
          <w:color w:val="000000" w:themeColor="text1"/>
          <w:sz w:val="24"/>
        </w:rPr>
        <w:t>éq</w:t>
      </w:r>
      <w:proofErr w:type="spellEnd"/>
      <w:r>
        <w:rPr>
          <w:color w:val="000000" w:themeColor="text1"/>
          <w:sz w:val="24"/>
        </w:rPr>
        <w:t>. CO₂)</w:t>
      </w:r>
      <w:r w:rsidR="006E54C7">
        <w:rPr>
          <w:color w:val="000000" w:themeColor="text1"/>
          <w:sz w:val="24"/>
        </w:rPr>
        <w:t> :</w:t>
      </w:r>
      <w:r>
        <w:rPr>
          <w:color w:val="000000" w:themeColor="text1"/>
          <w:sz w:val="24"/>
        </w:rPr>
        <w:t xml:space="preserve"> </w:t>
      </w:r>
      <w:r w:rsidR="0046151B">
        <w:rPr>
          <w:b/>
          <w:color w:val="000000" w:themeColor="text1"/>
          <w:sz w:val="24"/>
        </w:rPr>
        <w:t>c</w:t>
      </w:r>
      <w:r>
        <w:rPr>
          <w:b/>
          <w:color w:val="000000" w:themeColor="text1"/>
          <w:sz w:val="24"/>
        </w:rPr>
        <w:t>ible</w:t>
      </w:r>
      <w:r w:rsidR="00EC3697">
        <w:rPr>
          <w:b/>
          <w:color w:val="000000" w:themeColor="text1"/>
          <w:sz w:val="24"/>
        </w:rPr>
        <w:t> </w:t>
      </w:r>
      <w:r>
        <w:rPr>
          <w:b/>
          <w:color w:val="000000" w:themeColor="text1"/>
          <w:sz w:val="24"/>
        </w:rPr>
        <w:t>8</w:t>
      </w:r>
      <w:r>
        <w:rPr>
          <w:color w:val="000000" w:themeColor="text1"/>
          <w:sz w:val="24"/>
        </w:rPr>
        <w:t xml:space="preserve"> et </w:t>
      </w:r>
      <w:r>
        <w:rPr>
          <w:b/>
          <w:color w:val="000000" w:themeColor="text1"/>
          <w:sz w:val="24"/>
        </w:rPr>
        <w:t>cible</w:t>
      </w:r>
      <w:r w:rsidR="00EC3697">
        <w:rPr>
          <w:b/>
          <w:color w:val="000000" w:themeColor="text1"/>
          <w:sz w:val="24"/>
        </w:rPr>
        <w:t> </w:t>
      </w:r>
      <w:r>
        <w:rPr>
          <w:b/>
          <w:color w:val="000000" w:themeColor="text1"/>
          <w:sz w:val="24"/>
        </w:rPr>
        <w:t>11</w:t>
      </w:r>
      <w:r>
        <w:rPr>
          <w:color w:val="000000" w:themeColor="text1"/>
          <w:sz w:val="24"/>
        </w:rPr>
        <w:t>.</w:t>
      </w:r>
    </w:p>
    <w:p w14:paraId="641975DD" w14:textId="064455D4" w:rsidR="00025C94" w:rsidRPr="00C67737" w:rsidRDefault="00647A8E" w:rsidP="00A0263D">
      <w:pPr>
        <w:numPr>
          <w:ilvl w:val="0"/>
          <w:numId w:val="6"/>
        </w:numPr>
        <w:tabs>
          <w:tab w:val="num" w:pos="90"/>
        </w:tabs>
        <w:spacing w:before="0" w:after="0"/>
        <w:ind w:left="835" w:hanging="547"/>
        <w:contextualSpacing/>
        <w:rPr>
          <w:rFonts w:cstheme="minorHAnsi"/>
          <w:color w:val="000000" w:themeColor="text1"/>
          <w:sz w:val="24"/>
          <w:szCs w:val="24"/>
        </w:rPr>
      </w:pPr>
      <w:r>
        <w:rPr>
          <w:color w:val="000000" w:themeColor="text1"/>
          <w:sz w:val="24"/>
        </w:rPr>
        <w:t>163</w:t>
      </w:r>
      <w:r w:rsidR="00EC3697">
        <w:rPr>
          <w:color w:val="000000" w:themeColor="text1"/>
          <w:sz w:val="24"/>
        </w:rPr>
        <w:t> 656 </w:t>
      </w:r>
      <w:r>
        <w:rPr>
          <w:color w:val="000000" w:themeColor="text1"/>
          <w:sz w:val="24"/>
        </w:rPr>
        <w:t>tonnes de déchets plastiques résiduels évitées</w:t>
      </w:r>
      <w:r w:rsidR="006E54C7">
        <w:rPr>
          <w:color w:val="000000" w:themeColor="text1"/>
          <w:sz w:val="24"/>
        </w:rPr>
        <w:t> :</w:t>
      </w:r>
      <w:r>
        <w:rPr>
          <w:color w:val="000000" w:themeColor="text1"/>
          <w:sz w:val="24"/>
        </w:rPr>
        <w:t xml:space="preserve"> </w:t>
      </w:r>
      <w:r w:rsidR="0046151B">
        <w:rPr>
          <w:b/>
          <w:color w:val="000000" w:themeColor="text1"/>
          <w:sz w:val="24"/>
        </w:rPr>
        <w:t>c</w:t>
      </w:r>
      <w:r>
        <w:rPr>
          <w:b/>
          <w:color w:val="000000" w:themeColor="text1"/>
          <w:sz w:val="24"/>
        </w:rPr>
        <w:t>ible</w:t>
      </w:r>
      <w:r w:rsidR="00EC3697">
        <w:rPr>
          <w:b/>
          <w:color w:val="000000" w:themeColor="text1"/>
          <w:sz w:val="24"/>
        </w:rPr>
        <w:t> </w:t>
      </w:r>
      <w:r>
        <w:rPr>
          <w:b/>
          <w:color w:val="000000" w:themeColor="text1"/>
          <w:sz w:val="24"/>
        </w:rPr>
        <w:t>7</w:t>
      </w:r>
      <w:r>
        <w:rPr>
          <w:color w:val="000000" w:themeColor="text1"/>
          <w:sz w:val="24"/>
        </w:rPr>
        <w:t>.</w:t>
      </w:r>
    </w:p>
    <w:p w14:paraId="74E7D045" w14:textId="5CC430DA" w:rsidR="008952C9" w:rsidRPr="00721BAA" w:rsidRDefault="000D237B" w:rsidP="00721BAA">
      <w:pPr>
        <w:numPr>
          <w:ilvl w:val="0"/>
          <w:numId w:val="6"/>
        </w:numPr>
        <w:tabs>
          <w:tab w:val="num" w:pos="90"/>
        </w:tabs>
        <w:spacing w:before="0" w:after="0"/>
        <w:ind w:left="835" w:hanging="547"/>
        <w:contextualSpacing/>
        <w:rPr>
          <w:rFonts w:cstheme="minorHAnsi"/>
          <w:color w:val="000000" w:themeColor="text1"/>
          <w:sz w:val="24"/>
          <w:szCs w:val="24"/>
        </w:rPr>
      </w:pPr>
      <w:r>
        <w:rPr>
          <w:color w:val="000000" w:themeColor="text1"/>
          <w:sz w:val="24"/>
        </w:rPr>
        <w:t>35</w:t>
      </w:r>
      <w:r w:rsidR="00EC3697">
        <w:rPr>
          <w:color w:val="000000" w:themeColor="text1"/>
          <w:sz w:val="24"/>
        </w:rPr>
        <w:t> 036 </w:t>
      </w:r>
      <w:r>
        <w:rPr>
          <w:color w:val="000000" w:themeColor="text1"/>
          <w:sz w:val="24"/>
        </w:rPr>
        <w:t>252 personnes bénéficient d’investissements financés par le GEF (17</w:t>
      </w:r>
      <w:r w:rsidR="00EC3697">
        <w:rPr>
          <w:color w:val="000000" w:themeColor="text1"/>
          <w:sz w:val="24"/>
        </w:rPr>
        <w:t> 656 </w:t>
      </w:r>
      <w:r>
        <w:rPr>
          <w:color w:val="000000" w:themeColor="text1"/>
          <w:sz w:val="24"/>
        </w:rPr>
        <w:t>885</w:t>
      </w:r>
      <w:r w:rsidR="00721BAA">
        <w:rPr>
          <w:color w:val="000000" w:themeColor="text1"/>
          <w:sz w:val="24"/>
        </w:rPr>
        <w:t> </w:t>
      </w:r>
      <w:r>
        <w:rPr>
          <w:color w:val="000000" w:themeColor="text1"/>
          <w:sz w:val="24"/>
        </w:rPr>
        <w:t>femmes et 17</w:t>
      </w:r>
      <w:r w:rsidR="00EC3697">
        <w:rPr>
          <w:color w:val="000000" w:themeColor="text1"/>
          <w:sz w:val="24"/>
        </w:rPr>
        <w:t> 379 </w:t>
      </w:r>
      <w:r>
        <w:rPr>
          <w:color w:val="000000" w:themeColor="text1"/>
          <w:sz w:val="24"/>
        </w:rPr>
        <w:t>367 hommes)</w:t>
      </w:r>
      <w:r w:rsidR="006E54C7">
        <w:rPr>
          <w:color w:val="000000" w:themeColor="text1"/>
          <w:sz w:val="24"/>
        </w:rPr>
        <w:t> :</w:t>
      </w:r>
      <w:r>
        <w:rPr>
          <w:color w:val="000000" w:themeColor="text1"/>
          <w:sz w:val="24"/>
        </w:rPr>
        <w:t xml:space="preserve"> </w:t>
      </w:r>
      <w:r w:rsidR="0046151B">
        <w:rPr>
          <w:b/>
          <w:color w:val="000000" w:themeColor="text1"/>
          <w:sz w:val="24"/>
        </w:rPr>
        <w:t>c</w:t>
      </w:r>
      <w:r>
        <w:rPr>
          <w:b/>
          <w:color w:val="000000" w:themeColor="text1"/>
          <w:sz w:val="24"/>
        </w:rPr>
        <w:t>ible</w:t>
      </w:r>
      <w:r w:rsidR="00EC3697">
        <w:rPr>
          <w:b/>
          <w:color w:val="000000" w:themeColor="text1"/>
          <w:sz w:val="24"/>
        </w:rPr>
        <w:t> </w:t>
      </w:r>
      <w:r>
        <w:rPr>
          <w:b/>
          <w:color w:val="000000" w:themeColor="text1"/>
          <w:sz w:val="24"/>
        </w:rPr>
        <w:t>22</w:t>
      </w:r>
      <w:r>
        <w:rPr>
          <w:color w:val="000000" w:themeColor="text1"/>
          <w:sz w:val="24"/>
        </w:rPr>
        <w:t xml:space="preserve"> et </w:t>
      </w:r>
      <w:r>
        <w:rPr>
          <w:b/>
          <w:color w:val="000000" w:themeColor="text1"/>
          <w:sz w:val="24"/>
        </w:rPr>
        <w:t>cible</w:t>
      </w:r>
      <w:r w:rsidR="00EC3697">
        <w:rPr>
          <w:b/>
          <w:color w:val="000000" w:themeColor="text1"/>
          <w:sz w:val="24"/>
        </w:rPr>
        <w:t> </w:t>
      </w:r>
      <w:r>
        <w:rPr>
          <w:b/>
          <w:color w:val="000000" w:themeColor="text1"/>
          <w:sz w:val="24"/>
        </w:rPr>
        <w:t>23</w:t>
      </w:r>
      <w:r>
        <w:rPr>
          <w:color w:val="000000" w:themeColor="text1"/>
          <w:sz w:val="24"/>
        </w:rPr>
        <w:t>.</w:t>
      </w:r>
    </w:p>
    <w:p w14:paraId="0DEE134A" w14:textId="30CD2C6B" w:rsidR="00F302EC" w:rsidRPr="00C67737" w:rsidRDefault="00BA5829" w:rsidP="00D56EFB">
      <w:pPr>
        <w:pStyle w:val="Heading2"/>
      </w:pPr>
      <w:bookmarkStart w:id="78" w:name="_Toc102227406"/>
      <w:bookmarkStart w:id="79" w:name="_Toc242184654"/>
      <w:bookmarkStart w:id="80" w:name="_Toc242184703"/>
      <w:bookmarkStart w:id="81" w:name="_Toc242185278"/>
      <w:r>
        <w:t>I.3 Autres contributions du GEF au</w:t>
      </w:r>
      <w:bookmarkEnd w:id="78"/>
      <w:r>
        <w:t xml:space="preserve"> Cadre mondial de la biodiversité de Kunming-Montréal</w:t>
      </w:r>
      <w:bookmarkEnd w:id="79"/>
      <w:bookmarkEnd w:id="80"/>
      <w:bookmarkEnd w:id="81"/>
    </w:p>
    <w:p w14:paraId="46EF5F3E" w14:textId="0D9C7E39" w:rsidR="00532D65" w:rsidRPr="00C67737" w:rsidRDefault="00532D65" w:rsidP="006D7A0A">
      <w:pPr>
        <w:pStyle w:val="Heading3"/>
      </w:pPr>
      <w:bookmarkStart w:id="82" w:name="_Toc242184655"/>
      <w:bookmarkStart w:id="83" w:name="_Toc242184704"/>
      <w:r>
        <w:t>Autre</w:t>
      </w:r>
      <w:r w:rsidR="00954A1D">
        <w:t>s</w:t>
      </w:r>
      <w:r>
        <w:t xml:space="preserve"> domaines d’intervention</w:t>
      </w:r>
      <w:bookmarkEnd w:id="82"/>
      <w:bookmarkEnd w:id="83"/>
    </w:p>
    <w:p w14:paraId="501ECB99" w14:textId="5F09CBB1" w:rsidR="001E6B6F" w:rsidRPr="00C67737" w:rsidRDefault="29EDD4C0" w:rsidP="000B33CF">
      <w:pPr>
        <w:pStyle w:val="ListParagraph"/>
      </w:pPr>
      <w:r>
        <w:t>Les domaines d’intervention «</w:t>
      </w:r>
      <w:r w:rsidR="00EC3697">
        <w:t> </w:t>
      </w:r>
      <w:r>
        <w:t>dégradation des terres</w:t>
      </w:r>
      <w:r w:rsidR="00EC3697">
        <w:t> </w:t>
      </w:r>
      <w:r>
        <w:t>», «</w:t>
      </w:r>
      <w:r w:rsidR="00EC3697">
        <w:t> </w:t>
      </w:r>
      <w:r>
        <w:t>changements climatiques</w:t>
      </w:r>
      <w:r w:rsidR="00EC3697">
        <w:t> </w:t>
      </w:r>
      <w:r>
        <w:t>», «</w:t>
      </w:r>
      <w:r w:rsidR="00EC3697">
        <w:t> </w:t>
      </w:r>
      <w:r>
        <w:t>eaux internationales</w:t>
      </w:r>
      <w:r w:rsidR="00EC3697">
        <w:t> </w:t>
      </w:r>
      <w:r>
        <w:t>» et «</w:t>
      </w:r>
      <w:r w:rsidR="00EC3697">
        <w:t> </w:t>
      </w:r>
      <w:r>
        <w:t>produits chimiques et déchets</w:t>
      </w:r>
      <w:r w:rsidR="00EC3697">
        <w:t> </w:t>
      </w:r>
      <w:r>
        <w:t xml:space="preserve">» </w:t>
      </w:r>
      <w:r w:rsidR="00DD1F44">
        <w:t>du Fonds fiduciaire</w:t>
      </w:r>
      <w:r>
        <w:t xml:space="preserve"> du GEF contribuent à la mise en œuvre du KMGBF par l’intermédiaire des programmes intégrés, de projets relevant de plusieurs domaines d’intervention qui combinent leurs ressources à celles du domaine d’intervention «</w:t>
      </w:r>
      <w:r w:rsidR="00EC3697">
        <w:t> </w:t>
      </w:r>
      <w:r>
        <w:t>diversité biologique</w:t>
      </w:r>
      <w:r w:rsidR="00EC3697">
        <w:t> </w:t>
      </w:r>
      <w:r>
        <w:t xml:space="preserve">», ainsi que de projets financés exclusivement par ces quatre domaines d’intervention et produisant </w:t>
      </w:r>
      <w:r w:rsidR="00721BAA">
        <w:t xml:space="preserve">également des </w:t>
      </w:r>
      <w:r w:rsidR="005767F3">
        <w:t>avantages annexes</w:t>
      </w:r>
      <w:r>
        <w:t xml:space="preserve"> pour la diversité biologique. Le tableau</w:t>
      </w:r>
      <w:r w:rsidR="002A2C5F">
        <w:t> </w:t>
      </w:r>
      <w:r>
        <w:t>6 présente en détail les ressources programmées dans ces domaines d’intervention qui contribuent à la mise en œuvre du KMGBF, conformément à la méthodologie des marqueurs de Rio du Comité d’aide au développement (CAD) de l’OCDE. Sur les ressources du GEF programmées dans ces quatre domaines d’intervention, 2</w:t>
      </w:r>
      <w:r w:rsidR="002A2C5F">
        <w:t> </w:t>
      </w:r>
      <w:r>
        <w:t>213 millions de dollars, soit 59</w:t>
      </w:r>
      <w:r w:rsidR="00966C17">
        <w:t> %</w:t>
      </w:r>
      <w:r>
        <w:t>, contribuent à la mise en œuvre du KMGBF.</w:t>
      </w:r>
    </w:p>
    <w:p w14:paraId="2BFA8F4B" w14:textId="332E29B5" w:rsidR="00B13CC3" w:rsidRPr="00C67737" w:rsidRDefault="00C856A2" w:rsidP="006C044B">
      <w:pPr>
        <w:pStyle w:val="Caption"/>
        <w:keepLines/>
      </w:pPr>
      <w:bookmarkStart w:id="84" w:name="_Toc242183488"/>
      <w:r>
        <w:lastRenderedPageBreak/>
        <w:t>Tableau</w:t>
      </w:r>
      <w:r w:rsidR="002A2C5F">
        <w:t> </w:t>
      </w:r>
      <w:r w:rsidR="008F432F" w:rsidRPr="008F432F">
        <w:fldChar w:fldCharType="begin"/>
      </w:r>
      <w:r w:rsidR="008F432F" w:rsidRPr="008F432F">
        <w:instrText>SEQ Table \* ARABIC</w:instrText>
      </w:r>
      <w:r w:rsidR="008F432F" w:rsidRPr="008F432F">
        <w:fldChar w:fldCharType="separate"/>
      </w:r>
      <w:r w:rsidR="008F432F" w:rsidRPr="008F432F">
        <w:t>6</w:t>
      </w:r>
      <w:r w:rsidR="008F432F" w:rsidRPr="008F432F">
        <w:fldChar w:fldCharType="end"/>
      </w:r>
      <w:r>
        <w:t xml:space="preserve">. Contributions financières des autres domaines d’intervention au KMGBF au cours de la période de programmation de </w:t>
      </w:r>
      <w:r w:rsidR="00376C22">
        <w:t>GEF</w:t>
      </w:r>
      <w:r w:rsidR="00376C22">
        <w:noBreakHyphen/>
      </w:r>
      <w:r>
        <w:t>8</w:t>
      </w:r>
      <w:r w:rsidR="00FB2516" w:rsidRPr="00C67737">
        <w:rPr>
          <w:rStyle w:val="FootnoteReference"/>
          <w:bCs/>
        </w:rPr>
        <w:footnoteReference w:id="22"/>
      </w:r>
      <w:bookmarkEnd w:id="84"/>
    </w:p>
    <w:tbl>
      <w:tblPr>
        <w:tblStyle w:val="TableGrid"/>
        <w:tblW w:w="0" w:type="auto"/>
        <w:tblInd w:w="180" w:type="dxa"/>
        <w:tblLook w:val="04A0" w:firstRow="1" w:lastRow="0" w:firstColumn="1" w:lastColumn="0" w:noHBand="0" w:noVBand="1"/>
      </w:tblPr>
      <w:tblGrid>
        <w:gridCol w:w="3058"/>
        <w:gridCol w:w="3056"/>
        <w:gridCol w:w="3056"/>
      </w:tblGrid>
      <w:tr w:rsidR="004608D2" w:rsidRPr="00C67737" w14:paraId="255BEC0E" w14:textId="77777777" w:rsidTr="008E5F1E">
        <w:tc>
          <w:tcPr>
            <w:tcW w:w="3058" w:type="dxa"/>
            <w:vAlign w:val="center"/>
          </w:tcPr>
          <w:p w14:paraId="7D2EDC6B" w14:textId="3B9CCFEF" w:rsidR="005D63AF" w:rsidRPr="00C67737" w:rsidRDefault="005D63AF" w:rsidP="006C044B">
            <w:pPr>
              <w:keepNext/>
              <w:keepLines/>
              <w:jc w:val="center"/>
              <w:rPr>
                <w:b/>
                <w:bCs/>
              </w:rPr>
            </w:pPr>
            <w:r>
              <w:rPr>
                <w:b/>
              </w:rPr>
              <w:t>Domaine d’intervention</w:t>
            </w:r>
          </w:p>
        </w:tc>
        <w:tc>
          <w:tcPr>
            <w:tcW w:w="3056" w:type="dxa"/>
            <w:vAlign w:val="center"/>
          </w:tcPr>
          <w:p w14:paraId="09CAE890" w14:textId="37032C45" w:rsidR="005D63AF" w:rsidRPr="00C67737" w:rsidRDefault="00FE0499" w:rsidP="006C044B">
            <w:pPr>
              <w:keepNext/>
              <w:keepLines/>
              <w:jc w:val="center"/>
              <w:rPr>
                <w:b/>
                <w:bCs/>
              </w:rPr>
            </w:pPr>
            <w:r>
              <w:rPr>
                <w:b/>
              </w:rPr>
              <w:t>Montant contribuant au KMGBF (</w:t>
            </w:r>
            <w:r w:rsidR="002604D7">
              <w:rPr>
                <w:b/>
              </w:rPr>
              <w:t>USD</w:t>
            </w:r>
            <w:r>
              <w:rPr>
                <w:b/>
              </w:rPr>
              <w:t xml:space="preserve"> millions)</w:t>
            </w:r>
          </w:p>
        </w:tc>
        <w:tc>
          <w:tcPr>
            <w:tcW w:w="3056" w:type="dxa"/>
            <w:vAlign w:val="center"/>
          </w:tcPr>
          <w:p w14:paraId="4848A12C" w14:textId="0FC6124F" w:rsidR="005D63AF" w:rsidRPr="00C67737" w:rsidRDefault="00FE0499" w:rsidP="006C044B">
            <w:pPr>
              <w:keepNext/>
              <w:keepLines/>
              <w:jc w:val="center"/>
              <w:rPr>
                <w:b/>
                <w:bCs/>
              </w:rPr>
            </w:pPr>
            <w:r>
              <w:rPr>
                <w:b/>
              </w:rPr>
              <w:t>Part des ressources contribuant au KMGBF (%)</w:t>
            </w:r>
          </w:p>
        </w:tc>
      </w:tr>
      <w:tr w:rsidR="00762182" w:rsidRPr="00C67737" w14:paraId="341A0D4F" w14:textId="77777777" w:rsidTr="008952C9">
        <w:tc>
          <w:tcPr>
            <w:tcW w:w="3058" w:type="dxa"/>
            <w:shd w:val="clear" w:color="auto" w:fill="F2F2F2" w:themeFill="background1" w:themeFillShade="F2"/>
            <w:vAlign w:val="center"/>
          </w:tcPr>
          <w:p w14:paraId="527B8B1C" w14:textId="4EE03476" w:rsidR="00762182" w:rsidRPr="00C67737" w:rsidRDefault="00762182" w:rsidP="006C044B">
            <w:pPr>
              <w:keepNext/>
              <w:keepLines/>
              <w:jc w:val="left"/>
            </w:pPr>
            <w:r>
              <w:t>Dégradation des terres</w:t>
            </w:r>
          </w:p>
        </w:tc>
        <w:tc>
          <w:tcPr>
            <w:tcW w:w="3056" w:type="dxa"/>
            <w:shd w:val="clear" w:color="auto" w:fill="F2F2F2" w:themeFill="background1" w:themeFillShade="F2"/>
          </w:tcPr>
          <w:p w14:paraId="68948996" w14:textId="48DDF7BB" w:rsidR="00762182" w:rsidRPr="00C67737" w:rsidRDefault="00762182" w:rsidP="006C044B">
            <w:pPr>
              <w:keepNext/>
              <w:keepLines/>
              <w:jc w:val="center"/>
              <w:rPr>
                <w:b/>
                <w:bCs/>
                <w:highlight w:val="yellow"/>
              </w:rPr>
            </w:pPr>
            <w:r>
              <w:t xml:space="preserve">570 </w:t>
            </w:r>
          </w:p>
        </w:tc>
        <w:tc>
          <w:tcPr>
            <w:tcW w:w="3056" w:type="dxa"/>
            <w:shd w:val="clear" w:color="auto" w:fill="F2F2F2" w:themeFill="background1" w:themeFillShade="F2"/>
          </w:tcPr>
          <w:p w14:paraId="256F2639" w14:textId="7E456986" w:rsidR="00762182" w:rsidRPr="00C67737" w:rsidRDefault="00762182" w:rsidP="006C044B">
            <w:pPr>
              <w:keepNext/>
              <w:keepLines/>
              <w:jc w:val="center"/>
              <w:rPr>
                <w:b/>
                <w:bCs/>
                <w:highlight w:val="yellow"/>
              </w:rPr>
            </w:pPr>
            <w:r>
              <w:t>88</w:t>
            </w:r>
            <w:r w:rsidR="00966C17">
              <w:t> %</w:t>
            </w:r>
          </w:p>
        </w:tc>
      </w:tr>
      <w:tr w:rsidR="00762182" w:rsidRPr="00C67737" w14:paraId="0D4BC8AF" w14:textId="77777777">
        <w:tc>
          <w:tcPr>
            <w:tcW w:w="3058" w:type="dxa"/>
            <w:vAlign w:val="center"/>
          </w:tcPr>
          <w:p w14:paraId="667D56CE" w14:textId="2D750B97" w:rsidR="00762182" w:rsidRPr="00C67737" w:rsidRDefault="00762182" w:rsidP="006C044B">
            <w:pPr>
              <w:keepNext/>
              <w:keepLines/>
              <w:jc w:val="left"/>
            </w:pPr>
            <w:r>
              <w:t>Changements climatiques</w:t>
            </w:r>
          </w:p>
        </w:tc>
        <w:tc>
          <w:tcPr>
            <w:tcW w:w="3056" w:type="dxa"/>
          </w:tcPr>
          <w:p w14:paraId="71780522" w14:textId="37BBBD5E" w:rsidR="00762182" w:rsidRPr="00C67737" w:rsidRDefault="00762182" w:rsidP="006C044B">
            <w:pPr>
              <w:keepNext/>
              <w:keepLines/>
              <w:jc w:val="center"/>
              <w:rPr>
                <w:b/>
                <w:bCs/>
                <w:highlight w:val="yellow"/>
              </w:rPr>
            </w:pPr>
            <w:r>
              <w:t xml:space="preserve">864 </w:t>
            </w:r>
          </w:p>
        </w:tc>
        <w:tc>
          <w:tcPr>
            <w:tcW w:w="3056" w:type="dxa"/>
          </w:tcPr>
          <w:p w14:paraId="2469E390" w14:textId="182F9070" w:rsidR="00762182" w:rsidRPr="00C67737" w:rsidRDefault="00762182" w:rsidP="006C044B">
            <w:pPr>
              <w:keepNext/>
              <w:keepLines/>
              <w:jc w:val="center"/>
              <w:rPr>
                <w:b/>
                <w:bCs/>
                <w:highlight w:val="yellow"/>
              </w:rPr>
            </w:pPr>
            <w:r>
              <w:t>48</w:t>
            </w:r>
            <w:r w:rsidR="00966C17">
              <w:t> %</w:t>
            </w:r>
          </w:p>
        </w:tc>
      </w:tr>
      <w:tr w:rsidR="00762182" w:rsidRPr="00C67737" w14:paraId="0E1D6453" w14:textId="77777777" w:rsidTr="008952C9">
        <w:tc>
          <w:tcPr>
            <w:tcW w:w="3058" w:type="dxa"/>
            <w:shd w:val="clear" w:color="auto" w:fill="F2F2F2" w:themeFill="background1" w:themeFillShade="F2"/>
            <w:vAlign w:val="center"/>
          </w:tcPr>
          <w:p w14:paraId="2F5E8BFC" w14:textId="0095AD32" w:rsidR="00762182" w:rsidRPr="00C67737" w:rsidRDefault="00762182" w:rsidP="006C044B">
            <w:pPr>
              <w:keepNext/>
              <w:keepLines/>
              <w:jc w:val="left"/>
            </w:pPr>
            <w:r>
              <w:t>Eaux internationales</w:t>
            </w:r>
          </w:p>
        </w:tc>
        <w:tc>
          <w:tcPr>
            <w:tcW w:w="3056" w:type="dxa"/>
            <w:shd w:val="clear" w:color="auto" w:fill="F2F2F2" w:themeFill="background1" w:themeFillShade="F2"/>
          </w:tcPr>
          <w:p w14:paraId="592D150B" w14:textId="61388885" w:rsidR="00762182" w:rsidRPr="00C67737" w:rsidRDefault="00762182" w:rsidP="006C044B">
            <w:pPr>
              <w:keepNext/>
              <w:keepLines/>
              <w:jc w:val="center"/>
              <w:rPr>
                <w:b/>
                <w:bCs/>
                <w:highlight w:val="yellow"/>
              </w:rPr>
            </w:pPr>
            <w:r>
              <w:t xml:space="preserve">500 </w:t>
            </w:r>
          </w:p>
        </w:tc>
        <w:tc>
          <w:tcPr>
            <w:tcW w:w="3056" w:type="dxa"/>
            <w:shd w:val="clear" w:color="auto" w:fill="F2F2F2" w:themeFill="background1" w:themeFillShade="F2"/>
          </w:tcPr>
          <w:p w14:paraId="318D2050" w14:textId="5F57DEBF" w:rsidR="00762182" w:rsidRPr="00C67737" w:rsidRDefault="00762182" w:rsidP="006C044B">
            <w:pPr>
              <w:keepNext/>
              <w:keepLines/>
              <w:jc w:val="center"/>
              <w:rPr>
                <w:b/>
                <w:bCs/>
                <w:highlight w:val="yellow"/>
              </w:rPr>
            </w:pPr>
            <w:r>
              <w:t>92</w:t>
            </w:r>
            <w:r w:rsidR="00966C17">
              <w:t> %</w:t>
            </w:r>
          </w:p>
        </w:tc>
      </w:tr>
      <w:tr w:rsidR="00762182" w:rsidRPr="00C67737" w14:paraId="0DC8AEC8" w14:textId="77777777">
        <w:tc>
          <w:tcPr>
            <w:tcW w:w="3058" w:type="dxa"/>
            <w:vAlign w:val="center"/>
          </w:tcPr>
          <w:p w14:paraId="189E6DAA" w14:textId="6E3A2000" w:rsidR="00762182" w:rsidRPr="00C67737" w:rsidRDefault="00762182" w:rsidP="006C044B">
            <w:pPr>
              <w:keepNext/>
              <w:keepLines/>
              <w:jc w:val="left"/>
            </w:pPr>
            <w:r>
              <w:t>Produits chimiques et déchets</w:t>
            </w:r>
          </w:p>
        </w:tc>
        <w:tc>
          <w:tcPr>
            <w:tcW w:w="3056" w:type="dxa"/>
          </w:tcPr>
          <w:p w14:paraId="10E1DE5D" w14:textId="2F0B3272" w:rsidR="00762182" w:rsidRPr="00C67737" w:rsidRDefault="00762182" w:rsidP="006C044B">
            <w:pPr>
              <w:keepNext/>
              <w:keepLines/>
              <w:jc w:val="center"/>
              <w:rPr>
                <w:b/>
                <w:bCs/>
                <w:highlight w:val="yellow"/>
              </w:rPr>
            </w:pPr>
            <w:r>
              <w:t xml:space="preserve">278 </w:t>
            </w:r>
          </w:p>
        </w:tc>
        <w:tc>
          <w:tcPr>
            <w:tcW w:w="3056" w:type="dxa"/>
          </w:tcPr>
          <w:p w14:paraId="441C53D3" w14:textId="02BCCF2C" w:rsidR="00762182" w:rsidRPr="00C67737" w:rsidRDefault="00762182" w:rsidP="006C044B">
            <w:pPr>
              <w:keepNext/>
              <w:keepLines/>
              <w:jc w:val="center"/>
              <w:rPr>
                <w:b/>
                <w:bCs/>
                <w:highlight w:val="yellow"/>
              </w:rPr>
            </w:pPr>
            <w:r>
              <w:t>36</w:t>
            </w:r>
            <w:r w:rsidR="00966C17">
              <w:t> %</w:t>
            </w:r>
          </w:p>
        </w:tc>
      </w:tr>
      <w:tr w:rsidR="00762182" w:rsidRPr="00C67737" w14:paraId="61F26A71" w14:textId="77777777" w:rsidTr="008952C9">
        <w:tc>
          <w:tcPr>
            <w:tcW w:w="3058" w:type="dxa"/>
            <w:shd w:val="clear" w:color="auto" w:fill="F2F2F2" w:themeFill="background1" w:themeFillShade="F2"/>
            <w:vAlign w:val="center"/>
          </w:tcPr>
          <w:p w14:paraId="5652F897" w14:textId="425DA68B" w:rsidR="00762182" w:rsidRPr="00C67737" w:rsidRDefault="00762182" w:rsidP="006C044B">
            <w:pPr>
              <w:keepNext/>
              <w:keepLines/>
              <w:jc w:val="center"/>
              <w:rPr>
                <w:b/>
                <w:bCs/>
              </w:rPr>
            </w:pPr>
            <w:r>
              <w:rPr>
                <w:b/>
              </w:rPr>
              <w:t>Total</w:t>
            </w:r>
          </w:p>
        </w:tc>
        <w:tc>
          <w:tcPr>
            <w:tcW w:w="3056" w:type="dxa"/>
            <w:shd w:val="clear" w:color="auto" w:fill="F2F2F2" w:themeFill="background1" w:themeFillShade="F2"/>
          </w:tcPr>
          <w:p w14:paraId="48179431" w14:textId="20441555" w:rsidR="00762182" w:rsidRPr="00C67737" w:rsidRDefault="00762182" w:rsidP="006C044B">
            <w:pPr>
              <w:keepNext/>
              <w:keepLines/>
              <w:jc w:val="center"/>
              <w:rPr>
                <w:b/>
                <w:bCs/>
                <w:highlight w:val="yellow"/>
              </w:rPr>
            </w:pPr>
            <w:r>
              <w:t>2</w:t>
            </w:r>
            <w:r w:rsidR="002A2C5F">
              <w:t> </w:t>
            </w:r>
            <w:r>
              <w:t xml:space="preserve">213 </w:t>
            </w:r>
          </w:p>
        </w:tc>
        <w:tc>
          <w:tcPr>
            <w:tcW w:w="3056" w:type="dxa"/>
            <w:shd w:val="clear" w:color="auto" w:fill="F2F2F2" w:themeFill="background1" w:themeFillShade="F2"/>
          </w:tcPr>
          <w:p w14:paraId="4B9D05C0" w14:textId="485A5D4D" w:rsidR="00762182" w:rsidRPr="00C67737" w:rsidRDefault="00762182" w:rsidP="006C044B">
            <w:pPr>
              <w:keepNext/>
              <w:keepLines/>
              <w:jc w:val="center"/>
              <w:rPr>
                <w:b/>
                <w:bCs/>
                <w:highlight w:val="yellow"/>
              </w:rPr>
            </w:pPr>
            <w:r>
              <w:t>59</w:t>
            </w:r>
            <w:r w:rsidR="00966C17">
              <w:t> %</w:t>
            </w:r>
          </w:p>
        </w:tc>
      </w:tr>
    </w:tbl>
    <w:p w14:paraId="3A3636E2" w14:textId="1C6CA628" w:rsidR="00B13CC3" w:rsidRPr="00C67737" w:rsidRDefault="00B13CC3" w:rsidP="00B13CC3">
      <w:pPr>
        <w:ind w:left="180"/>
        <w:jc w:val="center"/>
        <w:rPr>
          <w:b/>
          <w:bCs/>
        </w:rPr>
      </w:pPr>
    </w:p>
    <w:p w14:paraId="3AD20DC6" w14:textId="0C269E35" w:rsidR="00494BAE" w:rsidRPr="00C67737" w:rsidRDefault="006007AB" w:rsidP="000B33CF">
      <w:pPr>
        <w:pStyle w:val="ListParagraph"/>
      </w:pPr>
      <w:r>
        <w:t xml:space="preserve">Les projets ci-après illustrent la diversité des contributions de ces domaines d’intervention </w:t>
      </w:r>
      <w:r w:rsidR="004E4238">
        <w:t>à la mise en œuvre du</w:t>
      </w:r>
      <w:r>
        <w:t xml:space="preserve"> KMGBF.</w:t>
      </w:r>
    </w:p>
    <w:p w14:paraId="331AB565" w14:textId="7A70399A" w:rsidR="00863913" w:rsidRPr="00C67737" w:rsidRDefault="00234BC8" w:rsidP="000B33CF">
      <w:pPr>
        <w:pStyle w:val="ListParagraph"/>
      </w:pPr>
      <w:r w:rsidRPr="00234BC8">
        <w:t xml:space="preserve">Le projet </w:t>
      </w:r>
      <w:r w:rsidR="004D01AD" w:rsidRPr="00234BC8">
        <w:rPr>
          <w:b/>
          <w:bCs/>
          <w:i/>
          <w:iCs/>
        </w:rPr>
        <w:t>Beyond</w:t>
      </w:r>
      <w:r w:rsidR="00A258AB">
        <w:rPr>
          <w:b/>
          <w:bCs/>
          <w:i/>
          <w:iCs/>
        </w:rPr>
        <w:t> </w:t>
      </w:r>
      <w:r w:rsidR="004D01AD" w:rsidRPr="00234BC8">
        <w:rPr>
          <w:b/>
          <w:bCs/>
          <w:i/>
          <w:iCs/>
        </w:rPr>
        <w:t>30</w:t>
      </w:r>
      <w:r w:rsidR="002A2C5F" w:rsidRPr="00234BC8">
        <w:rPr>
          <w:b/>
          <w:bCs/>
          <w:i/>
          <w:iCs/>
        </w:rPr>
        <w:t xml:space="preserve"> × </w:t>
      </w:r>
      <w:proofErr w:type="gramStart"/>
      <w:r w:rsidR="004D01AD" w:rsidRPr="00234BC8">
        <w:rPr>
          <w:b/>
          <w:bCs/>
          <w:i/>
          <w:iCs/>
        </w:rPr>
        <w:t>30:</w:t>
      </w:r>
      <w:proofErr w:type="gramEnd"/>
      <w:r w:rsidR="004D01AD" w:rsidRPr="00234BC8">
        <w:rPr>
          <w:b/>
          <w:bCs/>
          <w:i/>
          <w:iCs/>
        </w:rPr>
        <w:t xml:space="preserve"> </w:t>
      </w:r>
      <w:proofErr w:type="spellStart"/>
      <w:r w:rsidR="004D01AD" w:rsidRPr="00234BC8">
        <w:rPr>
          <w:b/>
          <w:bCs/>
          <w:i/>
          <w:iCs/>
        </w:rPr>
        <w:t>Securing</w:t>
      </w:r>
      <w:proofErr w:type="spellEnd"/>
      <w:r w:rsidR="004D01AD" w:rsidRPr="00234BC8">
        <w:rPr>
          <w:b/>
          <w:bCs/>
          <w:i/>
          <w:iCs/>
        </w:rPr>
        <w:t xml:space="preserve"> </w:t>
      </w:r>
      <w:proofErr w:type="spellStart"/>
      <w:r w:rsidR="004D01AD" w:rsidRPr="00234BC8">
        <w:rPr>
          <w:b/>
          <w:bCs/>
          <w:i/>
          <w:iCs/>
        </w:rPr>
        <w:t>resilience</w:t>
      </w:r>
      <w:proofErr w:type="spellEnd"/>
      <w:r w:rsidR="004D01AD" w:rsidRPr="00234BC8">
        <w:rPr>
          <w:b/>
          <w:bCs/>
          <w:i/>
          <w:iCs/>
        </w:rPr>
        <w:t xml:space="preserve"> in the Eastern Tropical Pacific </w:t>
      </w:r>
      <w:proofErr w:type="spellStart"/>
      <w:r w:rsidR="004D01AD" w:rsidRPr="00234BC8">
        <w:rPr>
          <w:b/>
          <w:bCs/>
          <w:i/>
          <w:iCs/>
        </w:rPr>
        <w:t>through</w:t>
      </w:r>
      <w:proofErr w:type="spellEnd"/>
      <w:r w:rsidR="004D01AD" w:rsidRPr="00234BC8">
        <w:rPr>
          <w:b/>
          <w:bCs/>
          <w:i/>
          <w:iCs/>
        </w:rPr>
        <w:t xml:space="preserve"> </w:t>
      </w:r>
      <w:proofErr w:type="spellStart"/>
      <w:r w:rsidR="004D01AD" w:rsidRPr="00234BC8">
        <w:rPr>
          <w:b/>
          <w:bCs/>
          <w:i/>
          <w:iCs/>
        </w:rPr>
        <w:t>enhanced</w:t>
      </w:r>
      <w:proofErr w:type="spellEnd"/>
      <w:r w:rsidR="004D01AD" w:rsidRPr="00234BC8">
        <w:rPr>
          <w:b/>
          <w:bCs/>
          <w:i/>
          <w:iCs/>
        </w:rPr>
        <w:t xml:space="preserve"> </w:t>
      </w:r>
      <w:proofErr w:type="spellStart"/>
      <w:r w:rsidR="004D01AD" w:rsidRPr="00234BC8">
        <w:rPr>
          <w:b/>
          <w:bCs/>
          <w:i/>
          <w:iCs/>
        </w:rPr>
        <w:t>transboundary</w:t>
      </w:r>
      <w:proofErr w:type="spellEnd"/>
      <w:r w:rsidR="004D01AD" w:rsidRPr="00234BC8">
        <w:rPr>
          <w:b/>
          <w:bCs/>
          <w:i/>
          <w:iCs/>
        </w:rPr>
        <w:t xml:space="preserve"> </w:t>
      </w:r>
      <w:proofErr w:type="spellStart"/>
      <w:r w:rsidR="004D01AD" w:rsidRPr="00234BC8">
        <w:rPr>
          <w:b/>
          <w:bCs/>
          <w:i/>
          <w:iCs/>
        </w:rPr>
        <w:t>cooperation</w:t>
      </w:r>
      <w:proofErr w:type="spellEnd"/>
      <w:r w:rsidR="004D01AD" w:rsidRPr="00234BC8">
        <w:rPr>
          <w:b/>
          <w:bCs/>
        </w:rPr>
        <w:t> </w:t>
      </w:r>
      <w:r w:rsidR="004D01AD" w:rsidRPr="00234BC8">
        <w:t>(Colombie, Costa Rica, Équateur et Panama</w:t>
      </w:r>
      <w:r w:rsidR="002A2C5F" w:rsidRPr="00234BC8">
        <w:t> </w:t>
      </w:r>
      <w:r w:rsidR="004D01AD" w:rsidRPr="00234BC8">
        <w:t>; financement de projet du GEF</w:t>
      </w:r>
      <w:r w:rsidR="006E54C7">
        <w:t> :</w:t>
      </w:r>
      <w:r w:rsidR="004D01AD" w:rsidRPr="00234BC8">
        <w:t xml:space="preserve"> 15</w:t>
      </w:r>
      <w:r w:rsidR="00A258AB">
        <w:t> 673 000 </w:t>
      </w:r>
      <w:r w:rsidR="004D01AD" w:rsidRPr="00234BC8">
        <w:t>dollars</w:t>
      </w:r>
      <w:r w:rsidR="00A258AB">
        <w:t> </w:t>
      </w:r>
      <w:r w:rsidR="004D01AD" w:rsidRPr="00234BC8">
        <w:t>; cofinancement</w:t>
      </w:r>
      <w:r w:rsidR="006E54C7">
        <w:t> :</w:t>
      </w:r>
      <w:r w:rsidR="004D01AD" w:rsidRPr="00234BC8">
        <w:t xml:space="preserve"> 53</w:t>
      </w:r>
      <w:r w:rsidR="002A2C5F" w:rsidRPr="00234BC8">
        <w:t> 383 037 </w:t>
      </w:r>
      <w:r w:rsidR="004D01AD" w:rsidRPr="00234BC8">
        <w:t>dollars)</w:t>
      </w:r>
      <w:r w:rsidR="000760D7">
        <w:t xml:space="preserve"> vise à renforcer</w:t>
      </w:r>
      <w:r w:rsidR="005372EC">
        <w:t>, à long terme</w:t>
      </w:r>
      <w:r w:rsidR="005B612D">
        <w:t>,</w:t>
      </w:r>
      <w:r w:rsidR="000760D7">
        <w:t xml:space="preserve"> la résilience et la conservation d’au moins 31 250 000 hectares d’aires marines protégées dans la zone du corridor marin du Pacifique tropical oriental.</w:t>
      </w:r>
      <w:r w:rsidR="004D01AD" w:rsidRPr="00234BC8">
        <w:t xml:space="preserve"> </w:t>
      </w:r>
      <w:r w:rsidR="004D01AD">
        <w:t>Financé au titre du domaine d’intervention «</w:t>
      </w:r>
      <w:r w:rsidR="002A2C5F">
        <w:t> </w:t>
      </w:r>
      <w:r w:rsidR="00262091">
        <w:t>E</w:t>
      </w:r>
      <w:r w:rsidR="004D01AD">
        <w:t>aux internationales</w:t>
      </w:r>
      <w:r w:rsidR="002A2C5F">
        <w:t> </w:t>
      </w:r>
      <w:r w:rsidR="004D01AD">
        <w:t xml:space="preserve">», </w:t>
      </w:r>
      <w:r w:rsidR="00262091" w:rsidRPr="00262091">
        <w:t xml:space="preserve">il contribuera à cet objectif </w:t>
      </w:r>
      <w:r w:rsidR="00E65B8F">
        <w:t xml:space="preserve">en </w:t>
      </w:r>
      <w:r w:rsidR="00AB1E12">
        <w:t xml:space="preserve">renforçant </w:t>
      </w:r>
      <w:r w:rsidR="004D01AD">
        <w:t xml:space="preserve">la gouvernance régionale, </w:t>
      </w:r>
      <w:r w:rsidR="00E65B8F">
        <w:t xml:space="preserve">en </w:t>
      </w:r>
      <w:r w:rsidR="005205BE">
        <w:t>assurant</w:t>
      </w:r>
      <w:r w:rsidR="004D01AD">
        <w:t xml:space="preserve"> la connectivité </w:t>
      </w:r>
      <w:r w:rsidR="00AB1E12">
        <w:t xml:space="preserve">à l’échelle </w:t>
      </w:r>
      <w:r w:rsidR="004D01AD">
        <w:t xml:space="preserve">régionale, </w:t>
      </w:r>
      <w:r w:rsidR="00E021F4">
        <w:t xml:space="preserve">en </w:t>
      </w:r>
      <w:r w:rsidR="00AB1E12">
        <w:t>améliorant la</w:t>
      </w:r>
      <w:r w:rsidR="004D01AD">
        <w:t xml:space="preserve"> </w:t>
      </w:r>
      <w:r w:rsidR="0045424D">
        <w:t xml:space="preserve">résilience climatique de la </w:t>
      </w:r>
      <w:r w:rsidR="004D01AD">
        <w:t xml:space="preserve">gestion et </w:t>
      </w:r>
      <w:r w:rsidR="00E135C0">
        <w:t xml:space="preserve">en coordonnant les </w:t>
      </w:r>
      <w:r w:rsidR="004D01AD">
        <w:t>investisseme</w:t>
      </w:r>
      <w:r w:rsidR="006B35D2">
        <w:t>nts</w:t>
      </w:r>
      <w:r w:rsidR="00E135C0">
        <w:t xml:space="preserve"> </w:t>
      </w:r>
      <w:r w:rsidR="002321E9">
        <w:t>en faveur d’</w:t>
      </w:r>
      <w:r w:rsidR="00E135C0">
        <w:t>une économie bleue durable ainsi que les efforts de conservation.</w:t>
      </w:r>
    </w:p>
    <w:p w14:paraId="5D47AD37" w14:textId="76DD9917" w:rsidR="00D1509D" w:rsidRPr="00C67737" w:rsidRDefault="00234BC8" w:rsidP="000B33CF">
      <w:pPr>
        <w:pStyle w:val="ListParagraph"/>
        <w:rPr>
          <w:b/>
        </w:rPr>
      </w:pPr>
      <w:r w:rsidRPr="007B05F9">
        <w:t>Le projet</w:t>
      </w:r>
      <w:r w:rsidR="007B05F9">
        <w:rPr>
          <w:b/>
          <w:bCs/>
          <w:i/>
          <w:iCs/>
        </w:rPr>
        <w:t xml:space="preserve"> </w:t>
      </w:r>
      <w:proofErr w:type="spellStart"/>
      <w:r w:rsidR="00D1509D">
        <w:rPr>
          <w:b/>
          <w:bCs/>
          <w:i/>
          <w:iCs/>
        </w:rPr>
        <w:t>Unlocking</w:t>
      </w:r>
      <w:proofErr w:type="spellEnd"/>
      <w:r w:rsidR="00D1509D">
        <w:rPr>
          <w:b/>
          <w:bCs/>
          <w:i/>
          <w:iCs/>
        </w:rPr>
        <w:t xml:space="preserve"> Blue Pacific Prosperity </w:t>
      </w:r>
      <w:proofErr w:type="spellStart"/>
      <w:r w:rsidR="00D1509D">
        <w:rPr>
          <w:b/>
          <w:bCs/>
          <w:i/>
          <w:iCs/>
        </w:rPr>
        <w:t>through</w:t>
      </w:r>
      <w:proofErr w:type="spellEnd"/>
      <w:r w:rsidR="00D1509D">
        <w:rPr>
          <w:b/>
          <w:bCs/>
          <w:i/>
          <w:iCs/>
        </w:rPr>
        <w:t xml:space="preserve"> the </w:t>
      </w:r>
      <w:proofErr w:type="spellStart"/>
      <w:r w:rsidR="00D1509D">
        <w:rPr>
          <w:b/>
          <w:bCs/>
          <w:i/>
          <w:iCs/>
        </w:rPr>
        <w:t>Ocean</w:t>
      </w:r>
      <w:proofErr w:type="spellEnd"/>
      <w:r w:rsidR="00D1509D">
        <w:rPr>
          <w:b/>
          <w:bCs/>
          <w:i/>
          <w:iCs/>
        </w:rPr>
        <w:t xml:space="preserve"> Flagship</w:t>
      </w:r>
      <w:r w:rsidR="00D1509D">
        <w:t xml:space="preserve"> (Fidji, Îles Cook, Îles Marshall, Îles Salomon, Kiribati, Micronésie [États fédérés de], Nioué, Palaos, Samoa, Tonga, Tuvalu et Vanuatu</w:t>
      </w:r>
      <w:r w:rsidR="002A2C5F">
        <w:t> </w:t>
      </w:r>
      <w:r w:rsidR="00D1509D">
        <w:t>; financement de projet du GEF</w:t>
      </w:r>
      <w:r w:rsidR="006E54C7">
        <w:t> :</w:t>
      </w:r>
      <w:r w:rsidR="00D1509D">
        <w:t xml:space="preserve"> 18</w:t>
      </w:r>
      <w:r w:rsidR="002A2C5F">
        <w:t> 048 624 </w:t>
      </w:r>
      <w:r w:rsidR="00D1509D">
        <w:t>dollars</w:t>
      </w:r>
      <w:r w:rsidR="002A2C5F">
        <w:t> </w:t>
      </w:r>
      <w:r w:rsidR="00D1509D">
        <w:t>; cofinancement</w:t>
      </w:r>
      <w:r w:rsidR="006E54C7">
        <w:t> :</w:t>
      </w:r>
      <w:r w:rsidR="00D1509D">
        <w:t xml:space="preserve"> 102</w:t>
      </w:r>
      <w:r w:rsidR="002A2C5F">
        <w:t> 706 </w:t>
      </w:r>
      <w:r w:rsidR="00D1509D">
        <w:t>318 dollars)</w:t>
      </w:r>
      <w:r w:rsidR="007B05F9">
        <w:t xml:space="preserve"> </w:t>
      </w:r>
      <w:r w:rsidR="00333762" w:rsidRPr="00333762">
        <w:t>appuie la mise en œuvre d’une initiative conduite par les pays du Pacifique afin d’assurer la gestion durable et la protection de leurs vastes espaces océaniques. Financée au titre du domaine d’intervention «</w:t>
      </w:r>
      <w:r w:rsidR="00A258AB">
        <w:t> </w:t>
      </w:r>
      <w:r w:rsidR="00333762">
        <w:t>E</w:t>
      </w:r>
      <w:r w:rsidR="00333762" w:rsidRPr="00333762">
        <w:t>aux internationales</w:t>
      </w:r>
      <w:r w:rsidR="00A258AB">
        <w:t> </w:t>
      </w:r>
      <w:r w:rsidR="00333762" w:rsidRPr="00333762">
        <w:t>», cette initiative vise à gérer durablement la totalité des eaux de l’océan Pacifique, à en protéger au moins 30</w:t>
      </w:r>
      <w:r w:rsidR="00966C17">
        <w:t> %</w:t>
      </w:r>
      <w:r w:rsidR="00333762" w:rsidRPr="00333762">
        <w:t xml:space="preserve"> d’ici à 2030 et à favoriser des communautés saines et résilientes, dotées de systèmes alimentaires robustes, grâce notamment à des mécanismes de financement innovants et adaptés aux besoins. </w:t>
      </w:r>
      <w:r w:rsidR="00872B83" w:rsidRPr="00872B83">
        <w:t>Le projet devrait permettre de soumettre 840</w:t>
      </w:r>
      <w:r w:rsidR="001858B4">
        <w:t> </w:t>
      </w:r>
      <w:r w:rsidR="00872B83" w:rsidRPr="00872B83">
        <w:t>millions d’hectares d’habitats marins à des pratiques améliorées, de ramener 2</w:t>
      </w:r>
      <w:r w:rsidR="00A258AB">
        <w:t> </w:t>
      </w:r>
      <w:r w:rsidR="00872B83" w:rsidRPr="00872B83">
        <w:t>900</w:t>
      </w:r>
      <w:r w:rsidR="001858B4">
        <w:t> </w:t>
      </w:r>
      <w:r w:rsidR="00872B83" w:rsidRPr="00872B83">
        <w:t xml:space="preserve">tonnes de prises issues de pêcheries marines à des niveaux d’exploitation plus </w:t>
      </w:r>
      <w:r w:rsidR="00293542">
        <w:t>viables</w:t>
      </w:r>
      <w:r w:rsidR="00872B83" w:rsidRPr="00872B83">
        <w:t>, de placer des écosystèmes aquatiques partagés sous des mécanismes nouveaux ou améliorés de gestion coopérative et de bénéficier directement à 3</w:t>
      </w:r>
      <w:r w:rsidR="00A258AB">
        <w:t> 045 </w:t>
      </w:r>
      <w:r w:rsidR="00872B83" w:rsidRPr="00872B83">
        <w:t>597</w:t>
      </w:r>
      <w:r w:rsidR="001858B4">
        <w:t> </w:t>
      </w:r>
      <w:r w:rsidR="00872B83" w:rsidRPr="00872B83">
        <w:t>personnes, dont 1</w:t>
      </w:r>
      <w:r w:rsidR="00A258AB">
        <w:t> 492 </w:t>
      </w:r>
      <w:r w:rsidR="00872B83" w:rsidRPr="00872B83">
        <w:t>940</w:t>
      </w:r>
      <w:r w:rsidR="001858B4">
        <w:t> </w:t>
      </w:r>
      <w:r w:rsidR="00872B83" w:rsidRPr="00872B83">
        <w:t>femmes.</w:t>
      </w:r>
    </w:p>
    <w:p w14:paraId="34EA710F" w14:textId="1FE5E092" w:rsidR="0014561E" w:rsidRPr="00C67737" w:rsidRDefault="00571A24" w:rsidP="000B33CF">
      <w:pPr>
        <w:pStyle w:val="ListParagraph"/>
      </w:pPr>
      <w:r>
        <w:lastRenderedPageBreak/>
        <w:t>Le programme</w:t>
      </w:r>
      <w:r w:rsidR="00626C8B" w:rsidRPr="00626C8B">
        <w:t xml:space="preserve"> </w:t>
      </w:r>
      <w:r w:rsidR="172034A3" w:rsidRPr="00626C8B">
        <w:rPr>
          <w:b/>
          <w:bCs/>
          <w:i/>
          <w:iCs/>
        </w:rPr>
        <w:t xml:space="preserve">Transformation </w:t>
      </w:r>
      <w:proofErr w:type="spellStart"/>
      <w:r w:rsidR="172034A3" w:rsidRPr="00626C8B">
        <w:rPr>
          <w:b/>
          <w:bCs/>
          <w:i/>
          <w:iCs/>
        </w:rPr>
        <w:t>Approach</w:t>
      </w:r>
      <w:proofErr w:type="spellEnd"/>
      <w:r w:rsidR="172034A3" w:rsidRPr="00626C8B">
        <w:rPr>
          <w:b/>
          <w:bCs/>
          <w:i/>
          <w:iCs/>
        </w:rPr>
        <w:t xml:space="preserve"> to Large Scale Investment in Support of the </w:t>
      </w:r>
      <w:proofErr w:type="spellStart"/>
      <w:r w:rsidR="172034A3" w:rsidRPr="00626C8B">
        <w:rPr>
          <w:b/>
          <w:bCs/>
          <w:i/>
          <w:iCs/>
        </w:rPr>
        <w:t>Implementation</w:t>
      </w:r>
      <w:proofErr w:type="spellEnd"/>
      <w:r w:rsidR="172034A3" w:rsidRPr="00626C8B">
        <w:rPr>
          <w:b/>
          <w:bCs/>
          <w:i/>
          <w:iCs/>
        </w:rPr>
        <w:t xml:space="preserve"> of the Great Green Wall Initiative</w:t>
      </w:r>
      <w:r w:rsidR="172034A3" w:rsidRPr="00626C8B">
        <w:t xml:space="preserve"> (</w:t>
      </w:r>
      <w:r w:rsidR="0082216E">
        <w:t>régional</w:t>
      </w:r>
      <w:r w:rsidR="006E54C7">
        <w:t> :</w:t>
      </w:r>
      <w:r w:rsidR="009D3902">
        <w:t xml:space="preserve"> </w:t>
      </w:r>
      <w:r w:rsidR="172034A3" w:rsidRPr="00626C8B">
        <w:t>Burkina Faso, Éthiopie, Gambie, Mali, Mauritanie, Niger, Nigéria, Sénégal et Tchad</w:t>
      </w:r>
      <w:r w:rsidR="002A2C5F" w:rsidRPr="00626C8B">
        <w:t> </w:t>
      </w:r>
      <w:r w:rsidR="172034A3" w:rsidRPr="00626C8B">
        <w:t>; financement de projet du GEF</w:t>
      </w:r>
      <w:r w:rsidR="006E54C7">
        <w:t> :</w:t>
      </w:r>
      <w:r w:rsidR="172034A3" w:rsidRPr="00626C8B">
        <w:t xml:space="preserve"> 86</w:t>
      </w:r>
      <w:r w:rsidR="00B227AA" w:rsidRPr="00626C8B">
        <w:t> 998 782 </w:t>
      </w:r>
      <w:r w:rsidR="172034A3" w:rsidRPr="00626C8B">
        <w:t>dollars</w:t>
      </w:r>
      <w:r w:rsidR="00B227AA" w:rsidRPr="00626C8B">
        <w:t> </w:t>
      </w:r>
      <w:r w:rsidR="172034A3" w:rsidRPr="00626C8B">
        <w:t>; cofinancement</w:t>
      </w:r>
      <w:r w:rsidR="006E54C7">
        <w:t> :</w:t>
      </w:r>
      <w:r w:rsidR="172034A3" w:rsidRPr="00626C8B">
        <w:t xml:space="preserve"> 2</w:t>
      </w:r>
      <w:r w:rsidR="00B227AA" w:rsidRPr="00626C8B">
        <w:t> 998 018 615 </w:t>
      </w:r>
      <w:r w:rsidR="172034A3" w:rsidRPr="00626C8B">
        <w:t xml:space="preserve">dollars) </w:t>
      </w:r>
      <w:r w:rsidR="00626C8B">
        <w:t xml:space="preserve">vise à restaurer les paysages et les services écosystémiques </w:t>
      </w:r>
      <w:r w:rsidR="00FA2BC1">
        <w:t>au profit de communautés résilientes</w:t>
      </w:r>
      <w:r w:rsidR="00626C8B">
        <w:t xml:space="preserve"> vivant dans les zones arides et semi-arides de </w:t>
      </w:r>
      <w:r w:rsidR="00487D98">
        <w:t>la région</w:t>
      </w:r>
      <w:r w:rsidR="00626C8B">
        <w:t xml:space="preserve"> sahélien</w:t>
      </w:r>
      <w:r w:rsidR="00487D98">
        <w:t>ne</w:t>
      </w:r>
      <w:r w:rsidR="00626C8B">
        <w:t xml:space="preserve"> couvert</w:t>
      </w:r>
      <w:r w:rsidR="00487D98">
        <w:t>e</w:t>
      </w:r>
      <w:r w:rsidR="00626C8B">
        <w:t xml:space="preserve"> par l</w:t>
      </w:r>
      <w:r w:rsidR="00487D98">
        <w:t>’initiative de la</w:t>
      </w:r>
      <w:r w:rsidR="00626C8B">
        <w:t xml:space="preserve"> Grande Muraille verte. </w:t>
      </w:r>
      <w:r w:rsidR="00235C19" w:rsidRPr="00235C19">
        <w:t>Relevant de plusieurs fonds fiduciaires et de plusieurs domaines d’intervention, ce programme combine des ressources provenant des domaines d’intervention «</w:t>
      </w:r>
      <w:r w:rsidR="00A258AB">
        <w:t> </w:t>
      </w:r>
      <w:r w:rsidR="0034590E">
        <w:t>d</w:t>
      </w:r>
      <w:r w:rsidR="00235C19" w:rsidRPr="00235C19">
        <w:t>iversité biologique</w:t>
      </w:r>
      <w:r w:rsidR="00A258AB">
        <w:t> </w:t>
      </w:r>
      <w:r w:rsidR="00235C19" w:rsidRPr="00235C19">
        <w:t>», «</w:t>
      </w:r>
      <w:r w:rsidR="00A258AB">
        <w:t> </w:t>
      </w:r>
      <w:r w:rsidR="0034590E">
        <w:t>c</w:t>
      </w:r>
      <w:r w:rsidR="00235C19" w:rsidRPr="00235C19">
        <w:t>hangements climatiques</w:t>
      </w:r>
      <w:r w:rsidR="00A258AB">
        <w:t> </w:t>
      </w:r>
      <w:r w:rsidR="00235C19" w:rsidRPr="00235C19">
        <w:t>» et «</w:t>
      </w:r>
      <w:r w:rsidR="00A258AB">
        <w:t> </w:t>
      </w:r>
      <w:r w:rsidR="0034590E">
        <w:t>d</w:t>
      </w:r>
      <w:r w:rsidR="00235C19" w:rsidRPr="00235C19">
        <w:t>égradation des terres</w:t>
      </w:r>
      <w:r w:rsidR="00A258AB">
        <w:t> </w:t>
      </w:r>
      <w:r w:rsidR="00235C19" w:rsidRPr="00235C19">
        <w:t>», ainsi que du Fonds pour les pays les moins avancés (FPMA). Il s’appuie sur une approche transnationale coordonnée, soutenue par des activités d’adaptation et par le renforcement des capacités locales et régionales en matière de gestion durable des terres.</w:t>
      </w:r>
      <w:r w:rsidR="00235C19">
        <w:t xml:space="preserve"> </w:t>
      </w:r>
      <w:r w:rsidR="005A1006" w:rsidRPr="005A1006">
        <w:t>S’appuyant sur les acquis de l’Initiative de la Grande Muraille verte, le programme entend atteindre ses objectifs au moyen de quatre composantes interdépendantes</w:t>
      </w:r>
      <w:r w:rsidR="006E54C7">
        <w:t> :</w:t>
      </w:r>
      <w:r w:rsidR="005A1006" w:rsidRPr="005A1006">
        <w:t xml:space="preserve"> i)</w:t>
      </w:r>
      <w:r w:rsidR="00DA270B">
        <w:t> </w:t>
      </w:r>
      <w:r w:rsidR="005A1006" w:rsidRPr="005A1006">
        <w:t>renforcer les conditions propices à une restauration des paysages tenant compte des questions de genre et résiliente face aux changements climatiques dans l’ensemble du Sahel</w:t>
      </w:r>
      <w:r w:rsidR="00A258AB">
        <w:t> </w:t>
      </w:r>
      <w:r w:rsidR="005A1006" w:rsidRPr="005A1006">
        <w:t>; ii)</w:t>
      </w:r>
      <w:r w:rsidR="00DA270B">
        <w:t> </w:t>
      </w:r>
      <w:r w:rsidR="005A1006" w:rsidRPr="005A1006">
        <w:t>mobiliser des financements durables afin d’accroître les investissements en faveur de l’adaptation aux changements climatiques</w:t>
      </w:r>
      <w:r w:rsidR="00A258AB">
        <w:t> </w:t>
      </w:r>
      <w:r w:rsidR="005A1006" w:rsidRPr="005A1006">
        <w:t>; iii) renforcer la résilience des écosystèmes et des communautés grâce à des pratiques de gestion durable des terres et à l’adaptation fondée sur les écosystèmes</w:t>
      </w:r>
      <w:r w:rsidR="00A258AB">
        <w:t> </w:t>
      </w:r>
      <w:r w:rsidR="005A1006" w:rsidRPr="005A1006">
        <w:t>; et iv)</w:t>
      </w:r>
      <w:r w:rsidR="00DA270B">
        <w:t> </w:t>
      </w:r>
      <w:r w:rsidR="005A1006" w:rsidRPr="005A1006">
        <w:t>améliorer la gestion des connaissances et la diffusion de l’information dans les pays de la Grande Muraille verte.</w:t>
      </w:r>
      <w:r w:rsidR="005A1006">
        <w:t xml:space="preserve"> </w:t>
      </w:r>
      <w:r w:rsidR="172034A3">
        <w:t xml:space="preserve">Le programme concourt à la réalisation des </w:t>
      </w:r>
      <w:r w:rsidR="172034A3" w:rsidRPr="00626C8B">
        <w:rPr>
          <w:b/>
          <w:bCs/>
        </w:rPr>
        <w:t>cibles</w:t>
      </w:r>
      <w:r w:rsidR="00B227AA" w:rsidRPr="00626C8B">
        <w:rPr>
          <w:b/>
          <w:bCs/>
        </w:rPr>
        <w:t> </w:t>
      </w:r>
      <w:r w:rsidR="172034A3" w:rsidRPr="00626C8B">
        <w:rPr>
          <w:b/>
          <w:bCs/>
        </w:rPr>
        <w:t>2, 8, 10, 11</w:t>
      </w:r>
      <w:r w:rsidR="172034A3">
        <w:t xml:space="preserve"> et </w:t>
      </w:r>
      <w:r w:rsidR="172034A3" w:rsidRPr="00626C8B">
        <w:rPr>
          <w:b/>
          <w:bCs/>
        </w:rPr>
        <w:t>14</w:t>
      </w:r>
      <w:r w:rsidR="172034A3">
        <w:t xml:space="preserve"> du KMGBF.</w:t>
      </w:r>
    </w:p>
    <w:p w14:paraId="431B28A2" w14:textId="06528180" w:rsidR="00C2087B" w:rsidRPr="00C67737" w:rsidRDefault="00EE3C94" w:rsidP="000B33CF">
      <w:pPr>
        <w:pStyle w:val="ListParagraph"/>
      </w:pPr>
      <w:r w:rsidRPr="00EE3C94">
        <w:t xml:space="preserve">Le programme </w:t>
      </w:r>
      <w:r w:rsidR="00C2087B" w:rsidRPr="00AC626A">
        <w:rPr>
          <w:b/>
          <w:bCs/>
          <w:i/>
          <w:iCs/>
        </w:rPr>
        <w:t>Integrated</w:t>
      </w:r>
      <w:r w:rsidR="00C2087B" w:rsidRPr="00EE3C94">
        <w:t xml:space="preserve"> </w:t>
      </w:r>
      <w:r w:rsidR="00C2087B">
        <w:rPr>
          <w:b/>
          <w:bCs/>
          <w:i/>
          <w:iCs/>
        </w:rPr>
        <w:t xml:space="preserve">Collaborative </w:t>
      </w:r>
      <w:proofErr w:type="spellStart"/>
      <w:r w:rsidR="00C2087B">
        <w:rPr>
          <w:b/>
          <w:bCs/>
          <w:i/>
          <w:iCs/>
        </w:rPr>
        <w:t>Approaches</w:t>
      </w:r>
      <w:proofErr w:type="spellEnd"/>
      <w:r w:rsidR="00C2087B">
        <w:rPr>
          <w:b/>
          <w:bCs/>
          <w:i/>
          <w:iCs/>
        </w:rPr>
        <w:t xml:space="preserve"> for </w:t>
      </w:r>
      <w:proofErr w:type="spellStart"/>
      <w:r w:rsidR="00C2087B">
        <w:rPr>
          <w:b/>
          <w:bCs/>
          <w:i/>
          <w:iCs/>
        </w:rPr>
        <w:t>Sustainable</w:t>
      </w:r>
      <w:proofErr w:type="spellEnd"/>
      <w:r w:rsidR="00C2087B">
        <w:rPr>
          <w:b/>
          <w:bCs/>
          <w:i/>
          <w:iCs/>
        </w:rPr>
        <w:t xml:space="preserve"> </w:t>
      </w:r>
      <w:proofErr w:type="spellStart"/>
      <w:r w:rsidR="00C2087B">
        <w:rPr>
          <w:b/>
          <w:bCs/>
          <w:i/>
          <w:iCs/>
        </w:rPr>
        <w:t>Tourism</w:t>
      </w:r>
      <w:proofErr w:type="spellEnd"/>
      <w:r w:rsidR="00C2087B">
        <w:rPr>
          <w:b/>
          <w:bCs/>
          <w:i/>
          <w:iCs/>
        </w:rPr>
        <w:t xml:space="preserve"> Program</w:t>
      </w:r>
      <w:r w:rsidR="00C2087B">
        <w:t xml:space="preserve"> (</w:t>
      </w:r>
      <w:r w:rsidR="00AC626A">
        <w:t>m</w:t>
      </w:r>
      <w:r w:rsidR="00C2087B">
        <w:t>ondial</w:t>
      </w:r>
      <w:r w:rsidR="006E54C7">
        <w:t> :</w:t>
      </w:r>
      <w:r w:rsidR="00C2087B">
        <w:t xml:space="preserve"> Belize, Égypte, Honduras, Indonésie, Jamaïque, Maldives, Maroc, Mexique, République dominicaine, Seychelles, Tanzanie, Trinité-et-Tobago, Türkiye et Vanuatu</w:t>
      </w:r>
      <w:r w:rsidR="00B227AA">
        <w:t> </w:t>
      </w:r>
      <w:r w:rsidR="00C2087B">
        <w:t>; financement de projet du GEF</w:t>
      </w:r>
      <w:r w:rsidR="006E54C7">
        <w:t> :</w:t>
      </w:r>
      <w:r w:rsidR="00C2087B">
        <w:t xml:space="preserve"> 81</w:t>
      </w:r>
      <w:r w:rsidR="00B227AA">
        <w:t> 834 862 </w:t>
      </w:r>
      <w:r w:rsidR="00C2087B">
        <w:t>dollars</w:t>
      </w:r>
      <w:r w:rsidR="00B227AA">
        <w:t> </w:t>
      </w:r>
      <w:r w:rsidR="00C2087B">
        <w:t>; cofinancement</w:t>
      </w:r>
      <w:r w:rsidR="006E54C7">
        <w:t> :</w:t>
      </w:r>
      <w:r w:rsidR="00C2087B">
        <w:t xml:space="preserve"> 737</w:t>
      </w:r>
      <w:r w:rsidR="00B227AA">
        <w:t> 768 029 </w:t>
      </w:r>
      <w:r w:rsidR="00C2087B">
        <w:t>dollars)</w:t>
      </w:r>
      <w:r w:rsidRPr="00EE3C94">
        <w:t xml:space="preserve"> </w:t>
      </w:r>
      <w:r>
        <w:t xml:space="preserve">vise à réduire les incidences </w:t>
      </w:r>
      <w:r w:rsidR="00AC626A">
        <w:t>néfastes</w:t>
      </w:r>
      <w:r>
        <w:t xml:space="preserve"> du secteur du tourisme sur la </w:t>
      </w:r>
      <w:r w:rsidR="008951CE">
        <w:t xml:space="preserve">biodiversité </w:t>
      </w:r>
      <w:r>
        <w:t>et à favoriser la conservation et la restauration des écosystèmes</w:t>
      </w:r>
      <w:r w:rsidR="00AC626A">
        <w:t xml:space="preserve"> grâce à la mise en</w:t>
      </w:r>
      <w:r>
        <w:t xml:space="preserve"> œuvre de solutions fondées sur la nature et de pratiques de gestion durable des terres</w:t>
      </w:r>
      <w:r w:rsidR="00C2087B">
        <w:t>. Financé au titre des domaines d’intervention «</w:t>
      </w:r>
      <w:r w:rsidR="00B227AA">
        <w:t> </w:t>
      </w:r>
      <w:r w:rsidR="00A7301F">
        <w:t>P</w:t>
      </w:r>
      <w:r w:rsidR="00C2087B">
        <w:t>roduits chimiques et déchets</w:t>
      </w:r>
      <w:r w:rsidR="00B227AA">
        <w:t> </w:t>
      </w:r>
      <w:r w:rsidR="00C2087B">
        <w:t>» et «</w:t>
      </w:r>
      <w:r w:rsidR="00B227AA">
        <w:t> </w:t>
      </w:r>
      <w:r w:rsidR="00A7301F">
        <w:t>E</w:t>
      </w:r>
      <w:r w:rsidR="00C2087B">
        <w:t>aux internationales</w:t>
      </w:r>
      <w:r w:rsidR="00B227AA">
        <w:t> </w:t>
      </w:r>
      <w:r w:rsidR="00C2087B">
        <w:t xml:space="preserve">», ce programme multinational </w:t>
      </w:r>
      <w:r w:rsidR="00AC626A">
        <w:t xml:space="preserve">entend </w:t>
      </w:r>
      <w:r w:rsidR="00C2087B">
        <w:t xml:space="preserve">transformer le secteur du tourisme en créant des conditions propices à l’adoption de pratiques durables. </w:t>
      </w:r>
      <w:r w:rsidR="00A7301F">
        <w:t xml:space="preserve">Il </w:t>
      </w:r>
      <w:r w:rsidR="001E6DA1">
        <w:t>vise à</w:t>
      </w:r>
      <w:r w:rsidR="00C2087B">
        <w:t xml:space="preserve"> atténuer </w:t>
      </w:r>
      <w:r w:rsidR="00764224">
        <w:t>l</w:t>
      </w:r>
      <w:r w:rsidR="00764224" w:rsidRPr="00764224">
        <w:t>es émissions de gaz à effet de serre de 6</w:t>
      </w:r>
      <w:r w:rsidR="00A258AB">
        <w:t> 101 580 </w:t>
      </w:r>
      <w:r w:rsidR="00764224" w:rsidRPr="00764224">
        <w:t xml:space="preserve">tonnes d’équivalent dioxyde de carbone (t </w:t>
      </w:r>
      <w:proofErr w:type="spellStart"/>
      <w:r w:rsidR="00764224" w:rsidRPr="00764224">
        <w:t>éq</w:t>
      </w:r>
      <w:proofErr w:type="spellEnd"/>
      <w:r w:rsidR="00764224" w:rsidRPr="00764224">
        <w:t>. CO₂), à réduire de 13</w:t>
      </w:r>
      <w:r w:rsidR="00A258AB">
        <w:t> 370 </w:t>
      </w:r>
      <w:r w:rsidR="00764224" w:rsidRPr="00764224">
        <w:t>tonnes l’utilisation et les rejets de produits chimiques dangereux, à améliorer la qualité de l’eau et la santé humaine, ainsi qu’à réduire la production de déchets et à améliorer les pratiques de gestion des déchets, en particulier pour 269</w:t>
      </w:r>
      <w:r w:rsidR="00A258AB">
        <w:t> 267 </w:t>
      </w:r>
      <w:r w:rsidR="00764224" w:rsidRPr="00764224">
        <w:t>tonnes de déchets plastiques.</w:t>
      </w:r>
      <w:r w:rsidR="00C2087B">
        <w:t xml:space="preserve"> En appuyant des initiatives de tourisme communautaire, </w:t>
      </w:r>
      <w:r w:rsidR="00636134">
        <w:t>le programme permet</w:t>
      </w:r>
      <w:r w:rsidR="00C2087B">
        <w:t xml:space="preserve"> aux peuples autochtones et communautés locales de gérer durablement leurs ressources naturelles et culturelles et d’en tirer parti</w:t>
      </w:r>
      <w:r w:rsidR="0082216E">
        <w:t xml:space="preserve"> et de participer </w:t>
      </w:r>
      <w:r w:rsidR="00C2087B">
        <w:t xml:space="preserve">au développement du tourisme. </w:t>
      </w:r>
      <w:r w:rsidR="0082216E">
        <w:t>Il</w:t>
      </w:r>
      <w:r w:rsidR="00C2087B">
        <w:t xml:space="preserve"> concourt à la réalisation des </w:t>
      </w:r>
      <w:r w:rsidR="00C2087B">
        <w:rPr>
          <w:b/>
          <w:bCs/>
        </w:rPr>
        <w:t>cibles</w:t>
      </w:r>
      <w:r w:rsidR="00B227AA">
        <w:rPr>
          <w:b/>
          <w:bCs/>
        </w:rPr>
        <w:t> </w:t>
      </w:r>
      <w:r w:rsidR="00C2087B">
        <w:rPr>
          <w:b/>
          <w:bCs/>
        </w:rPr>
        <w:t>7, 8</w:t>
      </w:r>
      <w:r w:rsidR="00C2087B">
        <w:t xml:space="preserve"> et </w:t>
      </w:r>
      <w:r w:rsidR="00C2087B">
        <w:rPr>
          <w:b/>
          <w:bCs/>
        </w:rPr>
        <w:t>16</w:t>
      </w:r>
      <w:r w:rsidR="00C2087B">
        <w:t xml:space="preserve"> du KMGBF. </w:t>
      </w:r>
    </w:p>
    <w:p w14:paraId="43683E03" w14:textId="5414A4BE" w:rsidR="00280105" w:rsidRPr="00C67737" w:rsidRDefault="007D7AB6" w:rsidP="000B33CF">
      <w:pPr>
        <w:pStyle w:val="ListParagraph"/>
      </w:pPr>
      <w:r>
        <w:t>Le programme</w:t>
      </w:r>
      <w:r w:rsidR="00790D99">
        <w:t xml:space="preserve"> de </w:t>
      </w:r>
      <w:proofErr w:type="spellStart"/>
      <w:r w:rsidR="00CD3B51">
        <w:rPr>
          <w:b/>
          <w:bCs/>
          <w:i/>
          <w:iCs/>
        </w:rPr>
        <w:t>Financing</w:t>
      </w:r>
      <w:proofErr w:type="spellEnd"/>
      <w:r w:rsidR="00CD3B51">
        <w:rPr>
          <w:b/>
          <w:bCs/>
          <w:i/>
          <w:iCs/>
        </w:rPr>
        <w:t xml:space="preserve"> </w:t>
      </w:r>
      <w:proofErr w:type="spellStart"/>
      <w:r w:rsidR="00CD3B51">
        <w:rPr>
          <w:b/>
          <w:bCs/>
          <w:i/>
          <w:iCs/>
        </w:rPr>
        <w:t>Agrochemical</w:t>
      </w:r>
      <w:proofErr w:type="spellEnd"/>
      <w:r w:rsidR="00CD3B51">
        <w:rPr>
          <w:b/>
          <w:bCs/>
          <w:i/>
          <w:iCs/>
        </w:rPr>
        <w:t xml:space="preserve"> Reduction and Management Plus Program</w:t>
      </w:r>
      <w:r w:rsidR="00305C37">
        <w:rPr>
          <w:b/>
          <w:bCs/>
          <w:i/>
          <w:iCs/>
        </w:rPr>
        <w:t>—</w:t>
      </w:r>
      <w:r w:rsidR="00CD3B51">
        <w:rPr>
          <w:b/>
          <w:bCs/>
          <w:i/>
          <w:iCs/>
        </w:rPr>
        <w:t>FARM+</w:t>
      </w:r>
      <w:r w:rsidR="00CD3B51">
        <w:rPr>
          <w:b/>
          <w:bCs/>
        </w:rPr>
        <w:t xml:space="preserve"> </w:t>
      </w:r>
      <w:r w:rsidR="00CD3B51">
        <w:t>(mondial: Bénin, Costa Rica, Égypte, Gambie, Ghana, Mexique, Népal et Nigéria</w:t>
      </w:r>
      <w:r w:rsidR="00305C37">
        <w:t> </w:t>
      </w:r>
      <w:r w:rsidR="00CD3B51">
        <w:t>; financement de projet du GEF</w:t>
      </w:r>
      <w:r w:rsidR="006E54C7">
        <w:t> :</w:t>
      </w:r>
      <w:r w:rsidR="00CD3B51">
        <w:t xml:space="preserve"> 59</w:t>
      </w:r>
      <w:r w:rsidR="00305C37">
        <w:t> 074 144 </w:t>
      </w:r>
      <w:r w:rsidR="00CD3B51">
        <w:t>dollars, dont 5</w:t>
      </w:r>
      <w:r w:rsidR="00305C37">
        <w:t> 390 302 </w:t>
      </w:r>
      <w:r w:rsidR="00CD3B51">
        <w:t xml:space="preserve">dollars </w:t>
      </w:r>
      <w:r w:rsidR="002244FF">
        <w:t>au titre</w:t>
      </w:r>
      <w:r w:rsidR="00CD3B51">
        <w:t xml:space="preserve"> du Fonds pour les pays les moins avancés [FPMA] et 53</w:t>
      </w:r>
      <w:r w:rsidR="00305C37">
        <w:t> 683 842 </w:t>
      </w:r>
      <w:r w:rsidR="00CD3B51">
        <w:t xml:space="preserve">dollars </w:t>
      </w:r>
      <w:r w:rsidR="002244FF">
        <w:t xml:space="preserve">au titre </w:t>
      </w:r>
      <w:r w:rsidR="00DD1F44">
        <w:t xml:space="preserve">du Fonds fiduciaire </w:t>
      </w:r>
      <w:r w:rsidR="00CD3B51">
        <w:t>du GEF</w:t>
      </w:r>
      <w:r w:rsidR="00305C37">
        <w:t> </w:t>
      </w:r>
      <w:r w:rsidR="00CD3B51">
        <w:t xml:space="preserve">; </w:t>
      </w:r>
      <w:r w:rsidR="00CD3B51">
        <w:lastRenderedPageBreak/>
        <w:t>cofinancement</w:t>
      </w:r>
      <w:r w:rsidR="006E54C7">
        <w:t> :</w:t>
      </w:r>
      <w:r w:rsidR="00CD3B51">
        <w:t xml:space="preserve"> 556</w:t>
      </w:r>
      <w:r w:rsidR="00305C37">
        <w:t> 741 692 </w:t>
      </w:r>
      <w:r w:rsidR="00CD3B51">
        <w:t>dollars)</w:t>
      </w:r>
      <w:r>
        <w:t xml:space="preserve"> aide les gouvernements et les acteurs du secteur agricole à délaisser des pratiques agricoles non durables au profit de pratiques durables et résilientes face aux changements climatiques, à protéger et améliorer les paysages, </w:t>
      </w:r>
      <w:r w:rsidR="00E3137C">
        <w:t>ainsi qu’</w:t>
      </w:r>
      <w:r>
        <w:t xml:space="preserve">à réduire la pollution imputable aux produits agrochimiques nocifs. </w:t>
      </w:r>
      <w:r w:rsidR="004232DB" w:rsidRPr="004232DB">
        <w:t xml:space="preserve">S’appuyant sur le programme FARM de </w:t>
      </w:r>
      <w:r w:rsidR="00376C22">
        <w:t>GEF</w:t>
      </w:r>
      <w:r w:rsidR="00376C22">
        <w:noBreakHyphen/>
      </w:r>
      <w:r w:rsidR="004232DB" w:rsidRPr="004232DB">
        <w:t>7, ce programme</w:t>
      </w:r>
      <w:r w:rsidR="00F0710C">
        <w:t>,</w:t>
      </w:r>
      <w:r w:rsidR="004232DB" w:rsidRPr="004232DB">
        <w:t xml:space="preserve"> </w:t>
      </w:r>
      <w:r w:rsidR="008E3663">
        <w:t xml:space="preserve">financé par </w:t>
      </w:r>
      <w:r w:rsidR="005C3EC9">
        <w:t>plusieurs fonds fiduciaires</w:t>
      </w:r>
      <w:r w:rsidR="000F6A0E">
        <w:t xml:space="preserve"> et </w:t>
      </w:r>
      <w:r w:rsidR="00AC57A5">
        <w:t xml:space="preserve">relevant de </w:t>
      </w:r>
      <w:r w:rsidR="00F0710C">
        <w:t xml:space="preserve">plusieurs </w:t>
      </w:r>
      <w:r w:rsidR="004232DB" w:rsidRPr="004232DB">
        <w:t>domaines d’intervention</w:t>
      </w:r>
      <w:r w:rsidR="00F0710C">
        <w:t>,</w:t>
      </w:r>
      <w:r w:rsidR="004232DB" w:rsidRPr="004232DB">
        <w:t xml:space="preserve"> combine des ressources issues des domaines d’intervention «</w:t>
      </w:r>
      <w:r w:rsidR="00A258AB">
        <w:t> </w:t>
      </w:r>
      <w:r w:rsidR="00E97559">
        <w:t>P</w:t>
      </w:r>
      <w:r w:rsidR="004232DB" w:rsidRPr="004232DB">
        <w:t>roduits chimiques et déchets</w:t>
      </w:r>
      <w:r w:rsidR="00A258AB">
        <w:t> </w:t>
      </w:r>
      <w:r w:rsidR="004232DB" w:rsidRPr="004232DB">
        <w:t>», «</w:t>
      </w:r>
      <w:r w:rsidR="00A258AB">
        <w:t> </w:t>
      </w:r>
      <w:r w:rsidR="00E97559">
        <w:t>E</w:t>
      </w:r>
      <w:r w:rsidR="004232DB" w:rsidRPr="004232DB">
        <w:t>aux internationales</w:t>
      </w:r>
      <w:r w:rsidR="00A258AB">
        <w:t> </w:t>
      </w:r>
      <w:r w:rsidR="004232DB" w:rsidRPr="004232DB">
        <w:t>» et «</w:t>
      </w:r>
      <w:r w:rsidR="00A258AB">
        <w:t> </w:t>
      </w:r>
      <w:r w:rsidR="00E97559">
        <w:t>C</w:t>
      </w:r>
      <w:r w:rsidR="004232DB" w:rsidRPr="004232DB">
        <w:t>hangements climatiques</w:t>
      </w:r>
      <w:r w:rsidR="00A258AB">
        <w:t> </w:t>
      </w:r>
      <w:r w:rsidR="004232DB" w:rsidRPr="004232DB">
        <w:t xml:space="preserve">», ainsi que du Fonds pour les pays les moins avancés (FPMA). Il mobilise </w:t>
      </w:r>
      <w:r w:rsidR="009F2F18">
        <w:t>l</w:t>
      </w:r>
      <w:r w:rsidR="004232DB" w:rsidRPr="004232DB">
        <w:t>es ressources du secteur privé</w:t>
      </w:r>
      <w:r w:rsidR="00D76998">
        <w:t>, notamment les</w:t>
      </w:r>
      <w:r w:rsidR="004232DB" w:rsidRPr="004232DB">
        <w:t xml:space="preserve"> cofinancements, </w:t>
      </w:r>
      <w:r w:rsidR="00D76998">
        <w:t>l</w:t>
      </w:r>
      <w:r w:rsidR="004232DB" w:rsidRPr="004232DB">
        <w:t xml:space="preserve">’expérience, </w:t>
      </w:r>
      <w:r w:rsidR="00D76998">
        <w:t>l</w:t>
      </w:r>
      <w:r w:rsidR="004232DB" w:rsidRPr="004232DB">
        <w:t xml:space="preserve">’expertise et </w:t>
      </w:r>
      <w:r w:rsidR="00D76998">
        <w:t>les</w:t>
      </w:r>
      <w:r w:rsidR="004232DB" w:rsidRPr="004232DB">
        <w:t xml:space="preserve"> services de vulgarisation</w:t>
      </w:r>
      <w:r w:rsidR="00D76998">
        <w:t xml:space="preserve">, afin d’appuyer </w:t>
      </w:r>
      <w:r w:rsidR="004232DB" w:rsidRPr="004232DB">
        <w:t xml:space="preserve">et d’étendre la mise en œuvre de projets d’agriculture durable et résiliente face aux changements climatiques. </w:t>
      </w:r>
      <w:r w:rsidR="00CD3B51">
        <w:t xml:space="preserve">Par ses cinq composantes, le programme appuie une approche multipartite et systémique, qui vise à catalyser une transformation en profondeur de l’ensemble du système alimentaire, à promouvoir des pratiques agricoles durables et résilientes face aux changements climatiques, et à améliorer l’accès au financement et à l’assurance. Le programme </w:t>
      </w:r>
      <w:r w:rsidR="00B065C2">
        <w:t>devrait</w:t>
      </w:r>
      <w:r w:rsidR="00CD3B51">
        <w:t xml:space="preserve"> permettre d’éviter l’émission de 3</w:t>
      </w:r>
      <w:r w:rsidR="00305C37">
        <w:t> 816 870 </w:t>
      </w:r>
      <w:r w:rsidR="00CD3B51">
        <w:t xml:space="preserve">tonnes d’équivalent dioxyde de carbone (t </w:t>
      </w:r>
      <w:proofErr w:type="spellStart"/>
      <w:r w:rsidR="00CD3B51">
        <w:t>éq</w:t>
      </w:r>
      <w:proofErr w:type="spellEnd"/>
      <w:r w:rsidR="00CD3B51">
        <w:t xml:space="preserve">. CO₂), d’éliminer </w:t>
      </w:r>
      <w:r w:rsidR="00B065C2">
        <w:t>dans des conditions</w:t>
      </w:r>
      <w:r w:rsidR="00CD3B51">
        <w:t xml:space="preserve"> écologiquement rationnelle 99</w:t>
      </w:r>
      <w:r w:rsidR="00305C37">
        <w:t> 639 </w:t>
      </w:r>
      <w:r w:rsidR="00CD3B51">
        <w:t>tonnes de déchets dangereux contenant des polluants organiques persistants et des pesticides extrêmement dangereux, et d’éviter l’émission de 53</w:t>
      </w:r>
      <w:r w:rsidR="00305C37">
        <w:t> </w:t>
      </w:r>
      <w:r w:rsidR="00CD3B51">
        <w:t>grammes d’équivalent toxique de polluants organiques persistants produits involontairement</w:t>
      </w:r>
      <w:r w:rsidR="005C3EC9">
        <w:t>.</w:t>
      </w:r>
      <w:r w:rsidR="00800678" w:rsidRPr="00800678">
        <w:rPr>
          <w:rFonts w:eastAsia="SimSun" w:cstheme="minorBidi"/>
          <w:snapToGrid/>
          <w:color w:val="auto"/>
          <w:sz w:val="22"/>
          <w:szCs w:val="22"/>
        </w:rPr>
        <w:t xml:space="preserve"> </w:t>
      </w:r>
      <w:r w:rsidR="00800678" w:rsidRPr="00800678">
        <w:t>Il devrait également permettre de restaurer 25</w:t>
      </w:r>
      <w:r w:rsidR="00A258AB">
        <w:t> 603 </w:t>
      </w:r>
      <w:r w:rsidR="00800678" w:rsidRPr="00800678">
        <w:t>hectares de terres et d’écosystèmes, de soumettre 1</w:t>
      </w:r>
      <w:r w:rsidR="00A258AB">
        <w:t> 759 510 </w:t>
      </w:r>
      <w:r w:rsidR="00800678" w:rsidRPr="00800678">
        <w:t>hectares de terres et 40</w:t>
      </w:r>
      <w:r w:rsidR="00A258AB">
        <w:t> 000 </w:t>
      </w:r>
      <w:r w:rsidR="00800678" w:rsidRPr="00800678">
        <w:t>hectares d’habitats marins à des pratiques améliorées, et de gérer 120</w:t>
      </w:r>
      <w:r w:rsidR="00BB680B">
        <w:t> 000 </w:t>
      </w:r>
      <w:r w:rsidR="00800678" w:rsidRPr="00800678">
        <w:t xml:space="preserve">hectares de terres de manière à renforcer leur résilience face aux changements climatiques. </w:t>
      </w:r>
      <w:r w:rsidR="00CD3B51">
        <w:t xml:space="preserve">Le programme concourt à la réalisation des </w:t>
      </w:r>
      <w:r w:rsidR="00CD3B51" w:rsidRPr="00405A40">
        <w:rPr>
          <w:b/>
          <w:bCs/>
        </w:rPr>
        <w:t>cibles</w:t>
      </w:r>
      <w:r w:rsidR="00305C37" w:rsidRPr="00405A40">
        <w:rPr>
          <w:b/>
          <w:bCs/>
        </w:rPr>
        <w:t> </w:t>
      </w:r>
      <w:r w:rsidR="00CD3B51" w:rsidRPr="00405A40">
        <w:rPr>
          <w:b/>
          <w:bCs/>
        </w:rPr>
        <w:t>2, 7, 8, 10</w:t>
      </w:r>
      <w:r w:rsidR="00CD3B51">
        <w:t xml:space="preserve"> et </w:t>
      </w:r>
      <w:r w:rsidR="00CD3B51" w:rsidRPr="00405A40">
        <w:rPr>
          <w:b/>
          <w:bCs/>
        </w:rPr>
        <w:t>16</w:t>
      </w:r>
      <w:r w:rsidR="00CD3B51">
        <w:t xml:space="preserve"> du KMGBF.  </w:t>
      </w:r>
    </w:p>
    <w:p w14:paraId="52034F01" w14:textId="13A1E417" w:rsidR="00CF70B6" w:rsidRPr="00C67737" w:rsidRDefault="00D30DB1" w:rsidP="006D7A0A">
      <w:pPr>
        <w:pStyle w:val="Heading3"/>
      </w:pPr>
      <w:bookmarkStart w:id="85" w:name="_Toc102227409"/>
      <w:bookmarkStart w:id="86" w:name="_Hlk159932173"/>
      <w:bookmarkStart w:id="87" w:name="_Toc242184656"/>
      <w:bookmarkStart w:id="88" w:name="_Toc242184705"/>
      <w:r>
        <w:t>Instruments financiers autres que les aides directes</w:t>
      </w:r>
      <w:bookmarkEnd w:id="85"/>
      <w:bookmarkEnd w:id="86"/>
      <w:bookmarkEnd w:id="87"/>
      <w:bookmarkEnd w:id="88"/>
    </w:p>
    <w:p w14:paraId="63FAC017" w14:textId="39B131B6" w:rsidR="00CF70B6" w:rsidRPr="00C67737" w:rsidRDefault="1B3B66B4" w:rsidP="000B33CF">
      <w:pPr>
        <w:pStyle w:val="ListParagraph"/>
      </w:pPr>
      <w:r>
        <w:rPr>
          <w:snapToGrid/>
        </w:rPr>
        <w:t xml:space="preserve">Les </w:t>
      </w:r>
      <w:r w:rsidR="00F02738">
        <w:rPr>
          <w:snapToGrid/>
        </w:rPr>
        <w:t>orientations programmatiques</w:t>
      </w:r>
      <w:r w:rsidR="00C57A95">
        <w:rPr>
          <w:snapToGrid/>
        </w:rPr>
        <w:t xml:space="preserve"> </w:t>
      </w:r>
      <w:r>
        <w:rPr>
          <w:snapToGrid/>
        </w:rPr>
        <w:t xml:space="preserve">de </w:t>
      </w:r>
      <w:r w:rsidR="00376C22">
        <w:rPr>
          <w:snapToGrid/>
        </w:rPr>
        <w:t>GEF</w:t>
      </w:r>
      <w:r w:rsidR="00376C22">
        <w:rPr>
          <w:snapToGrid/>
        </w:rPr>
        <w:noBreakHyphen/>
      </w:r>
      <w:r>
        <w:rPr>
          <w:snapToGrid/>
        </w:rPr>
        <w:t>8 soulignent l’importance du financement mixte et</w:t>
      </w:r>
      <w:r>
        <w:t xml:space="preserve"> renforcent l’engagement en faveur de solutions de financement mixte innovantes. Doté d’un financement de 196</w:t>
      </w:r>
      <w:r w:rsidR="00305C37">
        <w:t> </w:t>
      </w:r>
      <w:r>
        <w:t>millions de dollars sur quatre ans, le GEF a défini des priorités en matière de financement mixte qui répondent aux exigences des conventions et visent à produire des avantages relevant de plusieurs domaines d’intervention. Le GEF accélère le recours aux instruments financiers autres que les aides directes dans le cadre du financement mixte afin de générer des avantages environnementaux mondiaux, conformément aux objectifs des domaines d’intervention. L’accent est mis sur les projets susceptibles d’atteindre une échelle suffisante et de mobiliser des financements sur les marchés de capitaux, aux niveaux national et mondial.</w:t>
      </w:r>
    </w:p>
    <w:p w14:paraId="3AAEEB20" w14:textId="53C18F2A" w:rsidR="007051D9" w:rsidRPr="00C67737" w:rsidRDefault="00CF70B6" w:rsidP="000B33CF">
      <w:pPr>
        <w:pStyle w:val="ListParagraph"/>
      </w:pPr>
      <w:r>
        <w:t xml:space="preserve">Le nouveau Programme de financement mixte du GEF et la politique relative aux instruments financiers autres que les aides directes, approuvés par le Conseil du GEF en décembre 2022, ont introduit de nouveaux instruments financiers ainsi que de nouvelles exigences </w:t>
      </w:r>
      <w:r w:rsidR="00D376D6">
        <w:t>de politique générale</w:t>
      </w:r>
      <w:r w:rsidR="00C61C23">
        <w:t xml:space="preserve"> afin d’encourager </w:t>
      </w:r>
      <w:r>
        <w:t xml:space="preserve">les </w:t>
      </w:r>
      <w:r w:rsidR="00F52D3D">
        <w:t>Agences</w:t>
      </w:r>
      <w:r>
        <w:t xml:space="preserve"> du GEF à soumettre, dans le cadre d’appels à propositions concurrentiels organisés deux fois par an, des propositions innovantes et de grande qualité. </w:t>
      </w:r>
    </w:p>
    <w:p w14:paraId="01353E7F" w14:textId="19899E7B" w:rsidR="00B174F5" w:rsidRPr="00C67737" w:rsidRDefault="00CF70B6" w:rsidP="000B33CF">
      <w:pPr>
        <w:pStyle w:val="ListParagraph"/>
      </w:pPr>
      <w:r>
        <w:t xml:space="preserve">Depuis 2023, ces appels à propositions ont </w:t>
      </w:r>
      <w:r w:rsidR="00DD1BD0">
        <w:t>suscit</w:t>
      </w:r>
      <w:r w:rsidR="0026132C">
        <w:t>é</w:t>
      </w:r>
      <w:r>
        <w:t xml:space="preserve"> plusieurs projets innovants visant à relever de multiples défis environnementaux. Les huit projets de financement mixte approuvés </w:t>
      </w:r>
      <w:r w:rsidR="0026132C">
        <w:t>au cours de</w:t>
      </w:r>
      <w:r>
        <w:t xml:space="preserve"> la période considérée</w:t>
      </w:r>
      <w:r w:rsidR="0026132C">
        <w:t>, qui</w:t>
      </w:r>
      <w:r>
        <w:t xml:space="preserve"> contribu</w:t>
      </w:r>
      <w:r w:rsidR="0026132C">
        <w:t>e</w:t>
      </w:r>
      <w:r>
        <w:t>nt directement au KMGBF</w:t>
      </w:r>
      <w:r w:rsidR="009D2E13">
        <w:t>,</w:t>
      </w:r>
      <w:r>
        <w:t xml:space="preserve"> sont présentés au </w:t>
      </w:r>
      <w:r>
        <w:lastRenderedPageBreak/>
        <w:t xml:space="preserve">tableau 7. </w:t>
      </w:r>
      <w:r w:rsidR="009D2E13">
        <w:t>C</w:t>
      </w:r>
      <w:r>
        <w:t>es huit projets</w:t>
      </w:r>
      <w:r w:rsidR="009D2E13">
        <w:t xml:space="preserve"> bénéficient d’</w:t>
      </w:r>
      <w:r>
        <w:t>un financement du GEF de 122,8</w:t>
      </w:r>
      <w:r w:rsidR="00305C37">
        <w:t> </w:t>
      </w:r>
      <w:r>
        <w:t>millions de dollars</w:t>
      </w:r>
      <w:r w:rsidR="009D2E13">
        <w:t xml:space="preserve"> qui a permis de mobiliser</w:t>
      </w:r>
      <w:r>
        <w:t xml:space="preserve"> 2,033</w:t>
      </w:r>
      <w:r w:rsidR="00305C37">
        <w:t> </w:t>
      </w:r>
      <w:r>
        <w:t xml:space="preserve">milliards de dollars de cofinancement. Autrement dit, chaque dollar investi par le GEF dans un projet de financement mixte lié à la </w:t>
      </w:r>
      <w:proofErr w:type="spellStart"/>
      <w:r w:rsidR="008951CE">
        <w:t>Biodiversité</w:t>
      </w:r>
      <w:r>
        <w:t>permet</w:t>
      </w:r>
      <w:proofErr w:type="spellEnd"/>
      <w:r>
        <w:t xml:space="preserve"> de mobiliser 16,60</w:t>
      </w:r>
      <w:r w:rsidR="00305C37">
        <w:t> </w:t>
      </w:r>
      <w:r>
        <w:t>dollars supplémentaires.</w:t>
      </w:r>
    </w:p>
    <w:p w14:paraId="5CDDEE6E" w14:textId="3AA517C5" w:rsidR="00CF70B6" w:rsidRPr="00C67737" w:rsidRDefault="004C1959" w:rsidP="00985C5B">
      <w:pPr>
        <w:pStyle w:val="Caption"/>
      </w:pPr>
      <w:bookmarkStart w:id="89" w:name="_Toc102227152"/>
      <w:bookmarkStart w:id="90" w:name="_Toc103967150"/>
      <w:bookmarkStart w:id="91" w:name="_Toc242183489"/>
      <w:r>
        <w:t>Tableau</w:t>
      </w:r>
      <w:r w:rsidR="00305C37">
        <w:t> </w:t>
      </w:r>
      <w:r w:rsidRPr="00C67737">
        <w:fldChar w:fldCharType="begin"/>
      </w:r>
      <w:r w:rsidRPr="00C67737">
        <w:instrText>SEQ Table \* ARABIC</w:instrText>
      </w:r>
      <w:r w:rsidRPr="00C67737">
        <w:fldChar w:fldCharType="separate"/>
      </w:r>
      <w:r w:rsidR="006C2F5A">
        <w:rPr>
          <w:noProof/>
        </w:rPr>
        <w:t>7</w:t>
      </w:r>
      <w:r w:rsidRPr="00C67737">
        <w:fldChar w:fldCharType="end"/>
      </w:r>
      <w:r>
        <w:t xml:space="preserve">. Répartition des ressources du GEF par guichet </w:t>
      </w:r>
      <w:r w:rsidR="007506B6">
        <w:t xml:space="preserve">de financement au titre </w:t>
      </w:r>
      <w:r>
        <w:t>des instruments financiers autres que les aides directes et contribution à la réalisation des cibles du KMGBF</w:t>
      </w:r>
      <w:r w:rsidR="00CF70B6" w:rsidRPr="00C67737">
        <w:rPr>
          <w:vertAlign w:val="superscript"/>
        </w:rPr>
        <w:footnoteReference w:id="23"/>
      </w:r>
      <w:bookmarkEnd w:id="89"/>
      <w:bookmarkEnd w:id="90"/>
      <w:bookmarkEnd w:id="91"/>
    </w:p>
    <w:tbl>
      <w:tblPr>
        <w:tblW w:w="9515" w:type="dxa"/>
        <w:tblBorders>
          <w:top w:val="single" w:sz="12" w:space="0" w:color="008000"/>
          <w:insideH w:val="single" w:sz="4" w:space="0" w:color="auto"/>
        </w:tblBorders>
        <w:tblLayout w:type="fixed"/>
        <w:tblLook w:val="04A0" w:firstRow="1" w:lastRow="0" w:firstColumn="1" w:lastColumn="0" w:noHBand="0" w:noVBand="1"/>
      </w:tblPr>
      <w:tblGrid>
        <w:gridCol w:w="3828"/>
        <w:gridCol w:w="1417"/>
        <w:gridCol w:w="1417"/>
        <w:gridCol w:w="1560"/>
        <w:gridCol w:w="1293"/>
      </w:tblGrid>
      <w:tr w:rsidR="00061927" w:rsidRPr="00D70109" w14:paraId="4E25BDE0" w14:textId="77777777" w:rsidTr="00D70109">
        <w:trPr>
          <w:trHeight w:val="570"/>
          <w:tblHeader/>
        </w:trPr>
        <w:tc>
          <w:tcPr>
            <w:tcW w:w="3828" w:type="dxa"/>
            <w:vAlign w:val="center"/>
            <w:hideMark/>
          </w:tcPr>
          <w:p w14:paraId="4910C787" w14:textId="77777777" w:rsidR="00CF70B6" w:rsidRPr="00D70109" w:rsidRDefault="00CF70B6" w:rsidP="00555C10">
            <w:pPr>
              <w:spacing w:before="0" w:after="0" w:line="228" w:lineRule="auto"/>
              <w:ind w:left="-19"/>
              <w:jc w:val="center"/>
              <w:rPr>
                <w:b/>
                <w:bCs/>
                <w:color w:val="000000" w:themeColor="text1"/>
                <w:sz w:val="20"/>
                <w:szCs w:val="20"/>
              </w:rPr>
            </w:pPr>
            <w:r w:rsidRPr="00D70109">
              <w:rPr>
                <w:b/>
                <w:color w:val="000000" w:themeColor="text1"/>
                <w:sz w:val="20"/>
                <w:szCs w:val="20"/>
              </w:rPr>
              <w:t>Projet financé au moyen d’un instrument financier autre que les aides directes</w:t>
            </w:r>
          </w:p>
        </w:tc>
        <w:tc>
          <w:tcPr>
            <w:tcW w:w="1417" w:type="dxa"/>
            <w:vAlign w:val="center"/>
            <w:hideMark/>
          </w:tcPr>
          <w:p w14:paraId="23C37085" w14:textId="6A7228AB" w:rsidR="00CF70B6" w:rsidRPr="00D70109" w:rsidRDefault="00CF70B6" w:rsidP="00555C10">
            <w:pPr>
              <w:spacing w:before="0" w:after="0" w:line="228" w:lineRule="auto"/>
              <w:ind w:left="-107"/>
              <w:jc w:val="center"/>
              <w:rPr>
                <w:b/>
                <w:bCs/>
                <w:color w:val="000000" w:themeColor="text1"/>
                <w:sz w:val="20"/>
                <w:szCs w:val="20"/>
              </w:rPr>
            </w:pPr>
            <w:r w:rsidRPr="00D70109">
              <w:rPr>
                <w:b/>
                <w:color w:val="000000" w:themeColor="text1"/>
                <w:sz w:val="20"/>
                <w:szCs w:val="20"/>
              </w:rPr>
              <w:t>Cibles du KMGBF</w:t>
            </w:r>
          </w:p>
        </w:tc>
        <w:tc>
          <w:tcPr>
            <w:tcW w:w="1417" w:type="dxa"/>
            <w:vAlign w:val="center"/>
          </w:tcPr>
          <w:p w14:paraId="1BC05611" w14:textId="46E17FCE" w:rsidR="00CF70B6" w:rsidRPr="00D70109" w:rsidRDefault="004179A3" w:rsidP="00555C10">
            <w:pPr>
              <w:spacing w:before="0" w:after="0" w:line="228" w:lineRule="auto"/>
              <w:jc w:val="center"/>
              <w:rPr>
                <w:b/>
                <w:bCs/>
                <w:color w:val="000000" w:themeColor="text1"/>
                <w:sz w:val="20"/>
                <w:szCs w:val="20"/>
              </w:rPr>
            </w:pPr>
            <w:r w:rsidRPr="00D70109">
              <w:rPr>
                <w:b/>
                <w:color w:val="000000" w:themeColor="text1"/>
                <w:sz w:val="20"/>
                <w:szCs w:val="20"/>
              </w:rPr>
              <w:t>Financement de projet du GEF</w:t>
            </w:r>
          </w:p>
          <w:p w14:paraId="3CB2830C" w14:textId="77777777" w:rsidR="00CF70B6" w:rsidRPr="00D70109" w:rsidRDefault="00CF70B6" w:rsidP="00555C10">
            <w:pPr>
              <w:spacing w:before="0" w:after="0" w:line="228" w:lineRule="auto"/>
              <w:jc w:val="center"/>
              <w:rPr>
                <w:b/>
                <w:bCs/>
                <w:color w:val="000000" w:themeColor="text1"/>
                <w:sz w:val="20"/>
                <w:szCs w:val="20"/>
              </w:rPr>
            </w:pPr>
            <w:r w:rsidRPr="00D70109">
              <w:rPr>
                <w:b/>
                <w:color w:val="000000" w:themeColor="text1"/>
                <w:sz w:val="20"/>
                <w:szCs w:val="20"/>
              </w:rPr>
              <w:t>(USD million)</w:t>
            </w:r>
          </w:p>
        </w:tc>
        <w:tc>
          <w:tcPr>
            <w:tcW w:w="1560" w:type="dxa"/>
            <w:vAlign w:val="center"/>
            <w:hideMark/>
          </w:tcPr>
          <w:p w14:paraId="275A3808" w14:textId="77777777" w:rsidR="00CF70B6" w:rsidRPr="00D70109" w:rsidRDefault="00CF70B6" w:rsidP="00555C10">
            <w:pPr>
              <w:spacing w:before="0" w:after="0" w:line="228" w:lineRule="auto"/>
              <w:jc w:val="center"/>
              <w:rPr>
                <w:b/>
                <w:bCs/>
                <w:color w:val="000000" w:themeColor="text1"/>
                <w:sz w:val="20"/>
                <w:szCs w:val="20"/>
              </w:rPr>
            </w:pPr>
            <w:r w:rsidRPr="00D70109">
              <w:rPr>
                <w:b/>
                <w:color w:val="000000" w:themeColor="text1"/>
                <w:sz w:val="20"/>
                <w:szCs w:val="20"/>
              </w:rPr>
              <w:t>Cofinancement</w:t>
            </w:r>
          </w:p>
          <w:p w14:paraId="4B24481F" w14:textId="77777777" w:rsidR="00CF70B6" w:rsidRPr="00D70109" w:rsidRDefault="00CF70B6" w:rsidP="00555C10">
            <w:pPr>
              <w:spacing w:before="0" w:after="0" w:line="228" w:lineRule="auto"/>
              <w:jc w:val="center"/>
              <w:rPr>
                <w:b/>
                <w:bCs/>
                <w:color w:val="000000" w:themeColor="text1"/>
                <w:sz w:val="20"/>
                <w:szCs w:val="20"/>
              </w:rPr>
            </w:pPr>
            <w:r w:rsidRPr="00D70109">
              <w:rPr>
                <w:b/>
                <w:color w:val="000000" w:themeColor="text1"/>
                <w:sz w:val="20"/>
                <w:szCs w:val="20"/>
              </w:rPr>
              <w:t>(USD million)</w:t>
            </w:r>
          </w:p>
        </w:tc>
        <w:tc>
          <w:tcPr>
            <w:tcW w:w="1293" w:type="dxa"/>
            <w:vAlign w:val="center"/>
          </w:tcPr>
          <w:p w14:paraId="49EFB676" w14:textId="77777777" w:rsidR="00CF70B6" w:rsidRPr="00D70109" w:rsidRDefault="00CF70B6" w:rsidP="00555C10">
            <w:pPr>
              <w:spacing w:before="0" w:after="0" w:line="228" w:lineRule="auto"/>
              <w:jc w:val="center"/>
              <w:rPr>
                <w:b/>
                <w:bCs/>
                <w:color w:val="000000" w:themeColor="text1"/>
                <w:sz w:val="20"/>
                <w:szCs w:val="20"/>
              </w:rPr>
            </w:pPr>
            <w:r w:rsidRPr="00D70109">
              <w:rPr>
                <w:b/>
                <w:color w:val="000000" w:themeColor="text1"/>
                <w:sz w:val="20"/>
                <w:szCs w:val="20"/>
              </w:rPr>
              <w:t>Total</w:t>
            </w:r>
          </w:p>
          <w:p w14:paraId="0C37A79C" w14:textId="77777777" w:rsidR="00CF70B6" w:rsidRPr="00D70109" w:rsidRDefault="00CF70B6" w:rsidP="00555C10">
            <w:pPr>
              <w:spacing w:before="0" w:after="0" w:line="228" w:lineRule="auto"/>
              <w:jc w:val="center"/>
              <w:rPr>
                <w:b/>
                <w:bCs/>
                <w:color w:val="000000" w:themeColor="text1"/>
                <w:sz w:val="20"/>
                <w:szCs w:val="20"/>
              </w:rPr>
            </w:pPr>
            <w:r w:rsidRPr="00D70109">
              <w:rPr>
                <w:b/>
                <w:color w:val="000000" w:themeColor="text1"/>
                <w:sz w:val="20"/>
                <w:szCs w:val="20"/>
              </w:rPr>
              <w:t>(USD million)</w:t>
            </w:r>
          </w:p>
        </w:tc>
      </w:tr>
      <w:tr w:rsidR="00BE4F6C" w:rsidRPr="00D70109" w14:paraId="63349012" w14:textId="77777777" w:rsidTr="00D70109">
        <w:trPr>
          <w:trHeight w:val="746"/>
        </w:trPr>
        <w:tc>
          <w:tcPr>
            <w:tcW w:w="3828" w:type="dxa"/>
            <w:shd w:val="clear" w:color="auto" w:fill="F2F2F2" w:themeFill="background1" w:themeFillShade="F2"/>
            <w:vAlign w:val="center"/>
          </w:tcPr>
          <w:p w14:paraId="18F208AE" w14:textId="728F828E" w:rsidR="00BE4F6C" w:rsidRPr="00D70109" w:rsidRDefault="00BE4F6C" w:rsidP="00BE4F6C">
            <w:pPr>
              <w:spacing w:before="0" w:after="0" w:line="228" w:lineRule="auto"/>
              <w:ind w:left="-19"/>
              <w:jc w:val="left"/>
              <w:rPr>
                <w:i/>
                <w:iCs/>
                <w:color w:val="000000" w:themeColor="text1"/>
                <w:sz w:val="20"/>
                <w:szCs w:val="20"/>
                <w:lang w:val="en-US"/>
              </w:rPr>
            </w:pPr>
            <w:r w:rsidRPr="00D70109">
              <w:rPr>
                <w:i/>
                <w:iCs/>
                <w:color w:val="000000" w:themeColor="text1"/>
                <w:sz w:val="20"/>
                <w:szCs w:val="20"/>
                <w:lang w:val="en-US"/>
              </w:rPr>
              <w:t xml:space="preserve">Natural Capital Fund: Investing in Nature-Positive Agri-Food Enterprises in Asia and the Pacific </w:t>
            </w:r>
          </w:p>
        </w:tc>
        <w:tc>
          <w:tcPr>
            <w:tcW w:w="1417" w:type="dxa"/>
            <w:shd w:val="clear" w:color="auto" w:fill="F2F2F2" w:themeFill="background1" w:themeFillShade="F2"/>
            <w:vAlign w:val="center"/>
          </w:tcPr>
          <w:p w14:paraId="1843A792" w14:textId="019D77FE" w:rsidR="00BE4F6C" w:rsidRPr="00D70109" w:rsidRDefault="00BE4F6C" w:rsidP="00BE4F6C">
            <w:pPr>
              <w:spacing w:before="0" w:after="0" w:line="228" w:lineRule="auto"/>
              <w:rPr>
                <w:color w:val="000000" w:themeColor="text1"/>
                <w:sz w:val="20"/>
                <w:szCs w:val="20"/>
              </w:rPr>
            </w:pPr>
            <w:r w:rsidRPr="00D70109">
              <w:rPr>
                <w:color w:val="000000" w:themeColor="text1"/>
                <w:sz w:val="20"/>
                <w:szCs w:val="20"/>
              </w:rPr>
              <w:t>2, 7, 10, 19</w:t>
            </w:r>
          </w:p>
        </w:tc>
        <w:tc>
          <w:tcPr>
            <w:tcW w:w="1417" w:type="dxa"/>
            <w:shd w:val="clear" w:color="auto" w:fill="F2F2F2" w:themeFill="background1" w:themeFillShade="F2"/>
            <w:vAlign w:val="center"/>
          </w:tcPr>
          <w:p w14:paraId="768053E4" w14:textId="51C62B6F"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13</w:t>
            </w:r>
            <w:r w:rsidR="008A2E96" w:rsidRPr="00D70109">
              <w:rPr>
                <w:color w:val="000000" w:themeColor="text1"/>
                <w:sz w:val="20"/>
                <w:szCs w:val="20"/>
              </w:rPr>
              <w:t>.</w:t>
            </w:r>
            <w:r w:rsidRPr="00D70109">
              <w:rPr>
                <w:color w:val="000000" w:themeColor="text1"/>
                <w:sz w:val="20"/>
                <w:szCs w:val="20"/>
              </w:rPr>
              <w:t>80</w:t>
            </w:r>
          </w:p>
        </w:tc>
        <w:tc>
          <w:tcPr>
            <w:tcW w:w="1560" w:type="dxa"/>
            <w:shd w:val="clear" w:color="auto" w:fill="F2F2F2" w:themeFill="background1" w:themeFillShade="F2"/>
            <w:vAlign w:val="center"/>
          </w:tcPr>
          <w:p w14:paraId="341F5973" w14:textId="2D8998DC"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632</w:t>
            </w:r>
            <w:r w:rsidR="008A2E96" w:rsidRPr="00D70109">
              <w:rPr>
                <w:color w:val="000000" w:themeColor="text1"/>
                <w:sz w:val="20"/>
                <w:szCs w:val="20"/>
              </w:rPr>
              <w:t>.</w:t>
            </w:r>
            <w:r w:rsidRPr="00D70109">
              <w:rPr>
                <w:color w:val="000000" w:themeColor="text1"/>
                <w:sz w:val="20"/>
                <w:szCs w:val="20"/>
              </w:rPr>
              <w:t>74</w:t>
            </w:r>
          </w:p>
        </w:tc>
        <w:tc>
          <w:tcPr>
            <w:tcW w:w="1293" w:type="dxa"/>
            <w:shd w:val="clear" w:color="auto" w:fill="F2F2F2" w:themeFill="background1" w:themeFillShade="F2"/>
            <w:vAlign w:val="center"/>
          </w:tcPr>
          <w:p w14:paraId="31B761ED" w14:textId="608691B6"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646</w:t>
            </w:r>
            <w:r w:rsidR="008A2E96" w:rsidRPr="00D70109">
              <w:rPr>
                <w:color w:val="000000" w:themeColor="text1"/>
                <w:sz w:val="20"/>
                <w:szCs w:val="20"/>
              </w:rPr>
              <w:t>.</w:t>
            </w:r>
            <w:r w:rsidRPr="00D70109">
              <w:rPr>
                <w:color w:val="000000" w:themeColor="text1"/>
                <w:sz w:val="20"/>
                <w:szCs w:val="20"/>
              </w:rPr>
              <w:t>54</w:t>
            </w:r>
          </w:p>
        </w:tc>
      </w:tr>
      <w:tr w:rsidR="00BE4F6C" w:rsidRPr="00D70109" w14:paraId="21CE1308" w14:textId="77777777" w:rsidTr="00D70109">
        <w:trPr>
          <w:trHeight w:val="530"/>
        </w:trPr>
        <w:tc>
          <w:tcPr>
            <w:tcW w:w="3828" w:type="dxa"/>
            <w:vAlign w:val="center"/>
          </w:tcPr>
          <w:p w14:paraId="7287ED9C" w14:textId="77777777" w:rsidR="00BE4F6C" w:rsidRPr="00D70109" w:rsidRDefault="00BE4F6C" w:rsidP="00BE4F6C">
            <w:pPr>
              <w:spacing w:before="0" w:after="0" w:line="228" w:lineRule="auto"/>
              <w:ind w:left="-19"/>
              <w:jc w:val="left"/>
              <w:rPr>
                <w:i/>
                <w:iCs/>
                <w:color w:val="000000" w:themeColor="text1"/>
                <w:sz w:val="20"/>
                <w:szCs w:val="20"/>
                <w:lang w:val="en-US"/>
              </w:rPr>
            </w:pPr>
            <w:r w:rsidRPr="00D70109">
              <w:rPr>
                <w:i/>
                <w:iCs/>
                <w:color w:val="000000" w:themeColor="text1"/>
                <w:sz w:val="20"/>
                <w:szCs w:val="20"/>
                <w:lang w:val="en-US"/>
              </w:rPr>
              <w:t xml:space="preserve">Yield Lab Opportunity Fund I: Accelerating technology and local innovation for sustainable and decarbonized food systems in Latin America and the Caribbean </w:t>
            </w:r>
          </w:p>
        </w:tc>
        <w:tc>
          <w:tcPr>
            <w:tcW w:w="1417" w:type="dxa"/>
            <w:vAlign w:val="center"/>
          </w:tcPr>
          <w:p w14:paraId="63B3692A" w14:textId="4119F94F" w:rsidR="00BE4F6C" w:rsidRPr="00D70109" w:rsidRDefault="00BE4F6C" w:rsidP="00BE4F6C">
            <w:pPr>
              <w:spacing w:before="0" w:after="0" w:line="228" w:lineRule="auto"/>
              <w:rPr>
                <w:color w:val="000000" w:themeColor="text1"/>
                <w:sz w:val="20"/>
                <w:szCs w:val="20"/>
              </w:rPr>
            </w:pPr>
            <w:r w:rsidRPr="00D70109">
              <w:rPr>
                <w:color w:val="000000" w:themeColor="text1"/>
                <w:sz w:val="20"/>
                <w:szCs w:val="20"/>
              </w:rPr>
              <w:t>7, 10, 19</w:t>
            </w:r>
          </w:p>
        </w:tc>
        <w:tc>
          <w:tcPr>
            <w:tcW w:w="1417" w:type="dxa"/>
            <w:vAlign w:val="center"/>
          </w:tcPr>
          <w:p w14:paraId="74D654E2" w14:textId="7E6D23DA"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6</w:t>
            </w:r>
            <w:r w:rsidR="008A2E96" w:rsidRPr="00D70109">
              <w:rPr>
                <w:color w:val="000000" w:themeColor="text1"/>
                <w:sz w:val="20"/>
                <w:szCs w:val="20"/>
              </w:rPr>
              <w:t>.</w:t>
            </w:r>
            <w:r w:rsidRPr="00D70109">
              <w:rPr>
                <w:color w:val="000000" w:themeColor="text1"/>
                <w:sz w:val="20"/>
                <w:szCs w:val="20"/>
              </w:rPr>
              <w:t>00</w:t>
            </w:r>
          </w:p>
        </w:tc>
        <w:tc>
          <w:tcPr>
            <w:tcW w:w="1560" w:type="dxa"/>
            <w:vAlign w:val="center"/>
          </w:tcPr>
          <w:p w14:paraId="5D836021" w14:textId="0A813A4D"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27</w:t>
            </w:r>
            <w:r w:rsidR="008A2E96" w:rsidRPr="00D70109">
              <w:rPr>
                <w:color w:val="000000" w:themeColor="text1"/>
                <w:sz w:val="20"/>
                <w:szCs w:val="20"/>
              </w:rPr>
              <w:t>.</w:t>
            </w:r>
            <w:r w:rsidRPr="00D70109">
              <w:rPr>
                <w:color w:val="000000" w:themeColor="text1"/>
                <w:sz w:val="20"/>
                <w:szCs w:val="20"/>
              </w:rPr>
              <w:t>27</w:t>
            </w:r>
          </w:p>
        </w:tc>
        <w:tc>
          <w:tcPr>
            <w:tcW w:w="1293" w:type="dxa"/>
            <w:vAlign w:val="center"/>
          </w:tcPr>
          <w:p w14:paraId="140BBFE9" w14:textId="0C4FBBE2"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33</w:t>
            </w:r>
            <w:r w:rsidR="008A2E96" w:rsidRPr="00D70109">
              <w:rPr>
                <w:color w:val="000000" w:themeColor="text1"/>
                <w:sz w:val="20"/>
                <w:szCs w:val="20"/>
              </w:rPr>
              <w:t>.</w:t>
            </w:r>
            <w:r w:rsidRPr="00D70109">
              <w:rPr>
                <w:color w:val="000000" w:themeColor="text1"/>
                <w:sz w:val="20"/>
                <w:szCs w:val="20"/>
              </w:rPr>
              <w:t>27</w:t>
            </w:r>
          </w:p>
        </w:tc>
      </w:tr>
      <w:tr w:rsidR="00BE4F6C" w:rsidRPr="00D70109" w14:paraId="0B54B931" w14:textId="77777777" w:rsidTr="00D70109">
        <w:trPr>
          <w:trHeight w:val="800"/>
        </w:trPr>
        <w:tc>
          <w:tcPr>
            <w:tcW w:w="3828" w:type="dxa"/>
            <w:shd w:val="clear" w:color="auto" w:fill="F2F2F2" w:themeFill="background1" w:themeFillShade="F2"/>
            <w:vAlign w:val="center"/>
          </w:tcPr>
          <w:p w14:paraId="79BCD505" w14:textId="77777777" w:rsidR="00BE4F6C" w:rsidRPr="00D70109" w:rsidRDefault="00BE4F6C" w:rsidP="00BE4F6C">
            <w:pPr>
              <w:spacing w:before="0" w:after="0" w:line="228" w:lineRule="auto"/>
              <w:ind w:left="-19"/>
              <w:jc w:val="left"/>
              <w:rPr>
                <w:i/>
                <w:iCs/>
                <w:color w:val="000000" w:themeColor="text1"/>
                <w:sz w:val="20"/>
                <w:szCs w:val="20"/>
                <w:lang w:val="en-US"/>
              </w:rPr>
            </w:pPr>
            <w:r w:rsidRPr="00D70109">
              <w:rPr>
                <w:i/>
                <w:iCs/>
                <w:color w:val="000000" w:themeColor="text1"/>
                <w:sz w:val="20"/>
                <w:szCs w:val="20"/>
                <w:lang w:val="en-US"/>
              </w:rPr>
              <w:t xml:space="preserve">Innovative use of financial instruments for Biodiversity Conservation and Restoration in Latin America and the Caribbean </w:t>
            </w:r>
          </w:p>
        </w:tc>
        <w:tc>
          <w:tcPr>
            <w:tcW w:w="1417" w:type="dxa"/>
            <w:shd w:val="clear" w:color="auto" w:fill="F2F2F2" w:themeFill="background1" w:themeFillShade="F2"/>
            <w:vAlign w:val="center"/>
          </w:tcPr>
          <w:p w14:paraId="5C452D15" w14:textId="50EDED52" w:rsidR="00BE4F6C" w:rsidRPr="00D70109" w:rsidRDefault="009C1519" w:rsidP="00BE4F6C">
            <w:pPr>
              <w:spacing w:before="0" w:after="0" w:line="228" w:lineRule="auto"/>
              <w:rPr>
                <w:color w:val="000000" w:themeColor="text1"/>
                <w:sz w:val="20"/>
                <w:szCs w:val="20"/>
              </w:rPr>
            </w:pPr>
            <w:r w:rsidRPr="00D70109">
              <w:rPr>
                <w:color w:val="000000" w:themeColor="text1"/>
                <w:sz w:val="20"/>
                <w:szCs w:val="20"/>
              </w:rPr>
              <w:t>1, 2, 3, 19</w:t>
            </w:r>
          </w:p>
        </w:tc>
        <w:tc>
          <w:tcPr>
            <w:tcW w:w="1417" w:type="dxa"/>
            <w:shd w:val="clear" w:color="auto" w:fill="F2F2F2" w:themeFill="background1" w:themeFillShade="F2"/>
            <w:vAlign w:val="center"/>
          </w:tcPr>
          <w:p w14:paraId="64DF59AA" w14:textId="56259CF6"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40</w:t>
            </w:r>
            <w:r w:rsidR="008A2E96" w:rsidRPr="00D70109">
              <w:rPr>
                <w:color w:val="000000" w:themeColor="text1"/>
                <w:sz w:val="20"/>
                <w:szCs w:val="20"/>
              </w:rPr>
              <w:t>.</w:t>
            </w:r>
            <w:r w:rsidRPr="00D70109">
              <w:rPr>
                <w:color w:val="000000" w:themeColor="text1"/>
                <w:sz w:val="20"/>
                <w:szCs w:val="20"/>
              </w:rPr>
              <w:t>20</w:t>
            </w:r>
          </w:p>
        </w:tc>
        <w:tc>
          <w:tcPr>
            <w:tcW w:w="1560" w:type="dxa"/>
            <w:shd w:val="clear" w:color="auto" w:fill="F2F2F2" w:themeFill="background1" w:themeFillShade="F2"/>
            <w:vAlign w:val="center"/>
          </w:tcPr>
          <w:p w14:paraId="677FC332" w14:textId="632B0B08"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641</w:t>
            </w:r>
            <w:r w:rsidR="008A2E96" w:rsidRPr="00D70109">
              <w:rPr>
                <w:color w:val="000000" w:themeColor="text1"/>
                <w:sz w:val="20"/>
                <w:szCs w:val="20"/>
              </w:rPr>
              <w:t>.</w:t>
            </w:r>
            <w:r w:rsidRPr="00D70109">
              <w:rPr>
                <w:color w:val="000000" w:themeColor="text1"/>
                <w:sz w:val="20"/>
                <w:szCs w:val="20"/>
              </w:rPr>
              <w:t>28</w:t>
            </w:r>
          </w:p>
        </w:tc>
        <w:tc>
          <w:tcPr>
            <w:tcW w:w="1293" w:type="dxa"/>
            <w:shd w:val="clear" w:color="auto" w:fill="F2F2F2" w:themeFill="background1" w:themeFillShade="F2"/>
            <w:vAlign w:val="center"/>
          </w:tcPr>
          <w:p w14:paraId="2B703958" w14:textId="2D8483F7"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681</w:t>
            </w:r>
            <w:r w:rsidR="008A2E96" w:rsidRPr="00D70109">
              <w:rPr>
                <w:color w:val="000000" w:themeColor="text1"/>
                <w:sz w:val="20"/>
                <w:szCs w:val="20"/>
              </w:rPr>
              <w:t>.</w:t>
            </w:r>
            <w:r w:rsidRPr="00D70109">
              <w:rPr>
                <w:color w:val="000000" w:themeColor="text1"/>
                <w:sz w:val="20"/>
                <w:szCs w:val="20"/>
              </w:rPr>
              <w:t>48</w:t>
            </w:r>
          </w:p>
        </w:tc>
      </w:tr>
      <w:tr w:rsidR="00BE4F6C" w:rsidRPr="00D70109" w14:paraId="28988EE1" w14:textId="77777777" w:rsidTr="00D70109">
        <w:trPr>
          <w:trHeight w:val="701"/>
        </w:trPr>
        <w:tc>
          <w:tcPr>
            <w:tcW w:w="3828" w:type="dxa"/>
            <w:vAlign w:val="center"/>
          </w:tcPr>
          <w:p w14:paraId="4C514692" w14:textId="77777777" w:rsidR="00BE4F6C" w:rsidRPr="00D70109" w:rsidRDefault="00BE4F6C" w:rsidP="00BE4F6C">
            <w:pPr>
              <w:spacing w:before="0" w:after="0" w:line="228" w:lineRule="auto"/>
              <w:ind w:left="-19"/>
              <w:jc w:val="left"/>
              <w:rPr>
                <w:i/>
                <w:iCs/>
                <w:color w:val="000000" w:themeColor="text1"/>
                <w:sz w:val="20"/>
                <w:szCs w:val="20"/>
              </w:rPr>
            </w:pPr>
            <w:r w:rsidRPr="00D70109">
              <w:rPr>
                <w:i/>
                <w:iCs/>
                <w:color w:val="000000" w:themeColor="text1"/>
                <w:sz w:val="20"/>
                <w:szCs w:val="20"/>
              </w:rPr>
              <w:t xml:space="preserve">Brazil Living Amazon Mechanism </w:t>
            </w:r>
          </w:p>
        </w:tc>
        <w:tc>
          <w:tcPr>
            <w:tcW w:w="1417" w:type="dxa"/>
            <w:vAlign w:val="center"/>
          </w:tcPr>
          <w:p w14:paraId="650D2A99" w14:textId="3A93602A" w:rsidR="00BE4F6C" w:rsidRPr="00D70109" w:rsidRDefault="00BE4F6C" w:rsidP="00BE4F6C">
            <w:pPr>
              <w:spacing w:before="0" w:after="0" w:line="228" w:lineRule="auto"/>
              <w:rPr>
                <w:color w:val="000000" w:themeColor="text1"/>
                <w:sz w:val="20"/>
                <w:szCs w:val="20"/>
              </w:rPr>
            </w:pPr>
            <w:r w:rsidRPr="00D70109">
              <w:rPr>
                <w:color w:val="000000" w:themeColor="text1"/>
                <w:sz w:val="20"/>
                <w:szCs w:val="20"/>
              </w:rPr>
              <w:t>3, 10, 19, 22</w:t>
            </w:r>
          </w:p>
        </w:tc>
        <w:tc>
          <w:tcPr>
            <w:tcW w:w="1417" w:type="dxa"/>
            <w:vAlign w:val="center"/>
          </w:tcPr>
          <w:p w14:paraId="45282E70" w14:textId="7632FAE8"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6</w:t>
            </w:r>
            <w:r w:rsidR="008A2E96" w:rsidRPr="00D70109">
              <w:rPr>
                <w:color w:val="000000" w:themeColor="text1"/>
                <w:sz w:val="20"/>
                <w:szCs w:val="20"/>
              </w:rPr>
              <w:t>.</w:t>
            </w:r>
            <w:r w:rsidRPr="00D70109">
              <w:rPr>
                <w:color w:val="000000" w:themeColor="text1"/>
                <w:sz w:val="20"/>
                <w:szCs w:val="20"/>
              </w:rPr>
              <w:t>20</w:t>
            </w:r>
          </w:p>
        </w:tc>
        <w:tc>
          <w:tcPr>
            <w:tcW w:w="1560" w:type="dxa"/>
            <w:vAlign w:val="center"/>
          </w:tcPr>
          <w:p w14:paraId="318A4605" w14:textId="34C96EDD"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42</w:t>
            </w:r>
            <w:r w:rsidR="008A2E96" w:rsidRPr="00D70109">
              <w:rPr>
                <w:color w:val="000000" w:themeColor="text1"/>
                <w:sz w:val="20"/>
                <w:szCs w:val="20"/>
              </w:rPr>
              <w:t>.</w:t>
            </w:r>
            <w:r w:rsidRPr="00D70109">
              <w:rPr>
                <w:color w:val="000000" w:themeColor="text1"/>
                <w:sz w:val="20"/>
                <w:szCs w:val="20"/>
              </w:rPr>
              <w:t>98</w:t>
            </w:r>
          </w:p>
        </w:tc>
        <w:tc>
          <w:tcPr>
            <w:tcW w:w="1293" w:type="dxa"/>
            <w:vAlign w:val="center"/>
          </w:tcPr>
          <w:p w14:paraId="20AD04A9" w14:textId="53087B77"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49</w:t>
            </w:r>
            <w:r w:rsidR="008A2E96" w:rsidRPr="00D70109">
              <w:rPr>
                <w:color w:val="000000" w:themeColor="text1"/>
                <w:sz w:val="20"/>
                <w:szCs w:val="20"/>
              </w:rPr>
              <w:t>.</w:t>
            </w:r>
            <w:r w:rsidRPr="00D70109">
              <w:rPr>
                <w:color w:val="000000" w:themeColor="text1"/>
                <w:sz w:val="20"/>
                <w:szCs w:val="20"/>
              </w:rPr>
              <w:t>18</w:t>
            </w:r>
          </w:p>
        </w:tc>
      </w:tr>
      <w:tr w:rsidR="00BE4F6C" w:rsidRPr="00D70109" w14:paraId="6CD50A98" w14:textId="77777777" w:rsidTr="00D70109">
        <w:trPr>
          <w:trHeight w:val="701"/>
        </w:trPr>
        <w:tc>
          <w:tcPr>
            <w:tcW w:w="3828" w:type="dxa"/>
            <w:shd w:val="clear" w:color="auto" w:fill="F2F2F2" w:themeFill="background1" w:themeFillShade="F2"/>
            <w:vAlign w:val="center"/>
          </w:tcPr>
          <w:p w14:paraId="71325081" w14:textId="4E314F65" w:rsidR="00BE4F6C" w:rsidRPr="00D70109" w:rsidRDefault="00BE4F6C" w:rsidP="00BE4F6C">
            <w:pPr>
              <w:spacing w:before="0" w:after="0" w:line="228" w:lineRule="auto"/>
              <w:ind w:left="-19"/>
              <w:jc w:val="left"/>
              <w:rPr>
                <w:color w:val="000000" w:themeColor="text1"/>
                <w:sz w:val="20"/>
                <w:szCs w:val="20"/>
              </w:rPr>
            </w:pPr>
            <w:r w:rsidRPr="00D70109">
              <w:rPr>
                <w:color w:val="000000" w:themeColor="text1"/>
                <w:sz w:val="20"/>
                <w:szCs w:val="20"/>
              </w:rPr>
              <w:t>Obligation corail indonésienne</w:t>
            </w:r>
          </w:p>
        </w:tc>
        <w:tc>
          <w:tcPr>
            <w:tcW w:w="1417" w:type="dxa"/>
            <w:shd w:val="clear" w:color="auto" w:fill="F2F2F2" w:themeFill="background1" w:themeFillShade="F2"/>
            <w:vAlign w:val="center"/>
          </w:tcPr>
          <w:p w14:paraId="3247600C" w14:textId="272EB387" w:rsidR="00BE4F6C" w:rsidRPr="00D70109" w:rsidRDefault="00BE4F6C" w:rsidP="00BE4F6C">
            <w:pPr>
              <w:spacing w:before="0" w:after="0" w:line="228" w:lineRule="auto"/>
              <w:rPr>
                <w:color w:val="000000" w:themeColor="text1"/>
                <w:sz w:val="20"/>
                <w:szCs w:val="20"/>
              </w:rPr>
            </w:pPr>
            <w:r w:rsidRPr="00D70109">
              <w:rPr>
                <w:color w:val="000000" w:themeColor="text1"/>
                <w:sz w:val="20"/>
                <w:szCs w:val="20"/>
              </w:rPr>
              <w:t>3, 8, 20, 21, 22, 23</w:t>
            </w:r>
          </w:p>
        </w:tc>
        <w:tc>
          <w:tcPr>
            <w:tcW w:w="1417" w:type="dxa"/>
            <w:shd w:val="clear" w:color="auto" w:fill="F2F2F2" w:themeFill="background1" w:themeFillShade="F2"/>
            <w:vAlign w:val="center"/>
          </w:tcPr>
          <w:p w14:paraId="773C7782" w14:textId="73B11888"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13,80</w:t>
            </w:r>
          </w:p>
        </w:tc>
        <w:tc>
          <w:tcPr>
            <w:tcW w:w="1560" w:type="dxa"/>
            <w:shd w:val="clear" w:color="auto" w:fill="F2F2F2" w:themeFill="background1" w:themeFillShade="F2"/>
            <w:vAlign w:val="center"/>
          </w:tcPr>
          <w:p w14:paraId="65C1BD8C" w14:textId="05301783"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166,10</w:t>
            </w:r>
          </w:p>
        </w:tc>
        <w:tc>
          <w:tcPr>
            <w:tcW w:w="1293" w:type="dxa"/>
            <w:shd w:val="clear" w:color="auto" w:fill="F2F2F2" w:themeFill="background1" w:themeFillShade="F2"/>
            <w:vAlign w:val="center"/>
          </w:tcPr>
          <w:p w14:paraId="54917F7F" w14:textId="040F543B"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179,9</w:t>
            </w:r>
          </w:p>
        </w:tc>
      </w:tr>
      <w:tr w:rsidR="00BE4F6C" w:rsidRPr="00D70109" w14:paraId="3A243F91" w14:textId="77777777" w:rsidTr="00D70109">
        <w:trPr>
          <w:trHeight w:val="701"/>
        </w:trPr>
        <w:tc>
          <w:tcPr>
            <w:tcW w:w="3828" w:type="dxa"/>
            <w:vAlign w:val="center"/>
          </w:tcPr>
          <w:p w14:paraId="55A35FD5" w14:textId="3A00DB5D" w:rsidR="00BE4F6C" w:rsidRPr="00D70109" w:rsidRDefault="00BE4F6C" w:rsidP="00BE4F6C">
            <w:pPr>
              <w:spacing w:before="0" w:after="0" w:line="228" w:lineRule="auto"/>
              <w:ind w:left="-19"/>
              <w:jc w:val="left"/>
              <w:rPr>
                <w:i/>
                <w:iCs/>
                <w:color w:val="000000" w:themeColor="text1"/>
                <w:sz w:val="20"/>
                <w:szCs w:val="20"/>
                <w:lang w:val="en-US"/>
              </w:rPr>
            </w:pPr>
            <w:r w:rsidRPr="00D70109">
              <w:rPr>
                <w:i/>
                <w:iCs/>
                <w:color w:val="000000" w:themeColor="text1"/>
                <w:sz w:val="20"/>
                <w:szCs w:val="20"/>
                <w:lang w:val="en-US"/>
              </w:rPr>
              <w:t xml:space="preserve">Regenerative Agriculture for Food Supply Chains  </w:t>
            </w:r>
          </w:p>
        </w:tc>
        <w:tc>
          <w:tcPr>
            <w:tcW w:w="1417" w:type="dxa"/>
            <w:vAlign w:val="center"/>
          </w:tcPr>
          <w:p w14:paraId="77A06271" w14:textId="729AB5F0" w:rsidR="00BE4F6C" w:rsidRPr="00D70109" w:rsidRDefault="00267878" w:rsidP="00BE4F6C">
            <w:pPr>
              <w:spacing w:before="0" w:after="0" w:line="228" w:lineRule="auto"/>
              <w:rPr>
                <w:color w:val="000000" w:themeColor="text1"/>
                <w:sz w:val="20"/>
                <w:szCs w:val="20"/>
              </w:rPr>
            </w:pPr>
            <w:r w:rsidRPr="00D70109">
              <w:rPr>
                <w:color w:val="000000" w:themeColor="text1"/>
                <w:sz w:val="20"/>
                <w:szCs w:val="20"/>
              </w:rPr>
              <w:t>2, 7, 10</w:t>
            </w:r>
          </w:p>
        </w:tc>
        <w:tc>
          <w:tcPr>
            <w:tcW w:w="1417" w:type="dxa"/>
            <w:vAlign w:val="center"/>
          </w:tcPr>
          <w:p w14:paraId="5EED70C0" w14:textId="13822A37"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13</w:t>
            </w:r>
            <w:r w:rsidR="008A2E96" w:rsidRPr="00D70109">
              <w:rPr>
                <w:color w:val="000000" w:themeColor="text1"/>
                <w:sz w:val="20"/>
                <w:szCs w:val="20"/>
              </w:rPr>
              <w:t>.</w:t>
            </w:r>
            <w:r w:rsidRPr="00D70109">
              <w:rPr>
                <w:color w:val="000000" w:themeColor="text1"/>
                <w:sz w:val="20"/>
                <w:szCs w:val="20"/>
              </w:rPr>
              <w:t>76</w:t>
            </w:r>
          </w:p>
        </w:tc>
        <w:tc>
          <w:tcPr>
            <w:tcW w:w="1560" w:type="dxa"/>
            <w:vAlign w:val="center"/>
          </w:tcPr>
          <w:p w14:paraId="560B5E93" w14:textId="6C2697B9"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202</w:t>
            </w:r>
            <w:r w:rsidR="008A2E96" w:rsidRPr="00D70109">
              <w:rPr>
                <w:color w:val="000000" w:themeColor="text1"/>
                <w:sz w:val="20"/>
                <w:szCs w:val="20"/>
              </w:rPr>
              <w:t>.</w:t>
            </w:r>
            <w:r w:rsidRPr="00D70109">
              <w:rPr>
                <w:color w:val="000000" w:themeColor="text1"/>
                <w:sz w:val="20"/>
                <w:szCs w:val="20"/>
              </w:rPr>
              <w:t>20</w:t>
            </w:r>
          </w:p>
        </w:tc>
        <w:tc>
          <w:tcPr>
            <w:tcW w:w="1293" w:type="dxa"/>
            <w:vAlign w:val="center"/>
          </w:tcPr>
          <w:p w14:paraId="0D380BAA" w14:textId="7864D5B0"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215</w:t>
            </w:r>
            <w:r w:rsidR="008A2E96" w:rsidRPr="00D70109">
              <w:rPr>
                <w:color w:val="000000" w:themeColor="text1"/>
                <w:sz w:val="20"/>
                <w:szCs w:val="20"/>
              </w:rPr>
              <w:t>.</w:t>
            </w:r>
            <w:r w:rsidRPr="00D70109">
              <w:rPr>
                <w:color w:val="000000" w:themeColor="text1"/>
                <w:sz w:val="20"/>
                <w:szCs w:val="20"/>
              </w:rPr>
              <w:t>96</w:t>
            </w:r>
          </w:p>
        </w:tc>
      </w:tr>
      <w:tr w:rsidR="00BE4F6C" w:rsidRPr="00D70109" w14:paraId="23A53783" w14:textId="77777777" w:rsidTr="00D70109">
        <w:trPr>
          <w:trHeight w:val="701"/>
        </w:trPr>
        <w:tc>
          <w:tcPr>
            <w:tcW w:w="3828" w:type="dxa"/>
            <w:shd w:val="clear" w:color="auto" w:fill="F2F2F2" w:themeFill="background1" w:themeFillShade="F2"/>
            <w:vAlign w:val="center"/>
          </w:tcPr>
          <w:p w14:paraId="15198E2C" w14:textId="245A8736" w:rsidR="00BE4F6C" w:rsidRPr="00D70109" w:rsidRDefault="00BE4F6C" w:rsidP="00BE4F6C">
            <w:pPr>
              <w:spacing w:before="0" w:after="0" w:line="228" w:lineRule="auto"/>
              <w:ind w:left="-19"/>
              <w:jc w:val="left"/>
              <w:rPr>
                <w:color w:val="000000" w:themeColor="text1"/>
                <w:sz w:val="20"/>
                <w:szCs w:val="20"/>
              </w:rPr>
            </w:pPr>
            <w:r w:rsidRPr="00D70109">
              <w:rPr>
                <w:color w:val="000000" w:themeColor="text1"/>
                <w:sz w:val="20"/>
                <w:szCs w:val="20"/>
              </w:rPr>
              <w:t>Projet de gestion scientifique de la biodiversité et des ressources naturelles au service du développement économique de Madagascar</w:t>
            </w:r>
          </w:p>
        </w:tc>
        <w:tc>
          <w:tcPr>
            <w:tcW w:w="1417" w:type="dxa"/>
            <w:shd w:val="clear" w:color="auto" w:fill="F2F2F2" w:themeFill="background1" w:themeFillShade="F2"/>
            <w:vAlign w:val="center"/>
          </w:tcPr>
          <w:p w14:paraId="106FE1C3" w14:textId="6778033F" w:rsidR="00BE4F6C" w:rsidRPr="00D70109" w:rsidRDefault="0080774B" w:rsidP="00BE4F6C">
            <w:pPr>
              <w:spacing w:before="0" w:after="0" w:line="228" w:lineRule="auto"/>
              <w:rPr>
                <w:color w:val="000000" w:themeColor="text1"/>
                <w:sz w:val="20"/>
                <w:szCs w:val="20"/>
              </w:rPr>
            </w:pPr>
            <w:r w:rsidRPr="00D70109">
              <w:rPr>
                <w:color w:val="000000" w:themeColor="text1"/>
                <w:sz w:val="20"/>
                <w:szCs w:val="20"/>
              </w:rPr>
              <w:t>2, 3, 10, 19</w:t>
            </w:r>
          </w:p>
        </w:tc>
        <w:tc>
          <w:tcPr>
            <w:tcW w:w="1417" w:type="dxa"/>
            <w:shd w:val="clear" w:color="auto" w:fill="F2F2F2" w:themeFill="background1" w:themeFillShade="F2"/>
            <w:vAlign w:val="center"/>
          </w:tcPr>
          <w:p w14:paraId="2F34BD06" w14:textId="4E665BD0"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20,00</w:t>
            </w:r>
            <w:r w:rsidRPr="00D70109">
              <w:rPr>
                <w:rFonts w:ascii="ZWAdobeF" w:hAnsi="ZWAdobeF"/>
                <w:sz w:val="20"/>
                <w:szCs w:val="20"/>
              </w:rPr>
              <w:t>21</w:t>
            </w:r>
            <w:r w:rsidR="008A2E96" w:rsidRPr="00D70109">
              <w:rPr>
                <w:rFonts w:ascii="ZWAdobeF" w:hAnsi="ZWAdobeF"/>
                <w:sz w:val="20"/>
                <w:szCs w:val="20"/>
              </w:rPr>
              <w:t xml:space="preserve"> </w:t>
            </w:r>
            <w:r w:rsidRPr="00D70109">
              <w:rPr>
                <w:rFonts w:ascii="ZWAdobeF" w:hAnsi="ZWAdobeF"/>
                <w:sz w:val="20"/>
                <w:szCs w:val="20"/>
              </w:rPr>
              <w:t>F</w:t>
            </w:r>
            <w:r w:rsidRPr="00D70109">
              <w:rPr>
                <w:rStyle w:val="FootnoteReference"/>
                <w:color w:val="000000" w:themeColor="text1"/>
                <w:sz w:val="20"/>
                <w:szCs w:val="20"/>
              </w:rPr>
              <w:footnoteReference w:id="24"/>
            </w:r>
          </w:p>
        </w:tc>
        <w:tc>
          <w:tcPr>
            <w:tcW w:w="1560" w:type="dxa"/>
            <w:shd w:val="clear" w:color="auto" w:fill="F2F2F2" w:themeFill="background1" w:themeFillShade="F2"/>
            <w:vAlign w:val="center"/>
          </w:tcPr>
          <w:p w14:paraId="15445816" w14:textId="53A2A526"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162,30</w:t>
            </w:r>
          </w:p>
        </w:tc>
        <w:tc>
          <w:tcPr>
            <w:tcW w:w="1293" w:type="dxa"/>
            <w:shd w:val="clear" w:color="auto" w:fill="F2F2F2" w:themeFill="background1" w:themeFillShade="F2"/>
            <w:vAlign w:val="center"/>
          </w:tcPr>
          <w:p w14:paraId="79F413B6" w14:textId="4F63EB25"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182,3</w:t>
            </w:r>
          </w:p>
        </w:tc>
      </w:tr>
      <w:tr w:rsidR="00BE4F6C" w:rsidRPr="00D70109" w14:paraId="451B32A2" w14:textId="77777777" w:rsidTr="00D70109">
        <w:trPr>
          <w:trHeight w:val="701"/>
        </w:trPr>
        <w:tc>
          <w:tcPr>
            <w:tcW w:w="3828" w:type="dxa"/>
            <w:vAlign w:val="center"/>
          </w:tcPr>
          <w:p w14:paraId="6ACD6D2A" w14:textId="154FD369" w:rsidR="00BE4F6C" w:rsidRPr="00D70109" w:rsidRDefault="00BE4F6C" w:rsidP="00BE4F6C">
            <w:pPr>
              <w:spacing w:before="0" w:after="0" w:line="228" w:lineRule="auto"/>
              <w:ind w:left="-19"/>
              <w:jc w:val="left"/>
              <w:rPr>
                <w:color w:val="000000" w:themeColor="text1"/>
                <w:sz w:val="20"/>
                <w:szCs w:val="20"/>
              </w:rPr>
            </w:pPr>
            <w:r w:rsidRPr="00D70109">
              <w:rPr>
                <w:color w:val="000000" w:themeColor="text1"/>
                <w:sz w:val="20"/>
                <w:szCs w:val="20"/>
              </w:rPr>
              <w:t xml:space="preserve">Obligation de conservation de la faune et de la flore du Rwanda </w:t>
            </w:r>
          </w:p>
        </w:tc>
        <w:tc>
          <w:tcPr>
            <w:tcW w:w="1417" w:type="dxa"/>
            <w:vAlign w:val="center"/>
          </w:tcPr>
          <w:p w14:paraId="65E1D0D4" w14:textId="0D7E1175" w:rsidR="00BE4F6C" w:rsidRPr="00D70109" w:rsidRDefault="00A12DE6" w:rsidP="00BE4F6C">
            <w:pPr>
              <w:spacing w:before="0" w:after="0" w:line="228" w:lineRule="auto"/>
              <w:rPr>
                <w:color w:val="000000" w:themeColor="text1"/>
                <w:sz w:val="20"/>
                <w:szCs w:val="20"/>
              </w:rPr>
            </w:pPr>
            <w:r w:rsidRPr="00D70109">
              <w:rPr>
                <w:color w:val="000000" w:themeColor="text1"/>
                <w:sz w:val="20"/>
                <w:szCs w:val="20"/>
              </w:rPr>
              <w:t>2, 3, 4, 8, 9, 10, 19, 20</w:t>
            </w:r>
          </w:p>
        </w:tc>
        <w:tc>
          <w:tcPr>
            <w:tcW w:w="1417" w:type="dxa"/>
            <w:vAlign w:val="center"/>
          </w:tcPr>
          <w:p w14:paraId="23153680" w14:textId="15E03D90"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9,00</w:t>
            </w:r>
          </w:p>
        </w:tc>
        <w:tc>
          <w:tcPr>
            <w:tcW w:w="1560" w:type="dxa"/>
            <w:vAlign w:val="center"/>
          </w:tcPr>
          <w:p w14:paraId="7FD88C09" w14:textId="125EF5A8"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158,20</w:t>
            </w:r>
          </w:p>
        </w:tc>
        <w:tc>
          <w:tcPr>
            <w:tcW w:w="1293" w:type="dxa"/>
            <w:vAlign w:val="center"/>
          </w:tcPr>
          <w:p w14:paraId="318136AC" w14:textId="4740DBCF" w:rsidR="00BE4F6C" w:rsidRPr="00D70109" w:rsidRDefault="00BE4F6C" w:rsidP="00BE4F6C">
            <w:pPr>
              <w:spacing w:before="0" w:after="0" w:line="228" w:lineRule="auto"/>
              <w:jc w:val="right"/>
              <w:rPr>
                <w:color w:val="000000" w:themeColor="text1"/>
                <w:sz w:val="20"/>
                <w:szCs w:val="20"/>
              </w:rPr>
            </w:pPr>
            <w:r w:rsidRPr="00D70109">
              <w:rPr>
                <w:color w:val="000000" w:themeColor="text1"/>
                <w:sz w:val="20"/>
                <w:szCs w:val="20"/>
              </w:rPr>
              <w:t>167,2</w:t>
            </w:r>
          </w:p>
        </w:tc>
      </w:tr>
      <w:tr w:rsidR="00BE4F6C" w:rsidRPr="00D70109" w14:paraId="6F116100" w14:textId="77777777" w:rsidTr="00D70109">
        <w:trPr>
          <w:trHeight w:val="323"/>
        </w:trPr>
        <w:tc>
          <w:tcPr>
            <w:tcW w:w="3828" w:type="dxa"/>
            <w:tcBorders>
              <w:top w:val="single" w:sz="4" w:space="0" w:color="auto"/>
              <w:bottom w:val="single" w:sz="12" w:space="0" w:color="008000"/>
            </w:tcBorders>
            <w:shd w:val="clear" w:color="auto" w:fill="F2F2F2" w:themeFill="background1" w:themeFillShade="F2"/>
            <w:vAlign w:val="center"/>
          </w:tcPr>
          <w:p w14:paraId="7FAE0C26" w14:textId="77777777" w:rsidR="00BE4F6C" w:rsidRPr="00D70109" w:rsidRDefault="00BE4F6C" w:rsidP="00BE4F6C">
            <w:pPr>
              <w:spacing w:before="0" w:after="0" w:line="228" w:lineRule="auto"/>
              <w:ind w:left="-19"/>
              <w:jc w:val="left"/>
              <w:rPr>
                <w:b/>
                <w:bCs/>
                <w:color w:val="0070C0"/>
                <w:sz w:val="20"/>
                <w:szCs w:val="20"/>
              </w:rPr>
            </w:pPr>
            <w:r w:rsidRPr="00D70109">
              <w:rPr>
                <w:b/>
                <w:color w:val="000000" w:themeColor="text1"/>
                <w:sz w:val="20"/>
                <w:szCs w:val="20"/>
              </w:rPr>
              <w:t>Total</w:t>
            </w:r>
          </w:p>
        </w:tc>
        <w:tc>
          <w:tcPr>
            <w:tcW w:w="1417" w:type="dxa"/>
            <w:tcBorders>
              <w:top w:val="single" w:sz="4" w:space="0" w:color="auto"/>
              <w:bottom w:val="single" w:sz="12" w:space="0" w:color="008000"/>
            </w:tcBorders>
            <w:shd w:val="clear" w:color="auto" w:fill="F2F2F2" w:themeFill="background1" w:themeFillShade="F2"/>
            <w:vAlign w:val="center"/>
          </w:tcPr>
          <w:p w14:paraId="531519C5" w14:textId="77777777" w:rsidR="00BE4F6C" w:rsidRPr="00D70109" w:rsidRDefault="00BE4F6C" w:rsidP="00BE4F6C">
            <w:pPr>
              <w:spacing w:before="0" w:after="0" w:line="228" w:lineRule="auto"/>
              <w:rPr>
                <w:color w:val="0070C0"/>
                <w:sz w:val="20"/>
                <w:szCs w:val="20"/>
              </w:rPr>
            </w:pPr>
          </w:p>
        </w:tc>
        <w:tc>
          <w:tcPr>
            <w:tcW w:w="1417" w:type="dxa"/>
            <w:tcBorders>
              <w:top w:val="single" w:sz="4" w:space="0" w:color="auto"/>
              <w:left w:val="nil"/>
              <w:bottom w:val="single" w:sz="12" w:space="0" w:color="008000"/>
              <w:right w:val="nil"/>
            </w:tcBorders>
            <w:shd w:val="clear" w:color="auto" w:fill="F2F2F2" w:themeFill="background1" w:themeFillShade="F2"/>
            <w:vAlign w:val="center"/>
          </w:tcPr>
          <w:p w14:paraId="6B8A8018" w14:textId="312A7A8C" w:rsidR="00BE4F6C" w:rsidRPr="00D70109" w:rsidRDefault="00BE4F6C" w:rsidP="00BE4F6C">
            <w:pPr>
              <w:spacing w:before="0" w:after="0" w:line="228" w:lineRule="auto"/>
              <w:jc w:val="right"/>
              <w:rPr>
                <w:b/>
                <w:bCs/>
                <w:color w:val="000000" w:themeColor="text1"/>
                <w:sz w:val="20"/>
                <w:szCs w:val="20"/>
              </w:rPr>
            </w:pPr>
            <w:r w:rsidRPr="00D70109">
              <w:rPr>
                <w:b/>
                <w:color w:val="000000" w:themeColor="text1"/>
                <w:sz w:val="20"/>
                <w:szCs w:val="20"/>
              </w:rPr>
              <w:t>122,76</w:t>
            </w:r>
          </w:p>
        </w:tc>
        <w:tc>
          <w:tcPr>
            <w:tcW w:w="1560" w:type="dxa"/>
            <w:tcBorders>
              <w:top w:val="single" w:sz="4" w:space="0" w:color="auto"/>
              <w:left w:val="nil"/>
              <w:bottom w:val="single" w:sz="12" w:space="0" w:color="008000"/>
              <w:right w:val="nil"/>
            </w:tcBorders>
            <w:shd w:val="clear" w:color="auto" w:fill="F2F2F2" w:themeFill="background1" w:themeFillShade="F2"/>
            <w:vAlign w:val="center"/>
          </w:tcPr>
          <w:p w14:paraId="3B60F747" w14:textId="475DC101" w:rsidR="00BE4F6C" w:rsidRPr="00D70109" w:rsidRDefault="00BE4F6C" w:rsidP="00BE4F6C">
            <w:pPr>
              <w:spacing w:before="0" w:after="0" w:line="228" w:lineRule="auto"/>
              <w:jc w:val="right"/>
              <w:rPr>
                <w:b/>
                <w:bCs/>
                <w:color w:val="000000" w:themeColor="text1"/>
                <w:sz w:val="20"/>
                <w:szCs w:val="20"/>
              </w:rPr>
            </w:pPr>
            <w:r w:rsidRPr="00D70109">
              <w:rPr>
                <w:b/>
                <w:color w:val="000000" w:themeColor="text1"/>
                <w:sz w:val="20"/>
                <w:szCs w:val="20"/>
              </w:rPr>
              <w:t>2</w:t>
            </w:r>
            <w:r w:rsidR="008A2E96" w:rsidRPr="00D70109">
              <w:rPr>
                <w:b/>
                <w:color w:val="000000" w:themeColor="text1"/>
                <w:sz w:val="20"/>
                <w:szCs w:val="20"/>
              </w:rPr>
              <w:t> </w:t>
            </w:r>
            <w:r w:rsidRPr="00D70109">
              <w:rPr>
                <w:b/>
                <w:color w:val="000000" w:themeColor="text1"/>
                <w:sz w:val="20"/>
                <w:szCs w:val="20"/>
              </w:rPr>
              <w:t>033,07</w:t>
            </w:r>
          </w:p>
        </w:tc>
        <w:tc>
          <w:tcPr>
            <w:tcW w:w="1293" w:type="dxa"/>
            <w:tcBorders>
              <w:top w:val="single" w:sz="4" w:space="0" w:color="auto"/>
              <w:left w:val="nil"/>
              <w:bottom w:val="single" w:sz="12" w:space="0" w:color="008000"/>
              <w:right w:val="nil"/>
            </w:tcBorders>
            <w:shd w:val="clear" w:color="auto" w:fill="F2F2F2" w:themeFill="background1" w:themeFillShade="F2"/>
            <w:vAlign w:val="center"/>
          </w:tcPr>
          <w:p w14:paraId="11FB41A0" w14:textId="20863C12" w:rsidR="00BE4F6C" w:rsidRPr="00D70109" w:rsidRDefault="00BE4F6C" w:rsidP="00BE4F6C">
            <w:pPr>
              <w:spacing w:before="0" w:after="0" w:line="228" w:lineRule="auto"/>
              <w:jc w:val="right"/>
              <w:rPr>
                <w:b/>
                <w:bCs/>
                <w:color w:val="000000" w:themeColor="text1"/>
                <w:sz w:val="20"/>
                <w:szCs w:val="20"/>
              </w:rPr>
            </w:pPr>
            <w:r w:rsidRPr="00D70109">
              <w:rPr>
                <w:b/>
                <w:color w:val="000000" w:themeColor="text1"/>
                <w:sz w:val="20"/>
                <w:szCs w:val="20"/>
              </w:rPr>
              <w:t>2</w:t>
            </w:r>
            <w:r w:rsidR="008A2E96" w:rsidRPr="00D70109">
              <w:rPr>
                <w:b/>
                <w:color w:val="000000" w:themeColor="text1"/>
                <w:sz w:val="20"/>
                <w:szCs w:val="20"/>
              </w:rPr>
              <w:t> </w:t>
            </w:r>
            <w:r w:rsidRPr="00D70109">
              <w:rPr>
                <w:b/>
                <w:color w:val="000000" w:themeColor="text1"/>
                <w:sz w:val="20"/>
                <w:szCs w:val="20"/>
              </w:rPr>
              <w:t>155,83</w:t>
            </w:r>
          </w:p>
        </w:tc>
      </w:tr>
    </w:tbl>
    <w:p w14:paraId="143B3695" w14:textId="77777777" w:rsidR="006E1E3E" w:rsidRPr="00C67737" w:rsidRDefault="006E1E3E" w:rsidP="007D4E56">
      <w:pPr>
        <w:rPr>
          <w:color w:val="000000" w:themeColor="text1"/>
        </w:rPr>
      </w:pPr>
    </w:p>
    <w:p w14:paraId="633311FD" w14:textId="4F91889C" w:rsidR="00547CB7" w:rsidRPr="00C67737" w:rsidRDefault="007D4E56" w:rsidP="000B33CF">
      <w:pPr>
        <w:pStyle w:val="ListParagraph"/>
      </w:pPr>
      <w:r>
        <w:t xml:space="preserve">Les paragraphes qui suivent présentent une synthèse de ces projets, </w:t>
      </w:r>
      <w:r w:rsidR="005B25B3">
        <w:t>y compris</w:t>
      </w:r>
      <w:r>
        <w:t xml:space="preserve"> trois obligations innovantes liées </w:t>
      </w:r>
      <w:r w:rsidR="00EA631C">
        <w:t>à l’obtention de</w:t>
      </w:r>
      <w:r>
        <w:t xml:space="preserve"> résultats en matière de </w:t>
      </w:r>
      <w:r w:rsidR="008951CE">
        <w:t xml:space="preserve">Biodiversité </w:t>
      </w:r>
      <w:r>
        <w:t xml:space="preserve">et un </w:t>
      </w:r>
      <w:r>
        <w:lastRenderedPageBreak/>
        <w:t xml:space="preserve">mécanisme de conversion de dette au profit de la nature, ainsi que </w:t>
      </w:r>
      <w:r w:rsidR="00EA631C">
        <w:t>les</w:t>
      </w:r>
      <w:r>
        <w:t xml:space="preserve"> résultats </w:t>
      </w:r>
      <w:r w:rsidR="00EA631C">
        <w:t>qu’ils devraient produire</w:t>
      </w:r>
      <w:r>
        <w:t>.</w:t>
      </w:r>
    </w:p>
    <w:p w14:paraId="7A39BC95" w14:textId="222A183F" w:rsidR="00555C10" w:rsidRPr="00C67737" w:rsidRDefault="00DD4FCC" w:rsidP="000B33CF">
      <w:pPr>
        <w:pStyle w:val="bullettext"/>
      </w:pPr>
      <w:r w:rsidRPr="00DD4FCC">
        <w:t>Le projet</w:t>
      </w:r>
      <w:r>
        <w:rPr>
          <w:b/>
          <w:bCs/>
          <w:i/>
          <w:iCs/>
        </w:rPr>
        <w:t xml:space="preserve"> </w:t>
      </w:r>
      <w:r w:rsidR="00E36BBE">
        <w:rPr>
          <w:b/>
          <w:bCs/>
          <w:i/>
          <w:iCs/>
        </w:rPr>
        <w:t xml:space="preserve">Natural Capital </w:t>
      </w:r>
      <w:proofErr w:type="spellStart"/>
      <w:proofErr w:type="gramStart"/>
      <w:r w:rsidR="00E36BBE">
        <w:rPr>
          <w:b/>
          <w:bCs/>
          <w:i/>
          <w:iCs/>
        </w:rPr>
        <w:t>Fund</w:t>
      </w:r>
      <w:proofErr w:type="spellEnd"/>
      <w:r w:rsidR="00E36BBE">
        <w:rPr>
          <w:b/>
          <w:bCs/>
          <w:i/>
          <w:iCs/>
        </w:rPr>
        <w:t>:</w:t>
      </w:r>
      <w:proofErr w:type="gramEnd"/>
      <w:r w:rsidR="00E36BBE">
        <w:rPr>
          <w:b/>
          <w:bCs/>
          <w:i/>
          <w:iCs/>
        </w:rPr>
        <w:t xml:space="preserve"> </w:t>
      </w:r>
      <w:proofErr w:type="spellStart"/>
      <w:r w:rsidR="00E36BBE">
        <w:rPr>
          <w:b/>
          <w:bCs/>
          <w:i/>
          <w:iCs/>
        </w:rPr>
        <w:t>Investing</w:t>
      </w:r>
      <w:proofErr w:type="spellEnd"/>
      <w:r w:rsidR="00E36BBE">
        <w:rPr>
          <w:b/>
          <w:bCs/>
          <w:i/>
          <w:iCs/>
        </w:rPr>
        <w:t xml:space="preserve"> in Nature-Positive Agri-Food </w:t>
      </w:r>
      <w:proofErr w:type="spellStart"/>
      <w:r w:rsidR="00E36BBE">
        <w:rPr>
          <w:b/>
          <w:bCs/>
          <w:i/>
          <w:iCs/>
        </w:rPr>
        <w:t>Enterprises</w:t>
      </w:r>
      <w:proofErr w:type="spellEnd"/>
      <w:r w:rsidR="00E36BBE">
        <w:rPr>
          <w:b/>
          <w:bCs/>
          <w:i/>
          <w:iCs/>
        </w:rPr>
        <w:t xml:space="preserve"> in Asia and the Pacific</w:t>
      </w:r>
      <w:r w:rsidR="00E36BBE">
        <w:t xml:space="preserve"> (régional</w:t>
      </w:r>
      <w:r w:rsidR="006E54C7">
        <w:t> :</w:t>
      </w:r>
      <w:r w:rsidR="00E36BBE">
        <w:t xml:space="preserve"> Asie et Pacifique</w:t>
      </w:r>
      <w:r w:rsidR="008A2E96">
        <w:t> </w:t>
      </w:r>
      <w:r w:rsidR="00E36BBE">
        <w:t xml:space="preserve">; </w:t>
      </w:r>
      <w:r w:rsidR="00F52D3D">
        <w:t>Agence</w:t>
      </w:r>
      <w:r w:rsidR="006E54C7">
        <w:t> :</w:t>
      </w:r>
      <w:r w:rsidR="00E36BBE">
        <w:t xml:space="preserve"> Banque asiatique de développement</w:t>
      </w:r>
      <w:r w:rsidR="008A2E96">
        <w:t> </w:t>
      </w:r>
      <w:r w:rsidR="00E36BBE">
        <w:t>; financement de projet du GEF</w:t>
      </w:r>
      <w:r w:rsidR="006E54C7">
        <w:t> :</w:t>
      </w:r>
      <w:r w:rsidR="00E36BBE">
        <w:t xml:space="preserve"> 13</w:t>
      </w:r>
      <w:r w:rsidR="008A2E96">
        <w:t> 761 469 </w:t>
      </w:r>
      <w:r w:rsidR="00E36BBE">
        <w:t>dollars</w:t>
      </w:r>
      <w:r w:rsidR="008A2E96">
        <w:t> </w:t>
      </w:r>
      <w:r w:rsidR="00E36BBE">
        <w:t>; cofinancement</w:t>
      </w:r>
      <w:r w:rsidR="006E54C7">
        <w:t> :</w:t>
      </w:r>
      <w:r w:rsidR="00E36BBE">
        <w:t xml:space="preserve"> 632</w:t>
      </w:r>
      <w:r w:rsidR="008A2E96">
        <w:t> 738 531 </w:t>
      </w:r>
      <w:r w:rsidR="00E36BBE">
        <w:t>dollars</w:t>
      </w:r>
      <w:r w:rsidR="00A117E2">
        <w:t>)</w:t>
      </w:r>
      <w:r w:rsidR="00E36BBE">
        <w:t xml:space="preserve"> </w:t>
      </w:r>
      <w:r w:rsidR="00F751A8">
        <w:t>fait du</w:t>
      </w:r>
      <w:r w:rsidR="00E36BBE">
        <w:t xml:space="preserve"> GEF </w:t>
      </w:r>
      <w:r w:rsidR="00F751A8">
        <w:t xml:space="preserve">un investisseur </w:t>
      </w:r>
      <w:r w:rsidR="003B7525">
        <w:t>d’ancrage</w:t>
      </w:r>
      <w:r w:rsidR="00E36BBE">
        <w:t xml:space="preserve"> dans un fonds </w:t>
      </w:r>
      <w:r w:rsidR="00CB0FB9">
        <w:t>global</w:t>
      </w:r>
      <w:r w:rsidR="00E36BBE">
        <w:t xml:space="preserve"> consacré à l’agriculture climato-intelligente, aux entreprises du secteur alimentaire et aux petits exploitants agricoles. Le Natural Capital </w:t>
      </w:r>
      <w:proofErr w:type="spellStart"/>
      <w:r w:rsidR="00E36BBE">
        <w:t>Fund</w:t>
      </w:r>
      <w:proofErr w:type="spellEnd"/>
      <w:r w:rsidR="00E36BBE">
        <w:t xml:space="preserve"> est un fonds catalytique de financement mixte axé sur le capital naturel, doté de plus de 650</w:t>
      </w:r>
      <w:r w:rsidR="008A2E96">
        <w:t> </w:t>
      </w:r>
      <w:r w:rsidR="00E36BBE">
        <w:t xml:space="preserve">millions de dollars, </w:t>
      </w:r>
      <w:r w:rsidR="0067282F">
        <w:t xml:space="preserve">qui a été </w:t>
      </w:r>
      <w:r w:rsidR="00E36BBE">
        <w:t>conçu pour accompagner la transformation des systèmes agroalimentaires</w:t>
      </w:r>
      <w:r w:rsidR="006A5949">
        <w:t>, notamment par l’accroissement de la productivité et de la résilience</w:t>
      </w:r>
      <w:r w:rsidR="00E36BBE">
        <w:t xml:space="preserve">, </w:t>
      </w:r>
      <w:r w:rsidR="006A5949">
        <w:t>ainsi que par la réduction d</w:t>
      </w:r>
      <w:r w:rsidR="00E36BBE">
        <w:t>es émissions de gaz à effet de serre. Le projet permettra de restaurer 1,2</w:t>
      </w:r>
      <w:r w:rsidR="008A2E96">
        <w:t> </w:t>
      </w:r>
      <w:r w:rsidR="00E36BBE">
        <w:t xml:space="preserve">million d’hectares de terres et </w:t>
      </w:r>
      <w:r w:rsidR="0091433B" w:rsidRPr="0091433B">
        <w:t>de soumettre 2,5</w:t>
      </w:r>
      <w:r w:rsidR="0091433B">
        <w:t> </w:t>
      </w:r>
      <w:r w:rsidR="0091433B" w:rsidRPr="0091433B">
        <w:t>millions d’hectares de terres à des pratiques améliorées. Il permettra également d’éliminer plus de 3</w:t>
      </w:r>
      <w:r w:rsidR="00BB680B">
        <w:t> </w:t>
      </w:r>
      <w:r w:rsidR="0091433B" w:rsidRPr="0091433B">
        <w:t>000</w:t>
      </w:r>
      <w:r w:rsidR="0091433B">
        <w:t> </w:t>
      </w:r>
      <w:r w:rsidR="0091433B" w:rsidRPr="0091433B">
        <w:t>tonnes de pesticides extrêmement dangereux et d’éviter la production de 2</w:t>
      </w:r>
      <w:r w:rsidR="00BB680B">
        <w:t> </w:t>
      </w:r>
      <w:r w:rsidR="0091433B" w:rsidRPr="0091433B">
        <w:t>000</w:t>
      </w:r>
      <w:r w:rsidR="0091433B">
        <w:t> </w:t>
      </w:r>
      <w:r w:rsidR="0091433B" w:rsidRPr="0091433B">
        <w:t>tonnes de résidus plastiques. Il bénéficiera à 300</w:t>
      </w:r>
      <w:r w:rsidR="00BB680B">
        <w:t> 000 </w:t>
      </w:r>
      <w:r w:rsidR="0091433B" w:rsidRPr="0091433B">
        <w:t>personnes, dont 51</w:t>
      </w:r>
      <w:r w:rsidR="00966C17">
        <w:t> %</w:t>
      </w:r>
      <w:r w:rsidR="0091433B" w:rsidRPr="0091433B">
        <w:t xml:space="preserve"> de femmes.</w:t>
      </w:r>
    </w:p>
    <w:p w14:paraId="3523F066" w14:textId="1AF6C550" w:rsidR="00555C10" w:rsidRPr="00C67737" w:rsidRDefault="0091433B" w:rsidP="000B33CF">
      <w:pPr>
        <w:pStyle w:val="bullettext"/>
      </w:pPr>
      <w:r>
        <w:t xml:space="preserve">Le projet </w:t>
      </w:r>
      <w:proofErr w:type="spellStart"/>
      <w:r w:rsidR="0AA9E2A4" w:rsidRPr="0062238A">
        <w:t>Yield</w:t>
      </w:r>
      <w:proofErr w:type="spellEnd"/>
      <w:r w:rsidR="0AA9E2A4" w:rsidRPr="0062238A">
        <w:t xml:space="preserve"> </w:t>
      </w:r>
      <w:proofErr w:type="spellStart"/>
      <w:r w:rsidR="0AA9E2A4" w:rsidRPr="0062238A">
        <w:t>Lab</w:t>
      </w:r>
      <w:proofErr w:type="spellEnd"/>
      <w:r w:rsidR="0AA9E2A4" w:rsidRPr="0062238A">
        <w:t xml:space="preserve"> Opportunity </w:t>
      </w:r>
      <w:proofErr w:type="spellStart"/>
      <w:r w:rsidR="0AA9E2A4" w:rsidRPr="0062238A">
        <w:t>Fund</w:t>
      </w:r>
      <w:proofErr w:type="spellEnd"/>
      <w:r w:rsidR="0AA9E2A4" w:rsidRPr="0062238A">
        <w:t xml:space="preserve"> I: </w:t>
      </w:r>
      <w:proofErr w:type="spellStart"/>
      <w:r w:rsidR="0AA9E2A4" w:rsidRPr="0062238A">
        <w:t>Accelerating</w:t>
      </w:r>
      <w:proofErr w:type="spellEnd"/>
      <w:r w:rsidR="0AA9E2A4" w:rsidRPr="0062238A">
        <w:t xml:space="preserve"> </w:t>
      </w:r>
      <w:proofErr w:type="spellStart"/>
      <w:r w:rsidR="0AA9E2A4" w:rsidRPr="0062238A">
        <w:t>Technology</w:t>
      </w:r>
      <w:proofErr w:type="spellEnd"/>
      <w:r w:rsidR="0AA9E2A4" w:rsidRPr="0062238A">
        <w:t xml:space="preserve"> and Local Innovation for </w:t>
      </w:r>
      <w:proofErr w:type="spellStart"/>
      <w:r w:rsidR="0AA9E2A4" w:rsidRPr="0062238A">
        <w:t>Sustainable</w:t>
      </w:r>
      <w:proofErr w:type="spellEnd"/>
      <w:r w:rsidR="0AA9E2A4" w:rsidRPr="0062238A">
        <w:t xml:space="preserve"> and </w:t>
      </w:r>
      <w:proofErr w:type="spellStart"/>
      <w:r w:rsidR="0AA9E2A4" w:rsidRPr="0062238A">
        <w:t>Decarbonized</w:t>
      </w:r>
      <w:proofErr w:type="spellEnd"/>
      <w:r w:rsidR="0AA9E2A4" w:rsidRPr="0062238A">
        <w:t xml:space="preserve"> Food </w:t>
      </w:r>
      <w:proofErr w:type="spellStart"/>
      <w:r w:rsidR="0AA9E2A4" w:rsidRPr="0062238A">
        <w:t>Systems</w:t>
      </w:r>
      <w:proofErr w:type="spellEnd"/>
      <w:r w:rsidR="0AA9E2A4" w:rsidRPr="0062238A">
        <w:t xml:space="preserve"> in Latin America and the Caribbean</w:t>
      </w:r>
      <w:r w:rsidR="0AA9E2A4">
        <w:t xml:space="preserve"> (régional</w:t>
      </w:r>
      <w:r w:rsidR="006E54C7">
        <w:t> :</w:t>
      </w:r>
      <w:r w:rsidR="0AA9E2A4">
        <w:t xml:space="preserve"> Amérique latine et Caraïbes</w:t>
      </w:r>
      <w:r w:rsidR="008A2E96">
        <w:t> </w:t>
      </w:r>
      <w:r w:rsidR="0AA9E2A4">
        <w:t xml:space="preserve">; </w:t>
      </w:r>
      <w:r w:rsidR="00F52D3D">
        <w:t>Agence</w:t>
      </w:r>
      <w:r w:rsidR="006E54C7">
        <w:t> :</w:t>
      </w:r>
      <w:r w:rsidR="0AA9E2A4">
        <w:t xml:space="preserve"> Banque interaméricaine de développement</w:t>
      </w:r>
      <w:r w:rsidR="008A2E96">
        <w:t> </w:t>
      </w:r>
      <w:r w:rsidR="0AA9E2A4">
        <w:t>; financement de projet du GEF</w:t>
      </w:r>
      <w:r w:rsidR="006E54C7">
        <w:t> :</w:t>
      </w:r>
      <w:r w:rsidR="0AA9E2A4">
        <w:t xml:space="preserve"> 6</w:t>
      </w:r>
      <w:r w:rsidR="008A2E96">
        <w:t> 000 000 </w:t>
      </w:r>
      <w:r w:rsidR="0AA9E2A4">
        <w:t>dollars</w:t>
      </w:r>
      <w:r w:rsidR="008A2E96">
        <w:t> </w:t>
      </w:r>
      <w:r w:rsidR="0AA9E2A4">
        <w:t>; cofinancement</w:t>
      </w:r>
      <w:r w:rsidR="006E54C7">
        <w:t> :</w:t>
      </w:r>
      <w:r w:rsidR="0AA9E2A4">
        <w:t xml:space="preserve"> 27</w:t>
      </w:r>
      <w:r w:rsidR="008A2E96">
        <w:t> 275 000 </w:t>
      </w:r>
      <w:r w:rsidR="0AA9E2A4">
        <w:t xml:space="preserve">dollars) finance </w:t>
      </w:r>
      <w:r w:rsidR="00172E64">
        <w:t xml:space="preserve">et accompagne </w:t>
      </w:r>
      <w:r w:rsidR="0AA9E2A4">
        <w:t xml:space="preserve">un portefeuille </w:t>
      </w:r>
      <w:r w:rsidR="00353843">
        <w:t>pouvant compter</w:t>
      </w:r>
      <w:r w:rsidR="0AA9E2A4">
        <w:t xml:space="preserve"> jusqu’à 30</w:t>
      </w:r>
      <w:r w:rsidR="008A2E96">
        <w:t> </w:t>
      </w:r>
      <w:r w:rsidR="0AA9E2A4">
        <w:t>jeunes entreprises de technologies agricoles (</w:t>
      </w:r>
      <w:proofErr w:type="spellStart"/>
      <w:r w:rsidR="0AA9E2A4" w:rsidRPr="0062238A">
        <w:t>AgTech</w:t>
      </w:r>
      <w:proofErr w:type="spellEnd"/>
      <w:r w:rsidR="0AA9E2A4">
        <w:t xml:space="preserve">), </w:t>
      </w:r>
      <w:r w:rsidR="00353843">
        <w:t xml:space="preserve">en phase de démarrage, auxquelles </w:t>
      </w:r>
      <w:r w:rsidR="00933E94">
        <w:t xml:space="preserve">seront apportés des financement en fonds propre </w:t>
      </w:r>
      <w:r w:rsidR="0AA9E2A4">
        <w:t xml:space="preserve">ainsi qu’un appui spécialisé. Le partenaire d’exécution, </w:t>
      </w:r>
      <w:proofErr w:type="spellStart"/>
      <w:r w:rsidR="0AA9E2A4">
        <w:t>Yield</w:t>
      </w:r>
      <w:proofErr w:type="spellEnd"/>
      <w:r w:rsidR="0AA9E2A4">
        <w:t xml:space="preserve"> </w:t>
      </w:r>
      <w:proofErr w:type="spellStart"/>
      <w:r w:rsidR="0AA9E2A4">
        <w:t>Lab</w:t>
      </w:r>
      <w:proofErr w:type="spellEnd"/>
      <w:r w:rsidR="0AA9E2A4">
        <w:t xml:space="preserve"> Latam, est un fonds d’investissement qui appuie des jeunes pousses en phase de démarrage actives dans </w:t>
      </w:r>
      <w:r w:rsidR="00A90AF1">
        <w:t>le domaine d</w:t>
      </w:r>
      <w:r w:rsidR="0AA9E2A4">
        <w:t>es cultures intensives en Amérique centrale, au Mexique et dans les Caraïbes, ainsi que dans les secteurs de l’élevage, de l’agriculture et de l’aquaculture en Amérique du Sud et dans la région andine. Les ressources du GEF sont investies sous</w:t>
      </w:r>
      <w:r w:rsidR="00064C22">
        <w:t xml:space="preserve"> la forme d’une participation au capital</w:t>
      </w:r>
      <w:r w:rsidR="0AA9E2A4">
        <w:t xml:space="preserve">. Le projet vise </w:t>
      </w:r>
      <w:r w:rsidR="0062238A" w:rsidRPr="0062238A">
        <w:t>à soumettre 11,5</w:t>
      </w:r>
      <w:r w:rsidR="00B607A9">
        <w:t> </w:t>
      </w:r>
      <w:r w:rsidR="0062238A" w:rsidRPr="0062238A">
        <w:t>millions d’hectares de terres à des pratiques améliorées, à atténuer 29,7</w:t>
      </w:r>
      <w:r w:rsidR="00B607A9">
        <w:t> </w:t>
      </w:r>
      <w:r w:rsidR="0062238A" w:rsidRPr="0062238A">
        <w:t xml:space="preserve">millions de tonnes d’équivalent dioxyde de carbone (t </w:t>
      </w:r>
      <w:proofErr w:type="spellStart"/>
      <w:r w:rsidR="0062238A" w:rsidRPr="0062238A">
        <w:t>éq</w:t>
      </w:r>
      <w:proofErr w:type="spellEnd"/>
      <w:r w:rsidR="0062238A" w:rsidRPr="0062238A">
        <w:t>. CO₂) sur 20</w:t>
      </w:r>
      <w:r w:rsidR="00B607A9">
        <w:t> </w:t>
      </w:r>
      <w:r w:rsidR="0062238A" w:rsidRPr="0062238A">
        <w:t>ans et à réduire de plus de 15</w:t>
      </w:r>
      <w:r w:rsidR="00BB680B">
        <w:t> 680 </w:t>
      </w:r>
      <w:r w:rsidR="0062238A" w:rsidRPr="0062238A">
        <w:t>tonnes l’utilisation de produits chimiques préoccupants à l’échelle mondiale. Il bénéficiera à 200</w:t>
      </w:r>
      <w:r w:rsidR="00BB680B">
        <w:t> </w:t>
      </w:r>
      <w:r w:rsidR="0062238A" w:rsidRPr="0062238A">
        <w:t>000</w:t>
      </w:r>
      <w:r w:rsidR="00B607A9">
        <w:t> </w:t>
      </w:r>
      <w:r w:rsidR="0062238A" w:rsidRPr="0062238A">
        <w:t>personnes, dont 30</w:t>
      </w:r>
      <w:r w:rsidR="00966C17">
        <w:t> %</w:t>
      </w:r>
      <w:r w:rsidR="0062238A" w:rsidRPr="0062238A">
        <w:t xml:space="preserve"> de femmes.</w:t>
      </w:r>
    </w:p>
    <w:p w14:paraId="5014B851" w14:textId="0273F31B" w:rsidR="00AD2C8B" w:rsidRPr="00C67737" w:rsidRDefault="001559C5" w:rsidP="000B33CF">
      <w:pPr>
        <w:pStyle w:val="bullettext"/>
      </w:pPr>
      <w:r>
        <w:t xml:space="preserve">Le projet </w:t>
      </w:r>
      <w:r w:rsidR="0AA9E2A4" w:rsidRPr="005F058C">
        <w:rPr>
          <w:b/>
          <w:bCs/>
          <w:i/>
          <w:iCs/>
        </w:rPr>
        <w:t xml:space="preserve">Innovative Use of Financial Instruments for </w:t>
      </w:r>
      <w:proofErr w:type="spellStart"/>
      <w:r w:rsidR="0AA9E2A4" w:rsidRPr="005F058C">
        <w:rPr>
          <w:b/>
          <w:bCs/>
          <w:i/>
          <w:iCs/>
        </w:rPr>
        <w:t>Biodiversity</w:t>
      </w:r>
      <w:proofErr w:type="spellEnd"/>
      <w:r w:rsidR="0AA9E2A4" w:rsidRPr="005F058C">
        <w:rPr>
          <w:b/>
          <w:bCs/>
          <w:i/>
          <w:iCs/>
        </w:rPr>
        <w:t xml:space="preserve"> Conservation and </w:t>
      </w:r>
      <w:proofErr w:type="spellStart"/>
      <w:r w:rsidR="0AA9E2A4" w:rsidRPr="005F058C">
        <w:rPr>
          <w:b/>
          <w:bCs/>
          <w:i/>
          <w:iCs/>
        </w:rPr>
        <w:t>Restoration</w:t>
      </w:r>
      <w:proofErr w:type="spellEnd"/>
      <w:r w:rsidR="0AA9E2A4" w:rsidRPr="005F058C">
        <w:rPr>
          <w:b/>
          <w:bCs/>
          <w:i/>
          <w:iCs/>
        </w:rPr>
        <w:t xml:space="preserve"> in Latin America and the Caribbean</w:t>
      </w:r>
      <w:r w:rsidR="0AA9E2A4">
        <w:t xml:space="preserve"> (régional</w:t>
      </w:r>
      <w:r w:rsidR="006E54C7">
        <w:t> :</w:t>
      </w:r>
      <w:r w:rsidR="0AA9E2A4">
        <w:t xml:space="preserve"> Amérique latine et Caraïbes</w:t>
      </w:r>
      <w:r w:rsidR="00501C34">
        <w:t> </w:t>
      </w:r>
      <w:r w:rsidR="0AA9E2A4">
        <w:t xml:space="preserve">; </w:t>
      </w:r>
      <w:r w:rsidR="00F52D3D">
        <w:t>Agence</w:t>
      </w:r>
      <w:r w:rsidR="0AA9E2A4">
        <w:t xml:space="preserve"> du GEF</w:t>
      </w:r>
      <w:r w:rsidR="006E54C7">
        <w:t> :</w:t>
      </w:r>
      <w:r w:rsidR="0AA9E2A4">
        <w:t xml:space="preserve"> Banque interaméricaine de développement</w:t>
      </w:r>
      <w:r w:rsidR="00501C34">
        <w:t> </w:t>
      </w:r>
      <w:r w:rsidR="0AA9E2A4">
        <w:t>; financement de projet du GEF</w:t>
      </w:r>
      <w:r w:rsidR="006E54C7">
        <w:t> :</w:t>
      </w:r>
      <w:r w:rsidR="0AA9E2A4">
        <w:t xml:space="preserve"> 40</w:t>
      </w:r>
      <w:r w:rsidR="00501C34">
        <w:t> 180 000 </w:t>
      </w:r>
      <w:r w:rsidR="0AA9E2A4">
        <w:t>dollars</w:t>
      </w:r>
      <w:r w:rsidR="00501C34">
        <w:t> </w:t>
      </w:r>
      <w:r w:rsidR="0AA9E2A4">
        <w:t>; cofinancement</w:t>
      </w:r>
      <w:r w:rsidR="006E54C7">
        <w:t> :</w:t>
      </w:r>
      <w:r w:rsidR="0AA9E2A4">
        <w:t xml:space="preserve"> 641</w:t>
      </w:r>
      <w:r w:rsidR="00501C34">
        <w:t> 280 000 </w:t>
      </w:r>
      <w:r w:rsidR="0AA9E2A4">
        <w:t xml:space="preserve">dollars) met en place un mécanisme régional </w:t>
      </w:r>
      <w:r w:rsidR="004F11C2">
        <w:t>offrant</w:t>
      </w:r>
      <w:r w:rsidR="0AA9E2A4">
        <w:t xml:space="preserve"> à au moins trois pays participants d’Amérique latine et des Caraïbes une solution innovante de financement mixte à l’appui de conversions de dettes </w:t>
      </w:r>
      <w:r w:rsidR="004C3C99">
        <w:t>au profit</w:t>
      </w:r>
      <w:r w:rsidR="0AA9E2A4">
        <w:t xml:space="preserve"> de la nature. Cette </w:t>
      </w:r>
      <w:r w:rsidR="0AA9E2A4">
        <w:lastRenderedPageBreak/>
        <w:t xml:space="preserve">solution aidera les pays à poursuivre simultanément leurs objectifs relatifs à la nature et à la dette, en </w:t>
      </w:r>
      <w:r w:rsidR="009C5EA6">
        <w:t>garantissant</w:t>
      </w:r>
      <w:r w:rsidR="0AA9E2A4">
        <w:t xml:space="preserve"> un financement à long terme des aires protégées ou des autres mesures de conservation efficaces par zone, de la planification spatiale, de la gestion efficace </w:t>
      </w:r>
      <w:r w:rsidR="00F32E34">
        <w:t xml:space="preserve">de </w:t>
      </w:r>
      <w:r w:rsidR="0AA9E2A4">
        <w:t xml:space="preserve">ces zones ou de leur extension, sans </w:t>
      </w:r>
      <w:r w:rsidR="00F32E34">
        <w:t xml:space="preserve">accroitre </w:t>
      </w:r>
      <w:r w:rsidR="0AA9E2A4">
        <w:t>le</w:t>
      </w:r>
      <w:r w:rsidR="00F32E34">
        <w:t>ur</w:t>
      </w:r>
      <w:r w:rsidR="0AA9E2A4">
        <w:t xml:space="preserve"> plafond d’endettement. Cette structure de financement mixte apporte une solution innovante </w:t>
      </w:r>
      <w:r w:rsidR="00C16AFB">
        <w:t>à des enjeux aigus</w:t>
      </w:r>
      <w:r w:rsidR="0AA9E2A4">
        <w:t xml:space="preserve"> de conservation en associant </w:t>
      </w:r>
      <w:r w:rsidR="00C16AFB">
        <w:t>un</w:t>
      </w:r>
      <w:r w:rsidR="0AA9E2A4">
        <w:t xml:space="preserve"> rehaussement de crédit apporté par la Banque interaméricaine de développement et </w:t>
      </w:r>
      <w:r w:rsidR="00F64DE3">
        <w:t>d</w:t>
      </w:r>
      <w:r w:rsidR="0AA9E2A4">
        <w:t>es garanties du GEF à une forte incitation en faveur des efforts de conservation</w:t>
      </w:r>
      <w:r w:rsidR="006E54C7">
        <w:t> :</w:t>
      </w:r>
      <w:r w:rsidR="0AA9E2A4">
        <w:t xml:space="preserve"> si certains jalons de conservation sont atteints, la garantie du GEF peut être convertie en financement destiné aux activités de conservation. Le projet devrait permettre de protéger, restaurer ou soumettre à une gestion améliorée entre 21,5 et 37,7</w:t>
      </w:r>
      <w:r w:rsidR="00501C34">
        <w:t> </w:t>
      </w:r>
      <w:r w:rsidR="0AA9E2A4">
        <w:t>millions d’hectares de zones terrestres et/ou marines.</w:t>
      </w:r>
    </w:p>
    <w:p w14:paraId="5BFD9563" w14:textId="01B06292" w:rsidR="00B04F08" w:rsidRPr="00C67737" w:rsidRDefault="00F865CD" w:rsidP="000B33CF">
      <w:pPr>
        <w:pStyle w:val="bullettext"/>
      </w:pPr>
      <w:r>
        <w:t xml:space="preserve">Le projet </w:t>
      </w:r>
      <w:r w:rsidR="0AA9E2A4" w:rsidRPr="00057609">
        <w:rPr>
          <w:b/>
          <w:bCs/>
          <w:i/>
          <w:iCs/>
        </w:rPr>
        <w:t>Brazil Living Amazon Mechanism</w:t>
      </w:r>
      <w:r w:rsidR="0AA9E2A4" w:rsidRPr="00057609">
        <w:rPr>
          <w:b/>
          <w:bCs/>
        </w:rPr>
        <w:t xml:space="preserve"> </w:t>
      </w:r>
      <w:r w:rsidR="0AA9E2A4">
        <w:t>(</w:t>
      </w:r>
      <w:r w:rsidR="00F52D3D">
        <w:t>Agence</w:t>
      </w:r>
      <w:r w:rsidR="0AA9E2A4">
        <w:t xml:space="preserve"> du GEF</w:t>
      </w:r>
      <w:r w:rsidR="006E54C7">
        <w:t> :</w:t>
      </w:r>
      <w:r w:rsidR="0AA9E2A4">
        <w:t xml:space="preserve"> Fonds brésilien pour la biodiversité [FUNBIO]</w:t>
      </w:r>
      <w:r w:rsidR="00501C34">
        <w:t> </w:t>
      </w:r>
      <w:r w:rsidR="0AA9E2A4">
        <w:t>; financement de projet du GEF</w:t>
      </w:r>
      <w:r w:rsidR="006E54C7">
        <w:t> :</w:t>
      </w:r>
      <w:r w:rsidR="0AA9E2A4">
        <w:t xml:space="preserve"> 6</w:t>
      </w:r>
      <w:r w:rsidR="00501C34">
        <w:t> 200 000 </w:t>
      </w:r>
      <w:r w:rsidR="0AA9E2A4">
        <w:t>dollars</w:t>
      </w:r>
      <w:r w:rsidR="00501C34">
        <w:t> </w:t>
      </w:r>
      <w:r w:rsidR="0AA9E2A4">
        <w:t>; cofinancement</w:t>
      </w:r>
      <w:r w:rsidR="006E54C7">
        <w:t> :</w:t>
      </w:r>
      <w:r w:rsidR="0AA9E2A4">
        <w:t xml:space="preserve"> 42</w:t>
      </w:r>
      <w:r w:rsidR="00501C34">
        <w:t> 977 606 </w:t>
      </w:r>
      <w:r w:rsidR="0AA9E2A4">
        <w:t>dollars)</w:t>
      </w:r>
      <w:r>
        <w:t xml:space="preserve"> </w:t>
      </w:r>
      <w:r w:rsidR="0AA9E2A4">
        <w:t>vise à protéger la forêt amazonienne en renforçant les organisations, les entreprises de la socio</w:t>
      </w:r>
      <w:r>
        <w:t>-</w:t>
      </w:r>
      <w:r w:rsidR="0AA9E2A4">
        <w:t>biodiversité</w:t>
      </w:r>
      <w:r w:rsidR="009B68C8">
        <w:t>, ainsi que leur</w:t>
      </w:r>
      <w:r w:rsidR="00927E2C">
        <w:t>s</w:t>
      </w:r>
      <w:r w:rsidR="009B68C8">
        <w:t xml:space="preserve"> chaine</w:t>
      </w:r>
      <w:r w:rsidR="00927E2C">
        <w:t xml:space="preserve">s d’approvisionnement, </w:t>
      </w:r>
      <w:r w:rsidR="0AA9E2A4">
        <w:t xml:space="preserve">au sein du système brésilien d’aires protégées. </w:t>
      </w:r>
      <w:r w:rsidR="000348E5" w:rsidRPr="000348E5">
        <w:t xml:space="preserve">Le </w:t>
      </w:r>
      <w:r w:rsidR="000348E5" w:rsidRPr="000348E5">
        <w:rPr>
          <w:i/>
          <w:iCs/>
        </w:rPr>
        <w:t>Living Amazon Mechanism</w:t>
      </w:r>
      <w:r w:rsidR="000348E5" w:rsidRPr="000348E5">
        <w:t xml:space="preserve"> est un nouveau modèle économique qui s’appuie sur un instrument des marchés de capitaux, le </w:t>
      </w:r>
      <w:proofErr w:type="spellStart"/>
      <w:r w:rsidR="000348E5" w:rsidRPr="000348E5">
        <w:rPr>
          <w:i/>
          <w:iCs/>
        </w:rPr>
        <w:t>Certificado</w:t>
      </w:r>
      <w:proofErr w:type="spellEnd"/>
      <w:r w:rsidR="000348E5" w:rsidRPr="000348E5">
        <w:rPr>
          <w:i/>
          <w:iCs/>
        </w:rPr>
        <w:t xml:space="preserve"> de </w:t>
      </w:r>
      <w:proofErr w:type="spellStart"/>
      <w:r w:rsidR="000348E5" w:rsidRPr="000348E5">
        <w:rPr>
          <w:i/>
          <w:iCs/>
        </w:rPr>
        <w:t>Recebíveis</w:t>
      </w:r>
      <w:proofErr w:type="spellEnd"/>
      <w:r w:rsidR="000348E5" w:rsidRPr="000348E5">
        <w:rPr>
          <w:i/>
          <w:iCs/>
        </w:rPr>
        <w:t xml:space="preserve"> do </w:t>
      </w:r>
      <w:proofErr w:type="spellStart"/>
      <w:r w:rsidR="000348E5" w:rsidRPr="000348E5">
        <w:rPr>
          <w:i/>
          <w:iCs/>
        </w:rPr>
        <w:t>Agronegócio</w:t>
      </w:r>
      <w:proofErr w:type="spellEnd"/>
      <w:r w:rsidR="000348E5" w:rsidRPr="000348E5">
        <w:t xml:space="preserve"> (CRA), c’est-à-dire un certificat de créances du secteur agroalimentaire, afin de financer les activités de conservation menées par les gardiens de l’Amazonie — les peuples autochtones et communautés locales — et par les petites et moyennes entreprises (PME) de la chaîne de valeur de Natura, acteur majeur de la bioéconomie et entreprise de cosmétiques.</w:t>
      </w:r>
      <w:r w:rsidR="00057609">
        <w:t xml:space="preserve"> L</w:t>
      </w:r>
      <w:r w:rsidR="00057609" w:rsidRPr="00057609">
        <w:t>e projet devrait améliorer l’efficacité de la gestion de 12</w:t>
      </w:r>
      <w:r w:rsidR="00BB680B">
        <w:t> </w:t>
      </w:r>
      <w:r w:rsidR="00057609" w:rsidRPr="00057609">
        <w:t>millions d’hectares d’aires protégées en Amazonie et bénéficier à 20</w:t>
      </w:r>
      <w:r w:rsidR="00BB680B">
        <w:t> 000 </w:t>
      </w:r>
      <w:r w:rsidR="00057609" w:rsidRPr="00057609">
        <w:t>personnes, dont 50</w:t>
      </w:r>
      <w:r w:rsidR="00966C17">
        <w:t> %</w:t>
      </w:r>
      <w:r w:rsidR="00057609" w:rsidRPr="00057609">
        <w:t xml:space="preserve"> de femmes.</w:t>
      </w:r>
    </w:p>
    <w:p w14:paraId="782043F1" w14:textId="70583502" w:rsidR="00631E83" w:rsidRPr="00C67737" w:rsidRDefault="000348E5" w:rsidP="000B33CF">
      <w:pPr>
        <w:pStyle w:val="bullettext"/>
      </w:pPr>
      <w:r>
        <w:t xml:space="preserve">Le projet </w:t>
      </w:r>
      <w:proofErr w:type="spellStart"/>
      <w:r w:rsidR="47D24045">
        <w:rPr>
          <w:b/>
          <w:bCs/>
          <w:i/>
          <w:iCs/>
        </w:rPr>
        <w:t>Regenerative</w:t>
      </w:r>
      <w:proofErr w:type="spellEnd"/>
      <w:r w:rsidR="47D24045">
        <w:rPr>
          <w:b/>
          <w:bCs/>
          <w:i/>
          <w:iCs/>
        </w:rPr>
        <w:t xml:space="preserve"> Agriculture for Food </w:t>
      </w:r>
      <w:proofErr w:type="spellStart"/>
      <w:r w:rsidR="47D24045">
        <w:rPr>
          <w:b/>
          <w:bCs/>
          <w:i/>
          <w:iCs/>
        </w:rPr>
        <w:t>Supply</w:t>
      </w:r>
      <w:proofErr w:type="spellEnd"/>
      <w:r w:rsidR="47D24045">
        <w:rPr>
          <w:b/>
          <w:bCs/>
          <w:i/>
          <w:iCs/>
        </w:rPr>
        <w:t xml:space="preserve"> </w:t>
      </w:r>
      <w:proofErr w:type="spellStart"/>
      <w:r w:rsidR="47D24045">
        <w:rPr>
          <w:b/>
          <w:bCs/>
          <w:i/>
          <w:iCs/>
        </w:rPr>
        <w:t>Chains</w:t>
      </w:r>
      <w:proofErr w:type="spellEnd"/>
      <w:r w:rsidR="47D24045">
        <w:t xml:space="preserve"> (</w:t>
      </w:r>
      <w:r w:rsidR="00F52D3D">
        <w:t>Agence</w:t>
      </w:r>
      <w:r w:rsidR="47D24045">
        <w:t xml:space="preserve"> du GEF</w:t>
      </w:r>
      <w:r w:rsidR="006E54C7">
        <w:t> :</w:t>
      </w:r>
      <w:r w:rsidR="47D24045">
        <w:t xml:space="preserve"> Banque mondiale</w:t>
      </w:r>
      <w:r w:rsidR="002D1B04">
        <w:t> </w:t>
      </w:r>
      <w:r w:rsidR="47D24045">
        <w:t>; financement de projet du GEF</w:t>
      </w:r>
      <w:r w:rsidR="006E54C7">
        <w:t> :</w:t>
      </w:r>
      <w:r w:rsidR="47D24045">
        <w:t xml:space="preserve"> 13</w:t>
      </w:r>
      <w:r w:rsidR="002D1B04">
        <w:t> 761 468 </w:t>
      </w:r>
      <w:r w:rsidR="47D24045">
        <w:t>dollars</w:t>
      </w:r>
      <w:r w:rsidR="002D1B04">
        <w:t> </w:t>
      </w:r>
      <w:r w:rsidR="47D24045">
        <w:t>; cofinancement</w:t>
      </w:r>
      <w:r w:rsidR="006E54C7">
        <w:t> :</w:t>
      </w:r>
      <w:r w:rsidR="47D24045">
        <w:t xml:space="preserve"> 202</w:t>
      </w:r>
      <w:r w:rsidR="002D1B04">
        <w:t> 200 000 </w:t>
      </w:r>
      <w:r w:rsidR="47D24045">
        <w:t>dollars</w:t>
      </w:r>
      <w:r>
        <w:t>)</w:t>
      </w:r>
      <w:r w:rsidR="47D24045">
        <w:t xml:space="preserve"> vise à encourager l’adoption de pratiques agricoles régénératrices dans les chaînes de valeur agricoles </w:t>
      </w:r>
      <w:r w:rsidR="00F673FC">
        <w:t>d’</w:t>
      </w:r>
      <w:r w:rsidR="47D24045">
        <w:t>Amérique latine. Il contribue à réduire la consommation de carburants et l’utilisation d’intrants chimiques, à séquestrer du carbone dans la végétation naturelle et les sols, à réduire la dégradation des terres et à restaurer des paysages productifs. Le projet cible les chaînes de valeur agricoles des entreprises, en accordant la priorité au maïs, au riz, au blé, au soja et à d’autres cultures vivrières. Il combine les ressources du GEF à des financements de la Société financière internationale (IFC) et à des cofinancements apportés par des institutions financières commerciales, afin d</w:t>
      </w:r>
      <w:r w:rsidR="001D69C1">
        <w:t>e réduire</w:t>
      </w:r>
      <w:r w:rsidR="47D24045">
        <w:t xml:space="preserve"> les risques liés aux investissements et d’encourager l’adoption de pratiques durables. </w:t>
      </w:r>
      <w:r w:rsidR="00D62F93" w:rsidRPr="00D62F93">
        <w:t xml:space="preserve">Les ressources du GEF servent soit à octroyer des prêts liés à des objectifs de durabilité, assortis de réductions de taux d’intérêt afin d’encourager l’adoption de pratiques régénératrices, soit à octroyer des prêts subordonnés destinés à réduire les risques liés aux prêts que des banques </w:t>
      </w:r>
      <w:r w:rsidR="00D62F93" w:rsidRPr="00D62F93">
        <w:lastRenderedPageBreak/>
        <w:t>commerciales accordent, dans le cadre des opérations d’IFC, à des agriculteurs appliquant des pratiques agricoles régénératrices.</w:t>
      </w:r>
      <w:r w:rsidR="47D24045">
        <w:t xml:space="preserve"> Une composante d’assistance technique appuie l’adoption, par les agriculteurs, de pratiques agricoles régénératrices. Le projet devrait permettre de restaurer 500</w:t>
      </w:r>
      <w:r w:rsidR="002D1B04">
        <w:t> 000 </w:t>
      </w:r>
      <w:r w:rsidR="47D24045">
        <w:t>hectares de terres et d’écosystèmes dégradés, d’améliorer la gestion de 500</w:t>
      </w:r>
      <w:r w:rsidR="002D1B04">
        <w:t> 000 </w:t>
      </w:r>
      <w:r w:rsidR="47D24045">
        <w:t xml:space="preserve">hectares de paysages et </w:t>
      </w:r>
      <w:r w:rsidR="00D62F93">
        <w:t>d’a</w:t>
      </w:r>
      <w:r w:rsidR="003B6C8B">
        <w:t>tténuer</w:t>
      </w:r>
      <w:r w:rsidR="47D24045">
        <w:t xml:space="preserve"> l’émission de 15</w:t>
      </w:r>
      <w:r w:rsidR="002D1B04">
        <w:t> 973 629 </w:t>
      </w:r>
      <w:r w:rsidR="47D24045">
        <w:t xml:space="preserve">tonnes d’équivalent dioxyde de carbone (t </w:t>
      </w:r>
      <w:proofErr w:type="spellStart"/>
      <w:r w:rsidR="47D24045">
        <w:t>éq</w:t>
      </w:r>
      <w:proofErr w:type="spellEnd"/>
      <w:r w:rsidR="47D24045">
        <w:t>. CO₂). Il bénéficiera également à 10</w:t>
      </w:r>
      <w:r w:rsidR="002D1B04">
        <w:t> 000 </w:t>
      </w:r>
      <w:r w:rsidR="47D24045">
        <w:t>personnes, dont au moins 35</w:t>
      </w:r>
      <w:r w:rsidR="00966C17">
        <w:t> %</w:t>
      </w:r>
      <w:r w:rsidR="47D24045">
        <w:t xml:space="preserve"> de femmes.</w:t>
      </w:r>
    </w:p>
    <w:p w14:paraId="748DC3C6" w14:textId="3A6F9E33" w:rsidR="00631E83" w:rsidRPr="00C67737" w:rsidRDefault="003B6C8B" w:rsidP="000B33CF">
      <w:pPr>
        <w:pStyle w:val="bullettext"/>
      </w:pPr>
      <w:r>
        <w:t>L’</w:t>
      </w:r>
      <w:r w:rsidR="7D1B5C3E">
        <w:rPr>
          <w:b/>
          <w:bCs/>
          <w:i/>
          <w:iCs/>
        </w:rPr>
        <w:t>Obligation corail indonésienne</w:t>
      </w:r>
      <w:r w:rsidR="7D1B5C3E">
        <w:rPr>
          <w:b/>
          <w:bCs/>
        </w:rPr>
        <w:t xml:space="preserve"> </w:t>
      </w:r>
      <w:r w:rsidR="7D1B5C3E">
        <w:t>(</w:t>
      </w:r>
      <w:r w:rsidR="00F52D3D">
        <w:t>Agence</w:t>
      </w:r>
      <w:r w:rsidR="7D1B5C3E">
        <w:t xml:space="preserve"> du GEF</w:t>
      </w:r>
      <w:r w:rsidR="006E54C7">
        <w:t> :</w:t>
      </w:r>
      <w:r w:rsidR="7D1B5C3E">
        <w:t xml:space="preserve"> Banque mondiale</w:t>
      </w:r>
      <w:r w:rsidR="002D1B04">
        <w:t> </w:t>
      </w:r>
      <w:r w:rsidR="7D1B5C3E">
        <w:t>; financement de projet du GEF</w:t>
      </w:r>
      <w:r w:rsidR="006E54C7">
        <w:t> :</w:t>
      </w:r>
      <w:r w:rsidR="7D1B5C3E">
        <w:t xml:space="preserve"> 13</w:t>
      </w:r>
      <w:r w:rsidR="002D1B04">
        <w:t> 761 468 </w:t>
      </w:r>
      <w:r w:rsidR="7D1B5C3E">
        <w:t>dollars</w:t>
      </w:r>
      <w:r w:rsidR="002D1B04">
        <w:t> </w:t>
      </w:r>
      <w:r w:rsidR="7D1B5C3E">
        <w:t>; cofinancement</w:t>
      </w:r>
      <w:r w:rsidR="006E54C7">
        <w:t> :</w:t>
      </w:r>
      <w:r w:rsidR="7D1B5C3E">
        <w:t xml:space="preserve"> 166</w:t>
      </w:r>
      <w:r w:rsidR="002D1B04">
        <w:t> 100 000 </w:t>
      </w:r>
      <w:r w:rsidR="7D1B5C3E">
        <w:t>dollars</w:t>
      </w:r>
      <w:r w:rsidR="00D01027">
        <w:t>)</w:t>
      </w:r>
      <w:r w:rsidR="00D01027" w:rsidRPr="00D01027">
        <w:rPr>
          <w:rFonts w:eastAsia="SimSun" w:cstheme="minorBidi"/>
          <w:snapToGrid/>
          <w:color w:val="auto"/>
          <w:sz w:val="22"/>
          <w:szCs w:val="22"/>
        </w:rPr>
        <w:t xml:space="preserve"> </w:t>
      </w:r>
      <w:r w:rsidR="00D01027" w:rsidRPr="00D01027">
        <w:t>est la première obligation au monde fondée sur les résultats à soutenir les aires marines protégées. Elle générera, sur 1,95</w:t>
      </w:r>
      <w:r w:rsidR="00BB680B">
        <w:t> </w:t>
      </w:r>
      <w:r w:rsidR="00D01027" w:rsidRPr="00D01027">
        <w:t xml:space="preserve">million d’hectares parmi les récifs coralliens et écosystèmes connexes les plus riches en </w:t>
      </w:r>
      <w:proofErr w:type="spellStart"/>
      <w:r w:rsidR="001F28C8">
        <w:t>biodiversité</w:t>
      </w:r>
      <w:r w:rsidR="00D01027" w:rsidRPr="00D01027">
        <w:t>de</w:t>
      </w:r>
      <w:proofErr w:type="spellEnd"/>
      <w:r w:rsidR="00D01027" w:rsidRPr="00D01027">
        <w:t xml:space="preserve"> la planète, des avantages environnementaux mondiaux vérifié</w:t>
      </w:r>
      <w:r w:rsidR="003C4843">
        <w:t>s</w:t>
      </w:r>
      <w:r w:rsidR="00D01027" w:rsidRPr="00D01027">
        <w:t xml:space="preserve"> de manière indépendante.</w:t>
      </w:r>
      <w:r w:rsidR="7D1B5C3E">
        <w:t xml:space="preserve"> S’appuyant sur les enseignements tirés </w:t>
      </w:r>
      <w:r w:rsidR="003C4843">
        <w:t xml:space="preserve">et </w:t>
      </w:r>
      <w:r w:rsidR="7D1B5C3E">
        <w:t xml:space="preserve">l’expérience </w:t>
      </w:r>
      <w:r w:rsidR="003C4843">
        <w:t>acq</w:t>
      </w:r>
      <w:r w:rsidR="00BE0364">
        <w:t xml:space="preserve">uise dans le cadre de l’obligation </w:t>
      </w:r>
      <w:r w:rsidR="00BE0364">
        <w:rPr>
          <w:i/>
          <w:iCs/>
        </w:rPr>
        <w:t>Rhino Bond</w:t>
      </w:r>
      <w:r w:rsidR="7D1B5C3E">
        <w:t xml:space="preserve"> du GEF</w:t>
      </w:r>
      <w:r w:rsidR="008A65CB">
        <w:t>, une obligation liée à la</w:t>
      </w:r>
      <w:r w:rsidR="7D1B5C3E">
        <w:t xml:space="preserve"> conservation des rhinocéros, les investisseurs dans une obligation émise par la Banque mondiale sur les marchés de capitaux renonceront au </w:t>
      </w:r>
      <w:r w:rsidR="00126212">
        <w:t>versement</w:t>
      </w:r>
      <w:r w:rsidR="7D1B5C3E">
        <w:t xml:space="preserve"> de</w:t>
      </w:r>
      <w:r w:rsidR="00F229CD">
        <w:t>s</w:t>
      </w:r>
      <w:r w:rsidR="7D1B5C3E">
        <w:t xml:space="preserve"> coupons. </w:t>
      </w:r>
      <w:r w:rsidR="006C64C2">
        <w:t>L</w:t>
      </w:r>
      <w:r w:rsidR="006C64C2" w:rsidRPr="006C64C2">
        <w:t xml:space="preserve">es sommes ainsi dégagées seront affectées au projet afin d’améliorer l’efficacité de la gestion et les résultats en matière de </w:t>
      </w:r>
      <w:r w:rsidR="00F85186">
        <w:t>biodiversité</w:t>
      </w:r>
      <w:r w:rsidR="006C64C2" w:rsidRPr="006C64C2">
        <w:t xml:space="preserve"> à l’échelle des écosystèmes dans trois aires marines protégées prioritaires du Triangle de corail.</w:t>
      </w:r>
      <w:r w:rsidR="006C64C2">
        <w:t xml:space="preserve"> </w:t>
      </w:r>
      <w:r w:rsidR="006C64C2" w:rsidRPr="006C64C2">
        <w:t>À l’échéance de l’obligation, les investisseurs recevront, sous la forme d’un paiement lié à la réussite des actions de conservation, un montant compris entre zéro et environ 14,86</w:t>
      </w:r>
      <w:r w:rsidR="00BB680B">
        <w:t> </w:t>
      </w:r>
      <w:r w:rsidR="006C64C2" w:rsidRPr="006C64C2">
        <w:t>millions de dollars, en fonction de l’atteinte d’un indicateur de performance clé reflétant l’état de santé des récifs coralliens. Ce montant pourra atteindre 13,76</w:t>
      </w:r>
      <w:r w:rsidR="00BB680B">
        <w:t> </w:t>
      </w:r>
      <w:r w:rsidR="006C64C2" w:rsidRPr="006C64C2">
        <w:t>millions de dollars au titre des Instruments financiers autre que les aides directes du GEF, auxquels s’ajouteront 1,1</w:t>
      </w:r>
      <w:r w:rsidR="00CC706E">
        <w:t> </w:t>
      </w:r>
      <w:r w:rsidR="006C64C2" w:rsidRPr="006C64C2">
        <w:t>million de dollars de BNP Paribas</w:t>
      </w:r>
      <w:r w:rsidR="006C64C2">
        <w:t>.</w:t>
      </w:r>
      <w:r w:rsidR="7D1B5C3E">
        <w:t xml:space="preserve"> </w:t>
      </w:r>
      <w:r w:rsidR="00BE4AB3" w:rsidRPr="00BE4AB3">
        <w:t xml:space="preserve">Outre les avantages environnementaux mondiaux produits dans les 1,95 million d’hectares mentionnés ci-dessus, le projet devrait permettre de ramener à des niveaux d’exploitation plus </w:t>
      </w:r>
      <w:r w:rsidR="00BE4AB3">
        <w:t>viables,</w:t>
      </w:r>
      <w:r w:rsidR="00BE4AB3" w:rsidRPr="00BE4AB3">
        <w:t xml:space="preserve"> 1</w:t>
      </w:r>
      <w:r w:rsidR="00BB680B">
        <w:t> 700 </w:t>
      </w:r>
      <w:r w:rsidR="00BE4AB3" w:rsidRPr="00BE4AB3">
        <w:t>tonnes de prises issues de pêcheries marines surexploitées, d’atténuer les émissions de gaz à effet de serre de 83</w:t>
      </w:r>
      <w:r w:rsidR="00BB680B">
        <w:t> 150 </w:t>
      </w:r>
      <w:r w:rsidR="00BE4AB3" w:rsidRPr="00BE4AB3">
        <w:t xml:space="preserve">tonnes d’équivalent dioxyde de carbone (t </w:t>
      </w:r>
      <w:proofErr w:type="spellStart"/>
      <w:r w:rsidR="00BE4AB3" w:rsidRPr="00BE4AB3">
        <w:t>éq</w:t>
      </w:r>
      <w:proofErr w:type="spellEnd"/>
      <w:r w:rsidR="00BE4AB3" w:rsidRPr="00BE4AB3">
        <w:t>. CO₂) et de bénéficier à 173</w:t>
      </w:r>
      <w:r w:rsidR="00BB680B">
        <w:t> 836 </w:t>
      </w:r>
      <w:r w:rsidR="00BE4AB3" w:rsidRPr="00BE4AB3">
        <w:t>personnes.</w:t>
      </w:r>
    </w:p>
    <w:p w14:paraId="79EE0DA0" w14:textId="0A0FB9A6" w:rsidR="003173DC" w:rsidRPr="00C67737" w:rsidRDefault="000C325F" w:rsidP="000B33CF">
      <w:pPr>
        <w:pStyle w:val="bullettext"/>
        <w:rPr>
          <w:b/>
          <w:bCs/>
        </w:rPr>
      </w:pPr>
      <w:r>
        <w:rPr>
          <w:b/>
          <w:bCs/>
          <w:i/>
          <w:iCs/>
        </w:rPr>
        <w:t xml:space="preserve">Obligation de conservation de la faune et de la flore du Rwanda </w:t>
      </w:r>
      <w:r>
        <w:t>(</w:t>
      </w:r>
      <w:r w:rsidR="00F52D3D">
        <w:t>Agence</w:t>
      </w:r>
      <w:r>
        <w:t xml:space="preserve"> du GEF</w:t>
      </w:r>
      <w:r w:rsidR="006E54C7">
        <w:t> :</w:t>
      </w:r>
      <w:r>
        <w:t xml:space="preserve"> Banque mondiale</w:t>
      </w:r>
      <w:r w:rsidR="002D1B04">
        <w:t> </w:t>
      </w:r>
      <w:r>
        <w:t>; financement de projet du GEF</w:t>
      </w:r>
      <w:r w:rsidR="006E54C7">
        <w:t> :</w:t>
      </w:r>
      <w:r>
        <w:t xml:space="preserve"> 9</w:t>
      </w:r>
      <w:r w:rsidR="002D1B04">
        <w:t> 000 000 </w:t>
      </w:r>
      <w:r>
        <w:t>dollars</w:t>
      </w:r>
      <w:r w:rsidR="002D1B04">
        <w:t> </w:t>
      </w:r>
      <w:r>
        <w:t>; cofinancement</w:t>
      </w:r>
      <w:r w:rsidR="006E54C7">
        <w:t> :</w:t>
      </w:r>
      <w:r>
        <w:t xml:space="preserve"> 158</w:t>
      </w:r>
      <w:r w:rsidR="002D1B04">
        <w:t> 200 000 </w:t>
      </w:r>
      <w:r>
        <w:t>dollars). Le projet met à l’essai, dans un PMA</w:t>
      </w:r>
      <w:r w:rsidR="00182A63">
        <w:t>, u</w:t>
      </w:r>
      <w:r w:rsidR="00432393">
        <w:t>n</w:t>
      </w:r>
      <w:r>
        <w:t xml:space="preserve"> instrument financier fondé sur les résultats</w:t>
      </w:r>
      <w:r w:rsidR="00074730">
        <w:t>.</w:t>
      </w:r>
      <w:r>
        <w:t xml:space="preserve"> Émise par la Trésorerie de la Banque mondiale, l’obligation de conservation de la faune et de la flore du Rwanda mobilise les paiements de coupons auxquels les investisseurs renoncent pour financer des activités de conservation. Ce </w:t>
      </w:r>
      <w:r w:rsidR="00D029A6">
        <w:t>mécanisme</w:t>
      </w:r>
      <w:r>
        <w:t xml:space="preserve"> est complété par des financements fondés sur les résultats </w:t>
      </w:r>
      <w:r w:rsidR="00EC268F">
        <w:t>versés</w:t>
      </w:r>
      <w:r>
        <w:t xml:space="preserve"> à l’Office rwandais de développement et à </w:t>
      </w:r>
      <w:proofErr w:type="spellStart"/>
      <w:r>
        <w:t>African</w:t>
      </w:r>
      <w:proofErr w:type="spellEnd"/>
      <w:r>
        <w:t xml:space="preserve"> Parks. Le rendement </w:t>
      </w:r>
      <w:r w:rsidR="00EC268F">
        <w:t>des</w:t>
      </w:r>
      <w:r>
        <w:t xml:space="preserve"> investisseurs est fonction d’indicateurs clés de performance qui mesurent la connectivité des paysages </w:t>
      </w:r>
      <w:r w:rsidR="00924E8B">
        <w:t>et</w:t>
      </w:r>
      <w:r>
        <w:t xml:space="preserve"> la </w:t>
      </w:r>
      <w:r>
        <w:lastRenderedPageBreak/>
        <w:t xml:space="preserve">superficie d’habitat de chimpanzés menacés </w:t>
      </w:r>
      <w:r w:rsidR="00924E8B">
        <w:t>restaurée avec succès</w:t>
      </w:r>
      <w:r>
        <w:t xml:space="preserve">. Le projet </w:t>
      </w:r>
      <w:r w:rsidR="00A73869">
        <w:t>préserve</w:t>
      </w:r>
      <w:r>
        <w:t xml:space="preserve"> deux parcs nationaux, crée des emplois verts, renforce la résilience des communautés et concourt à l’atteinte des cibles mondiales relatives à la diversité biologique. </w:t>
      </w:r>
      <w:r w:rsidR="00E111B0" w:rsidRPr="00E111B0">
        <w:t>Il contribue à la restauration de 24</w:t>
      </w:r>
      <w:r w:rsidR="00BB680B">
        <w:t> 426 </w:t>
      </w:r>
      <w:r w:rsidR="00E111B0" w:rsidRPr="00E111B0">
        <w:t>hectares, à l’amélioration de la gestion de 181</w:t>
      </w:r>
      <w:r w:rsidR="00BB680B">
        <w:t> 826 </w:t>
      </w:r>
      <w:r w:rsidR="00E111B0" w:rsidRPr="00E111B0">
        <w:t>hectares et à l’adoption de pratiques améliorées sur 190</w:t>
      </w:r>
      <w:r w:rsidR="00BB680B">
        <w:t> </w:t>
      </w:r>
      <w:r w:rsidR="00E111B0" w:rsidRPr="00E111B0">
        <w:t>660</w:t>
      </w:r>
      <w:r w:rsidR="00E111B0">
        <w:t> </w:t>
      </w:r>
      <w:r w:rsidR="00E111B0" w:rsidRPr="00E111B0">
        <w:t>hectares. Il permet également d’atténuer 874</w:t>
      </w:r>
      <w:r w:rsidR="00BB680B">
        <w:t> </w:t>
      </w:r>
      <w:r w:rsidR="00E111B0" w:rsidRPr="00E111B0">
        <w:t>946</w:t>
      </w:r>
      <w:r w:rsidR="00E111B0">
        <w:t> </w:t>
      </w:r>
      <w:r w:rsidR="00E111B0" w:rsidRPr="00E111B0">
        <w:t xml:space="preserve">tonnes d’équivalent dioxyde de carbone (t </w:t>
      </w:r>
      <w:proofErr w:type="spellStart"/>
      <w:r w:rsidR="00E111B0" w:rsidRPr="00E111B0">
        <w:t>éq</w:t>
      </w:r>
      <w:proofErr w:type="spellEnd"/>
      <w:r w:rsidR="00E111B0" w:rsidRPr="00E111B0">
        <w:t>. CO₂) d’émissions de gaz à effet de serre et bénéficie à 300</w:t>
      </w:r>
      <w:r w:rsidR="00BB680B">
        <w:t> 000 </w:t>
      </w:r>
      <w:r w:rsidR="00E111B0" w:rsidRPr="00E111B0">
        <w:t>personnes.</w:t>
      </w:r>
    </w:p>
    <w:p w14:paraId="68872208" w14:textId="62252299" w:rsidR="00495437" w:rsidRPr="00C67737" w:rsidRDefault="0058424A" w:rsidP="000B33CF">
      <w:pPr>
        <w:pStyle w:val="bullettext"/>
      </w:pPr>
      <w:r>
        <w:t xml:space="preserve">Le </w:t>
      </w:r>
      <w:r w:rsidR="48E1306C" w:rsidRPr="0058424A">
        <w:t>Projet de gestion scientifique de la biodiversité et des ressources naturelles au service du développement économique de Madagascar</w:t>
      </w:r>
      <w:r w:rsidR="48E1306C">
        <w:t xml:space="preserve"> (</w:t>
      </w:r>
      <w:r w:rsidR="00F52D3D">
        <w:t>Agence</w:t>
      </w:r>
      <w:r w:rsidR="48E1306C">
        <w:t xml:space="preserve"> du GEF</w:t>
      </w:r>
      <w:r w:rsidR="006E54C7">
        <w:t> :</w:t>
      </w:r>
      <w:r w:rsidR="48E1306C">
        <w:t xml:space="preserve"> Banque mondiale</w:t>
      </w:r>
      <w:r w:rsidR="002D1B04">
        <w:t> </w:t>
      </w:r>
      <w:r w:rsidR="48E1306C">
        <w:t>; financement de projet du GEF</w:t>
      </w:r>
      <w:r w:rsidR="006E54C7">
        <w:t> :</w:t>
      </w:r>
      <w:r w:rsidR="48E1306C">
        <w:t xml:space="preserve"> 20</w:t>
      </w:r>
      <w:r w:rsidR="002D1B04">
        <w:t> 000 053 </w:t>
      </w:r>
      <w:r w:rsidR="48E1306C">
        <w:t>dollars</w:t>
      </w:r>
      <w:r w:rsidR="002D1B04">
        <w:t> </w:t>
      </w:r>
      <w:r w:rsidR="48E1306C">
        <w:t>; cofinancement</w:t>
      </w:r>
      <w:r w:rsidR="006E54C7">
        <w:t> :</w:t>
      </w:r>
      <w:r w:rsidR="48E1306C">
        <w:t xml:space="preserve"> 162</w:t>
      </w:r>
      <w:r w:rsidR="002D1B04">
        <w:t> 300 000 </w:t>
      </w:r>
      <w:r w:rsidR="48E1306C">
        <w:t>dollars)</w:t>
      </w:r>
      <w:r>
        <w:t xml:space="preserve"> </w:t>
      </w:r>
      <w:r w:rsidR="48E1306C">
        <w:t xml:space="preserve">financé par plusieurs fonds </w:t>
      </w:r>
      <w:r w:rsidR="0022572E">
        <w:t xml:space="preserve">fiduciaires </w:t>
      </w:r>
      <w:r w:rsidR="48E1306C">
        <w:t>associe des ressources du Système transparent d’allocation des ressources (STAR), des instruments financiers autres que les aides directes et du Fonds pour les pays les moins avancés (</w:t>
      </w:r>
      <w:r w:rsidR="00E67D9D">
        <w:t>F</w:t>
      </w:r>
      <w:r w:rsidR="48E1306C">
        <w:t xml:space="preserve">PMA). </w:t>
      </w:r>
      <w:r w:rsidR="004D2BCB">
        <w:t>I</w:t>
      </w:r>
      <w:r w:rsidR="004D2BCB" w:rsidRPr="004D2BCB">
        <w:t xml:space="preserve">l vise à traiter de manière intégrée les enjeux interdépendants de la conservation de la </w:t>
      </w:r>
      <w:r w:rsidR="006D1F2A">
        <w:t>biodiversité</w:t>
      </w:r>
      <w:r w:rsidR="004D2BCB" w:rsidRPr="004D2BCB">
        <w:t xml:space="preserve">, de la dégradation des terres, de l’adaptation et du développement durable à Madagascar. </w:t>
      </w:r>
      <w:r w:rsidR="48E1306C">
        <w:t xml:space="preserve">Le projet améliore </w:t>
      </w:r>
      <w:r w:rsidR="005D0C18" w:rsidRPr="005D0C18">
        <w:t>le cadre juridique et institutionnel de la gestion intégrée des paysages, en mettant l’accent sur la coopération interministérielle et intersectorielle, la gestion concertée avec les communautés, l’enregistrement des droits fonciers et l’intégration de la planification de l’utilisation des terres.</w:t>
      </w:r>
      <w:r w:rsidR="48E1306C">
        <w:t xml:space="preserve"> Il met également en place une obligation innovante assortie de paiements fondés sur les résultats — l’obligation lémurien (</w:t>
      </w:r>
      <w:proofErr w:type="spellStart"/>
      <w:r w:rsidR="48E1306C" w:rsidRPr="00C60299">
        <w:t>Lemur</w:t>
      </w:r>
      <w:proofErr w:type="spellEnd"/>
      <w:r w:rsidR="48E1306C" w:rsidRPr="00C60299">
        <w:t xml:space="preserve"> Bond</w:t>
      </w:r>
      <w:r w:rsidR="48E1306C">
        <w:t xml:space="preserve">) — afin de mobiliser les marchés de capitaux comme source de financement de la conservation de la </w:t>
      </w:r>
      <w:r w:rsidR="006C6741">
        <w:t>biodiversité</w:t>
      </w:r>
      <w:r w:rsidR="48E1306C">
        <w:t>. L’obligation Lémurien</w:t>
      </w:r>
      <w:r w:rsidR="000E3D79" w:rsidRPr="000E3D79">
        <w:rPr>
          <w:rFonts w:eastAsia="SimSun" w:cstheme="minorBidi"/>
          <w:snapToGrid/>
          <w:color w:val="auto"/>
          <w:sz w:val="22"/>
          <w:szCs w:val="22"/>
        </w:rPr>
        <w:t xml:space="preserve"> </w:t>
      </w:r>
      <w:r w:rsidR="000E3D79" w:rsidRPr="000E3D79">
        <w:t>est un volet identifié dans le cadre de la table ronde sur le financement de l’action climatique,</w:t>
      </w:r>
      <w:r w:rsidR="48E1306C">
        <w:t xml:space="preserve"> réunissant des institutions financières internationales (IFI), des partenaires de développement et le secteur privé. Cette table ronde a été organisée conjointement, en octobre 2024, par le Fonds monétaire international, la Banque mondiale et le Gouvernement malgache. Le projet renforcera l’efficacité de la gestion de 712</w:t>
      </w:r>
      <w:r w:rsidR="002D1B04">
        <w:t> 133 </w:t>
      </w:r>
      <w:r w:rsidR="48E1306C">
        <w:t>hectares d’aires protégées terrestres et de 328</w:t>
      </w:r>
      <w:r w:rsidR="002D1B04">
        <w:t> 216 </w:t>
      </w:r>
      <w:r w:rsidR="48E1306C">
        <w:t>hectares d’aires protégées marines. Il permettra en outre de restaurer 20</w:t>
      </w:r>
      <w:r w:rsidR="002D1B04">
        <w:t> 300 </w:t>
      </w:r>
      <w:r w:rsidR="48E1306C">
        <w:t>hectares d’écosystèmes, d’appliquer des pratiques améliorées sur 5</w:t>
      </w:r>
      <w:r w:rsidR="002D1B04">
        <w:t> 000 </w:t>
      </w:r>
      <w:r w:rsidR="48E1306C">
        <w:t>hectares de terres et 2</w:t>
      </w:r>
      <w:r w:rsidR="002D1B04">
        <w:t> 000 </w:t>
      </w:r>
      <w:r w:rsidR="48E1306C">
        <w:t>hectares d’habitats marins, et d’</w:t>
      </w:r>
      <w:r w:rsidR="00E418F8">
        <w:t>atténu</w:t>
      </w:r>
      <w:r w:rsidR="48E1306C">
        <w:t>er l’émission de 7,98</w:t>
      </w:r>
      <w:r w:rsidR="002D1B04">
        <w:t> </w:t>
      </w:r>
      <w:r w:rsidR="48E1306C">
        <w:t>millions de tonnes d’équivalent CO₂ grâce à des activités fondées sur la nature. Le projet bénéficiera directement à 260</w:t>
      </w:r>
      <w:r w:rsidR="002D1B04">
        <w:t> 000 </w:t>
      </w:r>
      <w:r w:rsidR="48E1306C">
        <w:t>personnes, dont la moitié seront des femmes.</w:t>
      </w:r>
    </w:p>
    <w:p w14:paraId="5E9AAE4D" w14:textId="77777777" w:rsidR="00495437" w:rsidRPr="00C67737" w:rsidRDefault="00495437">
      <w:pPr>
        <w:snapToGrid/>
        <w:spacing w:before="240" w:after="240"/>
        <w:rPr>
          <w:rFonts w:eastAsia="MS Mincho" w:cstheme="minorHAnsi"/>
          <w:snapToGrid w:val="0"/>
          <w:color w:val="000000"/>
          <w:sz w:val="24"/>
          <w:szCs w:val="24"/>
        </w:rPr>
      </w:pPr>
      <w:r>
        <w:br w:type="page"/>
      </w:r>
    </w:p>
    <w:p w14:paraId="6F667596" w14:textId="704F7DF2" w:rsidR="00A573AD" w:rsidRPr="00C67737" w:rsidRDefault="00A573AD" w:rsidP="006D7A0A">
      <w:pPr>
        <w:pStyle w:val="Heading3"/>
      </w:pPr>
      <w:bookmarkStart w:id="92" w:name="_Toc242184657"/>
      <w:bookmarkStart w:id="93" w:name="_Toc242184706"/>
      <w:r>
        <w:lastRenderedPageBreak/>
        <w:t>Programme de microfinancements</w:t>
      </w:r>
      <w:bookmarkEnd w:id="92"/>
      <w:bookmarkEnd w:id="93"/>
    </w:p>
    <w:p w14:paraId="5B4B5668" w14:textId="1AA5596D" w:rsidR="0035161C" w:rsidRPr="00C67737" w:rsidRDefault="2B91FADC" w:rsidP="000B33CF">
      <w:pPr>
        <w:pStyle w:val="ListParagraph"/>
      </w:pPr>
      <w:r>
        <w:rPr>
          <w:snapToGrid/>
        </w:rPr>
        <w:t xml:space="preserve">Depuis sa création en 1992, le Programme de microfinancements du GEF (PMF) a </w:t>
      </w:r>
      <w:r w:rsidR="005A1E5F">
        <w:rPr>
          <w:snapToGrid/>
        </w:rPr>
        <w:t>soutenu</w:t>
      </w:r>
      <w:r>
        <w:rPr>
          <w:snapToGrid/>
        </w:rPr>
        <w:t xml:space="preserve"> plus de 30</w:t>
      </w:r>
      <w:r w:rsidR="002D1B04">
        <w:rPr>
          <w:snapToGrid/>
        </w:rPr>
        <w:t> 000 </w:t>
      </w:r>
      <w:r>
        <w:rPr>
          <w:snapToGrid/>
        </w:rPr>
        <w:t xml:space="preserve">financements </w:t>
      </w:r>
      <w:r w:rsidR="005A1E5F">
        <w:rPr>
          <w:snapToGrid/>
        </w:rPr>
        <w:t>en administrant</w:t>
      </w:r>
      <w:r>
        <w:rPr>
          <w:snapToGrid/>
        </w:rPr>
        <w:t xml:space="preserve"> 1,54</w:t>
      </w:r>
      <w:r w:rsidR="002D1B04">
        <w:rPr>
          <w:snapToGrid/>
        </w:rPr>
        <w:t> </w:t>
      </w:r>
      <w:r>
        <w:rPr>
          <w:snapToGrid/>
        </w:rPr>
        <w:t xml:space="preserve">milliard de dollars de </w:t>
      </w:r>
      <w:r w:rsidR="00465495">
        <w:rPr>
          <w:snapToGrid/>
        </w:rPr>
        <w:t>ressources</w:t>
      </w:r>
      <w:r>
        <w:rPr>
          <w:snapToGrid/>
        </w:rPr>
        <w:t xml:space="preserve"> du GEF au profit de collectivités locales et d</w:t>
      </w:r>
      <w:r w:rsidR="00465495">
        <w:rPr>
          <w:snapToGrid/>
        </w:rPr>
        <w:t>’</w:t>
      </w:r>
      <w:r>
        <w:rPr>
          <w:snapToGrid/>
        </w:rPr>
        <w:t>organisations de la société civile dans 136</w:t>
      </w:r>
      <w:r w:rsidR="002D1B04">
        <w:rPr>
          <w:snapToGrid/>
        </w:rPr>
        <w:t> </w:t>
      </w:r>
      <w:r>
        <w:rPr>
          <w:snapToGrid/>
        </w:rPr>
        <w:t>pays. Près de 1,011</w:t>
      </w:r>
      <w:r w:rsidR="002D1B04">
        <w:rPr>
          <w:snapToGrid/>
        </w:rPr>
        <w:t> </w:t>
      </w:r>
      <w:r>
        <w:rPr>
          <w:snapToGrid/>
        </w:rPr>
        <w:t xml:space="preserve">milliard de dollars supplémentaires ont par ailleurs été mobilisés sous forme de cofinancements à l’appui de ces projets communautaires du PMF. </w:t>
      </w:r>
      <w:r>
        <w:t xml:space="preserve">Dans le cadre </w:t>
      </w:r>
      <w:r>
        <w:rPr>
          <w:snapToGrid/>
        </w:rPr>
        <w:t xml:space="preserve">de </w:t>
      </w:r>
      <w:r w:rsidR="00376C22">
        <w:rPr>
          <w:snapToGrid/>
        </w:rPr>
        <w:t>GEF</w:t>
      </w:r>
      <w:r w:rsidR="00376C22">
        <w:rPr>
          <w:snapToGrid/>
        </w:rPr>
        <w:noBreakHyphen/>
      </w:r>
      <w:r>
        <w:rPr>
          <w:snapToGrid/>
        </w:rPr>
        <w:t>8, le</w:t>
      </w:r>
      <w:r>
        <w:t xml:space="preserve"> PMF est désormais opérationnel dans 136</w:t>
      </w:r>
      <w:r w:rsidR="002D1B04">
        <w:t> </w:t>
      </w:r>
      <w:r>
        <w:t>pays, dont 38</w:t>
      </w:r>
      <w:r w:rsidR="002D1B04">
        <w:t> </w:t>
      </w:r>
      <w:r>
        <w:t>PEID et 42</w:t>
      </w:r>
      <w:r w:rsidR="002D1B04">
        <w:t> </w:t>
      </w:r>
      <w:r>
        <w:t xml:space="preserve">PMA. </w:t>
      </w:r>
    </w:p>
    <w:p w14:paraId="743ECBE3" w14:textId="2D2B8607" w:rsidR="0035161C" w:rsidRPr="00C67737" w:rsidRDefault="0035161C" w:rsidP="000B33CF">
      <w:pPr>
        <w:pStyle w:val="ListParagraph"/>
      </w:pPr>
      <w:r>
        <w:t xml:space="preserve">Pour la période considérée, les données disponibles </w:t>
      </w:r>
      <w:r w:rsidR="009C1949">
        <w:t>reposent sur l</w:t>
      </w:r>
      <w:r>
        <w:t xml:space="preserve">es rapports annuels de suivi </w:t>
      </w:r>
      <w:r w:rsidR="00C851EA">
        <w:t>établis</w:t>
      </w:r>
      <w:r>
        <w:t xml:space="preserve"> jusqu’en juillet</w:t>
      </w:r>
      <w:r w:rsidR="009C1949">
        <w:t> </w:t>
      </w:r>
      <w:r>
        <w:t xml:space="preserve">2025. Les activités </w:t>
      </w:r>
      <w:r w:rsidR="009C1949">
        <w:t xml:space="preserve">déclarées </w:t>
      </w:r>
      <w:r>
        <w:t xml:space="preserve">du PMF correspondent à la programmation de </w:t>
      </w:r>
      <w:r w:rsidR="00376C22">
        <w:t>GEF</w:t>
      </w:r>
      <w:r w:rsidR="00376C22">
        <w:noBreakHyphen/>
      </w:r>
      <w:r>
        <w:t xml:space="preserve">7 </w:t>
      </w:r>
      <w:proofErr w:type="gramStart"/>
      <w:r w:rsidR="00027ACB">
        <w:t>mise</w:t>
      </w:r>
      <w:proofErr w:type="gramEnd"/>
      <w:r w:rsidR="00027ACB">
        <w:t xml:space="preserve"> en œuvre</w:t>
      </w:r>
      <w:r>
        <w:t xml:space="preserve"> par le PNUD. Le PMF du GEF a été actif dans 127</w:t>
      </w:r>
      <w:r w:rsidR="002D1B04">
        <w:t> </w:t>
      </w:r>
      <w:r>
        <w:t>pays et a financé 2</w:t>
      </w:r>
      <w:r w:rsidR="002D1B04">
        <w:t> 720 </w:t>
      </w:r>
      <w:r>
        <w:t>nouveaux projets, pour un montant total de 82,5</w:t>
      </w:r>
      <w:r w:rsidR="002D1B04">
        <w:t> </w:t>
      </w:r>
      <w:r>
        <w:t>millions de dollars. Au cours de cette période, 5</w:t>
      </w:r>
      <w:r w:rsidR="002D1B04">
        <w:t> 952 </w:t>
      </w:r>
      <w:r>
        <w:t>projets du PMF étaient en cours d’exécution, représentant 226</w:t>
      </w:r>
      <w:r w:rsidR="002D1B04">
        <w:t> </w:t>
      </w:r>
      <w:r>
        <w:t>millions de dollars de financements et 223,8</w:t>
      </w:r>
      <w:r w:rsidR="002D1B04">
        <w:t> </w:t>
      </w:r>
      <w:r>
        <w:t>millions de dollars de cofinancements. Par ailleurs, 2</w:t>
      </w:r>
      <w:r w:rsidR="002D1B04">
        <w:t> 528 </w:t>
      </w:r>
      <w:r>
        <w:t xml:space="preserve">projets ont été achevés et clôturés </w:t>
      </w:r>
      <w:r w:rsidR="002406FD">
        <w:t>au cours de la période</w:t>
      </w:r>
      <w:r>
        <w:t xml:space="preserve">. </w:t>
      </w:r>
    </w:p>
    <w:p w14:paraId="2820CA30" w14:textId="006D1FAF" w:rsidR="0035161C" w:rsidRPr="00C67737" w:rsidRDefault="0035161C" w:rsidP="000B33CF">
      <w:pPr>
        <w:pStyle w:val="ListParagraph"/>
      </w:pPr>
      <w:r>
        <w:t xml:space="preserve">La répartition des projets du PMF en cours d’exécution par domaine d’intervention demeure très largement </w:t>
      </w:r>
      <w:r w:rsidR="006B344E">
        <w:t>axée</w:t>
      </w:r>
      <w:r>
        <w:t xml:space="preserve"> sur le domaine d’intervention «</w:t>
      </w:r>
      <w:r w:rsidR="002D1B04">
        <w:t> </w:t>
      </w:r>
      <w:r w:rsidR="006B344E">
        <w:t>D</w:t>
      </w:r>
      <w:r>
        <w:t>iversité biologique</w:t>
      </w:r>
      <w:r w:rsidR="002D1B04">
        <w:t> </w:t>
      </w:r>
      <w:r>
        <w:t>», qui représente en moyenne 43</w:t>
      </w:r>
      <w:r w:rsidR="00966C17">
        <w:t> %</w:t>
      </w:r>
      <w:r>
        <w:t xml:space="preserve"> des projets et constitue la part la plus importante du portefeuille mondial du PMF. Viennent ensuite les domaines d’intervention «</w:t>
      </w:r>
      <w:r w:rsidR="002D1B04">
        <w:t> </w:t>
      </w:r>
      <w:r w:rsidR="002000F9">
        <w:t>C</w:t>
      </w:r>
      <w:r>
        <w:t>hangements climatiques</w:t>
      </w:r>
      <w:r w:rsidR="00E709F5">
        <w:t> </w:t>
      </w:r>
      <w:r>
        <w:t>» (21</w:t>
      </w:r>
      <w:r w:rsidR="00966C17">
        <w:t> %</w:t>
      </w:r>
      <w:r>
        <w:t>) et «</w:t>
      </w:r>
      <w:r w:rsidR="00E709F5">
        <w:t> </w:t>
      </w:r>
      <w:r>
        <w:t>dégradation des terres</w:t>
      </w:r>
      <w:r w:rsidR="00E709F5">
        <w:t> </w:t>
      </w:r>
      <w:r>
        <w:t>» (19</w:t>
      </w:r>
      <w:r w:rsidR="00966C17">
        <w:t> %</w:t>
      </w:r>
      <w:r>
        <w:t>).</w:t>
      </w:r>
    </w:p>
    <w:p w14:paraId="558C295D" w14:textId="76A85BE5" w:rsidR="0035161C" w:rsidRPr="00C67737" w:rsidRDefault="2B91FADC" w:rsidP="000B33CF">
      <w:pPr>
        <w:pStyle w:val="ListParagraph"/>
      </w:pPr>
      <w:r>
        <w:t>Entre le 1</w:t>
      </w:r>
      <w:r w:rsidRPr="002000F9">
        <w:rPr>
          <w:vertAlign w:val="superscript"/>
        </w:rPr>
        <w:t>er</w:t>
      </w:r>
      <w:r w:rsidR="00E709F5">
        <w:t> </w:t>
      </w:r>
      <w:r>
        <w:t>juillet 2022 et le 30</w:t>
      </w:r>
      <w:r w:rsidR="00E709F5">
        <w:t> </w:t>
      </w:r>
      <w:r>
        <w:t>juin 2025, 992</w:t>
      </w:r>
      <w:r w:rsidR="00E709F5">
        <w:t> </w:t>
      </w:r>
      <w:r>
        <w:t xml:space="preserve">projets du </w:t>
      </w:r>
      <w:r w:rsidR="002000F9">
        <w:t>PMF</w:t>
      </w:r>
      <w:r>
        <w:t xml:space="preserve"> consacrés à la </w:t>
      </w:r>
      <w:r w:rsidR="002000F9">
        <w:t>bio</w:t>
      </w:r>
      <w:r>
        <w:t xml:space="preserve">diversité ont </w:t>
      </w:r>
      <w:r w:rsidR="00D23B49">
        <w:t xml:space="preserve">été </w:t>
      </w:r>
      <w:r>
        <w:t xml:space="preserve">achevé </w:t>
      </w:r>
      <w:r w:rsidR="00B524BE">
        <w:t xml:space="preserve">et </w:t>
      </w:r>
      <w:r>
        <w:t xml:space="preserve">clôturés. </w:t>
      </w:r>
      <w:r w:rsidR="00B524BE">
        <w:t>Ils</w:t>
      </w:r>
      <w:r>
        <w:t xml:space="preserve"> ont permis d’améliorer, directement ou indirectement, la gestion de jusqu’à 154</w:t>
      </w:r>
      <w:r w:rsidR="00E709F5">
        <w:t> </w:t>
      </w:r>
      <w:r>
        <w:t>aires protégées et de jusqu’à 260</w:t>
      </w:r>
      <w:r w:rsidR="00E709F5">
        <w:t> </w:t>
      </w:r>
      <w:r>
        <w:t xml:space="preserve">aires et territoires du patrimoine autochtone et communautaire (APAC), couvrant </w:t>
      </w:r>
      <w:r w:rsidR="004B18BB">
        <w:t>au</w:t>
      </w:r>
      <w:r>
        <w:t xml:space="preserve"> total</w:t>
      </w:r>
      <w:r w:rsidR="004B18BB">
        <w:t xml:space="preserve"> jusqu’à</w:t>
      </w:r>
      <w:r>
        <w:t xml:space="preserve"> 10,5</w:t>
      </w:r>
      <w:r w:rsidR="00E709F5">
        <w:t> </w:t>
      </w:r>
      <w:r>
        <w:t>millions d’hectares. Le PMF a également contribué à maintenir ou à améliorer l’état de conservation d’au moins 873</w:t>
      </w:r>
      <w:r w:rsidR="00E709F5">
        <w:t> </w:t>
      </w:r>
      <w:r>
        <w:t xml:space="preserve">espèces. Le portefeuille du PMF </w:t>
      </w:r>
      <w:r w:rsidR="001B4604">
        <w:t>relevant du</w:t>
      </w:r>
      <w:r>
        <w:t xml:space="preserve"> domaine d’intervention «</w:t>
      </w:r>
      <w:r w:rsidR="00E709F5">
        <w:t> </w:t>
      </w:r>
      <w:r w:rsidR="001B4604">
        <w:t>D</w:t>
      </w:r>
      <w:r>
        <w:t>iversité biologique</w:t>
      </w:r>
      <w:r w:rsidR="00E709F5">
        <w:t> </w:t>
      </w:r>
      <w:r>
        <w:t xml:space="preserve">» </w:t>
      </w:r>
      <w:r w:rsidR="00407CFE" w:rsidRPr="00407CFE">
        <w:t xml:space="preserve">a concentré son soutien sur l’amélioration de l’efficacité de la gestion des aires protégées ainsi que sur l’intégration de la conservation et de l’utilisation durable de la </w:t>
      </w:r>
      <w:proofErr w:type="spellStart"/>
      <w:r w:rsidR="006C6741">
        <w:t>biodiversité</w:t>
      </w:r>
      <w:r w:rsidR="00407CFE" w:rsidRPr="00407CFE">
        <w:t>dans</w:t>
      </w:r>
      <w:proofErr w:type="spellEnd"/>
      <w:r w:rsidR="00407CFE" w:rsidRPr="00407CFE">
        <w:t xml:space="preserve"> les paysages terrestres et marins de production et les secteurs productifs.</w:t>
      </w:r>
    </w:p>
    <w:p w14:paraId="2BEFABD0" w14:textId="6F718845" w:rsidR="0035161C" w:rsidRPr="00C67737" w:rsidRDefault="0035161C" w:rsidP="000B33CF">
      <w:pPr>
        <w:pStyle w:val="ListParagraph"/>
      </w:pPr>
      <w:r>
        <w:t xml:space="preserve">Dans le cadre de </w:t>
      </w:r>
      <w:r w:rsidR="00376C22">
        <w:t>GEF</w:t>
      </w:r>
      <w:r w:rsidR="00376C22">
        <w:noBreakHyphen/>
      </w:r>
      <w:r>
        <w:t>8, quatre projets mondiaux de base du PMF ont été approuvés en deux tranches. Ils couvrent 135</w:t>
      </w:r>
      <w:r w:rsidR="00E709F5">
        <w:t> </w:t>
      </w:r>
      <w:r>
        <w:t>pays et représentent un financement total de 241,5</w:t>
      </w:r>
      <w:r w:rsidR="00E709F5">
        <w:t> </w:t>
      </w:r>
      <w:r>
        <w:t>millions de dollars, assorti de 115,7</w:t>
      </w:r>
      <w:r w:rsidR="00E709F5">
        <w:t> </w:t>
      </w:r>
      <w:r>
        <w:t>millions de dollars de cofinancement, soit une enveloppe totale de 357,2</w:t>
      </w:r>
      <w:r w:rsidR="00E709F5">
        <w:t> </w:t>
      </w:r>
      <w:r>
        <w:t xml:space="preserve">millions de dollars. Aucun résultat n’est encore disponible, les activités de terrain ayant débuté au cours des premier et </w:t>
      </w:r>
      <w:proofErr w:type="gramStart"/>
      <w:r>
        <w:t>deuxième semestres</w:t>
      </w:r>
      <w:proofErr w:type="gramEnd"/>
      <w:r>
        <w:t xml:space="preserve"> </w:t>
      </w:r>
      <w:r w:rsidR="00E00FE4">
        <w:t xml:space="preserve">de </w:t>
      </w:r>
      <w:r>
        <w:t>2026. Ces projets sont les suivants</w:t>
      </w:r>
      <w:r w:rsidR="006E54C7">
        <w:t> :</w:t>
      </w:r>
      <w:r>
        <w:t xml:space="preserve">  </w:t>
      </w:r>
    </w:p>
    <w:p w14:paraId="249F19EA" w14:textId="5894C3AE" w:rsidR="0035161C" w:rsidRPr="00C67737" w:rsidRDefault="0035161C" w:rsidP="000B33CF">
      <w:pPr>
        <w:pStyle w:val="ListParagraph"/>
        <w:numPr>
          <w:ilvl w:val="0"/>
          <w:numId w:val="33"/>
        </w:numPr>
      </w:pPr>
      <w:r>
        <w:t>N° de projet du GEF</w:t>
      </w:r>
      <w:r w:rsidR="00E709F5">
        <w:t> </w:t>
      </w:r>
      <w:r>
        <w:t xml:space="preserve">11285 </w:t>
      </w:r>
      <w:r w:rsidR="001519F1">
        <w:t>(</w:t>
      </w:r>
      <w:r>
        <w:t>première tranche</w:t>
      </w:r>
      <w:r w:rsidR="001519F1">
        <w:t>)</w:t>
      </w:r>
      <w:r>
        <w:t xml:space="preserve">, </w:t>
      </w:r>
      <w:r w:rsidR="00E00FE4">
        <w:t xml:space="preserve">mis en œuvre </w:t>
      </w:r>
      <w:r>
        <w:t>par le PNUD dans 99</w:t>
      </w:r>
      <w:r w:rsidR="00E709F5">
        <w:t> </w:t>
      </w:r>
      <w:r>
        <w:t>pays et approuvée en juin 2023. Financement du GEF</w:t>
      </w:r>
      <w:r w:rsidR="006E54C7">
        <w:t> :</w:t>
      </w:r>
      <w:r>
        <w:t xml:space="preserve"> 137,5</w:t>
      </w:r>
      <w:r w:rsidR="00E709F5">
        <w:t> </w:t>
      </w:r>
      <w:r>
        <w:t>millions de dollars, dont 70,04</w:t>
      </w:r>
      <w:r w:rsidR="00E709F5">
        <w:t> </w:t>
      </w:r>
      <w:r>
        <w:t xml:space="preserve">millions de dollars </w:t>
      </w:r>
      <w:r w:rsidR="00D67C3B">
        <w:t>de</w:t>
      </w:r>
      <w:r>
        <w:t xml:space="preserve"> ressources STAR, parmi lesquels 39,8</w:t>
      </w:r>
      <w:r w:rsidR="00E709F5">
        <w:t> </w:t>
      </w:r>
      <w:r>
        <w:t xml:space="preserve">millions de dollars </w:t>
      </w:r>
      <w:r w:rsidR="003427CE">
        <w:t>a</w:t>
      </w:r>
      <w:r w:rsidR="003427CE" w:rsidRPr="003427CE">
        <w:t xml:space="preserve">ffectés à la </w:t>
      </w:r>
      <w:r w:rsidR="006217C7">
        <w:t>biodiversité</w:t>
      </w:r>
      <w:r>
        <w:t>. Cofinancement</w:t>
      </w:r>
      <w:r w:rsidR="006E54C7">
        <w:t> :</w:t>
      </w:r>
      <w:r>
        <w:t xml:space="preserve"> 35 millions de dollars. </w:t>
      </w:r>
    </w:p>
    <w:p w14:paraId="751FE820" w14:textId="3027D0A9" w:rsidR="002308C8" w:rsidRPr="00C67737" w:rsidRDefault="0035161C" w:rsidP="000B33CF">
      <w:pPr>
        <w:pStyle w:val="ListParagraph"/>
        <w:numPr>
          <w:ilvl w:val="0"/>
          <w:numId w:val="33"/>
        </w:numPr>
      </w:pPr>
      <w:r>
        <w:t>N° de projet du GEF</w:t>
      </w:r>
      <w:r w:rsidR="00E709F5">
        <w:t> </w:t>
      </w:r>
      <w:r>
        <w:t>11726</w:t>
      </w:r>
      <w:r w:rsidR="001519F1">
        <w:t>,</w:t>
      </w:r>
      <w:r>
        <w:t xml:space="preserve"> </w:t>
      </w:r>
      <w:r w:rsidR="00E00FE4">
        <w:t xml:space="preserve">mis en œuvre </w:t>
      </w:r>
      <w:r>
        <w:t>par le PNUD dans 122</w:t>
      </w:r>
      <w:r w:rsidR="00E709F5">
        <w:t> </w:t>
      </w:r>
      <w:r>
        <w:t>pays</w:t>
      </w:r>
      <w:r w:rsidR="00E709F5">
        <w:t> </w:t>
      </w:r>
      <w:r>
        <w:t>; approuvé en décembre</w:t>
      </w:r>
      <w:r w:rsidR="00AF0222">
        <w:t> </w:t>
      </w:r>
      <w:r>
        <w:t>2024</w:t>
      </w:r>
      <w:r w:rsidR="00AF0222">
        <w:t>.</w:t>
      </w:r>
      <w:r>
        <w:t xml:space="preserve"> </w:t>
      </w:r>
      <w:r w:rsidR="00AF0222">
        <w:t>F</w:t>
      </w:r>
      <w:r>
        <w:t>inancement du GEF</w:t>
      </w:r>
      <w:r w:rsidR="006E54C7">
        <w:t> :</w:t>
      </w:r>
      <w:r>
        <w:t xml:space="preserve"> 80,7</w:t>
      </w:r>
      <w:r w:rsidR="00E709F5">
        <w:t> </w:t>
      </w:r>
      <w:r>
        <w:t>millions de dollars, dont 32,8</w:t>
      </w:r>
      <w:r w:rsidR="00E709F5">
        <w:t> </w:t>
      </w:r>
      <w:r>
        <w:t xml:space="preserve">millions de dollars </w:t>
      </w:r>
      <w:r w:rsidR="00EA4302">
        <w:t>de ressources</w:t>
      </w:r>
      <w:r>
        <w:t xml:space="preserve"> STAR</w:t>
      </w:r>
      <w:r w:rsidR="00EA4302">
        <w:t xml:space="preserve">, parmi lesquels </w:t>
      </w:r>
      <w:r>
        <w:t>19,5</w:t>
      </w:r>
      <w:r w:rsidR="00E709F5">
        <w:t> </w:t>
      </w:r>
      <w:r>
        <w:t xml:space="preserve">millions de dollars </w:t>
      </w:r>
      <w:r w:rsidR="00287318">
        <w:t xml:space="preserve">affectés à la </w:t>
      </w:r>
      <w:r w:rsidR="006217C7">
        <w:t>biodiversité</w:t>
      </w:r>
      <w:r>
        <w:t>. Cofinancement</w:t>
      </w:r>
      <w:r w:rsidR="006E54C7">
        <w:t> :</w:t>
      </w:r>
      <w:r>
        <w:t xml:space="preserve"> 56,8 millions de dollars</w:t>
      </w:r>
    </w:p>
    <w:p w14:paraId="71FF440D" w14:textId="7FABAB27" w:rsidR="0035161C" w:rsidRPr="00C67737" w:rsidRDefault="0035161C" w:rsidP="000B33CF">
      <w:pPr>
        <w:pStyle w:val="ListParagraph"/>
        <w:numPr>
          <w:ilvl w:val="0"/>
          <w:numId w:val="33"/>
        </w:numPr>
      </w:pPr>
      <w:r>
        <w:lastRenderedPageBreak/>
        <w:t>N° de projet du GEF</w:t>
      </w:r>
      <w:r w:rsidR="00E709F5">
        <w:t> </w:t>
      </w:r>
      <w:r>
        <w:t>11719, mis en œuvre par Conservation International (CI) dans cinq pays</w:t>
      </w:r>
      <w:r w:rsidR="00E709F5">
        <w:t> </w:t>
      </w:r>
      <w:r>
        <w:t>; approuvé en novembre 2024. Financement du GEF</w:t>
      </w:r>
      <w:r w:rsidR="006E54C7">
        <w:t> :</w:t>
      </w:r>
      <w:r>
        <w:t xml:space="preserve"> 4,8</w:t>
      </w:r>
      <w:r w:rsidR="00E709F5">
        <w:t> </w:t>
      </w:r>
      <w:r>
        <w:t>millions de dollars</w:t>
      </w:r>
      <w:r w:rsidR="00B50C5E">
        <w:t>,</w:t>
      </w:r>
      <w:r>
        <w:t xml:space="preserve"> sans ressources STAR. Cofinancement</w:t>
      </w:r>
      <w:r w:rsidR="006E54C7">
        <w:t> :</w:t>
      </w:r>
      <w:r>
        <w:t xml:space="preserve"> 6,96 millions de dollars.</w:t>
      </w:r>
    </w:p>
    <w:p w14:paraId="68E28D39" w14:textId="50B31669" w:rsidR="0035161C" w:rsidRPr="00C67737" w:rsidRDefault="0035161C" w:rsidP="000B33CF">
      <w:pPr>
        <w:pStyle w:val="ListParagraph"/>
        <w:numPr>
          <w:ilvl w:val="0"/>
          <w:numId w:val="33"/>
        </w:numPr>
      </w:pPr>
      <w:r>
        <w:t>N° de projet du GEF</w:t>
      </w:r>
      <w:r w:rsidR="00E709F5">
        <w:t> </w:t>
      </w:r>
      <w:r>
        <w:t>11698</w:t>
      </w:r>
      <w:r w:rsidR="001519F1">
        <w:t>,</w:t>
      </w:r>
      <w:r>
        <w:t xml:space="preserve"> mis en </w:t>
      </w:r>
      <w:r w:rsidR="00432393">
        <w:t>œuvre</w:t>
      </w:r>
      <w:r>
        <w:t xml:space="preserve"> par l’Organisation des Nations Unies pour l’alimentation et l’agriculture le Nations Unies </w:t>
      </w:r>
      <w:r w:rsidR="000F6EC3">
        <w:t xml:space="preserve">(FAO) </w:t>
      </w:r>
      <w:r>
        <w:t>dans 13</w:t>
      </w:r>
      <w:r w:rsidR="00E709F5">
        <w:t> </w:t>
      </w:r>
      <w:r>
        <w:t>pays</w:t>
      </w:r>
      <w:r w:rsidR="00E709F5">
        <w:t> </w:t>
      </w:r>
      <w:r>
        <w:t>; approuvé en décembre</w:t>
      </w:r>
      <w:r w:rsidR="00D11EE7">
        <w:t> </w:t>
      </w:r>
      <w:r>
        <w:t>2024</w:t>
      </w:r>
      <w:r w:rsidR="00D11EE7">
        <w:t>.</w:t>
      </w:r>
      <w:r>
        <w:t xml:space="preserve"> </w:t>
      </w:r>
      <w:r w:rsidR="00D11EE7">
        <w:t>F</w:t>
      </w:r>
      <w:r>
        <w:t>inancement du GEF</w:t>
      </w:r>
      <w:r w:rsidR="006E54C7">
        <w:t> :</w:t>
      </w:r>
      <w:r>
        <w:t xml:space="preserve"> 18,49</w:t>
      </w:r>
      <w:r w:rsidR="00E709F5">
        <w:t> </w:t>
      </w:r>
      <w:r>
        <w:t>millions de dollars, dont 8,68</w:t>
      </w:r>
      <w:r w:rsidR="00E709F5">
        <w:t> </w:t>
      </w:r>
      <w:r>
        <w:t>millions de dollars</w:t>
      </w:r>
      <w:r w:rsidR="00C56861">
        <w:t xml:space="preserve"> de ressources </w:t>
      </w:r>
      <w:r>
        <w:t xml:space="preserve">STAR, </w:t>
      </w:r>
      <w:r w:rsidR="00C56861">
        <w:t>parmi lesquels</w:t>
      </w:r>
      <w:r>
        <w:t xml:space="preserve"> 6,4</w:t>
      </w:r>
      <w:r w:rsidR="00E709F5">
        <w:t> </w:t>
      </w:r>
      <w:r>
        <w:t xml:space="preserve">millions de dollars </w:t>
      </w:r>
      <w:r w:rsidR="003427CE">
        <w:t>a</w:t>
      </w:r>
      <w:r w:rsidR="003427CE" w:rsidRPr="003427CE">
        <w:t xml:space="preserve">ffectés à la </w:t>
      </w:r>
      <w:r w:rsidR="002F4587">
        <w:t>biodiversité</w:t>
      </w:r>
      <w:r>
        <w:t xml:space="preserve">. </w:t>
      </w:r>
      <w:r w:rsidR="008E375F">
        <w:t>Cofinancement</w:t>
      </w:r>
      <w:r w:rsidR="006E54C7">
        <w:t> :</w:t>
      </w:r>
      <w:r w:rsidR="00BB680B">
        <w:t xml:space="preserve"> </w:t>
      </w:r>
      <w:r>
        <w:t>16,97 millions de dollars.</w:t>
      </w:r>
    </w:p>
    <w:p w14:paraId="5650B021" w14:textId="15815217" w:rsidR="0035161C" w:rsidRPr="00C67737" w:rsidRDefault="00A65940" w:rsidP="000B33CF">
      <w:pPr>
        <w:pStyle w:val="ListParagraph"/>
      </w:pPr>
      <w:r w:rsidRPr="00A65940">
        <w:t xml:space="preserve">Des progrès importants ont également été accomplis durant </w:t>
      </w:r>
      <w:r w:rsidR="00376C22">
        <w:t>GEF</w:t>
      </w:r>
      <w:r w:rsidR="00376C22">
        <w:noBreakHyphen/>
      </w:r>
      <w:r w:rsidRPr="00A65940">
        <w:t>8 dans la mise en œuvre d’un ambitieux processus de réforme et de modernisation du Programme de microfinancements (PMF), dénommé «</w:t>
      </w:r>
      <w:r w:rsidR="00BB680B">
        <w:t> </w:t>
      </w:r>
      <w:r w:rsidRPr="00A65940">
        <w:t>PMF</w:t>
      </w:r>
      <w:r w:rsidR="00BB680B">
        <w:t> </w:t>
      </w:r>
      <w:r w:rsidRPr="00A65940">
        <w:t>2.0</w:t>
      </w:r>
      <w:r w:rsidR="00BB680B">
        <w:t> </w:t>
      </w:r>
      <w:r w:rsidRPr="00A65940">
        <w:t xml:space="preserve">», dont les modalités ont été arrêtées dans le cadre de la reconstitution des ressources de </w:t>
      </w:r>
      <w:r w:rsidR="00376C22">
        <w:t>GEF</w:t>
      </w:r>
      <w:r w:rsidR="00376C22">
        <w:noBreakHyphen/>
      </w:r>
      <w:r w:rsidRPr="00A65940">
        <w:t>8. Ce processus comprend notamment les éléments suivants</w:t>
      </w:r>
      <w:r w:rsidR="006E54C7">
        <w:t> :</w:t>
      </w:r>
    </w:p>
    <w:p w14:paraId="0B7D23EB" w14:textId="611CBEB8" w:rsidR="001E6E8D" w:rsidRPr="001E6E8D" w:rsidRDefault="0035161C" w:rsidP="000B33CF">
      <w:pPr>
        <w:pStyle w:val="bulletpara"/>
      </w:pPr>
      <w:r>
        <w:rPr>
          <w:b/>
          <w:bCs/>
        </w:rPr>
        <w:t>Élargissement du choix offert aux pays et introduction de nouvelles approches</w:t>
      </w:r>
      <w:r w:rsidR="006E54C7">
        <w:rPr>
          <w:b/>
          <w:bCs/>
        </w:rPr>
        <w:t> :</w:t>
      </w:r>
      <w:r>
        <w:t xml:space="preserve"> </w:t>
      </w:r>
      <w:r w:rsidR="001E6E8D" w:rsidRPr="001E6E8D">
        <w:t>Renforcer la programmation pilotée par les pays en leur permettant, en fonction de leurs besoins et priorités nationales, de choisir parmi un plus grand nombre d’</w:t>
      </w:r>
      <w:r w:rsidR="00887A21">
        <w:t>Agences d’exécution</w:t>
      </w:r>
      <w:r w:rsidR="001E6E8D">
        <w:t xml:space="preserve"> </w:t>
      </w:r>
      <w:r w:rsidR="001E6E8D" w:rsidRPr="001E6E8D">
        <w:t>du PMF, au-delà du seul PNUD. À cette fin, la FAO et Conservation International (CI) ont été intégrées comme nouvelles Agences du PMF, apportant au Programme de microfinancements du GEF des connaissances institutionnelles, des champs d’action et des approches complémentaires.</w:t>
      </w:r>
    </w:p>
    <w:p w14:paraId="3B1B30AE" w14:textId="361F4DEF" w:rsidR="0035161C" w:rsidRPr="00C67737" w:rsidRDefault="0035161C" w:rsidP="000B33CF">
      <w:pPr>
        <w:pStyle w:val="bulletpara"/>
      </w:pPr>
      <w:r>
        <w:rPr>
          <w:b/>
          <w:bCs/>
        </w:rPr>
        <w:t>Extension de la couverture géographique</w:t>
      </w:r>
      <w:r w:rsidR="006E54C7">
        <w:rPr>
          <w:b/>
          <w:bCs/>
        </w:rPr>
        <w:t> :</w:t>
      </w:r>
      <w:r>
        <w:t xml:space="preserve"> </w:t>
      </w:r>
      <w:r w:rsidR="006849F2">
        <w:t>Faire passer</w:t>
      </w:r>
      <w:r>
        <w:t xml:space="preserve"> le nombre de pays participant</w:t>
      </w:r>
      <w:r w:rsidR="006849F2">
        <w:t>s</w:t>
      </w:r>
      <w:r>
        <w:t xml:space="preserve"> au PMF de 124 durant le </w:t>
      </w:r>
      <w:r w:rsidR="00376C22">
        <w:t>GEF</w:t>
      </w:r>
      <w:r w:rsidR="00376C22">
        <w:noBreakHyphen/>
      </w:r>
      <w:r>
        <w:t>7 à 136</w:t>
      </w:r>
      <w:r w:rsidR="00E709F5">
        <w:t> </w:t>
      </w:r>
      <w:r>
        <w:t>pays</w:t>
      </w:r>
      <w:r w:rsidR="003601BA">
        <w:t>,</w:t>
      </w:r>
      <w:r>
        <w:t xml:space="preserve"> sur 144</w:t>
      </w:r>
      <w:r w:rsidR="00E709F5">
        <w:t> </w:t>
      </w:r>
      <w:r>
        <w:t>pays admissibles</w:t>
      </w:r>
      <w:r w:rsidR="003601BA">
        <w:t xml:space="preserve">, </w:t>
      </w:r>
      <w:r>
        <w:t xml:space="preserve">durant le </w:t>
      </w:r>
      <w:r w:rsidR="00376C22">
        <w:t>GEF</w:t>
      </w:r>
      <w:r w:rsidR="00376C22">
        <w:noBreakHyphen/>
      </w:r>
      <w:r>
        <w:t xml:space="preserve">8, grâce à l’intégration de l’Angola, de la Bosnie-Herzégovine, du Chili, de la Guinée équatoriale, de la Libye, du Monténégro, du Pakistan, de Sao Tomé-et-Principe, de la Somalie, du Soudan du Sud, du Turkménistan et de la République arabe syrienne. </w:t>
      </w:r>
    </w:p>
    <w:p w14:paraId="1D2761B3" w14:textId="3EA56EA9" w:rsidR="0035161C" w:rsidRPr="00C67737" w:rsidRDefault="0035161C" w:rsidP="000B33CF">
      <w:pPr>
        <w:pStyle w:val="bulletpara"/>
      </w:pPr>
      <w:r>
        <w:rPr>
          <w:b/>
          <w:bCs/>
        </w:rPr>
        <w:t xml:space="preserve">Augmentation des ressources de base du PMF et amélioration </w:t>
      </w:r>
      <w:r w:rsidR="006849F2" w:rsidRPr="006849F2">
        <w:rPr>
          <w:b/>
          <w:bCs/>
        </w:rPr>
        <w:t xml:space="preserve">de l’équité d’accès à ces </w:t>
      </w:r>
      <w:r>
        <w:rPr>
          <w:b/>
          <w:bCs/>
        </w:rPr>
        <w:t>ressources</w:t>
      </w:r>
      <w:r w:rsidR="006E54C7">
        <w:rPr>
          <w:b/>
          <w:bCs/>
        </w:rPr>
        <w:t> :</w:t>
      </w:r>
      <w:r>
        <w:t xml:space="preserve"> Obtenir 135</w:t>
      </w:r>
      <w:r w:rsidR="00E709F5">
        <w:t> </w:t>
      </w:r>
      <w:r>
        <w:t>millions de dollars pour le programme de base du PMF, contre 128</w:t>
      </w:r>
      <w:r w:rsidR="00E709F5">
        <w:t> </w:t>
      </w:r>
      <w:r>
        <w:t xml:space="preserve">millions de dollars durant le </w:t>
      </w:r>
      <w:r w:rsidR="00376C22">
        <w:t>GEF</w:t>
      </w:r>
      <w:r w:rsidR="00376C22">
        <w:noBreakHyphen/>
      </w:r>
      <w:r>
        <w:t>7. Cette enveloppe garantit à 135</w:t>
      </w:r>
      <w:r w:rsidR="00E709F5">
        <w:t> </w:t>
      </w:r>
      <w:r>
        <w:t>pays une allocation égale de près d’un million de dollars au titre du financement de base du PMF, tout en assurant la viabilité et la continuité du programme dans les pays, indépendamment de leur taille ou de leur niveau antérieur de participation.</w:t>
      </w:r>
    </w:p>
    <w:p w14:paraId="0ADBC561" w14:textId="05291894" w:rsidR="0035161C" w:rsidRPr="00C67737" w:rsidRDefault="00C8798D" w:rsidP="000B33CF">
      <w:pPr>
        <w:pStyle w:val="bulletpara"/>
      </w:pPr>
      <w:r w:rsidRPr="00C8798D">
        <w:rPr>
          <w:b/>
          <w:bCs/>
        </w:rPr>
        <w:t>Augmentation de l’allocation de ressources STAR</w:t>
      </w:r>
      <w:r w:rsidR="006E54C7">
        <w:rPr>
          <w:b/>
          <w:bCs/>
        </w:rPr>
        <w:t> :</w:t>
      </w:r>
      <w:r w:rsidRPr="00C8798D">
        <w:rPr>
          <w:b/>
          <w:bCs/>
        </w:rPr>
        <w:t xml:space="preserve"> </w:t>
      </w:r>
      <w:r w:rsidRPr="00C8798D">
        <w:t>Faire passer l’allocation de ressources STAR au titre du PMF de 85</w:t>
      </w:r>
      <w:r w:rsidR="00BB680B">
        <w:t> </w:t>
      </w:r>
      <w:r w:rsidRPr="00C8798D">
        <w:t xml:space="preserve">millions de dollars durant </w:t>
      </w:r>
      <w:r w:rsidR="00376C22">
        <w:t>GEF</w:t>
      </w:r>
      <w:r w:rsidR="00376C22">
        <w:noBreakHyphen/>
      </w:r>
      <w:r w:rsidRPr="00C8798D">
        <w:t>7 à 111,5</w:t>
      </w:r>
      <w:r w:rsidR="00BB680B">
        <w:t> </w:t>
      </w:r>
      <w:r w:rsidRPr="00C8798D">
        <w:t xml:space="preserve">millions de dollars durant </w:t>
      </w:r>
      <w:r w:rsidR="00376C22">
        <w:t>GEF</w:t>
      </w:r>
      <w:r w:rsidR="00376C22">
        <w:noBreakHyphen/>
      </w:r>
      <w:r w:rsidRPr="00C8798D">
        <w:t>8, soit une augmentation de plus de 30</w:t>
      </w:r>
      <w:r w:rsidR="00966C17">
        <w:t> %</w:t>
      </w:r>
      <w:r w:rsidRPr="00C8798D">
        <w:t xml:space="preserve">. Par rapport à </w:t>
      </w:r>
      <w:r w:rsidR="00376C22">
        <w:t>GEF</w:t>
      </w:r>
      <w:r w:rsidR="00376C22">
        <w:noBreakHyphen/>
      </w:r>
      <w:r w:rsidRPr="00C8798D">
        <w:t>7, 16</w:t>
      </w:r>
      <w:r w:rsidR="00BB680B">
        <w:t> </w:t>
      </w:r>
      <w:r w:rsidRPr="00C8798D">
        <w:t>pays supplémentaires ont affecté des ressources STAR au PMF. Au total, 246,5</w:t>
      </w:r>
      <w:r w:rsidR="00BB680B">
        <w:t> </w:t>
      </w:r>
      <w:r w:rsidRPr="00C8798D">
        <w:t xml:space="preserve">millions de dollars de ressources du GEF ont été obtenus pour le programme mondial du PMF durant </w:t>
      </w:r>
      <w:r w:rsidR="00376C22">
        <w:t>GEF</w:t>
      </w:r>
      <w:r w:rsidR="00376C22">
        <w:noBreakHyphen/>
      </w:r>
      <w:r w:rsidRPr="00C8798D">
        <w:t>8 — soit 135</w:t>
      </w:r>
      <w:r w:rsidR="00BB680B">
        <w:t> </w:t>
      </w:r>
      <w:r w:rsidRPr="00C8798D">
        <w:t>millions de dollars de ressources de base, auxquels s’ajoutent 111,5</w:t>
      </w:r>
      <w:r w:rsidR="00BB680B">
        <w:t> </w:t>
      </w:r>
      <w:r w:rsidRPr="00C8798D">
        <w:t>millions de dollars de ressources STAR — contre 213</w:t>
      </w:r>
      <w:r w:rsidR="00BB680B">
        <w:t> </w:t>
      </w:r>
      <w:r w:rsidRPr="00C8798D">
        <w:t xml:space="preserve">millions de dollars durant </w:t>
      </w:r>
      <w:r w:rsidR="00376C22">
        <w:t>GEF</w:t>
      </w:r>
      <w:r w:rsidR="00376C22">
        <w:noBreakHyphen/>
      </w:r>
      <w:r w:rsidRPr="00C8798D">
        <w:t>7.</w:t>
      </w:r>
    </w:p>
    <w:p w14:paraId="17F5FDB3" w14:textId="7051AF20" w:rsidR="006E4EB2" w:rsidRPr="006E4EB2" w:rsidRDefault="00AF3E8D" w:rsidP="000B33CF">
      <w:pPr>
        <w:pStyle w:val="bulletpara"/>
      </w:pPr>
      <w:r w:rsidRPr="006E4EB2">
        <w:rPr>
          <w:b/>
          <w:bCs/>
        </w:rPr>
        <w:t>Accroissement des financements destinés à la société civile grâce à une meilleure efficience</w:t>
      </w:r>
      <w:r w:rsidR="006E54C7">
        <w:rPr>
          <w:b/>
          <w:bCs/>
        </w:rPr>
        <w:t> :</w:t>
      </w:r>
      <w:r w:rsidRPr="006E4EB2">
        <w:rPr>
          <w:b/>
          <w:bCs/>
        </w:rPr>
        <w:t xml:space="preserve"> </w:t>
      </w:r>
      <w:r w:rsidR="00254A81" w:rsidRPr="00254A81">
        <w:t xml:space="preserve">Fixer comme objectif d’accroître la part du financement du PMF du GEF directement destinée aux organisations de la société civile (OSC) et aux organisations </w:t>
      </w:r>
      <w:r w:rsidR="00254A81" w:rsidRPr="00254A81">
        <w:lastRenderedPageBreak/>
        <w:t xml:space="preserve">communautaires. Dans les projets de base du PMF approuvés dans le cadre de </w:t>
      </w:r>
      <w:r w:rsidR="00376C22">
        <w:t>GEF</w:t>
      </w:r>
      <w:r w:rsidR="00376C22">
        <w:noBreakHyphen/>
      </w:r>
      <w:r w:rsidR="00254A81" w:rsidRPr="00254A81">
        <w:t>8, cette part est de 72</w:t>
      </w:r>
      <w:r w:rsidR="00966C17">
        <w:t> %</w:t>
      </w:r>
      <w:r w:rsidR="00254A81" w:rsidRPr="00254A81">
        <w:t>, contre 62</w:t>
      </w:r>
      <w:r w:rsidR="00966C17">
        <w:t> %</w:t>
      </w:r>
      <w:r w:rsidR="00254A81" w:rsidRPr="00254A81">
        <w:t xml:space="preserve"> durant </w:t>
      </w:r>
      <w:r w:rsidR="00376C22">
        <w:t>GEF</w:t>
      </w:r>
      <w:r w:rsidR="00376C22">
        <w:noBreakHyphen/>
      </w:r>
      <w:r w:rsidR="00254A81" w:rsidRPr="00254A81">
        <w:t>7.</w:t>
      </w:r>
    </w:p>
    <w:p w14:paraId="42D6A16D" w14:textId="1FE7AD22" w:rsidR="0035161C" w:rsidRPr="00C67737" w:rsidRDefault="0035161C" w:rsidP="000B33CF">
      <w:pPr>
        <w:pStyle w:val="bulletpara"/>
      </w:pPr>
      <w:r w:rsidRPr="006E4EB2">
        <w:rPr>
          <w:b/>
          <w:bCs/>
        </w:rPr>
        <w:t>Renforcement du cadre de suivi et d’établissement des rapports du PMF</w:t>
      </w:r>
      <w:r w:rsidR="006E54C7">
        <w:rPr>
          <w:b/>
          <w:bCs/>
        </w:rPr>
        <w:t> :</w:t>
      </w:r>
      <w:r>
        <w:t xml:space="preserve"> </w:t>
      </w:r>
      <w:r w:rsidR="000337DA" w:rsidRPr="000337DA">
        <w:t xml:space="preserve">Mettre en place un nouveau cadre de résultats du PMF afin de mieux rendre compte de l’ensemble de ses résultats et de ses effets, notamment au moyen d’une méthode normalisée permettant de rendre compte des Indicateurs de base pertinents de </w:t>
      </w:r>
      <w:r w:rsidR="00376C22">
        <w:t>GEF</w:t>
      </w:r>
      <w:r w:rsidR="00376C22">
        <w:noBreakHyphen/>
      </w:r>
      <w:r w:rsidR="000337DA" w:rsidRPr="000337DA">
        <w:t>8, qui suivent la contribution du PMF aux avantages environnementaux mondiaux et aux résultats socioéconomiques.</w:t>
      </w:r>
    </w:p>
    <w:p w14:paraId="3EFBAA30" w14:textId="5F0287A1" w:rsidR="0035161C" w:rsidRPr="00C67737" w:rsidRDefault="0035161C" w:rsidP="000B33CF">
      <w:pPr>
        <w:pStyle w:val="bulletpara"/>
      </w:pPr>
      <w:r>
        <w:rPr>
          <w:b/>
          <w:bCs/>
        </w:rPr>
        <w:t>Mise à l’essai de deux approches complémentaires et novatrices</w:t>
      </w:r>
      <w:r w:rsidR="006E54C7">
        <w:rPr>
          <w:b/>
          <w:bCs/>
        </w:rPr>
        <w:t> :</w:t>
      </w:r>
      <w:r>
        <w:t xml:space="preserve"> </w:t>
      </w:r>
      <w:r w:rsidR="00706C02">
        <w:t>Renforcer le</w:t>
      </w:r>
      <w:r>
        <w:t xml:space="preserve"> financement direct et l’appui destinés aux jeunes, aux femmes et aux peuples autochtones et communautés locales grâce au lancement de deux initiatives du PMF</w:t>
      </w:r>
      <w:r w:rsidR="00E709F5">
        <w:t> </w:t>
      </w:r>
      <w:r>
        <w:t>2.0 en faveur des OSC</w:t>
      </w:r>
      <w:r w:rsidR="006E54C7">
        <w:t> :</w:t>
      </w:r>
      <w:r>
        <w:t xml:space="preserve">  </w:t>
      </w:r>
    </w:p>
    <w:p w14:paraId="57BCDA3D" w14:textId="56071780" w:rsidR="0035161C" w:rsidRPr="00C67737" w:rsidRDefault="00220A96" w:rsidP="000B33CF">
      <w:pPr>
        <w:pStyle w:val="ListParagraph"/>
        <w:numPr>
          <w:ilvl w:val="0"/>
          <w:numId w:val="34"/>
        </w:numPr>
      </w:pPr>
      <w:r>
        <w:t>Un</w:t>
      </w:r>
      <w:r w:rsidR="0035161C">
        <w:t xml:space="preserve"> </w:t>
      </w:r>
      <w:r>
        <w:t>p</w:t>
      </w:r>
      <w:r w:rsidR="0035161C">
        <w:t>rogramme de défis à l’intention des OSC</w:t>
      </w:r>
      <w:r>
        <w:t xml:space="preserve">, </w:t>
      </w:r>
      <w:r>
        <w:rPr>
          <w:i/>
          <w:iCs/>
        </w:rPr>
        <w:t>SGP CSO Challenge Program</w:t>
      </w:r>
      <w:r w:rsidR="0035161C">
        <w:t xml:space="preserve"> (N° de projet du GEF</w:t>
      </w:r>
      <w:r w:rsidR="00E709F5">
        <w:t> </w:t>
      </w:r>
      <w:r w:rsidR="0035161C">
        <w:t xml:space="preserve">11757), </w:t>
      </w:r>
      <w:r w:rsidR="002E4EC4">
        <w:t>mené</w:t>
      </w:r>
      <w:r w:rsidR="0035161C">
        <w:t xml:space="preserve"> par l’Union internationale pour la conservation de la nature (UICN), </w:t>
      </w:r>
      <w:r w:rsidRPr="00220A96">
        <w:t>a été officiellement lancé le 5</w:t>
      </w:r>
      <w:r w:rsidR="00BB680B">
        <w:t> </w:t>
      </w:r>
      <w:r w:rsidRPr="00220A96">
        <w:t>juin 2026, lors de la huitième Assemblée du GEF, en Ouzbékistan. Doté de 10</w:t>
      </w:r>
      <w:r w:rsidR="00BB680B">
        <w:t> </w:t>
      </w:r>
      <w:r w:rsidRPr="00220A96">
        <w:t>millions de dollars, il permet aux OSC locales d’accéder, dans le cadre d’un processus concurrentiel, à des ressources financières et à un appui technique afin de déployer à plus grande échelle des solutions environnementales novatrices. Il propose des financements pouvant atteindre 300</w:t>
      </w:r>
      <w:r w:rsidR="00BB680B">
        <w:t> 000 </w:t>
      </w:r>
      <w:r w:rsidRPr="00220A96">
        <w:t xml:space="preserve">dollars. Le premier des quatre appels à propositions régionaux, consacré à l’Europe orientale, au Caucase et à l’Asie centrale, est actuellement ouvert. </w:t>
      </w:r>
      <w:r w:rsidR="00397F98" w:rsidRPr="00397F98">
        <w:t>Le programme prévoit des financements pouvant atteindre 300</w:t>
      </w:r>
      <w:r w:rsidR="00BB680B">
        <w:t> 000 </w:t>
      </w:r>
      <w:r w:rsidR="00397F98" w:rsidRPr="00397F98">
        <w:t>dollars en faveur d’au moins 30</w:t>
      </w:r>
      <w:r w:rsidR="00BB680B">
        <w:t> </w:t>
      </w:r>
      <w:r w:rsidR="00397F98" w:rsidRPr="00397F98">
        <w:t>initiatives dans 25</w:t>
      </w:r>
      <w:r w:rsidR="00BB680B">
        <w:t> </w:t>
      </w:r>
      <w:r w:rsidR="00397F98" w:rsidRPr="00397F98">
        <w:t>pays.</w:t>
      </w:r>
    </w:p>
    <w:p w14:paraId="030D3818" w14:textId="215B36D7" w:rsidR="0035161C" w:rsidRPr="00C67737" w:rsidRDefault="0035161C" w:rsidP="000B33CF">
      <w:pPr>
        <w:pStyle w:val="ListParagraph"/>
        <w:numPr>
          <w:ilvl w:val="0"/>
          <w:numId w:val="34"/>
        </w:numPr>
      </w:pPr>
      <w:r>
        <w:t>L</w:t>
      </w:r>
      <w:r w:rsidR="00796D36">
        <w:t>’i</w:t>
      </w:r>
      <w:r>
        <w:t>nitiative de microfinancement du PMF</w:t>
      </w:r>
      <w:r w:rsidR="008E0A0A">
        <w:t xml:space="preserve">, </w:t>
      </w:r>
      <w:r w:rsidR="0061063B" w:rsidRPr="0061063B">
        <w:rPr>
          <w:i/>
          <w:iCs/>
        </w:rPr>
        <w:t>SGP Microfinance initiative</w:t>
      </w:r>
      <w:r>
        <w:t xml:space="preserve"> (N° de projet du GEF</w:t>
      </w:r>
      <w:r w:rsidR="00824585">
        <w:t> </w:t>
      </w:r>
      <w:r>
        <w:t xml:space="preserve">11903), </w:t>
      </w:r>
      <w:r w:rsidR="0061063B">
        <w:t>menée</w:t>
      </w:r>
      <w:r>
        <w:t xml:space="preserve"> par la Banque mondiale, est intégrée à des programmes nationaux existants de la Banque mondiale dans sept pays</w:t>
      </w:r>
      <w:r w:rsidR="006E54C7">
        <w:t> :</w:t>
      </w:r>
      <w:r>
        <w:t xml:space="preserve"> l’Afrique du Sud, le Brésil, la Colombie, Madagascar, le Nigéria, la Tanzanie et la Türkiye. Elle mobilise 1,4</w:t>
      </w:r>
      <w:r w:rsidR="00824585">
        <w:t> </w:t>
      </w:r>
      <w:r>
        <w:t>milliard de dollars de cofinancement, soit un effet de levier de près de 150</w:t>
      </w:r>
      <w:r w:rsidR="00AD4988">
        <w:t> </w:t>
      </w:r>
      <w:r>
        <w:t>pour</w:t>
      </w:r>
      <w:r w:rsidR="0061063B">
        <w:t> </w:t>
      </w:r>
      <w:r>
        <w:t xml:space="preserve">1. </w:t>
      </w:r>
    </w:p>
    <w:p w14:paraId="363BA305" w14:textId="55E67D9A" w:rsidR="00F2691C" w:rsidRPr="00C67737" w:rsidRDefault="00CA6C06" w:rsidP="00A048D1">
      <w:pPr>
        <w:pStyle w:val="Heading2"/>
      </w:pPr>
      <w:bookmarkStart w:id="94" w:name="_Toc242184658"/>
      <w:bookmarkStart w:id="95" w:name="_Toc242184707"/>
      <w:bookmarkStart w:id="96" w:name="_Toc242185279"/>
      <w:r>
        <w:t>I.4 Appui aux peuples autochtones et communautés locales pour la mise en œuvre du KMGBF</w:t>
      </w:r>
      <w:bookmarkStart w:id="97" w:name="_Toc102227411"/>
      <w:bookmarkStart w:id="98" w:name="_Hlk159935954"/>
      <w:bookmarkEnd w:id="94"/>
      <w:bookmarkEnd w:id="95"/>
      <w:bookmarkEnd w:id="96"/>
    </w:p>
    <w:p w14:paraId="4044DE9B" w14:textId="4B6055D3" w:rsidR="00E40905" w:rsidRPr="00C67737" w:rsidRDefault="00D255CE" w:rsidP="000B33CF">
      <w:pPr>
        <w:pStyle w:val="ListParagraph"/>
      </w:pPr>
      <w:r w:rsidRPr="00D255CE">
        <w:t xml:space="preserve">Depuis sa création, le GEF travaille avec les peuples autochtones et communautés locales, reconnaissant le rôle essentiel qu’ils jouent dans la gestion des terres et territoires, ainsi que le caractère fondamental du respect de leurs droits </w:t>
      </w:r>
      <w:r>
        <w:t>pour</w:t>
      </w:r>
      <w:r w:rsidRPr="00D255CE">
        <w:t xml:space="preserve"> l’obtention d’avantages environnementaux mondiaux</w:t>
      </w:r>
      <w:r w:rsidR="00E40905" w:rsidRPr="00C67737">
        <w:rPr>
          <w:rStyle w:val="FootnoteReference"/>
          <w:lang w:val="en-US"/>
        </w:rPr>
        <w:footnoteReference w:id="25"/>
      </w:r>
      <w:r w:rsidR="00E40905">
        <w:t xml:space="preserve">. </w:t>
      </w:r>
    </w:p>
    <w:p w14:paraId="410A95CA" w14:textId="7BEF60EB" w:rsidR="0011219A" w:rsidRPr="00C67737" w:rsidRDefault="4467EACD" w:rsidP="000B33CF">
      <w:pPr>
        <w:pStyle w:val="ListParagraph"/>
      </w:pPr>
      <w:r>
        <w:t>Financée par le domaine d’intervention «</w:t>
      </w:r>
      <w:r w:rsidR="00824585">
        <w:t> </w:t>
      </w:r>
      <w:r w:rsidR="00D255CE">
        <w:t>D</w:t>
      </w:r>
      <w:r>
        <w:t>iversité biologique</w:t>
      </w:r>
      <w:r w:rsidR="00824585">
        <w:t> </w:t>
      </w:r>
      <w:r>
        <w:t xml:space="preserve">» </w:t>
      </w:r>
      <w:r w:rsidR="00DD1F44">
        <w:t>du Fonds fiduciaire</w:t>
      </w:r>
      <w:r>
        <w:t xml:space="preserve"> du GEF, l’Initiative </w:t>
      </w:r>
      <w:r w:rsidR="00DD5A16">
        <w:t>HCI</w:t>
      </w:r>
      <w:r w:rsidR="00D80C1C">
        <w:t xml:space="preserve"> (</w:t>
      </w:r>
      <w:r w:rsidR="00D80C1C" w:rsidRPr="00B436A7">
        <w:rPr>
          <w:b/>
          <w:bCs/>
          <w:i/>
          <w:iCs/>
        </w:rPr>
        <w:t>Heart of Conservation Initiative</w:t>
      </w:r>
      <w:r w:rsidR="00D80C1C">
        <w:t>)</w:t>
      </w:r>
      <w:r w:rsidR="00DD5A16">
        <w:t xml:space="preserve"> </w:t>
      </w:r>
      <w:r>
        <w:t xml:space="preserve">de </w:t>
      </w:r>
      <w:r w:rsidR="00376C22">
        <w:t>GEF</w:t>
      </w:r>
      <w:r w:rsidR="00376C22">
        <w:noBreakHyphen/>
      </w:r>
      <w:r>
        <w:t>8 (financement de projet du GEF</w:t>
      </w:r>
      <w:r w:rsidR="006E54C7">
        <w:t> :</w:t>
      </w:r>
      <w:r>
        <w:t xml:space="preserve"> 22</w:t>
      </w:r>
      <w:r w:rsidR="00824585">
        <w:t> 535 780 </w:t>
      </w:r>
      <w:r>
        <w:t>dollars</w:t>
      </w:r>
      <w:r w:rsidR="00824585">
        <w:t> </w:t>
      </w:r>
      <w:r>
        <w:t>; cofinancement</w:t>
      </w:r>
      <w:r w:rsidR="006E54C7">
        <w:t> :</w:t>
      </w:r>
      <w:r>
        <w:t xml:space="preserve"> 83</w:t>
      </w:r>
      <w:r w:rsidR="00824585">
        <w:t> 799 902 </w:t>
      </w:r>
      <w:r>
        <w:t>dollars) a été approuvée par le Conseil du GEF en décembre 2024. L’</w:t>
      </w:r>
      <w:r w:rsidR="00F52D3D">
        <w:t>Agence</w:t>
      </w:r>
      <w:r>
        <w:t xml:space="preserve"> du GEF, le Fonds mondial pour la nature (WWF-</w:t>
      </w:r>
      <w:r w:rsidR="00BF4685">
        <w:t>US</w:t>
      </w:r>
      <w:r>
        <w:t xml:space="preserve">), a été sélectionnée par le Groupe consultatif du GEF sur les peuples autochtones (IPAG). </w:t>
      </w:r>
      <w:r w:rsidR="00C34CAF" w:rsidRPr="00C34CAF">
        <w:t>L’initiative vise à accroître les ressources</w:t>
      </w:r>
      <w:r w:rsidR="00A928CD">
        <w:t xml:space="preserve"> et</w:t>
      </w:r>
      <w:r w:rsidR="00C34CAF" w:rsidRPr="00C34CAF">
        <w:t xml:space="preserve"> les capacités organisationnelles </w:t>
      </w:r>
      <w:r w:rsidR="00B3206F" w:rsidRPr="00B3206F">
        <w:t xml:space="preserve">des peuples autochtones et </w:t>
      </w:r>
      <w:r w:rsidR="00B3206F" w:rsidRPr="00B3206F">
        <w:lastRenderedPageBreak/>
        <w:t>communautés locales, ainsi que la reconnaissance de leur gouvernance et de leur gestion des territoires, des terres, des eaux et des ressources, afin de produire des avantages environnementaux mondiaux.</w:t>
      </w:r>
      <w:r w:rsidR="00C34CAF" w:rsidRPr="00C34CAF">
        <w:t xml:space="preserve"> </w:t>
      </w:r>
      <w:r>
        <w:t xml:space="preserve">Quatre-vingts pour cent du financement de l’initiative </w:t>
      </w:r>
      <w:r w:rsidR="00426AF7">
        <w:t>HCI</w:t>
      </w:r>
      <w:r>
        <w:t xml:space="preserve"> seront destinés aux peuples autochtones et communautés locales ainsi qu’à leurs organisations. Élaborée à l’issue de consultations avec les peuples autochtones et communautés locales, l’Initiative HCI de </w:t>
      </w:r>
      <w:r w:rsidR="00376C22">
        <w:t>GEF</w:t>
      </w:r>
      <w:r w:rsidR="00376C22">
        <w:noBreakHyphen/>
      </w:r>
      <w:r>
        <w:t xml:space="preserve">8 appuie </w:t>
      </w:r>
      <w:r w:rsidR="0018453F" w:rsidRPr="0018453F">
        <w:t xml:space="preserve">leurs partenaires </w:t>
      </w:r>
      <w:r w:rsidR="00A928CD">
        <w:t>d’exécution</w:t>
      </w:r>
      <w:r w:rsidR="00814179">
        <w:t xml:space="preserve"> </w:t>
      </w:r>
      <w:r w:rsidR="0018453F" w:rsidRPr="0018453F">
        <w:t xml:space="preserve">au moyen de financements directs accordés par l’Agence du GEF, afin qu’ils </w:t>
      </w:r>
      <w:r w:rsidR="00B91DD2">
        <w:t xml:space="preserve">puissent </w:t>
      </w:r>
      <w:r w:rsidR="0018453F" w:rsidRPr="0018453F">
        <w:t>me</w:t>
      </w:r>
      <w:r w:rsidR="00B91DD2">
        <w:t>t</w:t>
      </w:r>
      <w:r w:rsidR="0018453F" w:rsidRPr="0018453F">
        <w:t>t</w:t>
      </w:r>
      <w:r w:rsidR="00B91DD2">
        <w:t>re</w:t>
      </w:r>
      <w:r w:rsidR="0018453F" w:rsidRPr="0018453F">
        <w:t xml:space="preserve"> en œuvre les plans qu’ils ont </w:t>
      </w:r>
      <w:r w:rsidR="00E87221">
        <w:t xml:space="preserve">eux-mêmes </w:t>
      </w:r>
      <w:r w:rsidR="0018453F" w:rsidRPr="0018453F">
        <w:t>définis pour produire des avantages environnementaux mondiaux et renforcer leurs capacités organisationnelles. Certaines organisations partenaires des peuples autochtones et communautés locales recevront des financements directs pour mener des activités sur le terrain et renforcer leurs capacités organisationnelles.</w:t>
      </w:r>
      <w:r w:rsidR="0018453F">
        <w:t xml:space="preserve"> </w:t>
      </w:r>
      <w:r w:rsidR="00284BED">
        <w:t>D</w:t>
      </w:r>
      <w:r w:rsidR="00284BED" w:rsidRPr="00284BED">
        <w:t xml:space="preserve">’autres organisations partenaires autochtones sélectionnées sont chargées de mécanismes de financement dirigés par des peuples autochtones et communautés locales. Elles recevront des financements directs afin de renforcer leurs capacités institutionnelles et techniques et d’accorder des </w:t>
      </w:r>
      <w:r w:rsidR="00BE149E">
        <w:t>financements subsidiaires</w:t>
      </w:r>
      <w:r w:rsidR="00284BED" w:rsidRPr="00284BED">
        <w:t xml:space="preserve"> à des organisations de peuples autochtones et communautés locales.</w:t>
      </w:r>
      <w:r w:rsidR="00B436A7" w:rsidRPr="00B436A7">
        <w:t xml:space="preserve"> Au-delà des avantages environnementaux que procurera son appui à ces mécanismes de financement, l’initiative HCI vise à mettre en place l’infrastructure institutionnelle nécessaire pour acheminer à l’avenir davantage de financements de manière plus directe.</w:t>
      </w:r>
      <w:r w:rsidR="00B436A7">
        <w:t xml:space="preserve"> </w:t>
      </w:r>
      <w:r w:rsidR="00B436A7" w:rsidRPr="00B436A7">
        <w:t>Au cours de la période considérée, le projet a lancé un appel ouvert à candidatures</w:t>
      </w:r>
      <w:r w:rsidR="005D7861" w:rsidRPr="00C67737">
        <w:rPr>
          <w:rStyle w:val="FootnoteReference"/>
          <w:lang w:val="en-US"/>
        </w:rPr>
        <w:footnoteReference w:id="26"/>
      </w:r>
      <w:hyperlink w:anchor="_ftn1" w:history="1"/>
      <w:r w:rsidR="00B436A7" w:rsidRPr="00B436A7">
        <w:t xml:space="preserve"> </w:t>
      </w:r>
      <w:r w:rsidR="00713B1F">
        <w:t>(</w:t>
      </w:r>
      <w:r w:rsidR="00A928CD" w:rsidRPr="00B436A7">
        <w:t>en anglais, en français, en espagnol et en portugais</w:t>
      </w:r>
      <w:r w:rsidR="00713B1F">
        <w:t>)</w:t>
      </w:r>
      <w:r w:rsidR="00A928CD" w:rsidRPr="00B436A7">
        <w:t xml:space="preserve"> </w:t>
      </w:r>
      <w:r w:rsidR="00B436A7" w:rsidRPr="00B436A7">
        <w:t>à l’intention des organisations partenaires. Plus de 850</w:t>
      </w:r>
      <w:r w:rsidR="00BB680B">
        <w:t> </w:t>
      </w:r>
      <w:r w:rsidR="00B436A7" w:rsidRPr="00B436A7">
        <w:t>propositions émanant d’organisations de peuples autochtones et communautés locales du monde entier ont été reçues, puis soumises à un processus rigoureux d’examen et de sélection conduit sous l’égide d’un Comité directeur mondial provisoire.</w:t>
      </w:r>
      <w:r w:rsidR="00B436A7">
        <w:t xml:space="preserve"> </w:t>
      </w:r>
      <w:r w:rsidR="00B436A7" w:rsidRPr="00B436A7">
        <w:t xml:space="preserve">Facilités par le WWF, les travaux </w:t>
      </w:r>
      <w:r w:rsidR="005D7861">
        <w:t>de ce comité</w:t>
      </w:r>
      <w:r w:rsidR="00B436A7" w:rsidRPr="00B436A7">
        <w:t xml:space="preserve"> ont réuni des </w:t>
      </w:r>
      <w:r w:rsidR="005D7861">
        <w:t>responsables</w:t>
      </w:r>
      <w:r w:rsidR="00B436A7" w:rsidRPr="00B436A7">
        <w:t xml:space="preserve"> de peuples autochtones et de communautés locales issus de l’IPAG du GEF et du Forum international autochtone sur la biodiversité (FIAB), ainsi que des membres du Secrétariat du GEF. À l’issue du processus de sélection, un atelier de planification et de conception s’est tenu à Nairobi, du 23 au 27</w:t>
      </w:r>
      <w:r w:rsidR="00F07922">
        <w:t> </w:t>
      </w:r>
      <w:r w:rsidR="00B436A7" w:rsidRPr="00B436A7">
        <w:t>février</w:t>
      </w:r>
      <w:r w:rsidR="00F07922">
        <w:t> </w:t>
      </w:r>
      <w:r w:rsidR="00B436A7" w:rsidRPr="00B436A7">
        <w:t>2026, avec les dix organisations de peuples autochtones et communautés locales sélectionnées par le Comité directeur provisoire pour bénéficier d’un appui.</w:t>
      </w:r>
      <w:r w:rsidR="00B436A7">
        <w:t xml:space="preserve"> </w:t>
      </w:r>
      <w:r w:rsidR="00B436A7" w:rsidRPr="00B436A7">
        <w:t>L’atelier a fait progresser la conception des sous-projets et l’élaboration des plans de mise en œuvre, fondés sur les priorités que les organisations ont elles-mêmes définies, les sauvegardes environnementales et sociales, ainsi que les plans relatifs à l’égalité des genres et à la mobilisation des parties prenantes. Un Comité directeur mondial permanent sera mis en place. Il réunira des représentants désignés par chacune des organisations bénéficiaires, un membre de l’IPAG du GEF et des représentants du Secrétariat du GEF, de sorte que la gouvernance et le pouvoir de décision demeurent entre les mains des peuples autochtones et communautés locales tout au long de la mise en œuvre.</w:t>
      </w:r>
    </w:p>
    <w:p w14:paraId="4E214E02" w14:textId="61589E5C" w:rsidR="0011219A" w:rsidRPr="00C67737" w:rsidRDefault="00222E2C" w:rsidP="000B33CF">
      <w:pPr>
        <w:pStyle w:val="ListParagraph"/>
      </w:pPr>
      <w:r>
        <w:t>L’</w:t>
      </w:r>
      <w:r w:rsidR="00416524">
        <w:t xml:space="preserve">initiative </w:t>
      </w:r>
      <w:r w:rsidR="001923C1">
        <w:t>précédente</w:t>
      </w:r>
      <w:r w:rsidR="68E80585">
        <w:t>, à savoir l’</w:t>
      </w:r>
      <w:r w:rsidR="68E80585">
        <w:rPr>
          <w:b/>
          <w:bCs/>
          <w:i/>
          <w:iCs/>
        </w:rPr>
        <w:t xml:space="preserve">Initiative de conservation inclusive de </w:t>
      </w:r>
      <w:r w:rsidR="00376C22">
        <w:rPr>
          <w:b/>
          <w:bCs/>
          <w:i/>
          <w:iCs/>
        </w:rPr>
        <w:t>GEF</w:t>
      </w:r>
      <w:r w:rsidR="00376C22">
        <w:rPr>
          <w:b/>
          <w:bCs/>
          <w:i/>
          <w:iCs/>
        </w:rPr>
        <w:noBreakHyphen/>
      </w:r>
      <w:r w:rsidR="68E80585">
        <w:rPr>
          <w:b/>
          <w:bCs/>
          <w:i/>
          <w:iCs/>
        </w:rPr>
        <w:t>7</w:t>
      </w:r>
      <w:r w:rsidR="68E80585">
        <w:t xml:space="preserve"> (financement de projet du GEF</w:t>
      </w:r>
      <w:r w:rsidR="006E54C7">
        <w:t> :</w:t>
      </w:r>
      <w:r w:rsidR="68E80585">
        <w:t xml:space="preserve"> 22</w:t>
      </w:r>
      <w:r w:rsidR="00824585">
        <w:t> 535 780 </w:t>
      </w:r>
      <w:r w:rsidR="68E80585">
        <w:t>dollars</w:t>
      </w:r>
      <w:r w:rsidR="00824585">
        <w:t> </w:t>
      </w:r>
      <w:r w:rsidR="68E80585">
        <w:t>; cofinancement</w:t>
      </w:r>
      <w:r w:rsidR="006E54C7">
        <w:t> :</w:t>
      </w:r>
      <w:r w:rsidR="68E80585">
        <w:t xml:space="preserve"> 90</w:t>
      </w:r>
      <w:r w:rsidR="00824585">
        <w:t> 384 856 </w:t>
      </w:r>
      <w:r w:rsidR="68E80585">
        <w:t>dollars)</w:t>
      </w:r>
      <w:r w:rsidR="008D3F8F">
        <w:t xml:space="preserve"> ayant </w:t>
      </w:r>
      <w:r w:rsidR="00D60BF2">
        <w:t>débuté</w:t>
      </w:r>
      <w:r w:rsidR="001A3937">
        <w:t xml:space="preserve"> </w:t>
      </w:r>
      <w:r w:rsidR="68E80585">
        <w:t>en 2022</w:t>
      </w:r>
      <w:r w:rsidR="00622773">
        <w:t>,</w:t>
      </w:r>
      <w:r w:rsidR="68E80585">
        <w:t xml:space="preserve"> </w:t>
      </w:r>
      <w:r w:rsidR="006C56CA">
        <w:t xml:space="preserve">a </w:t>
      </w:r>
      <w:r w:rsidR="001A3937">
        <w:t>poursuivi sa</w:t>
      </w:r>
      <w:r w:rsidR="68E80585">
        <w:t xml:space="preserve"> </w:t>
      </w:r>
      <w:r w:rsidR="00D60BF2">
        <w:t>mise en œuvre durant</w:t>
      </w:r>
      <w:r w:rsidR="68E80585">
        <w:t xml:space="preserve"> la période considérée. Treize sous-projets sont en cours dans les Amériques, en Afrique, en Asie et dans le Pacifique.</w:t>
      </w:r>
      <w:r w:rsidR="005B28D9">
        <w:t xml:space="preserve"> </w:t>
      </w:r>
      <w:r w:rsidR="00291A4F">
        <w:t>La revue</w:t>
      </w:r>
      <w:r w:rsidR="00806C15" w:rsidRPr="00806C15">
        <w:t xml:space="preserve"> à mi-parcours </w:t>
      </w:r>
      <w:r w:rsidR="00143300">
        <w:lastRenderedPageBreak/>
        <w:t>mené</w:t>
      </w:r>
      <w:r w:rsidR="00AC6A23">
        <w:t>e</w:t>
      </w:r>
      <w:r w:rsidR="00143300">
        <w:t xml:space="preserve"> en 2025 </w:t>
      </w:r>
      <w:r w:rsidR="00806C15" w:rsidRPr="00806C15">
        <w:t>a fait état de résultats importants</w:t>
      </w:r>
      <w:r w:rsidR="006E54C7">
        <w:t> :</w:t>
      </w:r>
      <w:r w:rsidR="00806C15" w:rsidRPr="00806C15">
        <w:t xml:space="preserve"> l’efficacité de la gestion de 1,89</w:t>
      </w:r>
      <w:r w:rsidR="00DE33F9">
        <w:t> </w:t>
      </w:r>
      <w:r w:rsidR="00806C15" w:rsidRPr="00806C15">
        <w:t>million d’hectares d’aires protégées avait déjà été renforcée</w:t>
      </w:r>
      <w:r w:rsidR="00BB680B">
        <w:t> </w:t>
      </w:r>
      <w:r w:rsidR="00806C15" w:rsidRPr="00806C15">
        <w:t>; 2,14</w:t>
      </w:r>
      <w:r w:rsidR="00BB680B">
        <w:t> </w:t>
      </w:r>
      <w:r w:rsidR="00806C15" w:rsidRPr="00806C15">
        <w:t>millions d’hectares de paysages situés hors des aires protégées étaient soumis à des pratiques améliorées</w:t>
      </w:r>
      <w:r w:rsidR="00BB680B">
        <w:t> </w:t>
      </w:r>
      <w:r w:rsidR="00806C15" w:rsidRPr="00806C15">
        <w:t>; 10</w:t>
      </w:r>
      <w:r w:rsidR="00BB680B">
        <w:t> </w:t>
      </w:r>
      <w:r w:rsidR="00806C15" w:rsidRPr="00806C15">
        <w:t>280</w:t>
      </w:r>
      <w:r w:rsidR="005B28D9">
        <w:t> </w:t>
      </w:r>
      <w:r w:rsidR="00806C15" w:rsidRPr="00806C15">
        <w:t xml:space="preserve">hectares d’écosystèmes faisaient l’objet </w:t>
      </w:r>
      <w:r w:rsidR="005B28D9">
        <w:t xml:space="preserve">de mesures de </w:t>
      </w:r>
      <w:r w:rsidR="00DE33F9">
        <w:t>restauration</w:t>
      </w:r>
      <w:r w:rsidR="00BB680B">
        <w:t> </w:t>
      </w:r>
      <w:r w:rsidR="00806C15" w:rsidRPr="00806C15">
        <w:t xml:space="preserve">; </w:t>
      </w:r>
      <w:r w:rsidR="005B117C" w:rsidRPr="005B117C">
        <w:t>et 52</w:t>
      </w:r>
      <w:r w:rsidR="00BB680B">
        <w:t> </w:t>
      </w:r>
      <w:r w:rsidR="005B117C" w:rsidRPr="005B117C">
        <w:t>598</w:t>
      </w:r>
      <w:r w:rsidR="005B117C">
        <w:t> </w:t>
      </w:r>
      <w:r w:rsidR="005B117C" w:rsidRPr="005B117C">
        <w:t>personnes, dont 24</w:t>
      </w:r>
      <w:r w:rsidR="00BB680B">
        <w:t> 336 </w:t>
      </w:r>
      <w:r w:rsidR="005B117C" w:rsidRPr="005B117C">
        <w:t>femmes, avaient bénéficié des retombées de l’initiative</w:t>
      </w:r>
      <w:r w:rsidR="00806C15" w:rsidRPr="00806C15">
        <w:t>.</w:t>
      </w:r>
      <w:r w:rsidR="00806C15">
        <w:t xml:space="preserve"> </w:t>
      </w:r>
      <w:r w:rsidR="00291A4F">
        <w:t xml:space="preserve">Cette dernière </w:t>
      </w:r>
      <w:r w:rsidR="00564E02" w:rsidRPr="00564E02">
        <w:t>met en place et démontre un modèle de financement direct à grande échelle et à long terme, qui place les institutions autochtones — plutôt que les intermédiaires — au cœur de l’action en faveur du climat et de la diversité biologique. En investissant à grande échelle et sur le long terme, elle permet aux organisations autochtones de renforcer leur gouvernance, de gérer leurs territoires de manière globale et d’assurer la continuité de leur rôle de chef de file d’une génération à l’autre.</w:t>
      </w:r>
      <w:r w:rsidR="00564E02">
        <w:t xml:space="preserve"> </w:t>
      </w:r>
      <w:r w:rsidR="68E80585">
        <w:t xml:space="preserve">Le Comité directeur mondial du projet, composé exclusivement de </w:t>
      </w:r>
      <w:r w:rsidR="00C85C0F">
        <w:t>responsables</w:t>
      </w:r>
      <w:r w:rsidR="68E80585">
        <w:t xml:space="preserve"> de peuples autochtones et communautés locales issus des sous-projets et désignés par leurs communautés, s’est réuni à plusieurs reprises, notamment </w:t>
      </w:r>
      <w:r w:rsidR="00291A4F">
        <w:t xml:space="preserve">en </w:t>
      </w:r>
      <w:r w:rsidR="00FA4458">
        <w:t>amont de</w:t>
      </w:r>
      <w:r w:rsidR="68E80585">
        <w:t xml:space="preserve"> la seizième réunion de la Conférence des Parties à la Convention sur la diversité biologique, tenue à Cali (Colombie), où </w:t>
      </w:r>
      <w:r w:rsidR="00C9280A">
        <w:t>ses membres ont été accueill</w:t>
      </w:r>
      <w:r w:rsidR="00794289">
        <w:t xml:space="preserve">is par </w:t>
      </w:r>
      <w:r w:rsidR="68E80585">
        <w:t xml:space="preserve">le Conseil régional autochtone du Cauca (CRIC </w:t>
      </w:r>
      <w:r w:rsidR="68E80585" w:rsidRPr="00BF2D11">
        <w:rPr>
          <w:i/>
          <w:iCs/>
        </w:rPr>
        <w:t xml:space="preserve">— Consejo Regional </w:t>
      </w:r>
      <w:proofErr w:type="spellStart"/>
      <w:r w:rsidR="68E80585" w:rsidRPr="00BF2D11">
        <w:rPr>
          <w:i/>
          <w:iCs/>
        </w:rPr>
        <w:t>Indígena</w:t>
      </w:r>
      <w:proofErr w:type="spellEnd"/>
      <w:r w:rsidR="68E80585" w:rsidRPr="00BF2D11">
        <w:rPr>
          <w:i/>
          <w:iCs/>
        </w:rPr>
        <w:t xml:space="preserve"> del</w:t>
      </w:r>
      <w:r w:rsidR="00824585" w:rsidRPr="00BF2D11">
        <w:rPr>
          <w:i/>
          <w:iCs/>
        </w:rPr>
        <w:t> </w:t>
      </w:r>
      <w:r w:rsidR="68E80585" w:rsidRPr="00BF2D11">
        <w:rPr>
          <w:i/>
          <w:iCs/>
        </w:rPr>
        <w:t>Cauca</w:t>
      </w:r>
      <w:r w:rsidR="68E80585">
        <w:t xml:space="preserve">). Les bénéficiaires de financements de l’Initiative de conservation inclusive ont participé à la Conférence des Parties à la Convention sur la diversité biologique avec le Forum international autochtone sur la biodiversité (FIAB), au Congrès mondial de la nature de l’Union internationale pour la conservation de la nature (UICN) en 2025 et, pour certains d’entre eux, à la huitième Assemblée du GEF. </w:t>
      </w:r>
    </w:p>
    <w:p w14:paraId="181EA536" w14:textId="489156DC" w:rsidR="00376656" w:rsidRPr="00C67737" w:rsidRDefault="00465F68" w:rsidP="000B33CF">
      <w:pPr>
        <w:pStyle w:val="ListParagraph"/>
      </w:pPr>
      <w:r>
        <w:t>L</w:t>
      </w:r>
      <w:r w:rsidR="00FA4458">
        <w:t xml:space="preserve">e Conseil du GEF </w:t>
      </w:r>
      <w:r>
        <w:t xml:space="preserve">a également approuvé, </w:t>
      </w:r>
      <w:r w:rsidR="0011219A">
        <w:t xml:space="preserve">au cours de la période considérée, plusieurs projets et programmes destinés à appuyer les initiatives des peuples autochtones et communautés locales en faveur de la protection de la diversité biologique et de la réalisation des objectifs d’autres conventions. Par exemple, le projet </w:t>
      </w:r>
      <w:proofErr w:type="spellStart"/>
      <w:r w:rsidR="0011219A">
        <w:rPr>
          <w:b/>
          <w:bCs/>
          <w:i/>
          <w:iCs/>
        </w:rPr>
        <w:t>BioSouth</w:t>
      </w:r>
      <w:proofErr w:type="spellEnd"/>
      <w:r w:rsidR="006E54C7">
        <w:rPr>
          <w:b/>
          <w:bCs/>
          <w:i/>
          <w:iCs/>
        </w:rPr>
        <w:t> :</w:t>
      </w:r>
      <w:r w:rsidR="0011219A">
        <w:rPr>
          <w:b/>
          <w:bCs/>
          <w:i/>
          <w:iCs/>
        </w:rPr>
        <w:t xml:space="preserve"> The Pacific-</w:t>
      </w:r>
      <w:proofErr w:type="spellStart"/>
      <w:r w:rsidR="0011219A">
        <w:rPr>
          <w:b/>
          <w:bCs/>
          <w:i/>
          <w:iCs/>
        </w:rPr>
        <w:t>Andean</w:t>
      </w:r>
      <w:proofErr w:type="spellEnd"/>
      <w:r w:rsidR="0011219A">
        <w:rPr>
          <w:b/>
          <w:bCs/>
          <w:i/>
          <w:iCs/>
        </w:rPr>
        <w:t>-</w:t>
      </w:r>
      <w:proofErr w:type="spellStart"/>
      <w:r w:rsidR="0011219A">
        <w:rPr>
          <w:b/>
          <w:bCs/>
          <w:i/>
          <w:iCs/>
        </w:rPr>
        <w:t>Amazonian</w:t>
      </w:r>
      <w:proofErr w:type="spellEnd"/>
      <w:r w:rsidR="0011219A">
        <w:rPr>
          <w:b/>
          <w:bCs/>
          <w:i/>
          <w:iCs/>
        </w:rPr>
        <w:t xml:space="preserve"> </w:t>
      </w:r>
      <w:proofErr w:type="spellStart"/>
      <w:r w:rsidR="0011219A">
        <w:rPr>
          <w:b/>
          <w:bCs/>
          <w:i/>
          <w:iCs/>
        </w:rPr>
        <w:t>Ecological</w:t>
      </w:r>
      <w:proofErr w:type="spellEnd"/>
      <w:r w:rsidR="0011219A">
        <w:rPr>
          <w:b/>
          <w:bCs/>
          <w:i/>
          <w:iCs/>
        </w:rPr>
        <w:t xml:space="preserve"> and Cultural Connectivity Corridor</w:t>
      </w:r>
      <w:r w:rsidR="0011219A">
        <w:t xml:space="preserve"> (Colombie</w:t>
      </w:r>
      <w:r w:rsidR="00824585">
        <w:t> </w:t>
      </w:r>
      <w:r w:rsidR="0011219A">
        <w:t>; financement de projet du GEF</w:t>
      </w:r>
      <w:r w:rsidR="006E54C7">
        <w:t> :</w:t>
      </w:r>
      <w:r w:rsidR="0011219A">
        <w:t xml:space="preserve"> 13</w:t>
      </w:r>
      <w:r w:rsidR="00824585">
        <w:t> 736 697 </w:t>
      </w:r>
      <w:r w:rsidR="0011219A">
        <w:t>dollars</w:t>
      </w:r>
      <w:r w:rsidR="00824585">
        <w:t> </w:t>
      </w:r>
      <w:r w:rsidR="0011219A">
        <w:t>; cofinancement</w:t>
      </w:r>
      <w:r w:rsidR="006E54C7">
        <w:t> :</w:t>
      </w:r>
      <w:r w:rsidR="0011219A">
        <w:t xml:space="preserve"> 41</w:t>
      </w:r>
      <w:r w:rsidR="00824585">
        <w:t> 341 421 </w:t>
      </w:r>
      <w:r w:rsidR="0011219A">
        <w:t xml:space="preserve">dollars) soutient la révision des plans de gestion des aires protégées afin d’y intégrer les perspectives et les besoins des peuples autochtones et communautés locales, des femmes et des jeunes. Il appuie également l’enregistrement d’autres mesures de conservation efficaces par zone gérées par des peuples autochtones et communautés locales, ainsi que l’élaboration, à leur intention, de plans de gestion participative et de mécanismes financiers. Au Timor-Leste, le projet </w:t>
      </w:r>
      <w:proofErr w:type="spellStart"/>
      <w:r w:rsidR="0011219A">
        <w:rPr>
          <w:b/>
          <w:bCs/>
          <w:i/>
          <w:iCs/>
        </w:rPr>
        <w:t>Improving</w:t>
      </w:r>
      <w:proofErr w:type="spellEnd"/>
      <w:r w:rsidR="0011219A">
        <w:rPr>
          <w:b/>
          <w:bCs/>
          <w:i/>
          <w:iCs/>
        </w:rPr>
        <w:t xml:space="preserve"> </w:t>
      </w:r>
      <w:proofErr w:type="spellStart"/>
      <w:r w:rsidR="0011219A">
        <w:rPr>
          <w:b/>
          <w:bCs/>
          <w:i/>
          <w:iCs/>
        </w:rPr>
        <w:t>Wetlands</w:t>
      </w:r>
      <w:proofErr w:type="spellEnd"/>
      <w:r w:rsidR="0011219A">
        <w:rPr>
          <w:b/>
          <w:bCs/>
          <w:i/>
          <w:iCs/>
        </w:rPr>
        <w:t xml:space="preserve"> Management for </w:t>
      </w:r>
      <w:proofErr w:type="spellStart"/>
      <w:r w:rsidR="0011219A">
        <w:rPr>
          <w:b/>
          <w:bCs/>
          <w:i/>
          <w:iCs/>
        </w:rPr>
        <w:t>Biodiversity</w:t>
      </w:r>
      <w:proofErr w:type="spellEnd"/>
      <w:r w:rsidR="0011219A">
        <w:rPr>
          <w:b/>
          <w:bCs/>
          <w:i/>
          <w:iCs/>
        </w:rPr>
        <w:t xml:space="preserve"> and </w:t>
      </w:r>
      <w:proofErr w:type="spellStart"/>
      <w:r w:rsidR="0011219A">
        <w:rPr>
          <w:b/>
          <w:bCs/>
          <w:i/>
          <w:iCs/>
        </w:rPr>
        <w:t>Improved</w:t>
      </w:r>
      <w:proofErr w:type="spellEnd"/>
      <w:r w:rsidR="0011219A">
        <w:rPr>
          <w:b/>
          <w:bCs/>
          <w:i/>
          <w:iCs/>
        </w:rPr>
        <w:t xml:space="preserve"> Human-</w:t>
      </w:r>
      <w:proofErr w:type="spellStart"/>
      <w:r w:rsidR="0011219A">
        <w:rPr>
          <w:b/>
          <w:bCs/>
          <w:i/>
          <w:iCs/>
        </w:rPr>
        <w:t>Wildlife</w:t>
      </w:r>
      <w:proofErr w:type="spellEnd"/>
      <w:r w:rsidR="0011219A">
        <w:rPr>
          <w:b/>
          <w:bCs/>
          <w:i/>
          <w:iCs/>
        </w:rPr>
        <w:t xml:space="preserve"> Coexistence</w:t>
      </w:r>
      <w:r w:rsidR="0011219A">
        <w:t xml:space="preserve"> (Timor-Leste</w:t>
      </w:r>
      <w:r w:rsidR="006E54C7">
        <w:t> ;</w:t>
      </w:r>
      <w:r w:rsidR="0011219A">
        <w:t xml:space="preserve"> financement de projet du GEF</w:t>
      </w:r>
      <w:r w:rsidR="006E54C7">
        <w:t> :</w:t>
      </w:r>
      <w:r w:rsidR="0011219A">
        <w:t xml:space="preserve"> 2</w:t>
      </w:r>
      <w:r w:rsidR="00824585">
        <w:t> 932 000 </w:t>
      </w:r>
      <w:r w:rsidR="0011219A">
        <w:t>dollars</w:t>
      </w:r>
      <w:r w:rsidR="00824585">
        <w:t> </w:t>
      </w:r>
      <w:r w:rsidR="0011219A">
        <w:t>; cofinancement</w:t>
      </w:r>
      <w:r w:rsidR="006E54C7">
        <w:t> :</w:t>
      </w:r>
      <w:r w:rsidR="0011219A">
        <w:t xml:space="preserve"> 6</w:t>
      </w:r>
      <w:r w:rsidR="00824585">
        <w:t> 881 786 </w:t>
      </w:r>
      <w:r w:rsidR="0011219A">
        <w:t xml:space="preserve">dollars) aidera les communautés autochtones à gérer durablement leurs zones humides, tout en traitant les conflits entre les populations et </w:t>
      </w:r>
      <w:r w:rsidR="001A41AF">
        <w:t>les espèces sauvages</w:t>
      </w:r>
      <w:r w:rsidR="0011219A">
        <w:t xml:space="preserve"> et en augmentant leurs revenus. Les six projets rattachés au programme intégré de </w:t>
      </w:r>
      <w:r w:rsidR="00376C22">
        <w:t>GEF</w:t>
      </w:r>
      <w:r w:rsidR="00376C22">
        <w:noBreakHyphen/>
      </w:r>
      <w:r w:rsidR="0011219A">
        <w:t xml:space="preserve">8 </w:t>
      </w:r>
      <w:proofErr w:type="gramStart"/>
      <w:r w:rsidR="0011219A">
        <w:t>relatif</w:t>
      </w:r>
      <w:proofErr w:type="gramEnd"/>
      <w:r w:rsidR="0011219A">
        <w:t xml:space="preserve"> au </w:t>
      </w:r>
      <w:r w:rsidR="0011219A">
        <w:rPr>
          <w:b/>
          <w:bCs/>
          <w:i/>
          <w:iCs/>
        </w:rPr>
        <w:t xml:space="preserve">biome </w:t>
      </w:r>
      <w:r w:rsidR="007C3CF2">
        <w:rPr>
          <w:b/>
          <w:bCs/>
          <w:i/>
          <w:iCs/>
        </w:rPr>
        <w:t>forestier critique</w:t>
      </w:r>
      <w:r w:rsidR="0011219A">
        <w:rPr>
          <w:b/>
          <w:bCs/>
          <w:i/>
          <w:iCs/>
        </w:rPr>
        <w:t xml:space="preserve"> </w:t>
      </w:r>
      <w:r w:rsidR="00652541">
        <w:rPr>
          <w:b/>
          <w:bCs/>
          <w:i/>
          <w:iCs/>
        </w:rPr>
        <w:t>du</w:t>
      </w:r>
      <w:r w:rsidR="0011219A">
        <w:rPr>
          <w:b/>
          <w:bCs/>
          <w:i/>
          <w:iCs/>
        </w:rPr>
        <w:t xml:space="preserve"> bassin du Congo</w:t>
      </w:r>
      <w:r w:rsidR="0011219A">
        <w:t xml:space="preserve"> (régional</w:t>
      </w:r>
      <w:r w:rsidR="00824585">
        <w:t> </w:t>
      </w:r>
      <w:r w:rsidR="0011219A">
        <w:t>; Cameroun, Guinée équatoriale, République centrafricaine, République démocratique du Congo, Sao Tomé-et-Principe</w:t>
      </w:r>
      <w:r w:rsidR="00824585">
        <w:t> </w:t>
      </w:r>
      <w:r w:rsidR="0011219A">
        <w:t>; financement de projet du GEF</w:t>
      </w:r>
      <w:r w:rsidR="006E54C7">
        <w:t> :</w:t>
      </w:r>
      <w:r w:rsidR="0011219A">
        <w:t xml:space="preserve"> 56</w:t>
      </w:r>
      <w:r w:rsidR="00824585">
        <w:t> 259 439 </w:t>
      </w:r>
      <w:r w:rsidR="0011219A">
        <w:t>dollars</w:t>
      </w:r>
      <w:r w:rsidR="00824585">
        <w:t> </w:t>
      </w:r>
      <w:r w:rsidR="0011219A">
        <w:t>; cofinancement</w:t>
      </w:r>
      <w:r w:rsidR="006E54C7">
        <w:t> :</w:t>
      </w:r>
      <w:r w:rsidR="0011219A">
        <w:t xml:space="preserve"> 363</w:t>
      </w:r>
      <w:r w:rsidR="00824585">
        <w:t> 594 993 </w:t>
      </w:r>
      <w:r w:rsidR="0011219A">
        <w:t xml:space="preserve">dollars) comportent tous une composante visant à renforcer l’autonomisation des peuples autochtones et communautés locales, des femmes et des jeunes. Cette composante s’appuie sur l’importance déjà accordée au soutien des peuples autochtones et communautés locales dans le cadre du </w:t>
      </w:r>
      <w:r w:rsidR="00594670">
        <w:t xml:space="preserve">programme </w:t>
      </w:r>
      <w:r w:rsidR="0011219A">
        <w:t>d’impact axé sur les paysages durables du bassin du Congo</w:t>
      </w:r>
      <w:r w:rsidR="000D1201">
        <w:t xml:space="preserve"> de </w:t>
      </w:r>
      <w:r w:rsidR="00376C22">
        <w:t>GEF</w:t>
      </w:r>
      <w:r w:rsidR="00376C22">
        <w:noBreakHyphen/>
      </w:r>
      <w:r w:rsidR="000D1201">
        <w:t>7 (</w:t>
      </w:r>
      <w:hyperlink r:id="rId26" w:history="1">
        <w:r w:rsidR="000D1201">
          <w:rPr>
            <w:i/>
          </w:rPr>
          <w:t xml:space="preserve">Congo Basin </w:t>
        </w:r>
        <w:proofErr w:type="spellStart"/>
        <w:r w:rsidR="000D1201">
          <w:rPr>
            <w:i/>
          </w:rPr>
          <w:t>Sustainable</w:t>
        </w:r>
        <w:proofErr w:type="spellEnd"/>
        <w:r w:rsidR="000D1201">
          <w:rPr>
            <w:i/>
          </w:rPr>
          <w:t xml:space="preserve"> </w:t>
        </w:r>
        <w:proofErr w:type="spellStart"/>
        <w:r w:rsidR="000D1201">
          <w:rPr>
            <w:i/>
          </w:rPr>
          <w:t>Landscapes</w:t>
        </w:r>
        <w:proofErr w:type="spellEnd"/>
        <w:r w:rsidR="000D1201">
          <w:rPr>
            <w:i/>
          </w:rPr>
          <w:t xml:space="preserve"> Impact Program</w:t>
        </w:r>
      </w:hyperlink>
      <w:r w:rsidR="000D1201">
        <w:t>).</w:t>
      </w:r>
      <w:r w:rsidR="0011219A">
        <w:t xml:space="preserve"> </w:t>
      </w:r>
    </w:p>
    <w:p w14:paraId="24E8B432" w14:textId="396F2470" w:rsidR="00515261" w:rsidRPr="00C67737" w:rsidRDefault="00376656" w:rsidP="000B33CF">
      <w:pPr>
        <w:pStyle w:val="ListParagraph"/>
      </w:pPr>
      <w:r>
        <w:lastRenderedPageBreak/>
        <w:t xml:space="preserve">D’importantes </w:t>
      </w:r>
      <w:r w:rsidR="00586953">
        <w:t>avancées</w:t>
      </w:r>
      <w:r>
        <w:t xml:space="preserve"> ont été </w:t>
      </w:r>
      <w:r w:rsidR="00586953">
        <w:t>réalisées</w:t>
      </w:r>
      <w:r>
        <w:t xml:space="preserve"> au </w:t>
      </w:r>
      <w:r w:rsidR="00BA5516">
        <w:t>Fonds du Cadre</w:t>
      </w:r>
      <w:r>
        <w:t xml:space="preserve"> mondial de la biodiversité (GBFF) afin de mieux soutenir les peuples autochtones et communautés locales. Elles comprennent notamment une cible spécifique à l’échelle du portefeuille, ainsi que des orientations correspondantes relatives à l’appui aux initiatives des peuples autochtones et communautés locales. Ces éléments sont présentés plus en détail dans la section</w:t>
      </w:r>
      <w:r w:rsidR="00824585">
        <w:t> </w:t>
      </w:r>
      <w:r>
        <w:t>II.</w:t>
      </w:r>
    </w:p>
    <w:p w14:paraId="35B5B962" w14:textId="68144083" w:rsidR="00F7104D" w:rsidRPr="002724B0" w:rsidRDefault="00BA5516" w:rsidP="00640F63">
      <w:pPr>
        <w:pStyle w:val="Heading1"/>
      </w:pPr>
      <w:bookmarkStart w:id="99" w:name="_Toc242184708"/>
      <w:bookmarkStart w:id="100" w:name="_Toc242185280"/>
      <w:bookmarkStart w:id="101" w:name="_Toc102227407"/>
      <w:bookmarkStart w:id="102" w:name="_Toc102227412"/>
      <w:bookmarkEnd w:id="97"/>
      <w:bookmarkEnd w:id="98"/>
      <w:r>
        <w:t>Fonds du Cadre</w:t>
      </w:r>
      <w:r w:rsidR="00F7104D" w:rsidRPr="002724B0">
        <w:t xml:space="preserve"> mondial de la biodiversité</w:t>
      </w:r>
      <w:bookmarkEnd w:id="99"/>
      <w:bookmarkEnd w:id="100"/>
      <w:r w:rsidR="00F7104D" w:rsidRPr="002724B0">
        <w:t xml:space="preserve"> </w:t>
      </w:r>
      <w:r w:rsidR="003B7E19">
        <w:t>(GBFF</w:t>
      </w:r>
      <w:r w:rsidR="007B7800">
        <w:t>)</w:t>
      </w:r>
    </w:p>
    <w:p w14:paraId="649B5F09" w14:textId="2601905E" w:rsidR="00F7104D" w:rsidRPr="00C67737" w:rsidRDefault="00F7104D" w:rsidP="000B33CF">
      <w:pPr>
        <w:pStyle w:val="ListParagraph"/>
      </w:pPr>
      <w:r>
        <w:t xml:space="preserve">Reconnaissant </w:t>
      </w:r>
      <w:r w:rsidR="00574B9C">
        <w:t xml:space="preserve">l’urgence </w:t>
      </w:r>
      <w:r>
        <w:t xml:space="preserve">d’accroître les financements internationaux en faveur de la diversité biologique, </w:t>
      </w:r>
      <w:r w:rsidR="00D040A5">
        <w:t xml:space="preserve">la </w:t>
      </w:r>
      <w:r>
        <w:t>Conférence des Parties à la Convention sur la diversité biologique</w:t>
      </w:r>
      <w:r w:rsidR="00561DC1">
        <w:t>, à sa quinzième réunion,</w:t>
      </w:r>
      <w:r>
        <w:t xml:space="preserve"> a demandé au GEF, aux paragraphes</w:t>
      </w:r>
      <w:r w:rsidR="00824585">
        <w:t> </w:t>
      </w:r>
      <w:r>
        <w:t>29 et 30 de sa décision</w:t>
      </w:r>
      <w:r w:rsidR="00824585">
        <w:t> </w:t>
      </w:r>
      <w:r>
        <w:t>15/7 sur la mobilisation des ressources et aux paragraphes</w:t>
      </w:r>
      <w:r w:rsidR="00824585">
        <w:t> </w:t>
      </w:r>
      <w:r>
        <w:t>19 et 20 de sa décision</w:t>
      </w:r>
      <w:r w:rsidR="00824585">
        <w:t> </w:t>
      </w:r>
      <w:r>
        <w:t xml:space="preserve">15/15 relative au mécanisme de financement, d’établir en 2023 un </w:t>
      </w:r>
      <w:r w:rsidR="00BA5516">
        <w:t>Fonds du Cadre</w:t>
      </w:r>
      <w:r>
        <w:t xml:space="preserve"> mondial de la biodiversité (GBFF) </w:t>
      </w:r>
      <w:r w:rsidR="00BF15C4">
        <w:t>dédié</w:t>
      </w:r>
      <w:r>
        <w:t xml:space="preserve"> et accessible</w:t>
      </w:r>
      <w:r w:rsidR="00BF15C4">
        <w:t>, capable de</w:t>
      </w:r>
      <w:r>
        <w:t xml:space="preserve"> mobiliser et </w:t>
      </w:r>
      <w:r w:rsidR="00BF15C4">
        <w:t xml:space="preserve">de </w:t>
      </w:r>
      <w:r>
        <w:t>décaisser rapidement des ressources nouvelles et additionnelles provenant de toutes sources, à la mesure de l’ambition du KMGBF</w:t>
      </w:r>
      <w:r w:rsidRPr="00C67737">
        <w:rPr>
          <w:vertAlign w:val="superscript"/>
        </w:rPr>
        <w:footnoteReference w:id="27"/>
      </w:r>
      <w:r w:rsidRPr="00574B9C">
        <w:rPr>
          <w:vertAlign w:val="superscript"/>
        </w:rPr>
        <w:t>,</w:t>
      </w:r>
      <w:r w:rsidRPr="00C67737">
        <w:rPr>
          <w:vertAlign w:val="superscript"/>
        </w:rPr>
        <w:footnoteReference w:id="28"/>
      </w:r>
      <w:r>
        <w:t xml:space="preserve">. </w:t>
      </w:r>
    </w:p>
    <w:p w14:paraId="3799BD27" w14:textId="70E0DCFE" w:rsidR="00F7104D" w:rsidRPr="00C67737" w:rsidRDefault="004D08A7" w:rsidP="00D56EFB">
      <w:pPr>
        <w:pStyle w:val="Heading2"/>
      </w:pPr>
      <w:bookmarkStart w:id="103" w:name="_Toc242184659"/>
      <w:bookmarkStart w:id="104" w:name="_Toc242184709"/>
      <w:bookmarkStart w:id="105" w:name="_Toc242185281"/>
      <w:r>
        <w:t>II.1 Établissement et opérationnalisation du GBFF</w:t>
      </w:r>
      <w:bookmarkEnd w:id="103"/>
      <w:bookmarkEnd w:id="104"/>
      <w:bookmarkEnd w:id="105"/>
    </w:p>
    <w:p w14:paraId="60740B14" w14:textId="55375C98" w:rsidR="00D66C78" w:rsidRPr="00C67737" w:rsidRDefault="00F7104D" w:rsidP="000B33CF">
      <w:pPr>
        <w:pStyle w:val="ListParagraph"/>
      </w:pPr>
      <w:r>
        <w:t xml:space="preserve">Faisant suite à cette demande, le Conseil du GEF a approuvé, en juin 2023, la création du </w:t>
      </w:r>
      <w:r w:rsidR="00BA5516">
        <w:t>Fonds du Cadre</w:t>
      </w:r>
      <w:r>
        <w:t xml:space="preserve"> mondial de la biodiversité (GBFF)</w:t>
      </w:r>
      <w:r w:rsidRPr="00C67737">
        <w:rPr>
          <w:rStyle w:val="FootnoteReference"/>
          <w:lang w:val="en-US"/>
        </w:rPr>
        <w:footnoteReference w:id="29"/>
      </w:r>
      <w:r>
        <w:t xml:space="preserve"> et ses </w:t>
      </w:r>
      <w:r w:rsidR="00F02738">
        <w:t>orientations programmatiques</w:t>
      </w:r>
      <w:r w:rsidRPr="00C67737">
        <w:rPr>
          <w:rStyle w:val="FootnoteReference"/>
          <w:lang w:val="en-US"/>
        </w:rPr>
        <w:footnoteReference w:id="30"/>
      </w:r>
      <w:r>
        <w:t>. La septième Assemblée du GEF en a entériné la création en août 2023 et a procédé au lancement du Fonds.</w:t>
      </w:r>
    </w:p>
    <w:p w14:paraId="5F62E193" w14:textId="3B7D5A56" w:rsidR="006A40A2" w:rsidRPr="00C67737" w:rsidRDefault="00ED3C1A" w:rsidP="000B33CF">
      <w:pPr>
        <w:pStyle w:val="ListParagraph"/>
      </w:pPr>
      <w:r>
        <w:t xml:space="preserve">Le premier Conseil du GBFF, </w:t>
      </w:r>
      <w:r w:rsidR="001638EA">
        <w:t>qui s’est tenu</w:t>
      </w:r>
      <w:r>
        <w:t xml:space="preserve"> les 8 et 9</w:t>
      </w:r>
      <w:r w:rsidR="00824585">
        <w:t> </w:t>
      </w:r>
      <w:r>
        <w:t>février 2024, a</w:t>
      </w:r>
      <w:r w:rsidR="00AF4B86">
        <w:t xml:space="preserve"> </w:t>
      </w:r>
      <w:r w:rsidR="00762A37">
        <w:t>adopté</w:t>
      </w:r>
      <w:r w:rsidR="00AF4B86">
        <w:t xml:space="preserve"> </w:t>
      </w:r>
      <w:r>
        <w:t>de</w:t>
      </w:r>
      <w:r w:rsidR="001E51CA">
        <w:t>s</w:t>
      </w:r>
      <w:r>
        <w:t xml:space="preserve"> décisions essentielles, notamment</w:t>
      </w:r>
      <w:r w:rsidR="00AF4B86">
        <w:t xml:space="preserve"> </w:t>
      </w:r>
      <w:r w:rsidR="001E51CA">
        <w:t>sur</w:t>
      </w:r>
      <w:r>
        <w:t xml:space="preserve"> la politique </w:t>
      </w:r>
      <w:r w:rsidR="001E51CA">
        <w:t>relative</w:t>
      </w:r>
      <w:r>
        <w:t xml:space="preserve"> au cycle des projets</w:t>
      </w:r>
      <w:r w:rsidR="00695F48" w:rsidRPr="00C67737">
        <w:rPr>
          <w:rStyle w:val="FootnoteReference"/>
          <w:lang w:val="en-US"/>
        </w:rPr>
        <w:footnoteReference w:id="31"/>
      </w:r>
      <w:r>
        <w:t xml:space="preserve"> et la politique d’allocation des ressource</w:t>
      </w:r>
      <w:r w:rsidR="00982C0F">
        <w:t>s</w:t>
      </w:r>
      <w:r w:rsidR="00814A49" w:rsidRPr="00C67737">
        <w:rPr>
          <w:rStyle w:val="FootnoteReference"/>
          <w:lang w:val="en-US"/>
        </w:rPr>
        <w:footnoteReference w:id="32"/>
      </w:r>
      <w:r w:rsidR="007C3C78">
        <w:t>, permettant ainsi</w:t>
      </w:r>
      <w:r>
        <w:t xml:space="preserve"> de lancer la programmation du GBFF</w:t>
      </w:r>
      <w:r w:rsidR="007C3C78">
        <w:t xml:space="preserve"> en temps voulu</w:t>
      </w:r>
      <w:r>
        <w:t>. Le 19</w:t>
      </w:r>
      <w:r w:rsidR="00824585">
        <w:t> </w:t>
      </w:r>
      <w:r>
        <w:t>juin</w:t>
      </w:r>
      <w:r w:rsidR="007C3C78">
        <w:t> </w:t>
      </w:r>
      <w:r>
        <w:t xml:space="preserve">2024, soit dix-huit mois après la décision de la </w:t>
      </w:r>
      <w:r w:rsidR="009360DD">
        <w:t>COP</w:t>
      </w:r>
      <w:r>
        <w:t xml:space="preserve"> relative à la création du Fonds, le deuxième Conseil du GBFF a approuvé les premiers projets du GBFF entièrement élaborés. Il a également adopté les mandats du ou des groupes consultatifs et de l’Organe auxiliaire du</w:t>
      </w:r>
      <w:r w:rsidR="00B6089C">
        <w:t xml:space="preserve"> GBFF</w:t>
      </w:r>
      <w:r w:rsidR="00B83EB8" w:rsidRPr="00C67737">
        <w:rPr>
          <w:rStyle w:val="FootnoteReference"/>
          <w:lang w:val="en-US"/>
        </w:rPr>
        <w:footnoteReference w:id="33"/>
      </w:r>
      <w:r>
        <w:t>, achevant ainsi la mise en place du dispositif de gouvernance élargi du GBFF, qui comprend les instances suivantes</w:t>
      </w:r>
      <w:r w:rsidR="006E54C7">
        <w:t> :</w:t>
      </w:r>
    </w:p>
    <w:p w14:paraId="1D1EF6C1" w14:textId="2B021990" w:rsidR="006E3E6B" w:rsidRPr="00C67737" w:rsidRDefault="006E3E6B" w:rsidP="000B33CF">
      <w:pPr>
        <w:pStyle w:val="ListParagraph"/>
        <w:numPr>
          <w:ilvl w:val="0"/>
          <w:numId w:val="35"/>
        </w:numPr>
      </w:pPr>
      <w:r>
        <w:lastRenderedPageBreak/>
        <w:t xml:space="preserve">Le Conseil du GBFF, dont la représentation des observateurs </w:t>
      </w:r>
      <w:r w:rsidR="00952070">
        <w:t>a été</w:t>
      </w:r>
      <w:r>
        <w:t xml:space="preserve"> élargie </w:t>
      </w:r>
      <w:r w:rsidR="00952070">
        <w:t>par l’attribution de</w:t>
      </w:r>
      <w:r>
        <w:t xml:space="preserve"> deux sièges </w:t>
      </w:r>
      <w:r w:rsidR="00952070">
        <w:t>à</w:t>
      </w:r>
      <w:r>
        <w:t xml:space="preserve"> chacune des catégories suivantes</w:t>
      </w:r>
      <w:r w:rsidR="006E54C7">
        <w:t> :</w:t>
      </w:r>
      <w:r>
        <w:t xml:space="preserve"> i)</w:t>
      </w:r>
      <w:r w:rsidR="001A11BF">
        <w:t> </w:t>
      </w:r>
      <w:r>
        <w:t>les organisations de conservation et les organisations philanthropiques</w:t>
      </w:r>
      <w:r w:rsidR="00824585">
        <w:t> </w:t>
      </w:r>
      <w:r>
        <w:t>; ii)</w:t>
      </w:r>
      <w:r w:rsidR="001A11BF">
        <w:t> </w:t>
      </w:r>
      <w:r>
        <w:t>les peuples autochtones et communautés locales</w:t>
      </w:r>
      <w:r w:rsidR="00824585">
        <w:t> </w:t>
      </w:r>
      <w:r>
        <w:t>; iii)</w:t>
      </w:r>
      <w:r w:rsidR="001A11BF">
        <w:t> </w:t>
      </w:r>
      <w:r>
        <w:t>le secteur privé</w:t>
      </w:r>
      <w:r w:rsidR="00824585">
        <w:t> </w:t>
      </w:r>
      <w:r>
        <w:t>; iv) les femmes</w:t>
      </w:r>
      <w:r w:rsidR="00824585">
        <w:t> </w:t>
      </w:r>
      <w:r>
        <w:t>; et v)</w:t>
      </w:r>
      <w:r w:rsidR="001A11BF">
        <w:t> </w:t>
      </w:r>
      <w:r>
        <w:t>les jeunes</w:t>
      </w:r>
      <w:r w:rsidR="00393768" w:rsidRPr="00C67737">
        <w:rPr>
          <w:rStyle w:val="FootnoteReference"/>
          <w:lang w:val="en-US"/>
        </w:rPr>
        <w:footnoteReference w:id="34"/>
      </w:r>
      <w:r>
        <w:t>. Les observateurs du GBFF participent à toutes les réunions du Conseil et peuvent intervenir sur tout point de l’ordre du jour, conformément au règlement intérieur du Conseil.</w:t>
      </w:r>
    </w:p>
    <w:p w14:paraId="2DE3FC63" w14:textId="2BA8D15D" w:rsidR="006E3E6B" w:rsidRPr="00C67737" w:rsidRDefault="006E3E6B" w:rsidP="000B33CF">
      <w:pPr>
        <w:pStyle w:val="ListParagraph"/>
        <w:numPr>
          <w:ilvl w:val="0"/>
          <w:numId w:val="35"/>
        </w:numPr>
      </w:pPr>
      <w:r>
        <w:t>L’Organe auxiliaire, composé</w:t>
      </w:r>
      <w:r w:rsidR="00023193">
        <w:t>, pour son premier mandat,</w:t>
      </w:r>
      <w:r>
        <w:t xml:space="preserve"> de dix-sept experts</w:t>
      </w:r>
      <w:r w:rsidR="00F702F0" w:rsidRPr="00C67737">
        <w:rPr>
          <w:rStyle w:val="FootnoteReference"/>
          <w:lang w:val="en-US"/>
        </w:rPr>
        <w:footnoteReference w:id="35"/>
      </w:r>
      <w:r w:rsidR="000D3321">
        <w:t xml:space="preserve"> </w:t>
      </w:r>
      <w:r>
        <w:t xml:space="preserve">désignés par les gouvernements nationaux de pays en développement abritant des zones </w:t>
      </w:r>
      <w:r w:rsidR="0033245C">
        <w:t>particulièrement importantes</w:t>
      </w:r>
      <w:r>
        <w:t xml:space="preserve"> pour la diversité biologique </w:t>
      </w:r>
      <w:r w:rsidR="0033245C">
        <w:t>ainsi que</w:t>
      </w:r>
      <w:r>
        <w:t xml:space="preserve"> pour les fonctions et services écosystémiques. Il a pour mandat de fournir au Conseil du GBFF, de manière globale et indépendante, des avis et recommandations techniques sur les questions relatives à la mise en œuvre des </w:t>
      </w:r>
      <w:r w:rsidR="00F02738">
        <w:t>orientations programmatiques</w:t>
      </w:r>
      <w:r>
        <w:t xml:space="preserve"> du GBFF.</w:t>
      </w:r>
    </w:p>
    <w:p w14:paraId="6AEA6904" w14:textId="0914D716" w:rsidR="00175D6E" w:rsidRPr="00C67737" w:rsidRDefault="00176682" w:rsidP="000B33CF">
      <w:pPr>
        <w:pStyle w:val="ListParagraph"/>
        <w:numPr>
          <w:ilvl w:val="0"/>
          <w:numId w:val="35"/>
        </w:numPr>
      </w:pPr>
      <w:r>
        <w:t xml:space="preserve">Le Groupe consultatif </w:t>
      </w:r>
      <w:r w:rsidR="001A11BF">
        <w:t>de</w:t>
      </w:r>
      <w:r w:rsidR="004B5D77">
        <w:t>s</w:t>
      </w:r>
      <w:r w:rsidR="001A11BF">
        <w:t xml:space="preserve"> participants</w:t>
      </w:r>
      <w:r>
        <w:t xml:space="preserve"> non souverains, composé de quatre membres</w:t>
      </w:r>
      <w:r w:rsidR="006E54C7">
        <w:t> :</w:t>
      </w:r>
      <w:r>
        <w:t xml:space="preserve"> deux représentants d’institutions publiques infranationales et régionales, et deux experts de la mobilisation de ressources en faveur de la diversité biologique</w:t>
      </w:r>
      <w:r w:rsidR="00F910A3" w:rsidRPr="00C67737">
        <w:rPr>
          <w:rStyle w:val="FootnoteReference"/>
          <w:lang w:val="en-US"/>
        </w:rPr>
        <w:footnoteReference w:id="36"/>
      </w:r>
      <w:r>
        <w:t>. Il a pour mandat de fournir des avis techniques au Conseil du GBFF et au Secrétariat sur l</w:t>
      </w:r>
      <w:r w:rsidR="003C7EF4">
        <w:t>es moyens d</w:t>
      </w:r>
      <w:r w:rsidR="00702158">
        <w:t xml:space="preserve">’associer </w:t>
      </w:r>
      <w:r>
        <w:t xml:space="preserve">des contributeurs non souverains </w:t>
      </w:r>
      <w:r w:rsidR="00702158">
        <w:t xml:space="preserve">à la réalisation des objectifs </w:t>
      </w:r>
      <w:r>
        <w:t xml:space="preserve">du GBFF et d’appuyer la mise en œuvre de ses </w:t>
      </w:r>
      <w:r w:rsidR="00F02738">
        <w:t>orientations programmatiques</w:t>
      </w:r>
      <w:r>
        <w:t xml:space="preserve">. </w:t>
      </w:r>
      <w:r w:rsidR="00153999">
        <w:t>S</w:t>
      </w:r>
      <w:r>
        <w:t>a composition tient compte des modifications apportées à son mandat, approuvées par le Conseil du GBFF lors de sa troisième réunio</w:t>
      </w:r>
      <w:r w:rsidR="00153999">
        <w:t>n</w:t>
      </w:r>
      <w:r w:rsidR="00C62E4E" w:rsidRPr="00C67737">
        <w:rPr>
          <w:rStyle w:val="FootnoteReference"/>
          <w:lang w:val="en-US"/>
        </w:rPr>
        <w:footnoteReference w:id="37"/>
      </w:r>
      <w:r w:rsidR="00B77B90">
        <w:t>, qui</w:t>
      </w:r>
      <w:r>
        <w:t xml:space="preserve"> ont élargi sa composition </w:t>
      </w:r>
      <w:r w:rsidR="00B77B90">
        <w:t>par l’ajout de</w:t>
      </w:r>
      <w:r>
        <w:t xml:space="preserve"> deux catégories de membres </w:t>
      </w:r>
      <w:r w:rsidR="00B77B90">
        <w:t>ne contribuant pas au GBFF</w:t>
      </w:r>
      <w:r>
        <w:t xml:space="preserve">, </w:t>
      </w:r>
      <w:r w:rsidR="00D36535">
        <w:t xml:space="preserve">chacune pouvant compter jusqu’à </w:t>
      </w:r>
      <w:r>
        <w:t xml:space="preserve">deux membres. </w:t>
      </w:r>
      <w:r w:rsidR="00017C67">
        <w:t xml:space="preserve">Toute </w:t>
      </w:r>
      <w:r>
        <w:t xml:space="preserve">entité non souveraine </w:t>
      </w:r>
      <w:r w:rsidR="00655E6D">
        <w:t>contribuant</w:t>
      </w:r>
      <w:r>
        <w:t xml:space="preserve"> au GBFF sera invitée à rejoindre le Groupe consultatif.</w:t>
      </w:r>
    </w:p>
    <w:p w14:paraId="0875C9B8" w14:textId="4AE9B65C" w:rsidR="00175D6E" w:rsidRPr="00C67737" w:rsidRDefault="00175D6E" w:rsidP="000B33CF">
      <w:pPr>
        <w:pStyle w:val="ListParagraph"/>
      </w:pPr>
      <w:r>
        <w:t>Le dispositif de gouvernance élargi du GBFF a été conçu de manière à assurer la complémentarité de ses différentes instances. Au cours de la période considérée, les observateurs du GBFF, l’Organe auxiliaire et le Groupe consultatif des participants non souverains ont tous contribué de manière effective à orienter les décisions du Conseil</w:t>
      </w:r>
      <w:r w:rsidR="00AE220D">
        <w:t>.</w:t>
      </w:r>
      <w:r>
        <w:t xml:space="preserve"> Plusieurs propositions formulées par les observateurs du GBFF lors de consultations consacrées aux projets de documents du Conseil ont été intégrées dans les lignes directrices </w:t>
      </w:r>
      <w:r w:rsidR="00CB5128">
        <w:t>relatives aux</w:t>
      </w:r>
      <w:r>
        <w:t xml:space="preserve"> actions menées par les peuples autochtones et communautés locales (</w:t>
      </w:r>
      <w:r w:rsidRPr="003B43B4">
        <w:rPr>
          <w:i/>
          <w:iCs/>
        </w:rPr>
        <w:t>Guidelines on Actions by Indigenous Peoples and Local Communities</w:t>
      </w:r>
      <w:r w:rsidR="00CF54EA">
        <w:rPr>
          <w:i/>
          <w:iCs/>
          <w:vertAlign w:val="superscript"/>
        </w:rPr>
        <w:t>41</w:t>
      </w:r>
      <w:r>
        <w:t>), le cadre de résultats du GBFF (</w:t>
      </w:r>
      <w:r w:rsidRPr="003B43B4">
        <w:rPr>
          <w:i/>
          <w:iCs/>
        </w:rPr>
        <w:t xml:space="preserve">GBFF </w:t>
      </w:r>
      <w:proofErr w:type="spellStart"/>
      <w:r w:rsidRPr="003B43B4">
        <w:rPr>
          <w:i/>
          <w:iCs/>
        </w:rPr>
        <w:t>Results</w:t>
      </w:r>
      <w:proofErr w:type="spellEnd"/>
      <w:r w:rsidR="00BB680B">
        <w:rPr>
          <w:i/>
          <w:iCs/>
        </w:rPr>
        <w:t> </w:t>
      </w:r>
      <w:r w:rsidRPr="003B43B4">
        <w:rPr>
          <w:i/>
          <w:iCs/>
        </w:rPr>
        <w:t>Framework</w:t>
      </w:r>
      <w:r w:rsidR="00CF54EA" w:rsidRPr="00CF54EA">
        <w:rPr>
          <w:i/>
          <w:iCs/>
          <w:vertAlign w:val="superscript"/>
        </w:rPr>
        <w:t>40</w:t>
      </w:r>
      <w:r w:rsidR="00CD2A4F" w:rsidRPr="003B43B4">
        <w:rPr>
          <w:i/>
          <w:iCs/>
          <w:vertAlign w:val="superscript"/>
        </w:rPr>
        <w:fldChar w:fldCharType="begin"/>
      </w:r>
      <w:r w:rsidR="00CD2A4F" w:rsidRPr="003B43B4">
        <w:rPr>
          <w:i/>
          <w:iCs/>
          <w:vertAlign w:val="superscript"/>
        </w:rPr>
        <w:instrText xml:space="preserve"> NOTEREF _Ref233731955 \h  \* MERGEFORMAT </w:instrText>
      </w:r>
      <w:r w:rsidR="00CD2A4F" w:rsidRPr="003B43B4">
        <w:rPr>
          <w:i/>
          <w:iCs/>
          <w:vertAlign w:val="superscript"/>
        </w:rPr>
      </w:r>
      <w:r w:rsidR="00CD2A4F" w:rsidRPr="003B43B4">
        <w:rPr>
          <w:i/>
          <w:iCs/>
          <w:vertAlign w:val="superscript"/>
        </w:rPr>
        <w:fldChar w:fldCharType="separate"/>
      </w:r>
      <w:r w:rsidR="00CD2A4F" w:rsidRPr="003B43B4">
        <w:rPr>
          <w:i/>
          <w:iCs/>
          <w:vertAlign w:val="superscript"/>
        </w:rPr>
        <w:fldChar w:fldCharType="end"/>
      </w:r>
      <w:r>
        <w:t xml:space="preserve">) et les lignes directrices </w:t>
      </w:r>
      <w:r w:rsidR="00672124">
        <w:t>relatives à</w:t>
      </w:r>
      <w:r>
        <w:t xml:space="preserve"> la mise en œuvre du cadre de résultats du GBFF (</w:t>
      </w:r>
      <w:r w:rsidRPr="003B43B4">
        <w:rPr>
          <w:i/>
          <w:iCs/>
        </w:rPr>
        <w:t xml:space="preserve">Guidelines on the </w:t>
      </w:r>
      <w:proofErr w:type="spellStart"/>
      <w:r w:rsidRPr="003B43B4">
        <w:rPr>
          <w:i/>
          <w:iCs/>
        </w:rPr>
        <w:t>Implementation</w:t>
      </w:r>
      <w:proofErr w:type="spellEnd"/>
      <w:r w:rsidRPr="003B43B4">
        <w:rPr>
          <w:i/>
          <w:iCs/>
        </w:rPr>
        <w:t xml:space="preserve"> of the GBFF </w:t>
      </w:r>
      <w:proofErr w:type="spellStart"/>
      <w:r w:rsidRPr="003B43B4">
        <w:rPr>
          <w:i/>
          <w:iCs/>
        </w:rPr>
        <w:t>Results</w:t>
      </w:r>
      <w:proofErr w:type="spellEnd"/>
      <w:r w:rsidRPr="003B43B4">
        <w:rPr>
          <w:i/>
          <w:iCs/>
        </w:rPr>
        <w:t xml:space="preserve"> Framework</w:t>
      </w:r>
      <w:r>
        <w:t xml:space="preserve">). De même, les contributions recueillies </w:t>
      </w:r>
      <w:r w:rsidR="0049497D">
        <w:t>dans le cadre</w:t>
      </w:r>
      <w:r>
        <w:t xml:space="preserve"> de consultations avec les observateurs et le Groupe consultatif ont été prises en compte dans le document </w:t>
      </w:r>
      <w:r w:rsidR="00CD3B37">
        <w:t xml:space="preserve">portant sur une stratégie de mobilisation des ressources du GBFF pour la </w:t>
      </w:r>
      <w:r w:rsidR="00CD3B37">
        <w:lastRenderedPageBreak/>
        <w:t>période</w:t>
      </w:r>
      <w:r w:rsidR="00BB680B">
        <w:t> </w:t>
      </w:r>
      <w:r w:rsidR="00CD3B37">
        <w:t>2026-2030</w:t>
      </w:r>
      <w:r w:rsidR="00F53629">
        <w:t xml:space="preserve"> (</w:t>
      </w:r>
      <w:proofErr w:type="spellStart"/>
      <w:r w:rsidRPr="003B43B4">
        <w:rPr>
          <w:i/>
          <w:iCs/>
        </w:rPr>
        <w:t>Towards</w:t>
      </w:r>
      <w:proofErr w:type="spellEnd"/>
      <w:r w:rsidRPr="003B43B4">
        <w:rPr>
          <w:i/>
          <w:iCs/>
        </w:rPr>
        <w:t xml:space="preserve"> a Resource </w:t>
      </w:r>
      <w:proofErr w:type="spellStart"/>
      <w:r w:rsidRPr="003B43B4">
        <w:rPr>
          <w:i/>
          <w:iCs/>
        </w:rPr>
        <w:t>Mobilization</w:t>
      </w:r>
      <w:proofErr w:type="spellEnd"/>
      <w:r w:rsidRPr="003B43B4">
        <w:rPr>
          <w:i/>
          <w:iCs/>
        </w:rPr>
        <w:t xml:space="preserve"> </w:t>
      </w:r>
      <w:proofErr w:type="spellStart"/>
      <w:r w:rsidRPr="003B43B4">
        <w:rPr>
          <w:i/>
          <w:iCs/>
        </w:rPr>
        <w:t>Strategy</w:t>
      </w:r>
      <w:proofErr w:type="spellEnd"/>
      <w:r w:rsidRPr="003B43B4">
        <w:rPr>
          <w:i/>
          <w:iCs/>
        </w:rPr>
        <w:t xml:space="preserve"> for the GBFF</w:t>
      </w:r>
      <w:r w:rsidR="00824585" w:rsidRPr="003B43B4">
        <w:rPr>
          <w:i/>
          <w:iCs/>
        </w:rPr>
        <w:t> </w:t>
      </w:r>
      <w:r w:rsidRPr="003B43B4">
        <w:rPr>
          <w:i/>
          <w:iCs/>
        </w:rPr>
        <w:t>2026–2030</w:t>
      </w:r>
      <w:r w:rsidR="00F53629">
        <w:rPr>
          <w:i/>
          <w:iCs/>
        </w:rPr>
        <w:t>)</w:t>
      </w:r>
      <w:r w:rsidRPr="003B43B4">
        <w:rPr>
          <w:i/>
          <w:iCs/>
        </w:rPr>
        <w:t>,</w:t>
      </w:r>
      <w:r>
        <w:t xml:space="preserve"> adopté par le Conseil à sa sixième réunion. Lors de cette même réunion</w:t>
      </w:r>
      <w:r w:rsidRPr="00C67737">
        <w:rPr>
          <w:rStyle w:val="FootnoteReference"/>
          <w:lang w:val="en-US"/>
        </w:rPr>
        <w:footnoteReference w:id="38"/>
      </w:r>
      <w:r>
        <w:t xml:space="preserve">, le Conseil du GBFF a </w:t>
      </w:r>
      <w:r w:rsidR="00F53629">
        <w:t>entériné</w:t>
      </w:r>
      <w:r>
        <w:t xml:space="preserve"> les recommandations de l’Organe auxiliaire concernant les options susceptibles de faciliter l’atteinte des cibles du portefeuille du GBFF relatives aux institutions financières internationales (IFI)</w:t>
      </w:r>
      <w:r w:rsidRPr="00C67737">
        <w:rPr>
          <w:rStyle w:val="FootnoteReference"/>
          <w:lang w:val="en-US"/>
        </w:rPr>
        <w:footnoteReference w:id="39"/>
      </w:r>
      <w:r>
        <w:t xml:space="preserve">. Le Secrétariat du GEF </w:t>
      </w:r>
      <w:r w:rsidR="00DB00B7">
        <w:t>informe</w:t>
      </w:r>
      <w:r>
        <w:t xml:space="preserve"> régulièrement le Conseil du GBFF des activités et des contributions de chacune de ses instances de gouvernance</w:t>
      </w:r>
      <w:r w:rsidR="00FC62C8">
        <w:t>,</w:t>
      </w:r>
      <w:r>
        <w:t xml:space="preserve"> au moyen des rapports d’étape présentés à cha</w:t>
      </w:r>
      <w:r w:rsidR="00FC62C8">
        <w:t>cune de ses réunions</w:t>
      </w:r>
      <w:r w:rsidRPr="00C67737">
        <w:rPr>
          <w:rStyle w:val="FootnoteReference"/>
          <w:lang w:val="en-US"/>
        </w:rPr>
        <w:footnoteReference w:id="40"/>
      </w:r>
      <w:r>
        <w:t>.</w:t>
      </w:r>
    </w:p>
    <w:p w14:paraId="17B71418" w14:textId="7E54E22D" w:rsidR="00577A3F" w:rsidRPr="00C67737" w:rsidRDefault="00206864" w:rsidP="000B33CF">
      <w:pPr>
        <w:pStyle w:val="ListParagraph"/>
      </w:pPr>
      <w:r>
        <w:t>Au cours de la période considérée, le Conseil du GBFF a doté le Fonds d’un nouveau cadre de résultats</w:t>
      </w:r>
      <w:r w:rsidR="00700321" w:rsidRPr="00C67737">
        <w:rPr>
          <w:vertAlign w:val="superscript"/>
        </w:rPr>
        <w:footnoteReference w:id="41"/>
      </w:r>
      <w:r>
        <w:t xml:space="preserve">, cohérent avec le cadre de suivi du KMGBF, </w:t>
      </w:r>
      <w:r w:rsidR="00A563D1">
        <w:t>ainsi que</w:t>
      </w:r>
      <w:r>
        <w:t xml:space="preserve"> de lignes directrices connexes</w:t>
      </w:r>
      <w:r w:rsidR="00175D6E" w:rsidRPr="00C67737">
        <w:rPr>
          <w:rStyle w:val="FootnoteReference"/>
          <w:lang w:val="en-US"/>
        </w:rPr>
        <w:footnoteReference w:id="42"/>
      </w:r>
      <w:r w:rsidR="00F0051D">
        <w:t>. Il a également adopté</w:t>
      </w:r>
      <w:r w:rsidR="00EA099F">
        <w:t xml:space="preserve"> des </w:t>
      </w:r>
      <w:r>
        <w:t>lignes directrices sur les actions menées par les peuples autochtones et communautés locales</w:t>
      </w:r>
      <w:r w:rsidR="0066004C" w:rsidRPr="00C67737">
        <w:rPr>
          <w:vertAlign w:val="superscript"/>
        </w:rPr>
        <w:footnoteReference w:id="43"/>
      </w:r>
      <w:r>
        <w:t xml:space="preserve"> et </w:t>
      </w:r>
      <w:r w:rsidR="00284D79">
        <w:t>instauré</w:t>
      </w:r>
      <w:r w:rsidR="00BE6859">
        <w:t xml:space="preserve"> </w:t>
      </w:r>
      <w:r>
        <w:t>un Groupe de travail spécial sur la prévisibilité des financements</w:t>
      </w:r>
      <w:r w:rsidR="00577A3F" w:rsidRPr="00C67737">
        <w:rPr>
          <w:vertAlign w:val="superscript"/>
        </w:rPr>
        <w:footnoteReference w:id="44"/>
      </w:r>
      <w:r>
        <w:t xml:space="preserve">. Ce dernier </w:t>
      </w:r>
      <w:r w:rsidR="00284D79">
        <w:t>est chargé d’</w:t>
      </w:r>
      <w:r>
        <w:t>examiner les moyens d’améliorer et de renforcer la prévisibilité des contributions au GBFF, notamment au moyen d’annonces de contributions pluriannuelles et de l’examen des possibilités offertes par des barèmes indicatifs de contributions volontaires, en réponse aux orientations issues de la seizième réunion de la Conférence des Parties à la Convention sur la diversité biologique.</w:t>
      </w:r>
    </w:p>
    <w:p w14:paraId="554D2141" w14:textId="3F8C607D" w:rsidR="004F5F39" w:rsidRPr="00C67737" w:rsidRDefault="00712D4C" w:rsidP="000B33CF">
      <w:pPr>
        <w:pStyle w:val="ListParagraph"/>
      </w:pPr>
      <w:r>
        <w:t xml:space="preserve">Les participants à la neuvième reconstitution des ressources du GEF ont décidé </w:t>
      </w:r>
      <w:r w:rsidR="00177031" w:rsidRPr="00177031">
        <w:t>d’étendre à l’ensemble de la famille de fonds du GEF plusieurs innovations mises à l’essai par le GBFF, notamment son cycle de projets rationalisé et ses cibles fixées à l’échelle du portefeuille</w:t>
      </w:r>
      <w:r w:rsidR="006E54C7">
        <w:t> :</w:t>
      </w:r>
      <w:r w:rsidR="00177031" w:rsidRPr="00177031">
        <w:t xml:space="preserve"> la part de la programmation destinée à appuyer les actions des peuples autochtones et communautés locales</w:t>
      </w:r>
      <w:r w:rsidR="00BB680B">
        <w:t> </w:t>
      </w:r>
      <w:r w:rsidR="00177031" w:rsidRPr="00177031">
        <w:t>; la part de la programmation mise en œuvre par l’intermédiaire d’institutions financières internationales (IFI)</w:t>
      </w:r>
      <w:r w:rsidR="00BB680B">
        <w:t> </w:t>
      </w:r>
      <w:r w:rsidR="00177031" w:rsidRPr="00177031">
        <w:t>; et la part des ressources à allouer aux petits États insulaires en développement et aux pays les moins avancés.</w:t>
      </w:r>
    </w:p>
    <w:p w14:paraId="6735F51C" w14:textId="4AD5493C" w:rsidR="00F7104D" w:rsidRPr="00C67737" w:rsidRDefault="004D08A7" w:rsidP="00D56EFB">
      <w:pPr>
        <w:pStyle w:val="Heading2"/>
      </w:pPr>
      <w:bookmarkStart w:id="106" w:name="_Toc242184660"/>
      <w:bookmarkStart w:id="107" w:name="_Toc242184710"/>
      <w:bookmarkStart w:id="108" w:name="_Toc242185282"/>
      <w:r>
        <w:t xml:space="preserve">II.2 </w:t>
      </w:r>
      <w:r w:rsidR="008F2766">
        <w:t>Projets soutenus par le</w:t>
      </w:r>
      <w:r>
        <w:t xml:space="preserve"> GBFF</w:t>
      </w:r>
      <w:bookmarkEnd w:id="106"/>
      <w:bookmarkEnd w:id="107"/>
      <w:bookmarkEnd w:id="108"/>
    </w:p>
    <w:p w14:paraId="6A660ECC" w14:textId="48FEDC0A" w:rsidR="00A51E21" w:rsidRPr="00C67737" w:rsidRDefault="00A51E21" w:rsidP="000B33CF">
      <w:pPr>
        <w:pStyle w:val="ListParagraph"/>
      </w:pPr>
      <w:r>
        <w:t>Depuis son lancement en août 2023, le GBFF a reçu 387,2</w:t>
      </w:r>
      <w:r w:rsidR="00D71BD1">
        <w:t> </w:t>
      </w:r>
      <w:r>
        <w:t xml:space="preserve">millions de dollars au titre d’engagements signés de la part de onze </w:t>
      </w:r>
      <w:r w:rsidR="00177031">
        <w:t>gouvernements</w:t>
      </w:r>
      <w:r>
        <w:t xml:space="preserve"> souverains et </w:t>
      </w:r>
      <w:r w:rsidR="00177031">
        <w:t>d’un gouvernement</w:t>
      </w:r>
      <w:r>
        <w:t xml:space="preserve"> infranational. </w:t>
      </w:r>
      <w:r w:rsidR="00AD6B6E" w:rsidRPr="00AD6B6E">
        <w:t>Ces ressources ont permis de financer des projets, sur une base concurrentielle et dans le cadre de cinq cycles de sélection, pour un montant total programmé de 362,1</w:t>
      </w:r>
      <w:r w:rsidR="00AD6B6E">
        <w:t> </w:t>
      </w:r>
      <w:r w:rsidR="00AD6B6E" w:rsidRPr="00AD6B6E">
        <w:t>millions de dollars, au bénéfice de 87</w:t>
      </w:r>
      <w:r w:rsidR="00AD6B6E">
        <w:t> </w:t>
      </w:r>
      <w:r w:rsidR="00AD6B6E" w:rsidRPr="00AD6B6E">
        <w:t>pays, dont 47</w:t>
      </w:r>
      <w:r w:rsidR="00AD6B6E">
        <w:t> </w:t>
      </w:r>
      <w:r w:rsidR="00AD6B6E" w:rsidRPr="00AD6B6E">
        <w:t>PEID et PMA</w:t>
      </w:r>
      <w:r w:rsidR="00AD6B6E">
        <w:t>.</w:t>
      </w:r>
    </w:p>
    <w:p w14:paraId="44BF922B" w14:textId="4F2812E2" w:rsidR="000463BF" w:rsidRPr="00C67737" w:rsidRDefault="1FEC782B" w:rsidP="000B33CF">
      <w:pPr>
        <w:pStyle w:val="ListParagraph"/>
      </w:pPr>
      <w:r>
        <w:lastRenderedPageBreak/>
        <w:t xml:space="preserve">La politique relative au cycle des projets du GBFF est une version rationalisée de la politique du GEF relative au cycle des projets et programmes, </w:t>
      </w:r>
      <w:r w:rsidR="001711B9">
        <w:t xml:space="preserve">qui </w:t>
      </w:r>
      <w:r>
        <w:t xml:space="preserve">s’applique à tous les autres fonds de la famille de fonds du GEF, y compris </w:t>
      </w:r>
      <w:r w:rsidR="00DD1F44">
        <w:t xml:space="preserve">le fonds fiduciaire </w:t>
      </w:r>
      <w:r>
        <w:t>du GEF</w:t>
      </w:r>
      <w:r w:rsidR="00947F8D" w:rsidRPr="00C67737">
        <w:rPr>
          <w:vertAlign w:val="superscript"/>
        </w:rPr>
        <w:footnoteReference w:id="45"/>
      </w:r>
      <w:r>
        <w:t xml:space="preserve">. L’ensemble des ressources du GBFF est alloué </w:t>
      </w:r>
      <w:r w:rsidR="000D1DC4">
        <w:t>à des</w:t>
      </w:r>
      <w:r>
        <w:t xml:space="preserve"> projets selon une approche pilotée par les pays, au moyen de cycles de sélection successifs ouverts à tous les pays admissibles. Ces cycles </w:t>
      </w:r>
      <w:r w:rsidR="000D1DC4">
        <w:t>sont organisés afin d’</w:t>
      </w:r>
      <w:r>
        <w:t xml:space="preserve">approuver les demandes de financement </w:t>
      </w:r>
      <w:r w:rsidR="009E2445">
        <w:t>PPG</w:t>
      </w:r>
      <w:r>
        <w:t xml:space="preserve">, en fonction des ressources disponibles, de sept critères de sélection et des trois cibles </w:t>
      </w:r>
      <w:r w:rsidR="003E219C">
        <w:t>fixées à l’échelle</w:t>
      </w:r>
      <w:r>
        <w:t xml:space="preserve"> du portefeuille</w:t>
      </w:r>
      <w:r w:rsidR="0063096D">
        <w:t>,</w:t>
      </w:r>
      <w:r>
        <w:t xml:space="preserve"> énoncées dans les </w:t>
      </w:r>
      <w:r w:rsidR="00F02738">
        <w:t>orientations programmatiques</w:t>
      </w:r>
      <w:r>
        <w:t xml:space="preserve"> du GBFF.</w:t>
      </w:r>
    </w:p>
    <w:p w14:paraId="0163821B" w14:textId="4A721034" w:rsidR="005822F8" w:rsidRPr="00C67737" w:rsidRDefault="005822F8" w:rsidP="000B33CF">
      <w:pPr>
        <w:pStyle w:val="ListParagraph"/>
      </w:pPr>
      <w:r>
        <w:t>Les critères de sélection du GBFF sont les suivants</w:t>
      </w:r>
      <w:r w:rsidR="006E54C7">
        <w:t> :</w:t>
      </w:r>
    </w:p>
    <w:p w14:paraId="0F76657E" w14:textId="02F63BEA" w:rsidR="005822F8" w:rsidRPr="00C67737" w:rsidRDefault="0063096D">
      <w:pPr>
        <w:pStyle w:val="BodyText"/>
        <w:numPr>
          <w:ilvl w:val="0"/>
          <w:numId w:val="36"/>
        </w:numPr>
        <w:tabs>
          <w:tab w:val="left" w:pos="810"/>
        </w:tabs>
        <w:spacing w:before="0" w:after="0" w:line="240" w:lineRule="auto"/>
        <w:rPr>
          <w:rFonts w:asciiTheme="minorHAnsi" w:hAnsiTheme="minorHAnsi" w:cstheme="minorBidi"/>
          <w:color w:val="000000" w:themeColor="text1"/>
          <w:sz w:val="24"/>
          <w:szCs w:val="24"/>
        </w:rPr>
      </w:pPr>
      <w:r w:rsidRPr="0063096D">
        <w:rPr>
          <w:rFonts w:asciiTheme="minorHAnsi" w:hAnsiTheme="minorHAnsi"/>
          <w:color w:val="000000" w:themeColor="text1"/>
          <w:sz w:val="24"/>
        </w:rPr>
        <w:t>Potentiel de production d’avantages environnementaux mondiaux</w:t>
      </w:r>
      <w:r w:rsidR="00BB680B">
        <w:rPr>
          <w:rFonts w:asciiTheme="minorHAnsi" w:hAnsiTheme="minorHAnsi"/>
          <w:color w:val="000000" w:themeColor="text1"/>
          <w:sz w:val="24"/>
        </w:rPr>
        <w:t> </w:t>
      </w:r>
      <w:r w:rsidRPr="0063096D">
        <w:rPr>
          <w:rFonts w:asciiTheme="minorHAnsi" w:hAnsiTheme="minorHAnsi"/>
          <w:color w:val="000000" w:themeColor="text1"/>
          <w:sz w:val="24"/>
        </w:rPr>
        <w:t>;</w:t>
      </w:r>
      <w:r w:rsidR="005822F8">
        <w:rPr>
          <w:rFonts w:asciiTheme="minorHAnsi" w:hAnsiTheme="minorHAnsi"/>
          <w:color w:val="000000" w:themeColor="text1"/>
          <w:sz w:val="24"/>
        </w:rPr>
        <w:t xml:space="preserve"> </w:t>
      </w:r>
    </w:p>
    <w:p w14:paraId="4C203B16" w14:textId="5F130CF1" w:rsidR="005822F8" w:rsidRPr="00C67737" w:rsidRDefault="005822F8">
      <w:pPr>
        <w:pStyle w:val="BodyText"/>
        <w:numPr>
          <w:ilvl w:val="0"/>
          <w:numId w:val="36"/>
        </w:numPr>
        <w:tabs>
          <w:tab w:val="left" w:pos="810"/>
        </w:tabs>
        <w:spacing w:before="0" w:after="0" w:line="240" w:lineRule="auto"/>
        <w:rPr>
          <w:rFonts w:asciiTheme="minorHAnsi" w:hAnsiTheme="minorHAnsi" w:cstheme="minorBidi"/>
          <w:color w:val="000000" w:themeColor="text1"/>
          <w:sz w:val="24"/>
          <w:szCs w:val="24"/>
        </w:rPr>
      </w:pPr>
      <w:r>
        <w:rPr>
          <w:rFonts w:asciiTheme="minorHAnsi" w:hAnsiTheme="minorHAnsi"/>
          <w:color w:val="000000" w:themeColor="text1"/>
          <w:sz w:val="24"/>
        </w:rPr>
        <w:t xml:space="preserve">Cohérence avec les </w:t>
      </w:r>
      <w:r w:rsidR="00F02738">
        <w:rPr>
          <w:rFonts w:asciiTheme="minorHAnsi" w:hAnsiTheme="minorHAnsi"/>
          <w:color w:val="000000" w:themeColor="text1"/>
          <w:sz w:val="24"/>
        </w:rPr>
        <w:t>orientations programmatiques</w:t>
      </w:r>
      <w:r>
        <w:rPr>
          <w:rFonts w:asciiTheme="minorHAnsi" w:hAnsiTheme="minorHAnsi"/>
          <w:color w:val="000000" w:themeColor="text1"/>
          <w:sz w:val="24"/>
        </w:rPr>
        <w:t xml:space="preserve"> du GBFF et contribution à la mise en œuvre du KMGBF</w:t>
      </w:r>
      <w:r w:rsidR="00D71BD1">
        <w:rPr>
          <w:rFonts w:asciiTheme="minorHAnsi" w:hAnsiTheme="minorHAnsi"/>
          <w:color w:val="000000" w:themeColor="text1"/>
          <w:sz w:val="24"/>
        </w:rPr>
        <w:t> </w:t>
      </w:r>
      <w:r>
        <w:rPr>
          <w:rFonts w:asciiTheme="minorHAnsi" w:hAnsiTheme="minorHAnsi"/>
          <w:color w:val="000000" w:themeColor="text1"/>
          <w:sz w:val="24"/>
        </w:rPr>
        <w:t xml:space="preserve">; </w:t>
      </w:r>
    </w:p>
    <w:p w14:paraId="0B878A32" w14:textId="355EED7D" w:rsidR="005822F8" w:rsidRPr="00C67737" w:rsidRDefault="005822F8">
      <w:pPr>
        <w:pStyle w:val="BodyText"/>
        <w:numPr>
          <w:ilvl w:val="0"/>
          <w:numId w:val="36"/>
        </w:numPr>
        <w:tabs>
          <w:tab w:val="left" w:pos="810"/>
        </w:tabs>
        <w:spacing w:before="0" w:after="0" w:line="240" w:lineRule="auto"/>
        <w:rPr>
          <w:rFonts w:asciiTheme="minorHAnsi" w:hAnsiTheme="minorHAnsi" w:cstheme="minorBidi"/>
          <w:color w:val="000000" w:themeColor="text1"/>
          <w:sz w:val="24"/>
          <w:szCs w:val="24"/>
        </w:rPr>
      </w:pPr>
      <w:r>
        <w:rPr>
          <w:rFonts w:asciiTheme="minorHAnsi" w:hAnsiTheme="minorHAnsi"/>
          <w:color w:val="000000" w:themeColor="text1"/>
          <w:sz w:val="24"/>
        </w:rPr>
        <w:t>Cohérence avec les stratégies et plans d’action nationaux pour la biodiversité, les plans nationaux de financement de la biodiversité ou des instruments similaires, afin de recenser les priorités nationales et/ou régionales</w:t>
      </w:r>
      <w:r w:rsidR="00D71BD1">
        <w:rPr>
          <w:rFonts w:asciiTheme="minorHAnsi" w:hAnsiTheme="minorHAnsi"/>
          <w:color w:val="000000" w:themeColor="text1"/>
          <w:sz w:val="24"/>
        </w:rPr>
        <w:t> </w:t>
      </w:r>
      <w:r>
        <w:rPr>
          <w:rFonts w:asciiTheme="minorHAnsi" w:hAnsiTheme="minorHAnsi"/>
          <w:color w:val="000000" w:themeColor="text1"/>
          <w:sz w:val="24"/>
        </w:rPr>
        <w:t xml:space="preserve">; </w:t>
      </w:r>
    </w:p>
    <w:p w14:paraId="69CD536A" w14:textId="4ACE1F9A" w:rsidR="005822F8" w:rsidRPr="00C67737" w:rsidRDefault="005822F8">
      <w:pPr>
        <w:pStyle w:val="BodyText"/>
        <w:numPr>
          <w:ilvl w:val="0"/>
          <w:numId w:val="36"/>
        </w:numPr>
        <w:tabs>
          <w:tab w:val="left" w:pos="810"/>
        </w:tabs>
        <w:spacing w:before="0" w:after="0" w:line="240" w:lineRule="auto"/>
        <w:rPr>
          <w:rFonts w:asciiTheme="minorHAnsi" w:hAnsiTheme="minorHAnsi" w:cstheme="minorBidi"/>
          <w:color w:val="000000" w:themeColor="text1"/>
          <w:sz w:val="24"/>
          <w:szCs w:val="24"/>
        </w:rPr>
      </w:pPr>
      <w:r>
        <w:rPr>
          <w:rFonts w:asciiTheme="minorHAnsi" w:hAnsiTheme="minorHAnsi"/>
          <w:color w:val="000000" w:themeColor="text1"/>
          <w:sz w:val="24"/>
        </w:rPr>
        <w:t>Degré de cohérence des politiques et de coordination entre les ministères, les organismes publics, le secteur privé et la société civile</w:t>
      </w:r>
      <w:r w:rsidR="00D71BD1">
        <w:rPr>
          <w:rFonts w:asciiTheme="minorHAnsi" w:hAnsiTheme="minorHAnsi"/>
          <w:color w:val="000000" w:themeColor="text1"/>
          <w:sz w:val="24"/>
        </w:rPr>
        <w:t> </w:t>
      </w:r>
      <w:r>
        <w:rPr>
          <w:rFonts w:asciiTheme="minorHAnsi" w:hAnsiTheme="minorHAnsi"/>
          <w:color w:val="000000" w:themeColor="text1"/>
          <w:sz w:val="24"/>
        </w:rPr>
        <w:t xml:space="preserve">; </w:t>
      </w:r>
    </w:p>
    <w:p w14:paraId="0505ECA4" w14:textId="06EC2823" w:rsidR="005822F8" w:rsidRPr="00C67737" w:rsidRDefault="005822F8">
      <w:pPr>
        <w:pStyle w:val="BodyText"/>
        <w:numPr>
          <w:ilvl w:val="0"/>
          <w:numId w:val="36"/>
        </w:numPr>
        <w:tabs>
          <w:tab w:val="left" w:pos="810"/>
        </w:tabs>
        <w:spacing w:before="0" w:after="0" w:line="240" w:lineRule="auto"/>
        <w:rPr>
          <w:rFonts w:asciiTheme="minorHAnsi" w:hAnsiTheme="minorHAnsi" w:cstheme="minorBidi"/>
          <w:color w:val="000000" w:themeColor="text1"/>
          <w:sz w:val="24"/>
          <w:szCs w:val="24"/>
        </w:rPr>
      </w:pPr>
      <w:r>
        <w:rPr>
          <w:rFonts w:asciiTheme="minorHAnsi" w:hAnsiTheme="minorHAnsi"/>
          <w:color w:val="000000" w:themeColor="text1"/>
          <w:sz w:val="24"/>
        </w:rPr>
        <w:t>Équilibre entre les régions</w:t>
      </w:r>
      <w:r w:rsidR="00D71BD1">
        <w:rPr>
          <w:rFonts w:asciiTheme="minorHAnsi" w:hAnsiTheme="minorHAnsi"/>
          <w:color w:val="000000" w:themeColor="text1"/>
          <w:sz w:val="24"/>
        </w:rPr>
        <w:t> </w:t>
      </w:r>
      <w:r>
        <w:rPr>
          <w:rFonts w:asciiTheme="minorHAnsi" w:hAnsiTheme="minorHAnsi"/>
          <w:color w:val="000000" w:themeColor="text1"/>
          <w:sz w:val="24"/>
        </w:rPr>
        <w:t xml:space="preserve">; </w:t>
      </w:r>
    </w:p>
    <w:p w14:paraId="4F540EF8" w14:textId="3BC89C80" w:rsidR="005822F8" w:rsidRPr="00C67737" w:rsidRDefault="005822F8">
      <w:pPr>
        <w:pStyle w:val="BodyText"/>
        <w:numPr>
          <w:ilvl w:val="0"/>
          <w:numId w:val="36"/>
        </w:numPr>
        <w:tabs>
          <w:tab w:val="left" w:pos="810"/>
        </w:tabs>
        <w:spacing w:before="0" w:after="0" w:line="240" w:lineRule="auto"/>
        <w:rPr>
          <w:rFonts w:asciiTheme="minorHAnsi" w:hAnsiTheme="minorHAnsi" w:cstheme="minorBidi"/>
          <w:color w:val="000000" w:themeColor="text1"/>
          <w:sz w:val="24"/>
          <w:szCs w:val="24"/>
        </w:rPr>
      </w:pPr>
      <w:r>
        <w:rPr>
          <w:rFonts w:asciiTheme="minorHAnsi" w:hAnsiTheme="minorHAnsi"/>
          <w:color w:val="000000" w:themeColor="text1"/>
          <w:sz w:val="24"/>
        </w:rPr>
        <w:t>Mobilisation de ressources auprès du secteur privé et d</w:t>
      </w:r>
      <w:r w:rsidR="006635C6">
        <w:rPr>
          <w:rFonts w:asciiTheme="minorHAnsi" w:hAnsiTheme="minorHAnsi"/>
          <w:color w:val="000000" w:themeColor="text1"/>
          <w:sz w:val="24"/>
        </w:rPr>
        <w:t>’</w:t>
      </w:r>
      <w:r>
        <w:rPr>
          <w:rFonts w:asciiTheme="minorHAnsi" w:hAnsiTheme="minorHAnsi"/>
          <w:color w:val="000000" w:themeColor="text1"/>
          <w:sz w:val="24"/>
        </w:rPr>
        <w:t>organisations philanthropiques</w:t>
      </w:r>
      <w:r w:rsidR="00D71BD1">
        <w:rPr>
          <w:rFonts w:asciiTheme="minorHAnsi" w:hAnsiTheme="minorHAnsi"/>
          <w:color w:val="000000" w:themeColor="text1"/>
          <w:sz w:val="24"/>
        </w:rPr>
        <w:t> </w:t>
      </w:r>
      <w:r>
        <w:rPr>
          <w:rFonts w:asciiTheme="minorHAnsi" w:hAnsiTheme="minorHAnsi"/>
          <w:color w:val="000000" w:themeColor="text1"/>
          <w:sz w:val="24"/>
        </w:rPr>
        <w:t xml:space="preserve">; </w:t>
      </w:r>
    </w:p>
    <w:p w14:paraId="3CD51FD7" w14:textId="23C12021" w:rsidR="00897511" w:rsidRPr="009A05C0" w:rsidRDefault="005822F8">
      <w:pPr>
        <w:pStyle w:val="BodyText"/>
        <w:numPr>
          <w:ilvl w:val="0"/>
          <w:numId w:val="36"/>
        </w:numPr>
        <w:tabs>
          <w:tab w:val="left" w:pos="810"/>
        </w:tabs>
        <w:spacing w:before="0" w:after="0" w:line="240" w:lineRule="auto"/>
        <w:rPr>
          <w:rFonts w:asciiTheme="minorHAnsi" w:hAnsiTheme="minorHAnsi" w:cstheme="minorBidi"/>
          <w:color w:val="000000" w:themeColor="text1"/>
          <w:sz w:val="24"/>
          <w:szCs w:val="24"/>
        </w:rPr>
      </w:pPr>
      <w:r>
        <w:rPr>
          <w:rFonts w:asciiTheme="minorHAnsi" w:hAnsiTheme="minorHAnsi"/>
          <w:color w:val="000000" w:themeColor="text1"/>
          <w:sz w:val="24"/>
        </w:rPr>
        <w:t>Participation des peuples autochtones et communautés locales, et appui à leur</w:t>
      </w:r>
      <w:r w:rsidR="006635C6">
        <w:rPr>
          <w:rFonts w:asciiTheme="minorHAnsi" w:hAnsiTheme="minorHAnsi"/>
          <w:color w:val="000000" w:themeColor="text1"/>
          <w:sz w:val="24"/>
        </w:rPr>
        <w:t>s</w:t>
      </w:r>
      <w:r>
        <w:rPr>
          <w:rFonts w:asciiTheme="minorHAnsi" w:hAnsiTheme="minorHAnsi"/>
          <w:color w:val="000000" w:themeColor="text1"/>
          <w:sz w:val="24"/>
        </w:rPr>
        <w:t xml:space="preserve"> action</w:t>
      </w:r>
      <w:r w:rsidR="006635C6">
        <w:rPr>
          <w:rFonts w:asciiTheme="minorHAnsi" w:hAnsiTheme="minorHAnsi"/>
          <w:color w:val="000000" w:themeColor="text1"/>
          <w:sz w:val="24"/>
        </w:rPr>
        <w:t>s</w:t>
      </w:r>
      <w:r w:rsidR="009A05C0">
        <w:rPr>
          <w:rFonts w:asciiTheme="minorHAnsi" w:hAnsiTheme="minorHAnsi"/>
          <w:color w:val="000000" w:themeColor="text1"/>
          <w:sz w:val="24"/>
        </w:rPr>
        <w:t>.</w:t>
      </w:r>
    </w:p>
    <w:p w14:paraId="6E6CDBEF" w14:textId="1A22C9D5" w:rsidR="005822F8" w:rsidRPr="00C67737" w:rsidRDefault="004A2DF3" w:rsidP="000B33CF">
      <w:pPr>
        <w:pStyle w:val="ListParagraph"/>
      </w:pPr>
      <w:r>
        <w:t>Les trois cibles fixées au niveau du portefeuille du GBFF sont les suivantes</w:t>
      </w:r>
      <w:r w:rsidR="006E54C7">
        <w:t> :</w:t>
      </w:r>
    </w:p>
    <w:p w14:paraId="7A272F76" w14:textId="7C80752E" w:rsidR="004A2DF3" w:rsidRPr="00C67737" w:rsidRDefault="00A2736D">
      <w:pPr>
        <w:pStyle w:val="BodyText"/>
        <w:numPr>
          <w:ilvl w:val="0"/>
          <w:numId w:val="36"/>
        </w:numPr>
        <w:tabs>
          <w:tab w:val="left" w:pos="810"/>
        </w:tabs>
        <w:spacing w:before="0" w:after="0" w:line="240" w:lineRule="auto"/>
        <w:rPr>
          <w:rFonts w:asciiTheme="minorHAnsi" w:hAnsiTheme="minorHAnsi" w:cstheme="minorBidi"/>
          <w:color w:val="000000" w:themeColor="text1"/>
          <w:sz w:val="24"/>
          <w:szCs w:val="24"/>
        </w:rPr>
      </w:pPr>
      <w:r>
        <w:rPr>
          <w:rFonts w:asciiTheme="minorHAnsi" w:hAnsiTheme="minorHAnsi"/>
          <w:color w:val="000000" w:themeColor="text1"/>
          <w:sz w:val="24"/>
        </w:rPr>
        <w:t>36</w:t>
      </w:r>
      <w:r w:rsidR="00966C17">
        <w:rPr>
          <w:rFonts w:asciiTheme="minorHAnsi" w:hAnsiTheme="minorHAnsi"/>
          <w:color w:val="000000" w:themeColor="text1"/>
          <w:sz w:val="24"/>
        </w:rPr>
        <w:t> %</w:t>
      </w:r>
      <w:r w:rsidR="004A2DF3">
        <w:rPr>
          <w:rFonts w:asciiTheme="minorHAnsi" w:hAnsiTheme="minorHAnsi"/>
          <w:color w:val="000000" w:themeColor="text1"/>
          <w:sz w:val="24"/>
        </w:rPr>
        <w:t xml:space="preserve"> </w:t>
      </w:r>
      <w:r>
        <w:rPr>
          <w:rFonts w:asciiTheme="minorHAnsi" w:hAnsiTheme="minorHAnsi"/>
          <w:color w:val="000000" w:themeColor="text1"/>
          <w:sz w:val="24"/>
        </w:rPr>
        <w:t>+ 3</w:t>
      </w:r>
      <w:r w:rsidR="00966C17">
        <w:rPr>
          <w:rFonts w:asciiTheme="minorHAnsi" w:hAnsiTheme="minorHAnsi"/>
          <w:color w:val="000000" w:themeColor="text1"/>
          <w:sz w:val="24"/>
        </w:rPr>
        <w:t> %</w:t>
      </w:r>
      <w:r>
        <w:rPr>
          <w:rFonts w:asciiTheme="minorHAnsi" w:hAnsiTheme="minorHAnsi"/>
          <w:color w:val="000000" w:themeColor="text1"/>
          <w:sz w:val="24"/>
        </w:rPr>
        <w:t xml:space="preserve"> </w:t>
      </w:r>
      <w:r w:rsidR="004A2DF3">
        <w:rPr>
          <w:rFonts w:asciiTheme="minorHAnsi" w:hAnsiTheme="minorHAnsi"/>
          <w:color w:val="000000" w:themeColor="text1"/>
          <w:sz w:val="24"/>
        </w:rPr>
        <w:t>des ressources totales du GBFF</w:t>
      </w:r>
      <w:r w:rsidR="0028637D">
        <w:rPr>
          <w:rFonts w:asciiTheme="minorHAnsi" w:hAnsiTheme="minorHAnsi"/>
          <w:color w:val="000000" w:themeColor="text1"/>
          <w:sz w:val="24"/>
        </w:rPr>
        <w:t xml:space="preserve"> </w:t>
      </w:r>
      <w:r w:rsidR="004A2DF3">
        <w:rPr>
          <w:rFonts w:asciiTheme="minorHAnsi" w:hAnsiTheme="minorHAnsi"/>
          <w:color w:val="000000" w:themeColor="text1"/>
          <w:sz w:val="24"/>
        </w:rPr>
        <w:t xml:space="preserve">sont allouées aux PMA et aux PEID. La </w:t>
      </w:r>
      <w:r w:rsidR="006D0E69">
        <w:rPr>
          <w:rFonts w:asciiTheme="minorHAnsi" w:hAnsiTheme="minorHAnsi"/>
          <w:color w:val="000000" w:themeColor="text1"/>
          <w:sz w:val="24"/>
        </w:rPr>
        <w:t>part</w:t>
      </w:r>
      <w:r w:rsidR="004A2DF3">
        <w:rPr>
          <w:rFonts w:asciiTheme="minorHAnsi" w:hAnsiTheme="minorHAnsi"/>
          <w:color w:val="000000" w:themeColor="text1"/>
          <w:sz w:val="24"/>
        </w:rPr>
        <w:t xml:space="preserve"> supplémentaire de 3</w:t>
      </w:r>
      <w:r w:rsidR="00966C17">
        <w:rPr>
          <w:rFonts w:asciiTheme="minorHAnsi" w:hAnsiTheme="minorHAnsi"/>
          <w:color w:val="000000" w:themeColor="text1"/>
          <w:sz w:val="24"/>
        </w:rPr>
        <w:t> %</w:t>
      </w:r>
      <w:r w:rsidR="004A2DF3">
        <w:rPr>
          <w:rFonts w:asciiTheme="minorHAnsi" w:hAnsiTheme="minorHAnsi"/>
          <w:color w:val="000000" w:themeColor="text1"/>
          <w:sz w:val="24"/>
        </w:rPr>
        <w:t xml:space="preserve"> destinée aux PMA et aux PEID fera l’objet d’un examen après trois ans</w:t>
      </w:r>
      <w:r w:rsidR="00D56AE2">
        <w:rPr>
          <w:rFonts w:asciiTheme="minorHAnsi" w:hAnsiTheme="minorHAnsi"/>
          <w:color w:val="000000" w:themeColor="text1"/>
          <w:sz w:val="24"/>
        </w:rPr>
        <w:t xml:space="preserve"> et, s</w:t>
      </w:r>
      <w:r w:rsidR="004A2DF3">
        <w:rPr>
          <w:rFonts w:asciiTheme="minorHAnsi" w:hAnsiTheme="minorHAnsi"/>
          <w:color w:val="000000" w:themeColor="text1"/>
          <w:sz w:val="24"/>
        </w:rPr>
        <w:t>i elle n’a pas été utilisée, sera reprogrammée au profit d’autres pays. Au 30</w:t>
      </w:r>
      <w:r w:rsidR="00D71BD1">
        <w:rPr>
          <w:rFonts w:asciiTheme="minorHAnsi" w:hAnsiTheme="minorHAnsi"/>
          <w:color w:val="000000" w:themeColor="text1"/>
          <w:sz w:val="24"/>
        </w:rPr>
        <w:t> </w:t>
      </w:r>
      <w:r w:rsidR="004A2DF3">
        <w:rPr>
          <w:rFonts w:asciiTheme="minorHAnsi" w:hAnsiTheme="minorHAnsi"/>
          <w:color w:val="000000" w:themeColor="text1"/>
          <w:sz w:val="24"/>
        </w:rPr>
        <w:t>juin 2026, 38,8</w:t>
      </w:r>
      <w:r w:rsidR="00966C17">
        <w:rPr>
          <w:rFonts w:asciiTheme="minorHAnsi" w:hAnsiTheme="minorHAnsi"/>
          <w:color w:val="000000" w:themeColor="text1"/>
          <w:sz w:val="24"/>
        </w:rPr>
        <w:t> %</w:t>
      </w:r>
      <w:r w:rsidR="004A2DF3">
        <w:rPr>
          <w:rFonts w:asciiTheme="minorHAnsi" w:hAnsiTheme="minorHAnsi"/>
          <w:color w:val="000000" w:themeColor="text1"/>
          <w:sz w:val="24"/>
        </w:rPr>
        <w:t xml:space="preserve"> des financements du GBFF programmés à ce jour bénéficiaient aux PEID et aux PMA, </w:t>
      </w:r>
      <w:r w:rsidR="0028637D">
        <w:rPr>
          <w:rFonts w:asciiTheme="minorHAnsi" w:hAnsiTheme="minorHAnsi"/>
          <w:color w:val="000000" w:themeColor="text1"/>
          <w:sz w:val="24"/>
        </w:rPr>
        <w:t>permettant ainsi</w:t>
      </w:r>
      <w:r w:rsidR="004A2DF3">
        <w:rPr>
          <w:rFonts w:asciiTheme="minorHAnsi" w:hAnsiTheme="minorHAnsi"/>
          <w:color w:val="000000" w:themeColor="text1"/>
          <w:sz w:val="24"/>
        </w:rPr>
        <w:t xml:space="preserve"> d’atteindre la cible fixée </w:t>
      </w:r>
      <w:r w:rsidR="00894B89">
        <w:rPr>
          <w:rFonts w:asciiTheme="minorHAnsi" w:hAnsiTheme="minorHAnsi"/>
          <w:color w:val="000000" w:themeColor="text1"/>
          <w:sz w:val="24"/>
        </w:rPr>
        <w:t xml:space="preserve">à l’échelle </w:t>
      </w:r>
      <w:r w:rsidR="004A2DF3">
        <w:rPr>
          <w:rFonts w:asciiTheme="minorHAnsi" w:hAnsiTheme="minorHAnsi"/>
          <w:color w:val="000000" w:themeColor="text1"/>
          <w:sz w:val="24"/>
        </w:rPr>
        <w:t>du portefeuille.</w:t>
      </w:r>
    </w:p>
    <w:p w14:paraId="4C54AD04" w14:textId="492C24F3" w:rsidR="004A2DF3" w:rsidRPr="00F02405" w:rsidRDefault="004A2DF3">
      <w:pPr>
        <w:pStyle w:val="BodyText"/>
        <w:numPr>
          <w:ilvl w:val="0"/>
          <w:numId w:val="36"/>
        </w:numPr>
        <w:tabs>
          <w:tab w:val="left" w:pos="810"/>
        </w:tabs>
        <w:spacing w:before="0" w:after="0" w:line="240" w:lineRule="auto"/>
        <w:rPr>
          <w:rFonts w:asciiTheme="minorHAnsi" w:hAnsiTheme="minorHAnsi"/>
          <w:color w:val="000000" w:themeColor="text1"/>
          <w:sz w:val="24"/>
        </w:rPr>
      </w:pPr>
      <w:r>
        <w:rPr>
          <w:rFonts w:asciiTheme="minorHAnsi" w:hAnsiTheme="minorHAnsi"/>
          <w:color w:val="000000" w:themeColor="text1"/>
          <w:sz w:val="24"/>
        </w:rPr>
        <w:t>25</w:t>
      </w:r>
      <w:r w:rsidR="00966C17">
        <w:rPr>
          <w:rFonts w:asciiTheme="minorHAnsi" w:hAnsiTheme="minorHAnsi"/>
          <w:color w:val="000000" w:themeColor="text1"/>
          <w:sz w:val="24"/>
        </w:rPr>
        <w:t> %</w:t>
      </w:r>
      <w:r>
        <w:rPr>
          <w:rFonts w:asciiTheme="minorHAnsi" w:hAnsiTheme="minorHAnsi"/>
          <w:color w:val="000000" w:themeColor="text1"/>
          <w:sz w:val="24"/>
        </w:rPr>
        <w:t xml:space="preserve"> des ressources du GBFF doivent être programmées par l’intermédiaire d’institutions financières internationales qui sont des </w:t>
      </w:r>
      <w:r w:rsidR="00F52D3D">
        <w:rPr>
          <w:rFonts w:asciiTheme="minorHAnsi" w:hAnsiTheme="minorHAnsi"/>
          <w:color w:val="000000" w:themeColor="text1"/>
          <w:sz w:val="24"/>
        </w:rPr>
        <w:t>Agences</w:t>
      </w:r>
      <w:r>
        <w:rPr>
          <w:rFonts w:asciiTheme="minorHAnsi" w:hAnsiTheme="minorHAnsi"/>
          <w:color w:val="000000" w:themeColor="text1"/>
          <w:sz w:val="24"/>
        </w:rPr>
        <w:t xml:space="preserve"> du GEF. </w:t>
      </w:r>
      <w:r w:rsidRPr="00F02405">
        <w:rPr>
          <w:rFonts w:asciiTheme="minorHAnsi" w:hAnsiTheme="minorHAnsi"/>
          <w:color w:val="000000" w:themeColor="text1"/>
          <w:sz w:val="24"/>
        </w:rPr>
        <w:t>Cette cible a été dépassée</w:t>
      </w:r>
      <w:r w:rsidR="006E54C7">
        <w:rPr>
          <w:rFonts w:asciiTheme="minorHAnsi" w:hAnsiTheme="minorHAnsi"/>
          <w:color w:val="000000" w:themeColor="text1"/>
          <w:sz w:val="24"/>
        </w:rPr>
        <w:t> :</w:t>
      </w:r>
      <w:r w:rsidRPr="00F02405">
        <w:rPr>
          <w:rFonts w:asciiTheme="minorHAnsi" w:hAnsiTheme="minorHAnsi"/>
          <w:color w:val="000000" w:themeColor="text1"/>
          <w:sz w:val="24"/>
        </w:rPr>
        <w:t xml:space="preserve"> au 30</w:t>
      </w:r>
      <w:r w:rsidR="00D71BD1" w:rsidRPr="00F02405">
        <w:rPr>
          <w:rFonts w:asciiTheme="minorHAnsi" w:hAnsiTheme="minorHAnsi"/>
          <w:color w:val="000000" w:themeColor="text1"/>
          <w:sz w:val="24"/>
        </w:rPr>
        <w:t> </w:t>
      </w:r>
      <w:r w:rsidRPr="00F02405">
        <w:rPr>
          <w:rFonts w:asciiTheme="minorHAnsi" w:hAnsiTheme="minorHAnsi"/>
          <w:color w:val="000000" w:themeColor="text1"/>
          <w:sz w:val="24"/>
        </w:rPr>
        <w:t>juin 2026, 30,4</w:t>
      </w:r>
      <w:r w:rsidR="00966C17">
        <w:rPr>
          <w:rFonts w:asciiTheme="minorHAnsi" w:hAnsiTheme="minorHAnsi"/>
          <w:color w:val="000000" w:themeColor="text1"/>
          <w:sz w:val="24"/>
        </w:rPr>
        <w:t> %</w:t>
      </w:r>
      <w:r w:rsidRPr="00F02405">
        <w:rPr>
          <w:rFonts w:asciiTheme="minorHAnsi" w:hAnsiTheme="minorHAnsi"/>
          <w:color w:val="000000" w:themeColor="text1"/>
          <w:sz w:val="24"/>
        </w:rPr>
        <w:t xml:space="preserve"> des ressources du GBFF avaient été programmées par l’intermédiaire </w:t>
      </w:r>
      <w:r w:rsidR="00967BB6">
        <w:rPr>
          <w:rFonts w:asciiTheme="minorHAnsi" w:hAnsiTheme="minorHAnsi"/>
          <w:color w:val="000000" w:themeColor="text1"/>
          <w:sz w:val="24"/>
        </w:rPr>
        <w:t>d’IFI</w:t>
      </w:r>
      <w:r w:rsidRPr="00F02405">
        <w:rPr>
          <w:rFonts w:asciiTheme="minorHAnsi" w:hAnsiTheme="minorHAnsi"/>
          <w:color w:val="000000" w:themeColor="text1"/>
          <w:sz w:val="24"/>
        </w:rPr>
        <w:t>.</w:t>
      </w:r>
      <w:r>
        <w:rPr>
          <w:rFonts w:asciiTheme="minorHAnsi" w:hAnsiTheme="minorHAnsi"/>
          <w:color w:val="000000" w:themeColor="text1"/>
          <w:sz w:val="24"/>
        </w:rPr>
        <w:t xml:space="preserve"> </w:t>
      </w:r>
    </w:p>
    <w:p w14:paraId="13D0386C" w14:textId="35B25724" w:rsidR="000463BF" w:rsidRPr="00C67737" w:rsidRDefault="004A2DF3">
      <w:pPr>
        <w:pStyle w:val="BodyText"/>
        <w:numPr>
          <w:ilvl w:val="0"/>
          <w:numId w:val="36"/>
        </w:numPr>
        <w:tabs>
          <w:tab w:val="left" w:pos="810"/>
        </w:tabs>
        <w:spacing w:before="0" w:line="240" w:lineRule="auto"/>
        <w:ind w:left="1267"/>
        <w:rPr>
          <w:rFonts w:asciiTheme="minorHAnsi" w:hAnsiTheme="minorHAnsi" w:cstheme="minorBidi"/>
          <w:color w:val="000000" w:themeColor="text1"/>
          <w:sz w:val="24"/>
          <w:szCs w:val="24"/>
        </w:rPr>
      </w:pPr>
      <w:r>
        <w:rPr>
          <w:rFonts w:asciiTheme="minorHAnsi" w:hAnsiTheme="minorHAnsi"/>
          <w:color w:val="000000" w:themeColor="text1"/>
          <w:sz w:val="24"/>
        </w:rPr>
        <w:t xml:space="preserve">D’ici à 2030, une part </w:t>
      </w:r>
      <w:r w:rsidR="00C43B1E">
        <w:rPr>
          <w:rFonts w:asciiTheme="minorHAnsi" w:hAnsiTheme="minorHAnsi"/>
          <w:color w:val="000000" w:themeColor="text1"/>
          <w:sz w:val="24"/>
        </w:rPr>
        <w:t>ambitieuse</w:t>
      </w:r>
      <w:r>
        <w:rPr>
          <w:rFonts w:asciiTheme="minorHAnsi" w:hAnsiTheme="minorHAnsi"/>
          <w:color w:val="000000" w:themeColor="text1"/>
          <w:sz w:val="24"/>
        </w:rPr>
        <w:t xml:space="preserve"> de 20</w:t>
      </w:r>
      <w:r w:rsidR="00966C17">
        <w:rPr>
          <w:rFonts w:asciiTheme="minorHAnsi" w:hAnsiTheme="minorHAnsi"/>
          <w:color w:val="000000" w:themeColor="text1"/>
          <w:sz w:val="24"/>
        </w:rPr>
        <w:t> %</w:t>
      </w:r>
      <w:r w:rsidR="001731EE">
        <w:rPr>
          <w:rFonts w:asciiTheme="minorHAnsi" w:hAnsiTheme="minorHAnsi"/>
          <w:color w:val="000000" w:themeColor="text1"/>
          <w:sz w:val="24"/>
        </w:rPr>
        <w:t>,</w:t>
      </w:r>
      <w:r>
        <w:rPr>
          <w:rFonts w:asciiTheme="minorHAnsi" w:hAnsiTheme="minorHAnsi"/>
          <w:color w:val="000000" w:themeColor="text1"/>
          <w:sz w:val="24"/>
        </w:rPr>
        <w:t xml:space="preserve"> </w:t>
      </w:r>
      <w:r w:rsidR="001731EE" w:rsidRPr="001731EE">
        <w:rPr>
          <w:rFonts w:asciiTheme="minorHAnsi" w:hAnsiTheme="minorHAnsi"/>
          <w:color w:val="000000" w:themeColor="text1"/>
          <w:sz w:val="24"/>
        </w:rPr>
        <w:t xml:space="preserve">à l’échelle du portefeuille, du montant total des ressources allouées au titre du GBFF doit appuyer les actions menées par les peuples autochtones et communautés locales en faveur de la conservation, de la restauration, de l’utilisation durable et de la gestion de la biodiversité. Cette cible a également été dépassée </w:t>
      </w:r>
      <w:r w:rsidR="0046179B">
        <w:rPr>
          <w:rFonts w:asciiTheme="minorHAnsi" w:hAnsiTheme="minorHAnsi"/>
          <w:color w:val="000000" w:themeColor="text1"/>
          <w:sz w:val="24"/>
        </w:rPr>
        <w:t>puisque</w:t>
      </w:r>
      <w:r w:rsidR="001731EE" w:rsidRPr="001731EE">
        <w:rPr>
          <w:rFonts w:asciiTheme="minorHAnsi" w:hAnsiTheme="minorHAnsi"/>
          <w:color w:val="000000" w:themeColor="text1"/>
          <w:sz w:val="24"/>
        </w:rPr>
        <w:t xml:space="preserve"> 31,8</w:t>
      </w:r>
      <w:r w:rsidR="00966C17">
        <w:rPr>
          <w:rFonts w:asciiTheme="minorHAnsi" w:hAnsiTheme="minorHAnsi"/>
          <w:color w:val="000000" w:themeColor="text1"/>
          <w:sz w:val="24"/>
        </w:rPr>
        <w:t> %</w:t>
      </w:r>
      <w:r w:rsidR="001731EE" w:rsidRPr="001731EE">
        <w:rPr>
          <w:rFonts w:asciiTheme="minorHAnsi" w:hAnsiTheme="minorHAnsi"/>
          <w:color w:val="000000" w:themeColor="text1"/>
          <w:sz w:val="24"/>
        </w:rPr>
        <w:t xml:space="preserve"> des financements du GBFF programmés étaient alloués à l’appui </w:t>
      </w:r>
      <w:r w:rsidR="004113F9">
        <w:rPr>
          <w:rFonts w:asciiTheme="minorHAnsi" w:hAnsiTheme="minorHAnsi"/>
          <w:color w:val="000000" w:themeColor="text1"/>
          <w:sz w:val="24"/>
        </w:rPr>
        <w:t>de ces</w:t>
      </w:r>
      <w:r w:rsidR="001731EE" w:rsidRPr="001731EE">
        <w:rPr>
          <w:rFonts w:asciiTheme="minorHAnsi" w:hAnsiTheme="minorHAnsi"/>
          <w:color w:val="000000" w:themeColor="text1"/>
          <w:sz w:val="24"/>
        </w:rPr>
        <w:t xml:space="preserve"> actions.</w:t>
      </w:r>
    </w:p>
    <w:p w14:paraId="677E42B3" w14:textId="1D069021" w:rsidR="004A2DF3" w:rsidRPr="00C67737" w:rsidRDefault="3C12CDA8" w:rsidP="000B33CF">
      <w:pPr>
        <w:pStyle w:val="ListParagraph"/>
      </w:pPr>
      <w:r>
        <w:lastRenderedPageBreak/>
        <w:t>Le GBFF a organisé cinq cycles de sélection, dont les résultats ont été annoncés en mars</w:t>
      </w:r>
      <w:r w:rsidR="003F1AE8">
        <w:t> </w:t>
      </w:r>
      <w:r>
        <w:t>2024, en mai 2024, en décembre 2024, en novembre 2025 et en mars 2026. Au total, 254</w:t>
      </w:r>
      <w:r w:rsidR="00D71BD1">
        <w:t> </w:t>
      </w:r>
      <w:r>
        <w:t>demandes de financement PPG ont été soumises, parmi lesquelles 82 ont été retenues (voir annexe</w:t>
      </w:r>
      <w:r w:rsidR="00D71BD1">
        <w:t> </w:t>
      </w:r>
      <w:r>
        <w:t xml:space="preserve">3). </w:t>
      </w:r>
    </w:p>
    <w:p w14:paraId="3EC68852" w14:textId="00E95EF0" w:rsidR="004A2DF3" w:rsidRPr="00C67737" w:rsidRDefault="00CE00BC" w:rsidP="000B33CF">
      <w:pPr>
        <w:pStyle w:val="ListParagraph"/>
      </w:pPr>
      <w:r>
        <w:t>Après approbation par le directeur général d</w:t>
      </w:r>
      <w:r w:rsidR="19AB837B">
        <w:t xml:space="preserve">es </w:t>
      </w:r>
      <w:r>
        <w:t xml:space="preserve">demandes de </w:t>
      </w:r>
      <w:r w:rsidR="19AB837B">
        <w:t xml:space="preserve">financements </w:t>
      </w:r>
      <w:r w:rsidR="009E2445">
        <w:t>PPG</w:t>
      </w:r>
      <w:r w:rsidR="19AB837B">
        <w:t xml:space="preserve"> retenu</w:t>
      </w:r>
      <w:r>
        <w:t>e</w:t>
      </w:r>
      <w:r w:rsidR="19AB837B">
        <w:t xml:space="preserve">s, les Agences soumettent les projets entièrement préparés dans un délai de neuf mois, conformément aux dispositions du GBFF relatives à l’annulation des projets. </w:t>
      </w:r>
      <w:r w:rsidR="00BA19A9" w:rsidRPr="00BA19A9">
        <w:t>Les projets de plus de 5</w:t>
      </w:r>
      <w:r w:rsidR="003A48F4">
        <w:t> </w:t>
      </w:r>
      <w:r w:rsidR="00BA19A9" w:rsidRPr="00BA19A9">
        <w:t>millions de dollars sont ensuite inscrits dans un programme de travail soumis à l’examen du Conseil du GBFF. Les projets d’un montant égal ou inférieur à 5</w:t>
      </w:r>
      <w:r w:rsidR="003A48F4">
        <w:t> </w:t>
      </w:r>
      <w:r w:rsidR="00BA19A9" w:rsidRPr="00BA19A9">
        <w:t>millions de dollars, après validation par le Secrétariat, peuvent recevoir l’agrément du directeur général au titre des pouvoirs qui lui ont été délégués par le Conseil du GBFF.</w:t>
      </w:r>
    </w:p>
    <w:p w14:paraId="002FFF89" w14:textId="52402C98" w:rsidR="00F7104D" w:rsidRPr="00C67737" w:rsidRDefault="00BB1AE0" w:rsidP="000B33CF">
      <w:pPr>
        <w:pStyle w:val="ListParagraph"/>
      </w:pPr>
      <w:r w:rsidRPr="00BB1AE0">
        <w:t>Au 30</w:t>
      </w:r>
      <w:r w:rsidR="003A48F4">
        <w:t> </w:t>
      </w:r>
      <w:r w:rsidRPr="00BB1AE0">
        <w:t>juin 2026, le directeur général avait donné son agrément à 31</w:t>
      </w:r>
      <w:r w:rsidR="003A48F4">
        <w:t> </w:t>
      </w:r>
      <w:r w:rsidRPr="00BB1AE0">
        <w:t>projets entièrement préparés, représentant un financement total du GBFF de 149,5</w:t>
      </w:r>
      <w:r w:rsidR="003A48F4">
        <w:t> </w:t>
      </w:r>
      <w:r w:rsidRPr="00BB1AE0">
        <w:t>millions de dollars, qui pouvaient dès lors passer à la phase de mise en œuvre.</w:t>
      </w:r>
      <w:r>
        <w:t xml:space="preserve"> </w:t>
      </w:r>
      <w:r w:rsidR="407A206A">
        <w:t>Onze autres projets entièrement préparés avaient été soumis, pour un montant total de 58,4</w:t>
      </w:r>
      <w:r w:rsidR="00D71BD1">
        <w:t> </w:t>
      </w:r>
      <w:r w:rsidR="407A206A">
        <w:t>millions de dollars. Les 40</w:t>
      </w:r>
      <w:r w:rsidR="00D71BD1">
        <w:t> </w:t>
      </w:r>
      <w:r w:rsidR="407A206A">
        <w:t>projets restants, représentant un financement total du GBFF de 154,2</w:t>
      </w:r>
      <w:r w:rsidR="00D71BD1">
        <w:t> </w:t>
      </w:r>
      <w:r w:rsidR="407A206A">
        <w:t>millions de dollars, étaient en cours de préparation par leurs promoteurs.</w:t>
      </w:r>
    </w:p>
    <w:p w14:paraId="1B85575C" w14:textId="76ADC73C" w:rsidR="00A76684" w:rsidRPr="00C67737" w:rsidRDefault="008F2351" w:rsidP="000B33CF">
      <w:pPr>
        <w:pStyle w:val="ListParagraph"/>
      </w:pPr>
      <w:r>
        <w:t xml:space="preserve">Les paragraphes ci-après résument trois projets du GBFF en cours de mise en œuvre, qui illustrent l’appui apporté par le GBFF </w:t>
      </w:r>
      <w:r w:rsidR="00BB1AE0">
        <w:t>a</w:t>
      </w:r>
      <w:r>
        <w:t>u KMGBF.</w:t>
      </w:r>
    </w:p>
    <w:p w14:paraId="03E7DEFE" w14:textId="20772835" w:rsidR="009D4009" w:rsidRPr="00C67737" w:rsidRDefault="00BA19A9" w:rsidP="000B33CF">
      <w:pPr>
        <w:pStyle w:val="ListParagraph"/>
      </w:pPr>
      <w:r>
        <w:t xml:space="preserve">Le projet </w:t>
      </w:r>
      <w:proofErr w:type="spellStart"/>
      <w:r w:rsidR="00DB293A">
        <w:rPr>
          <w:b/>
          <w:bCs/>
          <w:i/>
          <w:iCs/>
        </w:rPr>
        <w:t>Biodiversity</w:t>
      </w:r>
      <w:proofErr w:type="spellEnd"/>
      <w:r w:rsidR="00DB293A">
        <w:rPr>
          <w:b/>
          <w:bCs/>
          <w:i/>
          <w:iCs/>
        </w:rPr>
        <w:t xml:space="preserve"> Conservation in </w:t>
      </w:r>
      <w:proofErr w:type="spellStart"/>
      <w:r w:rsidR="00DB293A">
        <w:rPr>
          <w:b/>
          <w:bCs/>
          <w:i/>
          <w:iCs/>
        </w:rPr>
        <w:t>Indigenous</w:t>
      </w:r>
      <w:proofErr w:type="spellEnd"/>
      <w:r w:rsidR="00DB293A">
        <w:rPr>
          <w:b/>
          <w:bCs/>
          <w:i/>
          <w:iCs/>
        </w:rPr>
        <w:t xml:space="preserve"> Lands</w:t>
      </w:r>
      <w:r w:rsidR="00DB293A">
        <w:t xml:space="preserve"> (Brésil</w:t>
      </w:r>
      <w:r w:rsidR="00D71BD1">
        <w:t> </w:t>
      </w:r>
      <w:r w:rsidR="00DB293A">
        <w:t>; financement de projet du GEF</w:t>
      </w:r>
      <w:r w:rsidR="006E54C7">
        <w:t> :</w:t>
      </w:r>
      <w:r w:rsidR="00DB293A">
        <w:t xml:space="preserve"> 9</w:t>
      </w:r>
      <w:r w:rsidR="00D71BD1">
        <w:t> 064 221 </w:t>
      </w:r>
      <w:r w:rsidR="00DB293A">
        <w:t>dollars</w:t>
      </w:r>
      <w:r w:rsidR="00D71BD1">
        <w:t> </w:t>
      </w:r>
      <w:r w:rsidR="00DB293A">
        <w:t>; cofinancement</w:t>
      </w:r>
      <w:r w:rsidR="006E54C7">
        <w:t> :</w:t>
      </w:r>
      <w:r w:rsidR="00DB293A">
        <w:t xml:space="preserve"> 17</w:t>
      </w:r>
      <w:r w:rsidR="00D71BD1">
        <w:t> 900 000 </w:t>
      </w:r>
      <w:r w:rsidR="00DB293A">
        <w:t xml:space="preserve">dollars) </w:t>
      </w:r>
      <w:r w:rsidR="006D58ED" w:rsidRPr="006D58ED">
        <w:t>appuie, au Brésil, l</w:t>
      </w:r>
      <w:r w:rsidR="00BB1AE0">
        <w:t>es acti</w:t>
      </w:r>
      <w:r w:rsidR="00E92839">
        <w:t>vités</w:t>
      </w:r>
      <w:r w:rsidR="00BB1AE0">
        <w:t xml:space="preserve"> de</w:t>
      </w:r>
      <w:r w:rsidR="006D58ED" w:rsidRPr="006D58ED">
        <w:t xml:space="preserve"> gestion de la biodiversité menée</w:t>
      </w:r>
      <w:r w:rsidR="00BB1AE0">
        <w:t>s</w:t>
      </w:r>
      <w:r w:rsidR="006D58ED" w:rsidRPr="006D58ED">
        <w:t xml:space="preserve"> par les peuples autochtones et communautés locales, en accordant une aide directe à des organisations dirigées par des peuples autochtones. Son déploiement à plus grande échelle repose sur sa cohérence avec la Politique nationale de gestion territoriale et environnementale des terres autochtones. Le projet s’appuie sur des plans de gestion territoriale et environnementale élaborés conjointement dans le cadre d’un processus participatif respectueux de la culture de chaque groupe ethnique, avec l’appui essentiel d</w:t>
      </w:r>
      <w:r w:rsidR="0067420B">
        <w:t>’</w:t>
      </w:r>
      <w:r w:rsidR="006D58ED" w:rsidRPr="006D58ED">
        <w:t>organisations de la société civile et d</w:t>
      </w:r>
      <w:r w:rsidR="0067420B">
        <w:t>’</w:t>
      </w:r>
      <w:r w:rsidR="006D58ED" w:rsidRPr="006D58ED">
        <w:t>institutions publiques, afin d’améliorer la gestion de 6,4</w:t>
      </w:r>
      <w:r w:rsidR="006D58ED">
        <w:t> </w:t>
      </w:r>
      <w:r w:rsidR="006D58ED" w:rsidRPr="006D58ED">
        <w:t xml:space="preserve">millions d’hectares de terres. Il contribue directement aux </w:t>
      </w:r>
      <w:r w:rsidR="006D58ED" w:rsidRPr="006D58ED">
        <w:rPr>
          <w:b/>
          <w:bCs/>
        </w:rPr>
        <w:t>cibles</w:t>
      </w:r>
      <w:r w:rsidR="003A48F4">
        <w:rPr>
          <w:b/>
          <w:bCs/>
        </w:rPr>
        <w:t> </w:t>
      </w:r>
      <w:r w:rsidR="006D58ED" w:rsidRPr="006D58ED">
        <w:rPr>
          <w:b/>
          <w:bCs/>
        </w:rPr>
        <w:t>1, 2, 3, 8, 9, 11, 21, 22</w:t>
      </w:r>
      <w:r w:rsidR="006D58ED" w:rsidRPr="006D58ED">
        <w:t xml:space="preserve"> et </w:t>
      </w:r>
      <w:r w:rsidR="006D58ED" w:rsidRPr="006D58ED">
        <w:rPr>
          <w:b/>
          <w:bCs/>
        </w:rPr>
        <w:t>23</w:t>
      </w:r>
      <w:r w:rsidR="006D58ED" w:rsidRPr="006D58ED">
        <w:t xml:space="preserve"> du KMGBF. Au total, 95</w:t>
      </w:r>
      <w:r w:rsidR="00966C17">
        <w:t> %</w:t>
      </w:r>
      <w:r w:rsidR="006D58ED" w:rsidRPr="006D58ED">
        <w:t xml:space="preserve"> du financement de projet du GEF sont consacrés à </w:t>
      </w:r>
      <w:r w:rsidR="001A41AF">
        <w:t>l’appui des initiatives</w:t>
      </w:r>
      <w:r w:rsidR="006D58ED" w:rsidRPr="006D58ED">
        <w:t xml:space="preserve"> menées par les peuples autochtones et communautés locales.</w:t>
      </w:r>
    </w:p>
    <w:p w14:paraId="149CD770" w14:textId="76AF727A" w:rsidR="00E42C00" w:rsidRPr="00C67737" w:rsidRDefault="00BA19A9" w:rsidP="000B33CF">
      <w:pPr>
        <w:pStyle w:val="ListParagraph"/>
      </w:pPr>
      <w:r>
        <w:t xml:space="preserve">Le projet </w:t>
      </w:r>
      <w:proofErr w:type="spellStart"/>
      <w:r w:rsidR="00B046FC" w:rsidRPr="00622F6C">
        <w:rPr>
          <w:b/>
          <w:bCs/>
          <w:i/>
          <w:iCs/>
        </w:rPr>
        <w:t>Addressing</w:t>
      </w:r>
      <w:proofErr w:type="spellEnd"/>
      <w:r w:rsidR="00B046FC" w:rsidRPr="00622F6C">
        <w:rPr>
          <w:b/>
          <w:bCs/>
          <w:i/>
          <w:iCs/>
        </w:rPr>
        <w:t xml:space="preserve"> </w:t>
      </w:r>
      <w:proofErr w:type="spellStart"/>
      <w:r w:rsidR="00B046FC" w:rsidRPr="00622F6C">
        <w:rPr>
          <w:b/>
          <w:bCs/>
          <w:i/>
          <w:iCs/>
        </w:rPr>
        <w:t>Outstanding</w:t>
      </w:r>
      <w:proofErr w:type="spellEnd"/>
      <w:r w:rsidR="00B046FC" w:rsidRPr="00622F6C">
        <w:rPr>
          <w:b/>
          <w:bCs/>
          <w:i/>
          <w:iCs/>
        </w:rPr>
        <w:t xml:space="preserve"> </w:t>
      </w:r>
      <w:proofErr w:type="spellStart"/>
      <w:r w:rsidR="00B046FC" w:rsidRPr="00622F6C">
        <w:rPr>
          <w:b/>
          <w:bCs/>
          <w:i/>
          <w:iCs/>
        </w:rPr>
        <w:t>Barriers</w:t>
      </w:r>
      <w:proofErr w:type="spellEnd"/>
      <w:r w:rsidR="00B046FC" w:rsidRPr="00622F6C">
        <w:rPr>
          <w:b/>
          <w:bCs/>
          <w:i/>
          <w:iCs/>
        </w:rPr>
        <w:t xml:space="preserve"> and Leveraging Durable Financial </w:t>
      </w:r>
      <w:proofErr w:type="spellStart"/>
      <w:r w:rsidR="00B046FC" w:rsidRPr="00622F6C">
        <w:rPr>
          <w:b/>
          <w:bCs/>
          <w:i/>
          <w:iCs/>
        </w:rPr>
        <w:t>Mechanisms</w:t>
      </w:r>
      <w:proofErr w:type="spellEnd"/>
      <w:r w:rsidR="00B046FC" w:rsidRPr="00622F6C">
        <w:rPr>
          <w:b/>
          <w:bCs/>
          <w:i/>
          <w:iCs/>
        </w:rPr>
        <w:t xml:space="preserve"> to </w:t>
      </w:r>
      <w:proofErr w:type="spellStart"/>
      <w:r w:rsidR="00B046FC" w:rsidRPr="00622F6C">
        <w:rPr>
          <w:b/>
          <w:bCs/>
          <w:i/>
          <w:iCs/>
        </w:rPr>
        <w:t>Achieve</w:t>
      </w:r>
      <w:proofErr w:type="spellEnd"/>
      <w:r w:rsidR="00B046FC" w:rsidRPr="00622F6C">
        <w:rPr>
          <w:b/>
          <w:bCs/>
          <w:i/>
          <w:iCs/>
        </w:rPr>
        <w:t xml:space="preserve"> Target</w:t>
      </w:r>
      <w:r w:rsidR="00D71BD1" w:rsidRPr="00622F6C">
        <w:rPr>
          <w:b/>
          <w:bCs/>
          <w:i/>
          <w:iCs/>
        </w:rPr>
        <w:t> </w:t>
      </w:r>
      <w:r w:rsidR="00B046FC" w:rsidRPr="00622F6C">
        <w:rPr>
          <w:b/>
          <w:bCs/>
          <w:i/>
          <w:iCs/>
        </w:rPr>
        <w:t>3 in Gabon</w:t>
      </w:r>
      <w:r w:rsidR="00B046FC">
        <w:t xml:space="preserve"> (Gabon</w:t>
      </w:r>
      <w:r w:rsidR="00D71BD1">
        <w:t> </w:t>
      </w:r>
      <w:r w:rsidR="00B046FC">
        <w:t>; financement de projet du GEF</w:t>
      </w:r>
      <w:r w:rsidR="006E54C7">
        <w:t> :</w:t>
      </w:r>
      <w:r w:rsidR="00B046FC">
        <w:t xml:space="preserve"> 1</w:t>
      </w:r>
      <w:r w:rsidR="00D71BD1">
        <w:t> 364 496 </w:t>
      </w:r>
      <w:r w:rsidR="00B046FC">
        <w:t>dollars</w:t>
      </w:r>
      <w:r w:rsidR="00D71BD1">
        <w:t> </w:t>
      </w:r>
      <w:r w:rsidR="00B046FC">
        <w:t>; cofinancement</w:t>
      </w:r>
      <w:r w:rsidR="006E54C7">
        <w:t> :</w:t>
      </w:r>
      <w:r w:rsidR="00B046FC">
        <w:t xml:space="preserve"> néant) </w:t>
      </w:r>
      <w:r w:rsidR="000C64E3">
        <w:t>v</w:t>
      </w:r>
      <w:r w:rsidR="000C64E3" w:rsidRPr="000C64E3">
        <w:t xml:space="preserve">ise à surmonter les obstacles que constituent l’insuffisance des financements à long terme et l’érosion du soutien public aux aires protégées liée à l’intensification des conflits entre l’être humain et les espèces sauvages. Il complète le projet </w:t>
      </w:r>
      <w:r w:rsidR="00376C22">
        <w:t>GEF</w:t>
      </w:r>
      <w:r w:rsidR="00376C22">
        <w:noBreakHyphen/>
      </w:r>
      <w:r w:rsidR="000C64E3" w:rsidRPr="000C64E3">
        <w:t xml:space="preserve">7 </w:t>
      </w:r>
      <w:proofErr w:type="spellStart"/>
      <w:r w:rsidR="000C64E3" w:rsidRPr="006F1C9B">
        <w:rPr>
          <w:i/>
          <w:iCs/>
        </w:rPr>
        <w:t>Enduring</w:t>
      </w:r>
      <w:proofErr w:type="spellEnd"/>
      <w:r w:rsidR="000C64E3" w:rsidRPr="006F1C9B">
        <w:rPr>
          <w:i/>
          <w:iCs/>
        </w:rPr>
        <w:t xml:space="preserve"> Earth</w:t>
      </w:r>
      <w:r w:rsidR="000C64E3" w:rsidRPr="006F1C9B">
        <w:t>,</w:t>
      </w:r>
      <w:r w:rsidR="000C64E3" w:rsidRPr="000C64E3">
        <w:t xml:space="preserve"> en cours</w:t>
      </w:r>
      <w:r w:rsidR="000C64E3">
        <w:t xml:space="preserve"> de mise en œuvre</w:t>
      </w:r>
      <w:r w:rsidR="00A3506A" w:rsidRPr="00A3506A">
        <w:t xml:space="preserve"> </w:t>
      </w:r>
      <w:r w:rsidR="00A3506A" w:rsidRPr="000C64E3">
        <w:t>au Gabon</w:t>
      </w:r>
      <w:r w:rsidR="000C64E3" w:rsidRPr="000C64E3">
        <w:t xml:space="preserve">, qui </w:t>
      </w:r>
      <w:r w:rsidR="00DE142E">
        <w:t>vise à mettre en place</w:t>
      </w:r>
      <w:r w:rsidR="000C64E3" w:rsidRPr="000C64E3">
        <w:t xml:space="preserve"> une approche de financement de projets pour la permanence afin d</w:t>
      </w:r>
      <w:r w:rsidR="00AB539E">
        <w:t>’assurer le</w:t>
      </w:r>
      <w:r w:rsidR="000C64E3" w:rsidRPr="000C64E3">
        <w:t xml:space="preserve"> financement </w:t>
      </w:r>
      <w:r w:rsidR="00AB539E">
        <w:t xml:space="preserve">à long terme </w:t>
      </w:r>
      <w:r w:rsidR="000C64E3" w:rsidRPr="000C64E3">
        <w:t xml:space="preserve">des aires protégées. Le projet du GBFF contribuera à la réalisation de la </w:t>
      </w:r>
      <w:r w:rsidR="000C64E3" w:rsidRPr="006F1C9B">
        <w:t>cible 3</w:t>
      </w:r>
      <w:r w:rsidR="000C64E3" w:rsidRPr="000C64E3">
        <w:t xml:space="preserve"> en élaborant une stratégie nationale relative aux conflits entre l’être humain et les espèces sauvages et en intégrant cette question dans l’approche de financement de projets pour la permanence</w:t>
      </w:r>
      <w:r w:rsidR="00B84E10">
        <w:t xml:space="preserve"> mise en place au Gabon</w:t>
      </w:r>
      <w:r w:rsidR="000C64E3" w:rsidRPr="000C64E3">
        <w:t xml:space="preserve">. Il appuie également, dans quatre aires protégées, des mesures de </w:t>
      </w:r>
      <w:r w:rsidR="000C64E3" w:rsidRPr="000C64E3">
        <w:lastRenderedPageBreak/>
        <w:t xml:space="preserve">gestion des conflits entre l’être humain et les espèces sauvages et des démarches de coexistence conçues par les peuples autochtones et communautés locales. Contribuant aux </w:t>
      </w:r>
      <w:r w:rsidR="000C64E3" w:rsidRPr="000C64E3">
        <w:rPr>
          <w:b/>
          <w:bCs/>
        </w:rPr>
        <w:t>cibles</w:t>
      </w:r>
      <w:r w:rsidR="003A48F4">
        <w:rPr>
          <w:b/>
          <w:bCs/>
        </w:rPr>
        <w:t> </w:t>
      </w:r>
      <w:r w:rsidR="000C64E3" w:rsidRPr="000C64E3">
        <w:rPr>
          <w:b/>
          <w:bCs/>
        </w:rPr>
        <w:t xml:space="preserve">3, 4, 19, 21, 22 </w:t>
      </w:r>
      <w:r w:rsidR="000C64E3" w:rsidRPr="000C64E3">
        <w:t>et</w:t>
      </w:r>
      <w:r w:rsidR="000C64E3" w:rsidRPr="000C64E3">
        <w:rPr>
          <w:b/>
          <w:bCs/>
        </w:rPr>
        <w:t xml:space="preserve"> 23</w:t>
      </w:r>
      <w:r w:rsidR="000C64E3" w:rsidRPr="000C64E3">
        <w:t>, le projet renforcera l’efficacité de la gestion de 1</w:t>
      </w:r>
      <w:r w:rsidR="003A48F4">
        <w:t> </w:t>
      </w:r>
      <w:r w:rsidR="000C64E3" w:rsidRPr="000C64E3">
        <w:t>million d’hectares d’aires protégées et améliorera les pratiques de gestion sur 14</w:t>
      </w:r>
      <w:r w:rsidR="003A48F4">
        <w:t> 000 </w:t>
      </w:r>
      <w:r w:rsidR="000C64E3" w:rsidRPr="000C64E3">
        <w:t>hectares situés en dehors de ces aires.</w:t>
      </w:r>
    </w:p>
    <w:p w14:paraId="5D7A8798" w14:textId="3AF49E33" w:rsidR="00A76684" w:rsidRPr="00C67737" w:rsidRDefault="000C64E3" w:rsidP="000B33CF">
      <w:pPr>
        <w:pStyle w:val="ListParagraph"/>
      </w:pPr>
      <w:r w:rsidRPr="000C64E3">
        <w:t xml:space="preserve">Le projet </w:t>
      </w:r>
      <w:proofErr w:type="spellStart"/>
      <w:r w:rsidRPr="000C64E3">
        <w:rPr>
          <w:b/>
          <w:bCs/>
          <w:i/>
          <w:iCs/>
        </w:rPr>
        <w:t>Advancing</w:t>
      </w:r>
      <w:proofErr w:type="spellEnd"/>
      <w:r w:rsidRPr="000C64E3">
        <w:rPr>
          <w:b/>
          <w:bCs/>
          <w:i/>
          <w:iCs/>
        </w:rPr>
        <w:t xml:space="preserve"> Integrated </w:t>
      </w:r>
      <w:proofErr w:type="spellStart"/>
      <w:r w:rsidRPr="000C64E3">
        <w:rPr>
          <w:b/>
          <w:bCs/>
          <w:i/>
          <w:iCs/>
        </w:rPr>
        <w:t>Participatory</w:t>
      </w:r>
      <w:proofErr w:type="spellEnd"/>
      <w:r w:rsidRPr="000C64E3">
        <w:rPr>
          <w:b/>
          <w:bCs/>
          <w:i/>
          <w:iCs/>
        </w:rPr>
        <w:t xml:space="preserve"> Spatial Planning to </w:t>
      </w:r>
      <w:proofErr w:type="spellStart"/>
      <w:r w:rsidRPr="000C64E3">
        <w:rPr>
          <w:b/>
          <w:bCs/>
          <w:i/>
          <w:iCs/>
        </w:rPr>
        <w:t>Enhance</w:t>
      </w:r>
      <w:proofErr w:type="spellEnd"/>
      <w:r w:rsidRPr="000C64E3">
        <w:rPr>
          <w:b/>
          <w:bCs/>
          <w:i/>
          <w:iCs/>
        </w:rPr>
        <w:t xml:space="preserve"> </w:t>
      </w:r>
      <w:proofErr w:type="spellStart"/>
      <w:r w:rsidRPr="000C64E3">
        <w:rPr>
          <w:b/>
          <w:bCs/>
          <w:i/>
          <w:iCs/>
        </w:rPr>
        <w:t>Samoa’s</w:t>
      </w:r>
      <w:proofErr w:type="spellEnd"/>
      <w:r w:rsidRPr="000C64E3">
        <w:rPr>
          <w:b/>
          <w:bCs/>
          <w:i/>
          <w:iCs/>
        </w:rPr>
        <w:t xml:space="preserve"> </w:t>
      </w:r>
      <w:proofErr w:type="spellStart"/>
      <w:r w:rsidRPr="000C64E3">
        <w:rPr>
          <w:b/>
          <w:bCs/>
          <w:i/>
          <w:iCs/>
        </w:rPr>
        <w:t>Globally</w:t>
      </w:r>
      <w:proofErr w:type="spellEnd"/>
      <w:r w:rsidRPr="000C64E3">
        <w:rPr>
          <w:b/>
          <w:bCs/>
          <w:i/>
          <w:iCs/>
        </w:rPr>
        <w:t xml:space="preserve"> </w:t>
      </w:r>
      <w:proofErr w:type="spellStart"/>
      <w:r w:rsidRPr="000C64E3">
        <w:rPr>
          <w:b/>
          <w:bCs/>
          <w:i/>
          <w:iCs/>
        </w:rPr>
        <w:t>Significant</w:t>
      </w:r>
      <w:proofErr w:type="spellEnd"/>
      <w:r w:rsidRPr="000C64E3">
        <w:rPr>
          <w:b/>
          <w:bCs/>
          <w:i/>
          <w:iCs/>
        </w:rPr>
        <w:t xml:space="preserve"> </w:t>
      </w:r>
      <w:proofErr w:type="spellStart"/>
      <w:r w:rsidRPr="000C64E3">
        <w:rPr>
          <w:b/>
          <w:bCs/>
          <w:i/>
          <w:iCs/>
        </w:rPr>
        <w:t>Biodiversity</w:t>
      </w:r>
      <w:proofErr w:type="spellEnd"/>
      <w:r w:rsidRPr="000C64E3">
        <w:rPr>
          <w:b/>
          <w:bCs/>
          <w:i/>
          <w:iCs/>
        </w:rPr>
        <w:t xml:space="preserve"> at a National Scale</w:t>
      </w:r>
      <w:r w:rsidRPr="000C64E3">
        <w:t xml:space="preserve"> (Samoa</w:t>
      </w:r>
      <w:r w:rsidR="003A48F4">
        <w:t> </w:t>
      </w:r>
      <w:r w:rsidRPr="000C64E3">
        <w:t>; financement de projet du GEF</w:t>
      </w:r>
      <w:r w:rsidR="006E54C7">
        <w:t> :</w:t>
      </w:r>
      <w:r w:rsidRPr="000C64E3">
        <w:t xml:space="preserve"> 1</w:t>
      </w:r>
      <w:r w:rsidR="003A48F4">
        <w:t> 009 361 </w:t>
      </w:r>
      <w:r w:rsidRPr="000C64E3">
        <w:t>dollars</w:t>
      </w:r>
      <w:r w:rsidR="003A48F4">
        <w:t> </w:t>
      </w:r>
      <w:r w:rsidRPr="000C64E3">
        <w:t>; cofinancement</w:t>
      </w:r>
      <w:r w:rsidR="006E54C7">
        <w:t> :</w:t>
      </w:r>
      <w:r w:rsidRPr="000C64E3">
        <w:t xml:space="preserve"> 2</w:t>
      </w:r>
      <w:r w:rsidR="003A48F4">
        <w:t> 666 667 </w:t>
      </w:r>
      <w:r w:rsidRPr="000C64E3">
        <w:t xml:space="preserve">dollars) renforcera la coordination et les capacités intersectorielles afin de soutenir, dans les deux principales îles du pays — Upolu et Savai‘i — une planification spatiale de la biodiversité participative, intégrée et inclusive. Cette planification reposera sur des analyses coûts-avantages et multicritères, conformément à la </w:t>
      </w:r>
      <w:r w:rsidRPr="006F1C9B">
        <w:rPr>
          <w:b/>
          <w:bCs/>
        </w:rPr>
        <w:t>cible</w:t>
      </w:r>
      <w:r w:rsidR="003A48F4">
        <w:rPr>
          <w:b/>
          <w:bCs/>
        </w:rPr>
        <w:t> </w:t>
      </w:r>
      <w:r w:rsidRPr="006F1C9B">
        <w:rPr>
          <w:b/>
          <w:bCs/>
        </w:rPr>
        <w:t>1</w:t>
      </w:r>
      <w:r w:rsidRPr="000C64E3">
        <w:t xml:space="preserve"> du KMGBF. Le projet contribuera également à la réalisation de la </w:t>
      </w:r>
      <w:r w:rsidRPr="006F1C9B">
        <w:rPr>
          <w:b/>
          <w:bCs/>
        </w:rPr>
        <w:t>cible</w:t>
      </w:r>
      <w:r w:rsidR="003A48F4">
        <w:rPr>
          <w:b/>
          <w:bCs/>
        </w:rPr>
        <w:t> </w:t>
      </w:r>
      <w:r w:rsidRPr="006F1C9B">
        <w:rPr>
          <w:b/>
          <w:bCs/>
        </w:rPr>
        <w:t>3</w:t>
      </w:r>
      <w:r w:rsidRPr="000C64E3">
        <w:t xml:space="preserve"> en créant 10</w:t>
      </w:r>
      <w:r w:rsidR="003A48F4">
        <w:t> </w:t>
      </w:r>
      <w:r w:rsidRPr="000C64E3">
        <w:t>051</w:t>
      </w:r>
      <w:r w:rsidR="006F1C9B">
        <w:t> </w:t>
      </w:r>
      <w:r w:rsidRPr="000C64E3">
        <w:t>hectares de nouvelles aires protégées, en améliorant la gestion de 44</w:t>
      </w:r>
      <w:r w:rsidR="003A48F4">
        <w:t> 346 </w:t>
      </w:r>
      <w:r w:rsidRPr="000C64E3">
        <w:t>hectares relevant d’autres mesures de conservation efficaces par zone, et en bénéficiant directement à 5</w:t>
      </w:r>
      <w:r w:rsidR="003A48F4">
        <w:t> 050 </w:t>
      </w:r>
      <w:r w:rsidRPr="000C64E3">
        <w:t>personnes.</w:t>
      </w:r>
    </w:p>
    <w:p w14:paraId="591A2D8D" w14:textId="18A79929" w:rsidR="00B261D3" w:rsidRPr="00C67737" w:rsidRDefault="00B261D3" w:rsidP="00640F63">
      <w:pPr>
        <w:pStyle w:val="Heading1"/>
      </w:pPr>
      <w:bookmarkStart w:id="109" w:name="_Toc242184711"/>
      <w:bookmarkStart w:id="110" w:name="_Toc242185283"/>
      <w:bookmarkEnd w:id="101"/>
      <w:r>
        <w:t>Fonds spécial pour les changements climatiques et Fonds pour les pays les moins avancés</w:t>
      </w:r>
      <w:bookmarkEnd w:id="109"/>
      <w:bookmarkEnd w:id="110"/>
    </w:p>
    <w:p w14:paraId="4B30A764" w14:textId="41C89261" w:rsidR="00E216F4" w:rsidRPr="00C67737" w:rsidRDefault="3B5003D5" w:rsidP="000B33CF">
      <w:pPr>
        <w:pStyle w:val="ListParagraph"/>
      </w:pPr>
      <w:r>
        <w:t xml:space="preserve">Le GEF </w:t>
      </w:r>
      <w:r w:rsidR="00A83BE1">
        <w:t>administre</w:t>
      </w:r>
      <w:r>
        <w:t xml:space="preserve"> deux fonds fiduciaires distincts axés sur l’adaptation au changement climatique</w:t>
      </w:r>
      <w:r w:rsidR="006E54C7">
        <w:t> :</w:t>
      </w:r>
      <w:r>
        <w:t xml:space="preserve"> le Fonds spécial pour le changement climatique (</w:t>
      </w:r>
      <w:r w:rsidR="00E64BB9">
        <w:t>FSCC</w:t>
      </w:r>
      <w:r>
        <w:t>) et le Fonds pour les pays les moins avancés (</w:t>
      </w:r>
      <w:r w:rsidR="00E64BB9">
        <w:t>FPMA</w:t>
      </w:r>
      <w:r>
        <w:t xml:space="preserve">). Ces fonds ont été établis afin de répondre aux besoins particuliers des pays en développement au titre de la Convention-cadre des Nations Unies sur les changements climatiques (CCNUCC). Certains projets du LDCF et du </w:t>
      </w:r>
      <w:r w:rsidR="00E64BB9">
        <w:t>FSCC</w:t>
      </w:r>
      <w:r>
        <w:t xml:space="preserve"> approuvés au cours de la période considérée contribuent à la mise en œuvre du KMGBF, pour un montant total de financement du GEF de 386,16</w:t>
      </w:r>
      <w:r w:rsidR="00D71BD1">
        <w:t> </w:t>
      </w:r>
      <w:r>
        <w:t xml:space="preserve">millions de dollars. </w:t>
      </w:r>
      <w:r w:rsidR="00C206FD" w:rsidRPr="00C206FD">
        <w:t>Le tableau</w:t>
      </w:r>
      <w:r w:rsidR="003A48F4">
        <w:t> </w:t>
      </w:r>
      <w:r w:rsidR="00C206FD" w:rsidRPr="00C206FD">
        <w:t>1 présente le montant total des ressources du FPMA et du guichet A du FSCC, destinées aux PEID, allouées à des projets contribuant à la réalisation des cibles du KMGBF au cours de la période considérée.</w:t>
      </w:r>
    </w:p>
    <w:p w14:paraId="183EA55B" w14:textId="4C3D49F6" w:rsidR="00C015CE" w:rsidRPr="00C67737" w:rsidRDefault="203C0632" w:rsidP="000B33CF">
      <w:pPr>
        <w:pStyle w:val="ListParagraph"/>
      </w:pPr>
      <w:r>
        <w:t xml:space="preserve">Parmi les projets notables figurent le Projet de gestion scientifique de la biodiversité et des ressources naturelles au service du développement économique de Madagascar et </w:t>
      </w:r>
      <w:r w:rsidR="00DA7F37">
        <w:t xml:space="preserve">l’initiative </w:t>
      </w:r>
      <w:r w:rsidR="002D3A61">
        <w:t>de la Grande Muraille verte (</w:t>
      </w:r>
      <w:r w:rsidRPr="007518F4">
        <w:rPr>
          <w:i/>
          <w:iCs/>
        </w:rPr>
        <w:t xml:space="preserve">Transformation </w:t>
      </w:r>
      <w:proofErr w:type="spellStart"/>
      <w:r w:rsidRPr="007518F4">
        <w:rPr>
          <w:i/>
          <w:iCs/>
        </w:rPr>
        <w:t>Approach</w:t>
      </w:r>
      <w:proofErr w:type="spellEnd"/>
      <w:r w:rsidRPr="007518F4">
        <w:rPr>
          <w:i/>
          <w:iCs/>
        </w:rPr>
        <w:t xml:space="preserve"> to Large Scale Investment in Support of the </w:t>
      </w:r>
      <w:proofErr w:type="spellStart"/>
      <w:r w:rsidRPr="007518F4">
        <w:rPr>
          <w:i/>
          <w:iCs/>
        </w:rPr>
        <w:t>Implementation</w:t>
      </w:r>
      <w:proofErr w:type="spellEnd"/>
      <w:r w:rsidRPr="007518F4">
        <w:rPr>
          <w:i/>
          <w:iCs/>
        </w:rPr>
        <w:t xml:space="preserve"> of the Great Green Wall Initiative</w:t>
      </w:r>
      <w:r w:rsidR="002D3A61">
        <w:t>)</w:t>
      </w:r>
      <w:r>
        <w:t>, présenté</w:t>
      </w:r>
      <w:r w:rsidR="005C3FC6">
        <w:t>s</w:t>
      </w:r>
      <w:r>
        <w:t xml:space="preserve"> à la section</w:t>
      </w:r>
      <w:r w:rsidR="00D71BD1">
        <w:t> </w:t>
      </w:r>
      <w:r>
        <w:t xml:space="preserve">I.3.  </w:t>
      </w:r>
    </w:p>
    <w:p w14:paraId="57AA1E40" w14:textId="2DD1003D" w:rsidR="00C703B7" w:rsidRPr="00C67737" w:rsidRDefault="00116CA9" w:rsidP="000B33CF">
      <w:pPr>
        <w:pStyle w:val="ListParagraph"/>
      </w:pPr>
      <w:r>
        <w:t>Parmi les autres exemples, on peut citer</w:t>
      </w:r>
      <w:r w:rsidR="006E54C7">
        <w:t> :</w:t>
      </w:r>
      <w:r>
        <w:t xml:space="preserve"> </w:t>
      </w:r>
    </w:p>
    <w:p w14:paraId="084196E7" w14:textId="713D3AA7" w:rsidR="00B6369A" w:rsidRPr="00C67737" w:rsidRDefault="002D3A61" w:rsidP="000B33CF">
      <w:pPr>
        <w:pStyle w:val="bulletpara"/>
      </w:pPr>
      <w:r>
        <w:t xml:space="preserve">Le projet </w:t>
      </w:r>
      <w:proofErr w:type="spellStart"/>
      <w:r w:rsidR="719FB28C" w:rsidRPr="002D3A61">
        <w:t>Strengthening</w:t>
      </w:r>
      <w:proofErr w:type="spellEnd"/>
      <w:r w:rsidR="719FB28C" w:rsidRPr="002D3A61">
        <w:t xml:space="preserve"> </w:t>
      </w:r>
      <w:proofErr w:type="spellStart"/>
      <w:r w:rsidR="719FB28C" w:rsidRPr="002D3A61">
        <w:t>Climate</w:t>
      </w:r>
      <w:proofErr w:type="spellEnd"/>
      <w:r w:rsidR="719FB28C" w:rsidRPr="002D3A61">
        <w:t xml:space="preserve"> Adaptation, </w:t>
      </w:r>
      <w:proofErr w:type="spellStart"/>
      <w:r w:rsidR="719FB28C" w:rsidRPr="002D3A61">
        <w:t>Biodiversity</w:t>
      </w:r>
      <w:proofErr w:type="spellEnd"/>
      <w:r w:rsidR="719FB28C" w:rsidRPr="002D3A61">
        <w:t xml:space="preserve"> Conservation, and </w:t>
      </w:r>
      <w:proofErr w:type="spellStart"/>
      <w:r w:rsidR="719FB28C" w:rsidRPr="002D3A61">
        <w:t>Combating</w:t>
      </w:r>
      <w:proofErr w:type="spellEnd"/>
      <w:r w:rsidR="719FB28C" w:rsidRPr="002D3A61">
        <w:t xml:space="preserve"> Land </w:t>
      </w:r>
      <w:proofErr w:type="spellStart"/>
      <w:r w:rsidR="719FB28C" w:rsidRPr="002D3A61">
        <w:t>Degradation</w:t>
      </w:r>
      <w:proofErr w:type="spellEnd"/>
      <w:r w:rsidR="719FB28C" w:rsidRPr="002D3A61">
        <w:t xml:space="preserve"> </w:t>
      </w:r>
      <w:proofErr w:type="spellStart"/>
      <w:r w:rsidR="719FB28C" w:rsidRPr="002D3A61">
        <w:t>through</w:t>
      </w:r>
      <w:proofErr w:type="spellEnd"/>
      <w:r w:rsidR="719FB28C" w:rsidRPr="002D3A61">
        <w:t xml:space="preserve"> </w:t>
      </w:r>
      <w:proofErr w:type="spellStart"/>
      <w:r w:rsidR="719FB28C" w:rsidRPr="002D3A61">
        <w:t>Ecosystem-based</w:t>
      </w:r>
      <w:proofErr w:type="spellEnd"/>
      <w:r w:rsidR="719FB28C" w:rsidRPr="002D3A61">
        <w:t xml:space="preserve"> Adaptation in Samoa</w:t>
      </w:r>
      <w:r w:rsidR="719FB28C">
        <w:t xml:space="preserve"> (financement du GEF</w:t>
      </w:r>
      <w:r w:rsidR="006E54C7">
        <w:t> :</w:t>
      </w:r>
      <w:r w:rsidR="719FB28C">
        <w:t xml:space="preserve"> 5</w:t>
      </w:r>
      <w:r w:rsidR="003A48F4">
        <w:t> 835 750 </w:t>
      </w:r>
      <w:r w:rsidR="719FB28C">
        <w:t>dollars</w:t>
      </w:r>
      <w:r w:rsidR="003A48F4">
        <w:t> </w:t>
      </w:r>
      <w:r w:rsidR="719FB28C">
        <w:t>; cofinancement</w:t>
      </w:r>
      <w:r w:rsidR="006E54C7">
        <w:t> :</w:t>
      </w:r>
      <w:r w:rsidR="719FB28C">
        <w:t xml:space="preserve"> 37</w:t>
      </w:r>
      <w:r w:rsidR="00D71BD1">
        <w:t> 024 000 </w:t>
      </w:r>
      <w:r w:rsidR="719FB28C">
        <w:t>dollars)</w:t>
      </w:r>
      <w:r w:rsidR="00A33FF4">
        <w:t xml:space="preserve"> qui</w:t>
      </w:r>
      <w:r w:rsidR="719FB28C">
        <w:t xml:space="preserve"> </w:t>
      </w:r>
      <w:r w:rsidR="007518F4">
        <w:t>produit</w:t>
      </w:r>
      <w:r w:rsidR="719FB28C">
        <w:t xml:space="preserve"> des avantages pour la biodiversité </w:t>
      </w:r>
      <w:r w:rsidR="000E4D06">
        <w:t xml:space="preserve">d’importance mondiale </w:t>
      </w:r>
      <w:r w:rsidR="719FB28C">
        <w:t xml:space="preserve">en restaurant et en préservant des écosystèmes terrestres et marins de grande valeur aux Samoa, notamment </w:t>
      </w:r>
      <w:r w:rsidR="000E4D06">
        <w:t>d</w:t>
      </w:r>
      <w:r w:rsidR="719FB28C">
        <w:t xml:space="preserve">es forêts riveraines et côtières, </w:t>
      </w:r>
      <w:r w:rsidR="000E4D06">
        <w:t>d</w:t>
      </w:r>
      <w:r w:rsidR="719FB28C">
        <w:t xml:space="preserve">es mangroves, </w:t>
      </w:r>
      <w:r w:rsidR="000E4D06">
        <w:t>d</w:t>
      </w:r>
      <w:r w:rsidR="719FB28C">
        <w:t xml:space="preserve">es récifs coralliens et </w:t>
      </w:r>
      <w:r w:rsidR="000E4D06">
        <w:t>d</w:t>
      </w:r>
      <w:r w:rsidR="719FB28C">
        <w:t xml:space="preserve">es aires de conservation gérées par les communautés. </w:t>
      </w:r>
      <w:r w:rsidR="000E4D06">
        <w:t>Il améliore</w:t>
      </w:r>
      <w:r w:rsidR="719FB28C">
        <w:t xml:space="preserve"> ainsi l’intégrité, la connectivité et la résilience des habitats. </w:t>
      </w:r>
      <w:r w:rsidR="000E4D06">
        <w:t>Le projet</w:t>
      </w:r>
      <w:r w:rsidR="719FB28C">
        <w:t xml:space="preserve"> rédui</w:t>
      </w:r>
      <w:r w:rsidR="00293A2F">
        <w:t>t</w:t>
      </w:r>
      <w:r w:rsidR="719FB28C">
        <w:t xml:space="preserve"> également les principales menaces p</w:t>
      </w:r>
      <w:r w:rsidR="00293A2F">
        <w:t>esa</w:t>
      </w:r>
      <w:r w:rsidR="719FB28C">
        <w:t xml:space="preserve">nt sur la biodiversité et contribue à la protection d’espèces menacées, notamment le carpophage à bec rouge, le mao, le renard volant des Samoa, la tortue imbriquée et la tortue verte, grâce à une adaptation intégrée fondée sur les écosystèmes et </w:t>
      </w:r>
      <w:r w:rsidR="002B0800" w:rsidRPr="002B0800">
        <w:t>à une gestion assurée par les communautés</w:t>
      </w:r>
      <w:r w:rsidR="719FB28C">
        <w:t xml:space="preserve">. </w:t>
      </w:r>
    </w:p>
    <w:p w14:paraId="7D565532" w14:textId="4040C814" w:rsidR="048B52E8" w:rsidRPr="00C67737" w:rsidRDefault="003F7540" w:rsidP="000B33CF">
      <w:pPr>
        <w:pStyle w:val="bulletpara"/>
      </w:pPr>
      <w:r w:rsidRPr="003F7540">
        <w:lastRenderedPageBreak/>
        <w:t>Le projet</w:t>
      </w:r>
      <w:r>
        <w:rPr>
          <w:b/>
          <w:bCs/>
          <w:i/>
          <w:iCs/>
        </w:rPr>
        <w:t xml:space="preserve"> </w:t>
      </w:r>
      <w:proofErr w:type="spellStart"/>
      <w:r w:rsidR="289B34ED">
        <w:rPr>
          <w:b/>
          <w:bCs/>
          <w:i/>
          <w:iCs/>
        </w:rPr>
        <w:t>Resilient</w:t>
      </w:r>
      <w:proofErr w:type="spellEnd"/>
      <w:r w:rsidR="289B34ED">
        <w:rPr>
          <w:b/>
          <w:bCs/>
          <w:i/>
          <w:iCs/>
        </w:rPr>
        <w:t xml:space="preserve"> </w:t>
      </w:r>
      <w:proofErr w:type="spellStart"/>
      <w:r w:rsidR="289B34ED">
        <w:rPr>
          <w:b/>
          <w:bCs/>
          <w:i/>
          <w:iCs/>
        </w:rPr>
        <w:t>Communities</w:t>
      </w:r>
      <w:proofErr w:type="spellEnd"/>
      <w:r w:rsidR="289B34ED">
        <w:rPr>
          <w:b/>
          <w:bCs/>
          <w:i/>
          <w:iCs/>
        </w:rPr>
        <w:t xml:space="preserve">, Land </w:t>
      </w:r>
      <w:proofErr w:type="spellStart"/>
      <w:r w:rsidR="289B34ED">
        <w:rPr>
          <w:b/>
          <w:bCs/>
          <w:i/>
          <w:iCs/>
        </w:rPr>
        <w:t>Restoration</w:t>
      </w:r>
      <w:proofErr w:type="spellEnd"/>
      <w:r w:rsidR="289B34ED">
        <w:rPr>
          <w:b/>
          <w:bCs/>
          <w:i/>
          <w:iCs/>
        </w:rPr>
        <w:t xml:space="preserve">, and </w:t>
      </w:r>
      <w:proofErr w:type="spellStart"/>
      <w:r w:rsidR="289B34ED">
        <w:rPr>
          <w:b/>
          <w:bCs/>
          <w:i/>
          <w:iCs/>
        </w:rPr>
        <w:t>Sustainable</w:t>
      </w:r>
      <w:proofErr w:type="spellEnd"/>
      <w:r w:rsidR="289B34ED">
        <w:rPr>
          <w:b/>
          <w:bCs/>
          <w:i/>
          <w:iCs/>
        </w:rPr>
        <w:t xml:space="preserve"> </w:t>
      </w:r>
      <w:proofErr w:type="spellStart"/>
      <w:r w:rsidR="289B34ED">
        <w:rPr>
          <w:b/>
          <w:bCs/>
          <w:i/>
          <w:iCs/>
        </w:rPr>
        <w:t>Ecosystem</w:t>
      </w:r>
      <w:proofErr w:type="spellEnd"/>
      <w:r w:rsidR="289B34ED">
        <w:rPr>
          <w:b/>
          <w:bCs/>
          <w:i/>
          <w:iCs/>
        </w:rPr>
        <w:t xml:space="preserve"> Management</w:t>
      </w:r>
      <w:r w:rsidR="289B34ED">
        <w:t xml:space="preserve"> (Zambie</w:t>
      </w:r>
      <w:r w:rsidR="00D71BD1">
        <w:t> </w:t>
      </w:r>
      <w:r w:rsidR="289B34ED">
        <w:t>; financement du GEF</w:t>
      </w:r>
      <w:r w:rsidR="006E54C7">
        <w:t> :</w:t>
      </w:r>
      <w:r w:rsidR="289B34ED">
        <w:t xml:space="preserve"> 12</w:t>
      </w:r>
      <w:r w:rsidR="00D71BD1">
        <w:t> 873 000 </w:t>
      </w:r>
      <w:r w:rsidR="289B34ED">
        <w:t>dollars</w:t>
      </w:r>
      <w:r w:rsidR="00D71BD1">
        <w:t> </w:t>
      </w:r>
      <w:r w:rsidR="289B34ED">
        <w:t>; cofinancement</w:t>
      </w:r>
      <w:r w:rsidR="006E54C7">
        <w:t> :</w:t>
      </w:r>
      <w:r w:rsidR="289B34ED">
        <w:t xml:space="preserve"> 103</w:t>
      </w:r>
      <w:r w:rsidR="00B72F14">
        <w:t> 699 557 </w:t>
      </w:r>
      <w:r w:rsidR="289B34ED">
        <w:t xml:space="preserve">dollars) </w:t>
      </w:r>
      <w:r w:rsidR="00A33FF4">
        <w:t xml:space="preserve">qui </w:t>
      </w:r>
      <w:r w:rsidR="007518F4">
        <w:t>p</w:t>
      </w:r>
      <w:r w:rsidR="000E4D06">
        <w:t>roduit</w:t>
      </w:r>
      <w:r w:rsidR="289B34ED">
        <w:t xml:space="preserve"> d’importants avantages pour la biodiversité en restaurant des écosystèmes dégradés et en favorisant </w:t>
      </w:r>
      <w:r w:rsidR="002B0800">
        <w:t>une</w:t>
      </w:r>
      <w:r w:rsidR="289B34ED">
        <w:t xml:space="preserve"> gestion durable dans les provinces du Centre et du Sud de la Zambie, notamment dans les forêts claires de </w:t>
      </w:r>
      <w:proofErr w:type="spellStart"/>
      <w:r w:rsidR="289B34ED">
        <w:t>miombo</w:t>
      </w:r>
      <w:proofErr w:type="spellEnd"/>
      <w:r w:rsidR="289B34ED">
        <w:t xml:space="preserve"> et de </w:t>
      </w:r>
      <w:proofErr w:type="spellStart"/>
      <w:r w:rsidR="289B34ED">
        <w:t>mopane</w:t>
      </w:r>
      <w:proofErr w:type="spellEnd"/>
      <w:r w:rsidR="289B34ED">
        <w:t xml:space="preserve">, </w:t>
      </w:r>
      <w:r w:rsidR="00384AF4">
        <w:t>d’</w:t>
      </w:r>
      <w:r w:rsidR="289B34ED">
        <w:t xml:space="preserve">importance mondiale. En réduisant les pressions liées à l’agriculture non durable, à la production de charbon de bois et à la déforestation, tout en appuyant des moyens de subsistance résilients face au changement climatique et des sources d’énergie de substitution, le projet contribue à préserver la biodiversité, à renforcer les services écosystémiques et à accroître la résilience des paysages productifs </w:t>
      </w:r>
      <w:r w:rsidR="00384AF4">
        <w:t>et</w:t>
      </w:r>
      <w:r w:rsidR="289B34ED">
        <w:t xml:space="preserve"> des communautés qui en dépendent.</w:t>
      </w:r>
    </w:p>
    <w:p w14:paraId="2D14F04B" w14:textId="241ED5D8" w:rsidR="00200E95" w:rsidRPr="00C67737" w:rsidRDefault="00384AF4" w:rsidP="000B33CF">
      <w:pPr>
        <w:pStyle w:val="ListParagraph"/>
      </w:pPr>
      <w:r>
        <w:t>Tous ces</w:t>
      </w:r>
      <w:r w:rsidR="00200E95">
        <w:t xml:space="preserve"> projets associe</w:t>
      </w:r>
      <w:r w:rsidR="000B36B7">
        <w:t>nt</w:t>
      </w:r>
      <w:r w:rsidR="00200E95">
        <w:t xml:space="preserve"> des ressources </w:t>
      </w:r>
      <w:r w:rsidR="00DD1F44">
        <w:t>du Fonds fiduciaire</w:t>
      </w:r>
      <w:r w:rsidR="00200E95">
        <w:t xml:space="preserve"> du GEF et du </w:t>
      </w:r>
      <w:r w:rsidR="00E64BB9">
        <w:t>FPMA</w:t>
      </w:r>
      <w:r w:rsidR="00200E95">
        <w:t xml:space="preserve"> ou du </w:t>
      </w:r>
      <w:r w:rsidR="00E64BB9">
        <w:t>FSCC</w:t>
      </w:r>
      <w:r w:rsidR="00200E95">
        <w:t xml:space="preserve"> afin de tirer parti des synergies entre la Convention sur la diversité biologique et la Convention-cadre des Nations Unies sur les changements climatiques, </w:t>
      </w:r>
      <w:r w:rsidR="000B36B7">
        <w:t>au moyen d’</w:t>
      </w:r>
      <w:r w:rsidR="00200E95">
        <w:t>actions complémentaires en faveur de la biodiversité et de l’adaptation au changement climatique.</w:t>
      </w:r>
    </w:p>
    <w:p w14:paraId="1DA150D0" w14:textId="77777777" w:rsidR="00E216F4" w:rsidRPr="00C67737" w:rsidRDefault="00E216F4" w:rsidP="00E216F4"/>
    <w:p w14:paraId="00CB2DF0" w14:textId="4C96AD06" w:rsidR="005020D0" w:rsidRPr="00C67737" w:rsidRDefault="0010120A" w:rsidP="00640F63">
      <w:pPr>
        <w:pStyle w:val="Heading1"/>
      </w:pPr>
      <w:bookmarkStart w:id="111" w:name="_Toc242184712"/>
      <w:bookmarkStart w:id="112" w:name="_Toc242185284"/>
      <w:r>
        <w:t>Suites données par le GEF aux orientations de la 16</w:t>
      </w:r>
      <w:r w:rsidRPr="00596196">
        <w:rPr>
          <w:vertAlign w:val="superscript"/>
        </w:rPr>
        <w:t>e</w:t>
      </w:r>
      <w:r w:rsidR="00B72F14">
        <w:t> </w:t>
      </w:r>
      <w:proofErr w:type="spellStart"/>
      <w:r>
        <w:t>Conférénce</w:t>
      </w:r>
      <w:proofErr w:type="spellEnd"/>
      <w:r>
        <w:t xml:space="preserve"> des Parties à la CDB</w:t>
      </w:r>
      <w:bookmarkEnd w:id="102"/>
      <w:bookmarkEnd w:id="111"/>
      <w:bookmarkEnd w:id="112"/>
    </w:p>
    <w:p w14:paraId="535C4C22" w14:textId="24143E13" w:rsidR="00086805" w:rsidRPr="00C67737" w:rsidRDefault="00AA7D0C" w:rsidP="000B33CF">
      <w:pPr>
        <w:pStyle w:val="ListParagraph"/>
      </w:pPr>
      <w:r>
        <w:t>Lors de la 16</w:t>
      </w:r>
      <w:r w:rsidRPr="00596196">
        <w:rPr>
          <w:vertAlign w:val="superscript"/>
        </w:rPr>
        <w:t>e</w:t>
      </w:r>
      <w:r w:rsidR="00B72F14">
        <w:t> </w:t>
      </w:r>
      <w:r>
        <w:t>Conférence des Parties, ces dernières ont donné des orientations au GEF sur les opérations du Fonds et sur des sujets thématiques spécifiques relatifs à la biodiversité. Les suites données par le GEF à ces orientations sont présentées dans le tablea</w:t>
      </w:r>
      <w:r w:rsidR="00596196">
        <w:t>u</w:t>
      </w:r>
      <w:r w:rsidR="00B72F14">
        <w:t> </w:t>
      </w:r>
      <w:r>
        <w:t>8 ci-dessous.</w:t>
      </w:r>
      <w:bookmarkStart w:id="113" w:name="_Toc199405118"/>
    </w:p>
    <w:p w14:paraId="6CA85644" w14:textId="17F7EADF" w:rsidR="00F80B1F" w:rsidRPr="00C67737" w:rsidRDefault="004C1959" w:rsidP="00985C5B">
      <w:pPr>
        <w:pStyle w:val="Caption"/>
      </w:pPr>
      <w:bookmarkStart w:id="114" w:name="_Toc242183490"/>
      <w:r>
        <w:t>Tableau</w:t>
      </w:r>
      <w:r w:rsidR="00B72F14">
        <w:t> </w:t>
      </w:r>
      <w:r w:rsidRPr="00C67737">
        <w:fldChar w:fldCharType="begin"/>
      </w:r>
      <w:r w:rsidRPr="00C67737">
        <w:instrText>SEQ Table \* ARABIC</w:instrText>
      </w:r>
      <w:r w:rsidRPr="00C67737">
        <w:fldChar w:fldCharType="separate"/>
      </w:r>
      <w:r w:rsidR="006C2F5A">
        <w:rPr>
          <w:noProof/>
        </w:rPr>
        <w:t>8</w:t>
      </w:r>
      <w:r w:rsidRPr="00C67737">
        <w:fldChar w:fldCharType="end"/>
      </w:r>
      <w:r>
        <w:t>. Décisions adoptées par la 16</w:t>
      </w:r>
      <w:r w:rsidRPr="00A33FF4">
        <w:rPr>
          <w:vertAlign w:val="superscript"/>
        </w:rPr>
        <w:t>e</w:t>
      </w:r>
      <w:r w:rsidR="00B72F14">
        <w:t> </w:t>
      </w:r>
      <w:r>
        <w:t>Conférence des Parties à la CDB (Décision 16/33) et réponses du GEF</w:t>
      </w:r>
      <w:bookmarkEnd w:id="113"/>
      <w:r w:rsidR="00590A67" w:rsidRPr="00C67737">
        <w:rPr>
          <w:rStyle w:val="FootnoteReference"/>
        </w:rPr>
        <w:footnoteReference w:id="46"/>
      </w:r>
      <w:bookmarkEnd w:id="114"/>
    </w:p>
    <w:tbl>
      <w:tblPr>
        <w:tblStyle w:val="TableGrid1"/>
        <w:tblW w:w="5209" w:type="pct"/>
        <w:tblLayout w:type="fixed"/>
        <w:tblLook w:val="04A0" w:firstRow="1" w:lastRow="0" w:firstColumn="1" w:lastColumn="0" w:noHBand="0" w:noVBand="1"/>
      </w:tblPr>
      <w:tblGrid>
        <w:gridCol w:w="4870"/>
        <w:gridCol w:w="4871"/>
      </w:tblGrid>
      <w:tr w:rsidR="00C004A0" w:rsidRPr="00C67737" w14:paraId="7EE499F8" w14:textId="77777777" w:rsidTr="00A769A6">
        <w:trPr>
          <w:tblHeader/>
        </w:trPr>
        <w:tc>
          <w:tcPr>
            <w:tcW w:w="2500" w:type="pct"/>
            <w:shd w:val="clear" w:color="auto" w:fill="D9D9D9" w:themeFill="background1" w:themeFillShade="D9"/>
          </w:tcPr>
          <w:p w14:paraId="04251B80" w14:textId="06912645" w:rsidR="00C004A0" w:rsidRPr="00C67737" w:rsidRDefault="00D75A96" w:rsidP="00495437">
            <w:pPr>
              <w:snapToGrid/>
              <w:spacing w:before="100" w:after="100"/>
              <w:jc w:val="center"/>
              <w:rPr>
                <w:rFonts w:eastAsia="SimSun" w:cstheme="minorHAnsi"/>
                <w:b/>
                <w:bCs/>
                <w:color w:val="000000"/>
              </w:rPr>
            </w:pPr>
            <w:r>
              <w:rPr>
                <w:b/>
                <w:color w:val="000000"/>
              </w:rPr>
              <w:t>Orientations</w:t>
            </w:r>
            <w:r w:rsidR="00C004A0">
              <w:rPr>
                <w:b/>
                <w:color w:val="000000"/>
              </w:rPr>
              <w:t xml:space="preserve"> de la 16</w:t>
            </w:r>
            <w:r w:rsidR="00C004A0">
              <w:rPr>
                <w:b/>
                <w:color w:val="000000"/>
                <w:vertAlign w:val="superscript"/>
              </w:rPr>
              <w:t>e</w:t>
            </w:r>
            <w:r w:rsidR="00B72F14">
              <w:rPr>
                <w:b/>
                <w:color w:val="000000"/>
              </w:rPr>
              <w:t> </w:t>
            </w:r>
            <w:r w:rsidR="00C004A0">
              <w:rPr>
                <w:b/>
                <w:color w:val="000000"/>
              </w:rPr>
              <w:t>Conférence des Parties</w:t>
            </w:r>
          </w:p>
        </w:tc>
        <w:tc>
          <w:tcPr>
            <w:tcW w:w="2500" w:type="pct"/>
            <w:shd w:val="clear" w:color="auto" w:fill="D9D9D9" w:themeFill="background1" w:themeFillShade="D9"/>
          </w:tcPr>
          <w:p w14:paraId="1E9CC2A9" w14:textId="6B5259DA" w:rsidR="00C004A0" w:rsidRPr="00C67737" w:rsidRDefault="00C004A0" w:rsidP="00495437">
            <w:pPr>
              <w:snapToGrid/>
              <w:spacing w:before="100" w:after="100"/>
              <w:jc w:val="center"/>
              <w:rPr>
                <w:rFonts w:eastAsia="SimSun" w:cstheme="minorHAnsi"/>
                <w:b/>
                <w:bCs/>
                <w:color w:val="000000"/>
              </w:rPr>
            </w:pPr>
            <w:r>
              <w:rPr>
                <w:b/>
                <w:color w:val="000000"/>
              </w:rPr>
              <w:t>Suite donnée par le GEF</w:t>
            </w:r>
          </w:p>
        </w:tc>
      </w:tr>
      <w:tr w:rsidR="00C004A0" w:rsidRPr="00C67737" w14:paraId="6319EA74" w14:textId="77777777" w:rsidTr="00A769A6">
        <w:tc>
          <w:tcPr>
            <w:tcW w:w="2500" w:type="pct"/>
          </w:tcPr>
          <w:p w14:paraId="22F3B15D" w14:textId="77777777" w:rsidR="00C004A0" w:rsidRPr="00C67737" w:rsidRDefault="00C004A0" w:rsidP="00495437">
            <w:pPr>
              <w:snapToGrid/>
              <w:spacing w:before="100" w:after="100"/>
              <w:rPr>
                <w:rFonts w:eastAsia="SimSun" w:cstheme="minorHAnsi"/>
                <w:i/>
                <w:iCs/>
                <w:color w:val="000000"/>
              </w:rPr>
            </w:pPr>
            <w:r>
              <w:rPr>
                <w:i/>
                <w:color w:val="000000"/>
              </w:rPr>
              <w:t>Paragraphes préambulaires</w:t>
            </w:r>
          </w:p>
          <w:p w14:paraId="51FECBC1" w14:textId="77777777" w:rsidR="00C004A0" w:rsidRPr="00C67737" w:rsidRDefault="00C004A0" w:rsidP="00495437">
            <w:pPr>
              <w:snapToGrid/>
              <w:spacing w:before="100" w:after="100"/>
              <w:rPr>
                <w:rFonts w:eastAsia="SimSun" w:cstheme="minorHAnsi"/>
                <w:color w:val="000000"/>
              </w:rPr>
            </w:pPr>
            <w:r>
              <w:rPr>
                <w:color w:val="000000"/>
              </w:rPr>
              <w:t>La Conférence des Parties,</w:t>
            </w:r>
          </w:p>
          <w:p w14:paraId="36DB7C43" w14:textId="66BF913F"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iCs/>
                <w:color w:val="000000"/>
              </w:rPr>
            </w:pPr>
            <w:r>
              <w:rPr>
                <w:i/>
              </w:rPr>
              <w:t>Réaffirmant</w:t>
            </w:r>
            <w:r>
              <w:t xml:space="preserve"> l’importance de la pleine exécution des dispositions de l’article</w:t>
            </w:r>
            <w:r w:rsidR="00B72F14">
              <w:t> </w:t>
            </w:r>
            <w:hyperlink r:id="rId27" w:history="1">
              <w:r>
                <w:rPr>
                  <w:color w:val="000000"/>
                  <w:u w:val="single"/>
                </w:rPr>
                <w:t>20</w:t>
              </w:r>
            </w:hyperlink>
            <w:r>
              <w:t>, en particulier les paragraphes</w:t>
            </w:r>
            <w:r w:rsidR="00B72F14">
              <w:t> </w:t>
            </w:r>
            <w:r>
              <w:t>2 et 3, et de l’article</w:t>
            </w:r>
            <w:r w:rsidR="00B72F14">
              <w:t> </w:t>
            </w:r>
            <w:hyperlink r:id="rId28" w:history="1">
              <w:r>
                <w:rPr>
                  <w:color w:val="000000"/>
                  <w:u w:val="single"/>
                </w:rPr>
                <w:t>21</w:t>
              </w:r>
            </w:hyperlink>
            <w:r>
              <w:t xml:space="preserve">,, notamment les </w:t>
            </w:r>
            <w:r>
              <w:rPr>
                <w:color w:val="000000"/>
              </w:rPr>
              <w:t>paragraphes</w:t>
            </w:r>
            <w:r w:rsidR="00B72F14">
              <w:rPr>
                <w:color w:val="000000"/>
              </w:rPr>
              <w:t> </w:t>
            </w:r>
            <w:r>
              <w:rPr>
                <w:color w:val="000000"/>
              </w:rPr>
              <w:t>1 et 3, de la Convention sur la diversité biologique</w:t>
            </w:r>
            <w:r w:rsidRPr="00C67737">
              <w:rPr>
                <w:rFonts w:eastAsia="SimSun" w:cstheme="minorHAnsi"/>
                <w:color w:val="000000"/>
                <w:vertAlign w:val="superscript"/>
              </w:rPr>
              <w:footnoteReference w:id="47"/>
            </w:r>
            <w:r>
              <w:t xml:space="preserve"> </w:t>
            </w:r>
            <w:r>
              <w:rPr>
                <w:color w:val="000000"/>
              </w:rPr>
              <w:t>ainsi que de l’accès au mécanisme de financement par toutes les Parties en vue de mettre pleinement en œuvre la Convention</w:t>
            </w:r>
          </w:p>
          <w:p w14:paraId="1D3AE551" w14:textId="2A302B5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iCs/>
                <w:color w:val="000000"/>
              </w:rPr>
            </w:pPr>
            <w:r>
              <w:rPr>
                <w:i/>
                <w:iCs/>
                <w:color w:val="000000"/>
              </w:rPr>
              <w:t xml:space="preserve">Saluant </w:t>
            </w:r>
            <w:r>
              <w:rPr>
                <w:color w:val="000000"/>
              </w:rPr>
              <w:t xml:space="preserve">le rôle précieux du Fonds pour l’environnement mondial en tant que structure institutionnelle mettant en œuvre le mécanisme </w:t>
            </w:r>
            <w:r>
              <w:rPr>
                <w:color w:val="000000"/>
              </w:rPr>
              <w:lastRenderedPageBreak/>
              <w:t>de financement de la Convention à titre provisoire et de manière continue</w:t>
            </w:r>
            <w:r w:rsidR="00B72F14">
              <w:rPr>
                <w:color w:val="000000"/>
              </w:rPr>
              <w:t> </w:t>
            </w:r>
            <w:r>
              <w:rPr>
                <w:color w:val="000000"/>
              </w:rPr>
              <w:t>;</w:t>
            </w:r>
          </w:p>
          <w:p w14:paraId="777C1922" w14:textId="01EFF776"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rPr>
              <w:t>Réaffirmant</w:t>
            </w:r>
            <w:r>
              <w:t xml:space="preserve"> l’engagement de la Conférence des Parties de mener à bien un examen périodique de l’efficacité du mécanisme de financement, comme indiqué dans son mémorandum d’accord avec le Conseil du Fonds pour l’environnement mondial</w:t>
            </w:r>
            <w:r w:rsidRPr="00C67737">
              <w:rPr>
                <w:rFonts w:eastAsia="SimSun" w:cstheme="minorHAnsi"/>
                <w:color w:val="000000"/>
                <w:vertAlign w:val="superscript"/>
              </w:rPr>
              <w:footnoteReference w:id="48"/>
            </w:r>
            <w:r w:rsidR="00A92581">
              <w:t>,</w:t>
            </w:r>
          </w:p>
          <w:p w14:paraId="6EDD1CD8"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color w:val="000000"/>
              </w:rPr>
              <w:t>Réaffirmant</w:t>
            </w:r>
            <w:r>
              <w:rPr>
                <w:color w:val="000000"/>
              </w:rPr>
              <w:t xml:space="preserve"> également l’importance de l’examen de l’efficacité du mécanisme de financement dans le contexte de la mise en œuvre de la Convention et de ses Protocoles, stratégies et programmes,</w:t>
            </w:r>
          </w:p>
          <w:p w14:paraId="33A86F19" w14:textId="08E7C712"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rPr>
              <w:t>Constatant avec préoccupation</w:t>
            </w:r>
            <w:r>
              <w:t xml:space="preserve"> l’insuffisance des contributions financières volontaires pour financer la mise en œuvre du mandat en vue d’une évaluation complète du montant du financement nécessaire à la mise en œuvre de la Convention et de ses Protocoles pour la neuvième reconstitution des ressources </w:t>
            </w:r>
            <w:r w:rsidR="00D46BF0">
              <w:rPr>
                <w:color w:val="000000"/>
              </w:rPr>
              <w:t xml:space="preserve">du </w:t>
            </w:r>
            <w:r w:rsidR="00D46BF0">
              <w:t xml:space="preserve">Fonds fiduciaire du Fonds </w:t>
            </w:r>
            <w:r w:rsidR="00D46BF0">
              <w:rPr>
                <w:color w:val="000000"/>
              </w:rPr>
              <w:t>pour l’Environnement Mondial</w:t>
            </w:r>
            <w:r w:rsidRPr="00C67737">
              <w:rPr>
                <w:rFonts w:eastAsia="SimSun" w:cstheme="minorHAnsi"/>
                <w:color w:val="000000"/>
                <w:vertAlign w:val="superscript"/>
              </w:rPr>
              <w:footnoteReference w:id="49"/>
            </w:r>
            <w:r>
              <w:t>, se traduisant par un nombre limité d’activités soumises à l’examen de la Conférence des Parties à sa seizième réunion</w:t>
            </w:r>
            <w:r w:rsidR="00A92581">
              <w:t>,</w:t>
            </w:r>
          </w:p>
          <w:p w14:paraId="5FBAE9D2" w14:textId="0CEDA85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rPr>
              <w:t>Reconnaissant</w:t>
            </w:r>
            <w:r>
              <w:t xml:space="preserve"> la nature intégrée et indivisible des éléments du Cadre mondial de la biodiversité de Kunming-Montréal</w:t>
            </w:r>
            <w:r w:rsidRPr="00C67737">
              <w:rPr>
                <w:rFonts w:eastAsia="SimSun" w:cstheme="minorHAnsi"/>
                <w:color w:val="000000"/>
                <w:vertAlign w:val="superscript"/>
              </w:rPr>
              <w:footnoteReference w:id="50"/>
            </w:r>
            <w:r>
              <w:rPr>
                <w:color w:val="000000"/>
              </w:rPr>
              <w:t>, notamment les considérations relatives à sa mise en œuvre (section C du Cadre), les mécanismes de mise en œuvre et d’appui et les conditions propices (section I), et la responsabilité et la transparence (section J),</w:t>
            </w:r>
          </w:p>
          <w:p w14:paraId="20A91208" w14:textId="515C200B"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cstheme="minorHAnsi"/>
                <w:color w:val="000000"/>
              </w:rPr>
            </w:pPr>
            <w:r>
              <w:t>Constatant avec préoccupation qu’au cours de la huitième reconstitution des ressources</w:t>
            </w:r>
            <w:r w:rsidR="00CD3559">
              <w:t xml:space="preserve"> du</w:t>
            </w:r>
            <w:r>
              <w:t xml:space="preserve"> </w:t>
            </w:r>
            <w:r w:rsidR="00603B08">
              <w:t xml:space="preserve">Fonds fiduciaire </w:t>
            </w:r>
            <w:r>
              <w:t xml:space="preserve"> du Fonds pour l’environnement mondial, aucune Partie admissible n’a soumis de proposition de projet en vue d’appuyer la mise en œuvre du Protocole de </w:t>
            </w:r>
            <w:r w:rsidR="00ED3B3D">
              <w:t>Carthagène</w:t>
            </w:r>
            <w:r w:rsidR="00ED3B3D" w:rsidDel="00ED3B3D">
              <w:t xml:space="preserve"> </w:t>
            </w:r>
            <w:r w:rsidR="00ED3B3D">
              <w:t xml:space="preserve"> </w:t>
            </w:r>
            <w:r>
              <w:t>sur la prévention des risques biotechnologiques</w:t>
            </w:r>
            <w:r w:rsidRPr="00C67737">
              <w:rPr>
                <w:rFonts w:eastAsia="SimSun" w:cstheme="minorHAnsi"/>
                <w:color w:val="000000"/>
                <w:vertAlign w:val="superscript"/>
              </w:rPr>
              <w:footnoteReference w:id="51"/>
            </w:r>
            <w:r>
              <w:t xml:space="preserve">, et que seulement trois propositions de projets à l’appui </w:t>
            </w:r>
            <w:r>
              <w:lastRenderedPageBreak/>
              <w:t>du Protocole de Nagoya sur l’accès aux ressources génétiques et le partage juste et équitable des avantages découlant de leur utilisation ont été soumises par des Parties admissibles</w:t>
            </w:r>
            <w:r w:rsidRPr="00C67737">
              <w:rPr>
                <w:rFonts w:eastAsia="SimSun" w:cstheme="minorHAnsi"/>
                <w:color w:val="000000"/>
                <w:vertAlign w:val="superscript"/>
              </w:rPr>
              <w:footnoteReference w:id="52"/>
            </w:r>
            <w:r>
              <w:t>, et reconnaissant en outre la nécessité d’améliorer la compréhension des causes possibles de ce nombre restreint de propositions,</w:t>
            </w:r>
          </w:p>
          <w:p w14:paraId="1125703C" w14:textId="57CCABC4"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color w:val="000000"/>
              </w:rPr>
              <w:t>Accueillant</w:t>
            </w:r>
            <w:r>
              <w:rPr>
                <w:color w:val="000000"/>
              </w:rPr>
              <w:t xml:space="preserve"> favorablement les mesures prises par le Fonds pour l’environnement mondial par l’entremise du financement de son domaine d’intervention «</w:t>
            </w:r>
            <w:r w:rsidR="00B72F14">
              <w:rPr>
                <w:color w:val="000000"/>
              </w:rPr>
              <w:t> </w:t>
            </w:r>
            <w:r w:rsidR="00E06947">
              <w:rPr>
                <w:color w:val="000000"/>
              </w:rPr>
              <w:t>diversité biologique</w:t>
            </w:r>
            <w:r w:rsidR="00B72F14">
              <w:rPr>
                <w:color w:val="000000"/>
              </w:rPr>
              <w:t> </w:t>
            </w:r>
            <w:r>
              <w:rPr>
                <w:color w:val="000000"/>
              </w:rPr>
              <w:t>» visant à soutenir les Parties admissibles, tout en soulignant la nécessité d’accroître plus avant la mobilisation des ressources pour répondre aux défis et aux besoins des Parties qui sont des pays en développement concernant leur contribution à la mise en œuvre de la Convention, de ses Protocoles et du Cadre mondial de la biodiversité de Kunming-Montréal</w:t>
            </w:r>
            <w:r w:rsidR="00A92581">
              <w:rPr>
                <w:color w:val="000000"/>
              </w:rPr>
              <w:t>,</w:t>
            </w:r>
          </w:p>
          <w:p w14:paraId="644F7188"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color w:val="000000"/>
              </w:rPr>
              <w:t xml:space="preserve">Prenant note </w:t>
            </w:r>
            <w:r>
              <w:rPr>
                <w:color w:val="000000"/>
              </w:rPr>
              <w:t>qu’un certain nombre de Parties admissibles n’ont pas encore eu accès au soutien du Fonds pour l’environnement mondial, en particulier pour la révision et l’actualisation de leurs stratégies et plans d’actions nationaux pour la biodiversité et de leurs plans nationaux de financement de la biodiversité en vue de les aligner sur le Cadre,</w:t>
            </w:r>
          </w:p>
          <w:p w14:paraId="56C35009" w14:textId="08F118F4"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color w:val="000000"/>
              </w:rPr>
              <w:t>Prenant note également</w:t>
            </w:r>
            <w:r>
              <w:rPr>
                <w:color w:val="000000"/>
              </w:rPr>
              <w:t xml:space="preserve"> des contributions des programmes intégrés du Fonds pour l’environnement mondial à la réalisation des cibles du Cadre, et du fait que ces programmes contribuent tous à la réalisation des cibles</w:t>
            </w:r>
            <w:r w:rsidR="00B72F14">
              <w:rPr>
                <w:color w:val="000000"/>
              </w:rPr>
              <w:t> </w:t>
            </w:r>
            <w:r>
              <w:rPr>
                <w:color w:val="000000"/>
              </w:rPr>
              <w:t>8, 10, 11 et 20 à 23</w:t>
            </w:r>
            <w:r w:rsidR="00A92581">
              <w:rPr>
                <w:color w:val="000000"/>
              </w:rPr>
              <w:t>,</w:t>
            </w:r>
          </w:p>
          <w:p w14:paraId="1DE25D1C"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color w:val="000000"/>
              </w:rPr>
              <w:t xml:space="preserve">Se félicitant </w:t>
            </w:r>
            <w:r>
              <w:rPr>
                <w:color w:val="000000"/>
              </w:rPr>
              <w:t>de la part considérable de ressources des autres domaines d’intervention du Fonds pour l’environnement mondial qui contribuent à la mise en œuvre du Cadre,</w:t>
            </w:r>
          </w:p>
          <w:p w14:paraId="101ACDF9"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color w:val="000000"/>
              </w:rPr>
              <w:t xml:space="preserve">Se félicitant également </w:t>
            </w:r>
            <w:r>
              <w:rPr>
                <w:color w:val="000000"/>
              </w:rPr>
              <w:t xml:space="preserve">des mesures prises par le Fonds pour l’environnement mondial pour tirer parti des synergies entre les autres conventions </w:t>
            </w:r>
            <w:r>
              <w:rPr>
                <w:color w:val="000000"/>
              </w:rPr>
              <w:lastRenderedPageBreak/>
              <w:t>relatives à la biodiversité, et relever plusieurs défis environnementaux de manière globale,</w:t>
            </w:r>
          </w:p>
          <w:p w14:paraId="6F5C71EA"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color w:val="000000"/>
              </w:rPr>
              <w:t>Soulignant</w:t>
            </w:r>
            <w:r>
              <w:rPr>
                <w:color w:val="000000"/>
              </w:rPr>
              <w:t xml:space="preserve"> la contribution des peuples autochtones et communautés locales à la mise en œuvre de la Convention et se félicitant du soutien que leur apporte actuellement le Fonds pour l’environnement mondial,</w:t>
            </w:r>
          </w:p>
          <w:p w14:paraId="488B2182" w14:textId="741A6D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color w:val="000000"/>
              </w:rPr>
              <w:t>Constatant avec satisfaction</w:t>
            </w:r>
            <w:r>
              <w:rPr>
                <w:color w:val="000000"/>
              </w:rPr>
              <w:t xml:space="preserve"> le soutien accru apporté par le Fonds pour l’environnement mondial aux peuples autochtones et communautés locales à l’appui de la mise en œuvre du Cadre, notamment grâce à la part ambitieuse de 20</w:t>
            </w:r>
            <w:r w:rsidR="00966C17">
              <w:rPr>
                <w:color w:val="000000"/>
              </w:rPr>
              <w:t> %</w:t>
            </w:r>
            <w:r>
              <w:rPr>
                <w:color w:val="000000"/>
              </w:rPr>
              <w:t xml:space="preserve"> de la programmation au niveau du portefeuille devant servir d’ici à 2030 au fonctionnement du Fonds du Cadre mondial de la biodiversit</w:t>
            </w:r>
            <w:r w:rsidR="00E56ACB">
              <w:rPr>
                <w:color w:val="000000"/>
              </w:rPr>
              <w:t>é,</w:t>
            </w:r>
          </w:p>
          <w:p w14:paraId="1C9149AD"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Calibri" w:cstheme="minorHAnsi"/>
                <w:color w:val="000000"/>
              </w:rPr>
            </w:pPr>
            <w:r>
              <w:rPr>
                <w:i/>
                <w:iCs/>
                <w:color w:val="000000"/>
              </w:rPr>
              <w:t>Soulignant</w:t>
            </w:r>
            <w:r>
              <w:rPr>
                <w:color w:val="000000"/>
              </w:rPr>
              <w:t xml:space="preserve"> les efforts continus visant à améliorer les orientations stratégiques fournies par la Conférence des Parties au Fonds pour l’environnement mondial en tant que structure institutionnelle chargée d’assurer le fonctionnement du mécanisme de financement de la Convention, à titre provisoire et de manière continue,</w:t>
            </w:r>
          </w:p>
          <w:p w14:paraId="0CC43656" w14:textId="79137F62"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color w:val="000000"/>
              </w:rPr>
              <w:t>Reconnaissant</w:t>
            </w:r>
            <w:r>
              <w:rPr>
                <w:color w:val="000000"/>
              </w:rPr>
              <w:t xml:space="preserve"> que les ressources du Fonds pour l’environnement mondial sont fournies de manière prévisible par l’intermédiaire de </w:t>
            </w:r>
            <w:r w:rsidR="00CD3559">
              <w:rPr>
                <w:color w:val="000000"/>
              </w:rPr>
              <w:t xml:space="preserve">son fonds fiduciaire </w:t>
            </w:r>
            <w:r>
              <w:rPr>
                <w:color w:val="000000"/>
              </w:rPr>
              <w:t>grâce à la mise en œuvre du système d’allocation transparente des ressources, que des améliorations ont été apportées en ce qui concerne le versement en temps voulu des fonds aux Parties admissibles et que la rationalisation du cycle des projets du Fonds pour l’environnement mondial est également susceptible d’avoir une incidence positive sur le versement en temps voulu des fonds,</w:t>
            </w:r>
          </w:p>
          <w:p w14:paraId="5E653577"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color w:val="000000"/>
              </w:rPr>
              <w:t xml:space="preserve">Se félicitant </w:t>
            </w:r>
            <w:r>
              <w:rPr>
                <w:color w:val="000000"/>
              </w:rPr>
              <w:t>des mesures prises par le Fonds pour l’environnement mondial pour appuyer la cohérence des politiques et les mesures de rationalisation,</w:t>
            </w:r>
          </w:p>
          <w:p w14:paraId="6BC10738"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Calibri" w:cstheme="minorHAnsi"/>
                <w:color w:val="000000"/>
              </w:rPr>
            </w:pPr>
            <w:r>
              <w:rPr>
                <w:i/>
                <w:iCs/>
                <w:color w:val="000000"/>
              </w:rPr>
              <w:t>Reconnaissant</w:t>
            </w:r>
            <w:r>
              <w:rPr>
                <w:color w:val="000000"/>
              </w:rPr>
              <w:t xml:space="preserve"> l’importance de renforcer la direction, l’appropriation et la responsabilité des pays en ce qui concerne les activités soutenues par le Fonds pour l’environnement mondial,</w:t>
            </w:r>
          </w:p>
          <w:p w14:paraId="673EEC3F"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Calibri" w:cstheme="minorHAnsi"/>
                <w:color w:val="000000"/>
              </w:rPr>
            </w:pPr>
            <w:r>
              <w:rPr>
                <w:i/>
                <w:iCs/>
                <w:color w:val="000000"/>
              </w:rPr>
              <w:lastRenderedPageBreak/>
              <w:t xml:space="preserve">Reconnaissant également </w:t>
            </w:r>
            <w:r>
              <w:rPr>
                <w:color w:val="000000"/>
              </w:rPr>
              <w:t>qu’au fil des ans, le Fonds pour l’environnement mondial a pris des mesures pour améliorer la qualité de ses rapports,</w:t>
            </w:r>
          </w:p>
          <w:p w14:paraId="73FA254B"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Pr>
                <w:i/>
                <w:iCs/>
                <w:color w:val="000000"/>
              </w:rPr>
              <w:t>Reconnaissant en outre</w:t>
            </w:r>
            <w:r>
              <w:rPr>
                <w:color w:val="000000"/>
              </w:rPr>
              <w:t xml:space="preserve"> l’importance de vivre en harmonie avec la nature et de vivre sainement et en harmonie avec la Terre nourricière afin de garantir le bien-être des humains, une planète en bonne santé et la prospérité économique pour tous et en en tenant compte,</w:t>
            </w:r>
          </w:p>
        </w:tc>
        <w:tc>
          <w:tcPr>
            <w:tcW w:w="2500" w:type="pct"/>
          </w:tcPr>
          <w:p w14:paraId="5E75AA7A" w14:textId="77777777" w:rsidR="00C004A0" w:rsidRPr="00C67737" w:rsidRDefault="00C004A0" w:rsidP="00495437">
            <w:pPr>
              <w:snapToGrid/>
              <w:spacing w:before="100" w:after="100"/>
              <w:rPr>
                <w:rFonts w:eastAsia="SimSun" w:cstheme="minorHAnsi"/>
                <w:color w:val="000000"/>
              </w:rPr>
            </w:pPr>
            <w:r>
              <w:rPr>
                <w:color w:val="000000"/>
              </w:rPr>
              <w:lastRenderedPageBreak/>
              <w:t>A pris note.</w:t>
            </w:r>
          </w:p>
        </w:tc>
      </w:tr>
      <w:tr w:rsidR="00C004A0" w:rsidRPr="00C67737" w14:paraId="0EC40983" w14:textId="77777777" w:rsidTr="00A769A6">
        <w:tc>
          <w:tcPr>
            <w:tcW w:w="2500" w:type="pct"/>
          </w:tcPr>
          <w:p w14:paraId="74443FB3" w14:textId="64B5C7E7" w:rsidR="00C004A0" w:rsidRPr="00C67737" w:rsidRDefault="00C004A0" w:rsidP="00495437">
            <w:pPr>
              <w:snapToGrid/>
              <w:spacing w:before="100" w:after="100"/>
              <w:rPr>
                <w:rFonts w:eastAsia="SimSun" w:cstheme="minorHAnsi"/>
                <w:color w:val="000000"/>
              </w:rPr>
            </w:pPr>
            <w:r>
              <w:rPr>
                <w:i/>
                <w:color w:val="000000"/>
              </w:rPr>
              <w:lastRenderedPageBreak/>
              <w:t xml:space="preserve">1. </w:t>
            </w:r>
            <w:r>
              <w:rPr>
                <w:i/>
                <w:iCs/>
              </w:rPr>
              <w:t xml:space="preserve">Accueille favorablement </w:t>
            </w:r>
            <w:r>
              <w:t>le rapport du Comité du Fonds pour l’environnement mondial à la seizième réunion de la Conférence des Parties</w:t>
            </w:r>
            <w:r w:rsidRPr="00C67737">
              <w:rPr>
                <w:rFonts w:eastAsia="SimSun" w:cstheme="minorHAnsi"/>
                <w:color w:val="000000"/>
                <w:vertAlign w:val="superscript"/>
              </w:rPr>
              <w:footnoteReference w:id="53"/>
            </w:r>
            <w:r>
              <w:rPr>
                <w:color w:val="000000"/>
              </w:rPr>
              <w:t xml:space="preserve"> et prend note du rapport sur le sixième examen de l’efficacité du mécanisme de</w:t>
            </w:r>
            <w:r>
              <w:t xml:space="preserve"> financement</w:t>
            </w:r>
            <w:r w:rsidRPr="00C67737">
              <w:rPr>
                <w:rFonts w:eastAsia="SimSun" w:cstheme="minorHAnsi"/>
                <w:color w:val="000000"/>
                <w:vertAlign w:val="superscript"/>
              </w:rPr>
              <w:footnoteReference w:id="54"/>
            </w:r>
            <w:r w:rsidR="00B72F14">
              <w:t> </w:t>
            </w:r>
            <w:r>
              <w:t xml:space="preserve">; </w:t>
            </w:r>
          </w:p>
        </w:tc>
        <w:tc>
          <w:tcPr>
            <w:tcW w:w="2500" w:type="pct"/>
          </w:tcPr>
          <w:p w14:paraId="794CB4E1" w14:textId="77777777" w:rsidR="00C004A0" w:rsidRPr="00C67737" w:rsidRDefault="00C004A0" w:rsidP="00495437">
            <w:pPr>
              <w:snapToGrid/>
              <w:spacing w:before="100" w:after="100"/>
              <w:rPr>
                <w:rFonts w:eastAsia="SimSun" w:cstheme="minorHAnsi"/>
                <w:color w:val="000000"/>
              </w:rPr>
            </w:pPr>
            <w:r>
              <w:rPr>
                <w:color w:val="000000"/>
              </w:rPr>
              <w:t>A pris note avec satisfaction.</w:t>
            </w:r>
          </w:p>
        </w:tc>
      </w:tr>
      <w:tr w:rsidR="00C004A0" w:rsidRPr="00C67737" w14:paraId="6C6A6751" w14:textId="77777777" w:rsidTr="00A769A6">
        <w:tc>
          <w:tcPr>
            <w:tcW w:w="2500" w:type="pct"/>
          </w:tcPr>
          <w:p w14:paraId="4F3A8C45" w14:textId="1D9F1CCC" w:rsidR="00A82259" w:rsidRPr="00387DCA" w:rsidRDefault="00075533" w:rsidP="00495437">
            <w:pPr>
              <w:snapToGrid/>
              <w:spacing w:before="100" w:after="100"/>
              <w:rPr>
                <w:b/>
                <w:bCs/>
                <w:color w:val="000000"/>
              </w:rPr>
            </w:pPr>
            <w:r>
              <w:rPr>
                <w:b/>
                <w:bCs/>
                <w:color w:val="000000"/>
              </w:rPr>
              <w:t xml:space="preserve">I </w:t>
            </w:r>
            <w:r w:rsidR="00AD54BA" w:rsidRPr="00CD3559">
              <w:rPr>
                <w:b/>
                <w:bCs/>
              </w:rPr>
              <w:t xml:space="preserve">Fonds fiduciaire </w:t>
            </w:r>
            <w:r w:rsidRPr="00CD3559">
              <w:rPr>
                <w:b/>
                <w:bCs/>
                <w:color w:val="000000"/>
              </w:rPr>
              <w:t>du Fonds pour l’environnement mondial</w:t>
            </w:r>
          </w:p>
          <w:p w14:paraId="11AD9E1D" w14:textId="65AFBDD9" w:rsidR="00C004A0" w:rsidRPr="00C67737" w:rsidRDefault="00C004A0" w:rsidP="00495437">
            <w:pPr>
              <w:snapToGrid/>
              <w:spacing w:before="100" w:after="100"/>
              <w:rPr>
                <w:rFonts w:eastAsia="SimSun" w:cstheme="minorHAnsi"/>
                <w:b/>
                <w:color w:val="000000"/>
              </w:rPr>
            </w:pPr>
            <w:r>
              <w:rPr>
                <w:i/>
                <w:iCs/>
                <w:color w:val="000000"/>
              </w:rPr>
              <w:t>2.</w:t>
            </w:r>
            <w:r>
              <w:rPr>
                <w:i/>
                <w:color w:val="000000"/>
              </w:rPr>
              <w:t xml:space="preserve"> </w:t>
            </w:r>
            <w:r>
              <w:rPr>
                <w:i/>
                <w:iCs/>
              </w:rPr>
              <w:t>Prie</w:t>
            </w:r>
            <w:r>
              <w:t xml:space="preserve"> le Fonds pour l’environnement mondial, en collaboration avec la Secrétaire exécutive de la Convention sur la diversité biologique, à encourager les Parties admissibles à présenter des propositions de projets à l’appui de la mise en œuvre de la cible</w:t>
            </w:r>
            <w:r w:rsidR="00B72F14">
              <w:t> </w:t>
            </w:r>
            <w:r>
              <w:t>17 du Cadre mondial de la biodiversité de Kunming-Montréal ainsi que du Plan de mise en œuvre</w:t>
            </w:r>
            <w:r w:rsidRPr="00C67737">
              <w:rPr>
                <w:rFonts w:eastAsia="SimSun" w:cstheme="minorHAnsi"/>
                <w:color w:val="000000"/>
                <w:vertAlign w:val="superscript"/>
              </w:rPr>
              <w:footnoteReference w:id="55"/>
            </w:r>
            <w:r>
              <w:t xml:space="preserve"> </w:t>
            </w:r>
            <w:r>
              <w:rPr>
                <w:color w:val="000000"/>
              </w:rPr>
              <w:t>et du Plan d’action pour le renforcement des capacités</w:t>
            </w:r>
            <w:r w:rsidRPr="00C67737">
              <w:rPr>
                <w:rFonts w:eastAsia="SimSun" w:cstheme="minorHAnsi"/>
                <w:color w:val="000000"/>
                <w:vertAlign w:val="superscript"/>
              </w:rPr>
              <w:footnoteReference w:id="56"/>
            </w:r>
            <w:r>
              <w:t xml:space="preserve"> du Protocole de </w:t>
            </w:r>
            <w:proofErr w:type="gramStart"/>
            <w:r w:rsidR="00ED3B3D">
              <w:t>Carthagène</w:t>
            </w:r>
            <w:r w:rsidR="00ED3B3D" w:rsidDel="00ED3B3D">
              <w:t xml:space="preserve"> </w:t>
            </w:r>
            <w:r>
              <w:t> sur</w:t>
            </w:r>
            <w:proofErr w:type="gramEnd"/>
            <w:r>
              <w:t xml:space="preserve"> la prévention des risques biotechnologiques</w:t>
            </w:r>
            <w:r w:rsidR="00B72F14">
              <w:t> </w:t>
            </w:r>
            <w:r>
              <w:t>;</w:t>
            </w:r>
          </w:p>
        </w:tc>
        <w:tc>
          <w:tcPr>
            <w:tcW w:w="2500" w:type="pct"/>
          </w:tcPr>
          <w:p w14:paraId="6C41B874" w14:textId="0FD4C48A" w:rsidR="001C7973" w:rsidRPr="00E673AB" w:rsidRDefault="00C004A0" w:rsidP="00495437">
            <w:pPr>
              <w:snapToGrid/>
              <w:spacing w:before="100" w:after="100"/>
              <w:rPr>
                <w:color w:val="000000"/>
              </w:rPr>
            </w:pPr>
            <w:r>
              <w:rPr>
                <w:color w:val="000000"/>
              </w:rPr>
              <w:t xml:space="preserve">Le GEF a organisé, </w:t>
            </w:r>
            <w:r w:rsidR="000B383D" w:rsidRPr="000B383D">
              <w:rPr>
                <w:color w:val="000000"/>
              </w:rPr>
              <w:t xml:space="preserve">en marge de la seizième réunion de la Conférence des Parties à la CDB, une manifestation conjointe avec le Secrétariat de la CDB, le PNUE et le PNUD, </w:t>
            </w:r>
            <w:r w:rsidR="000B383D">
              <w:rPr>
                <w:color w:val="000000"/>
              </w:rPr>
              <w:t xml:space="preserve">sur l’appui du GEF </w:t>
            </w:r>
            <w:r w:rsidR="0068428B" w:rsidRPr="0068428B">
              <w:rPr>
                <w:color w:val="000000"/>
              </w:rPr>
              <w:t xml:space="preserve">aux Protocoles de Nagoya et de </w:t>
            </w:r>
            <w:r w:rsidR="00ED3B3D">
              <w:t>Carthagène</w:t>
            </w:r>
            <w:r w:rsidR="0068428B" w:rsidRPr="0068428B">
              <w:rPr>
                <w:color w:val="000000"/>
              </w:rPr>
              <w:t xml:space="preserve">, </w:t>
            </w:r>
            <w:r w:rsidR="00713EBE">
              <w:t xml:space="preserve">intitulée </w:t>
            </w:r>
            <w:r>
              <w:t>«</w:t>
            </w:r>
            <w:r w:rsidR="00B72F14">
              <w:t> </w:t>
            </w:r>
            <w:hyperlink r:id="rId29" w:history="1">
              <w:r w:rsidRPr="00FA7C35">
                <w:rPr>
                  <w:i/>
                  <w:iCs/>
                  <w:color w:val="000000"/>
                  <w:u w:val="single"/>
                </w:rPr>
                <w:t xml:space="preserve">GEF support to the Nagoya and Cartagena </w:t>
              </w:r>
              <w:proofErr w:type="spellStart"/>
              <w:r w:rsidRPr="00FA7C35">
                <w:rPr>
                  <w:i/>
                  <w:iCs/>
                  <w:color w:val="000000"/>
                  <w:u w:val="single"/>
                </w:rPr>
                <w:t>Protocols</w:t>
              </w:r>
              <w:proofErr w:type="spellEnd"/>
              <w:r w:rsidR="00B72F14">
                <w:rPr>
                  <w:color w:val="000000"/>
                  <w:u w:val="single"/>
                </w:rPr>
                <w:t> </w:t>
              </w:r>
            </w:hyperlink>
            <w:r>
              <w:t>».</w:t>
            </w:r>
            <w:r>
              <w:rPr>
                <w:color w:val="000000"/>
              </w:rPr>
              <w:t xml:space="preserve"> Cette manifestation a </w:t>
            </w:r>
            <w:r w:rsidR="00646B6D" w:rsidRPr="00646B6D">
              <w:rPr>
                <w:color w:val="000000"/>
              </w:rPr>
              <w:t xml:space="preserve">présenté des projets nationaux réussis </w:t>
            </w:r>
            <w:r>
              <w:rPr>
                <w:color w:val="000000"/>
              </w:rPr>
              <w:t xml:space="preserve">et </w:t>
            </w:r>
            <w:r w:rsidR="004D7914">
              <w:rPr>
                <w:color w:val="000000"/>
              </w:rPr>
              <w:t>communiqué des informatio</w:t>
            </w:r>
            <w:r w:rsidR="002E6CFD">
              <w:rPr>
                <w:color w:val="000000"/>
              </w:rPr>
              <w:t>ns sur</w:t>
            </w:r>
            <w:r w:rsidR="00026BD3">
              <w:rPr>
                <w:color w:val="000000"/>
              </w:rPr>
              <w:t xml:space="preserve"> </w:t>
            </w:r>
            <w:r>
              <w:rPr>
                <w:color w:val="000000"/>
              </w:rPr>
              <w:t>les possibilités d’appui à la mise en œuvre de la cible</w:t>
            </w:r>
            <w:r w:rsidR="00B72F14">
              <w:rPr>
                <w:color w:val="000000"/>
              </w:rPr>
              <w:t> </w:t>
            </w:r>
            <w:r>
              <w:rPr>
                <w:color w:val="000000"/>
              </w:rPr>
              <w:t xml:space="preserve">17 du KMGBF et du Protocole de </w:t>
            </w:r>
            <w:r w:rsidR="00ED3B3D">
              <w:t>Carthagène</w:t>
            </w:r>
            <w:r w:rsidR="00ED3B3D" w:rsidDel="00ED3B3D">
              <w:rPr>
                <w:color w:val="000000"/>
              </w:rPr>
              <w:t xml:space="preserve"> </w:t>
            </w:r>
            <w:r>
              <w:rPr>
                <w:color w:val="000000"/>
              </w:rPr>
              <w:t xml:space="preserve">sur la prévention des risques biotechnologiques. </w:t>
            </w:r>
            <w:r w:rsidR="00026BD3">
              <w:rPr>
                <w:color w:val="000000"/>
              </w:rPr>
              <w:t>Dans le cadre des activités menées au titre de sa stratégie de mobilisation des pays, l</w:t>
            </w:r>
            <w:r w:rsidR="00BE6C16">
              <w:rPr>
                <w:color w:val="000000"/>
              </w:rPr>
              <w:t>e GEF continuera de promouvoir la présentation de telles propositions</w:t>
            </w:r>
            <w:r w:rsidR="00E673AB">
              <w:rPr>
                <w:color w:val="000000"/>
              </w:rPr>
              <w:t>.</w:t>
            </w:r>
            <w:r>
              <w:rPr>
                <w:color w:val="000000"/>
              </w:rPr>
              <w:t xml:space="preserve"> </w:t>
            </w:r>
          </w:p>
          <w:p w14:paraId="62A73EFD" w14:textId="66FB6C2F" w:rsidR="00C004A0" w:rsidRPr="00C67737" w:rsidRDefault="000D630C" w:rsidP="00495437">
            <w:pPr>
              <w:snapToGrid/>
              <w:spacing w:before="100" w:after="100"/>
              <w:rPr>
                <w:rFonts w:eastAsia="SimSun" w:cstheme="minorHAnsi"/>
                <w:color w:val="000000"/>
              </w:rPr>
            </w:pPr>
            <w:r w:rsidRPr="000D630C">
              <w:rPr>
                <w:color w:val="000000"/>
              </w:rPr>
              <w:t>Le Secrétariat du GEF a participé</w:t>
            </w:r>
            <w:r w:rsidR="00F35D21">
              <w:rPr>
                <w:color w:val="000000"/>
              </w:rPr>
              <w:t>,</w:t>
            </w:r>
            <w:r w:rsidRPr="000D630C">
              <w:rPr>
                <w:color w:val="000000"/>
              </w:rPr>
              <w:t xml:space="preserve"> à distance</w:t>
            </w:r>
            <w:r w:rsidR="00F35D21">
              <w:rPr>
                <w:color w:val="000000"/>
              </w:rPr>
              <w:t>,</w:t>
            </w:r>
            <w:r w:rsidRPr="000D630C">
              <w:rPr>
                <w:color w:val="000000"/>
              </w:rPr>
              <w:t xml:space="preserve"> à quatre ateliers régionaux, organisés par le PNUE et le Secrétariat de la CDB grâce à </w:t>
            </w:r>
            <w:r w:rsidR="00BA2BB5">
              <w:rPr>
                <w:color w:val="000000"/>
              </w:rPr>
              <w:t>un</w:t>
            </w:r>
            <w:r w:rsidRPr="000D630C">
              <w:rPr>
                <w:color w:val="000000"/>
              </w:rPr>
              <w:t xml:space="preserve"> financements au titre des activités habilitantes du GEF, respectivement pour l’Amérique latine et les Caraïbes, en juin 2025</w:t>
            </w:r>
            <w:r w:rsidR="003A48F4">
              <w:rPr>
                <w:color w:val="000000"/>
              </w:rPr>
              <w:t> </w:t>
            </w:r>
            <w:r w:rsidRPr="000D630C">
              <w:rPr>
                <w:color w:val="000000"/>
              </w:rPr>
              <w:t>; l’Afrique, en octobre 2025</w:t>
            </w:r>
            <w:r w:rsidR="003A48F4">
              <w:rPr>
                <w:color w:val="000000"/>
              </w:rPr>
              <w:t> </w:t>
            </w:r>
            <w:r w:rsidRPr="000D630C">
              <w:rPr>
                <w:color w:val="000000"/>
              </w:rPr>
              <w:t>; l’Europe centrale et orientale, l’Asie occidentale et l’Asie centrale, en janvier 2026</w:t>
            </w:r>
            <w:r w:rsidR="003A48F4">
              <w:rPr>
                <w:color w:val="000000"/>
              </w:rPr>
              <w:t> </w:t>
            </w:r>
            <w:r w:rsidRPr="000D630C">
              <w:rPr>
                <w:color w:val="000000"/>
              </w:rPr>
              <w:t xml:space="preserve">; et l’Asie-Pacifique, en janvier 2026. </w:t>
            </w:r>
            <w:r w:rsidR="00BD53BF">
              <w:rPr>
                <w:color w:val="000000"/>
              </w:rPr>
              <w:t xml:space="preserve">Ces ateliers visaient à appuyer l’établissement des rapports nationaux prévus au </w:t>
            </w:r>
            <w:r w:rsidR="00BD53BF">
              <w:rPr>
                <w:color w:val="000000"/>
              </w:rPr>
              <w:lastRenderedPageBreak/>
              <w:t xml:space="preserve">titre des Protocoles de Nagoya et de </w:t>
            </w:r>
            <w:r w:rsidR="00ED3B3D">
              <w:t>Carthagène</w:t>
            </w:r>
            <w:r w:rsidR="00BD53BF">
              <w:rPr>
                <w:color w:val="000000"/>
              </w:rPr>
              <w:t xml:space="preserve">. </w:t>
            </w:r>
            <w:r w:rsidR="003F5B7F">
              <w:rPr>
                <w:color w:val="000000"/>
              </w:rPr>
              <w:t>L</w:t>
            </w:r>
            <w:r w:rsidR="00BD53BF">
              <w:rPr>
                <w:color w:val="000000"/>
              </w:rPr>
              <w:t xml:space="preserve">e Secrétariat du GEF </w:t>
            </w:r>
            <w:r>
              <w:rPr>
                <w:color w:val="000000"/>
              </w:rPr>
              <w:t xml:space="preserve">y </w:t>
            </w:r>
            <w:r w:rsidR="00BD53BF">
              <w:rPr>
                <w:color w:val="000000"/>
              </w:rPr>
              <w:t>a présenté</w:t>
            </w:r>
            <w:r>
              <w:rPr>
                <w:color w:val="000000"/>
              </w:rPr>
              <w:t xml:space="preserve"> aux</w:t>
            </w:r>
            <w:r w:rsidR="00B00846">
              <w:rPr>
                <w:color w:val="000000"/>
              </w:rPr>
              <w:t xml:space="preserve"> points focaux de</w:t>
            </w:r>
            <w:r w:rsidR="005B2C50">
              <w:rPr>
                <w:color w:val="000000"/>
              </w:rPr>
              <w:t>s Protocoles</w:t>
            </w:r>
            <w:r w:rsidR="00BD53BF">
              <w:rPr>
                <w:color w:val="000000"/>
              </w:rPr>
              <w:t xml:space="preserve"> les </w:t>
            </w:r>
            <w:r w:rsidR="00741336">
              <w:rPr>
                <w:color w:val="000000"/>
              </w:rPr>
              <w:t xml:space="preserve">possibilités de </w:t>
            </w:r>
            <w:r w:rsidR="00BD53BF">
              <w:rPr>
                <w:color w:val="000000"/>
              </w:rPr>
              <w:t>financement</w:t>
            </w:r>
            <w:r w:rsidR="005C6D43">
              <w:rPr>
                <w:color w:val="000000"/>
              </w:rPr>
              <w:t>s</w:t>
            </w:r>
            <w:r w:rsidR="00BD53BF">
              <w:rPr>
                <w:color w:val="000000"/>
              </w:rPr>
              <w:t xml:space="preserve"> </w:t>
            </w:r>
            <w:r w:rsidR="00741336">
              <w:rPr>
                <w:color w:val="000000"/>
              </w:rPr>
              <w:t>offertes à l’appui de</w:t>
            </w:r>
            <w:r w:rsidR="00BD53BF">
              <w:rPr>
                <w:color w:val="000000"/>
              </w:rPr>
              <w:t xml:space="preserve"> la mise en œuvre de ces </w:t>
            </w:r>
            <w:r w:rsidR="00BF3CC7">
              <w:rPr>
                <w:color w:val="000000"/>
              </w:rPr>
              <w:t>Protocoles</w:t>
            </w:r>
            <w:r w:rsidR="00BD53BF">
              <w:rPr>
                <w:color w:val="000000"/>
              </w:rPr>
              <w:t xml:space="preserve"> au titre de </w:t>
            </w:r>
            <w:r w:rsidR="00376C22">
              <w:rPr>
                <w:color w:val="000000"/>
              </w:rPr>
              <w:t>GEF</w:t>
            </w:r>
            <w:r w:rsidR="00376C22">
              <w:rPr>
                <w:color w:val="000000"/>
              </w:rPr>
              <w:noBreakHyphen/>
            </w:r>
            <w:r w:rsidR="00BD53BF">
              <w:rPr>
                <w:color w:val="000000"/>
              </w:rPr>
              <w:t xml:space="preserve">8 et du GBFF, ainsi que les perspectives pour </w:t>
            </w:r>
            <w:r w:rsidR="00376C22">
              <w:rPr>
                <w:color w:val="000000"/>
              </w:rPr>
              <w:t>GEF</w:t>
            </w:r>
            <w:r w:rsidR="00376C22">
              <w:rPr>
                <w:color w:val="000000"/>
              </w:rPr>
              <w:noBreakHyphen/>
            </w:r>
            <w:r w:rsidR="00BD53BF">
              <w:rPr>
                <w:color w:val="000000"/>
              </w:rPr>
              <w:t>9.</w:t>
            </w:r>
          </w:p>
          <w:p w14:paraId="4C9788DD" w14:textId="751CC318" w:rsidR="001C7973" w:rsidRPr="00C67737" w:rsidRDefault="00D15E45" w:rsidP="00495437">
            <w:pPr>
              <w:snapToGrid/>
              <w:spacing w:before="100" w:after="100"/>
              <w:rPr>
                <w:rFonts w:eastAsia="SimSun" w:cstheme="minorHAnsi"/>
                <w:color w:val="000000"/>
              </w:rPr>
            </w:pPr>
            <w:r>
              <w:rPr>
                <w:color w:val="000000"/>
              </w:rPr>
              <w:t xml:space="preserve">Le Secrétariat du GEF a également participé à la quinzième réunion du Groupe de liaison sur le Protocole de </w:t>
            </w:r>
            <w:r w:rsidR="00ED3B3D">
              <w:t>Carthagène</w:t>
            </w:r>
            <w:r>
              <w:rPr>
                <w:color w:val="000000"/>
              </w:rPr>
              <w:t xml:space="preserve"> sur la prévention des risques biotechnologiques, </w:t>
            </w:r>
            <w:r w:rsidR="005C6D43">
              <w:rPr>
                <w:color w:val="000000"/>
              </w:rPr>
              <w:t xml:space="preserve">qui s’est </w:t>
            </w:r>
            <w:r>
              <w:rPr>
                <w:color w:val="000000"/>
              </w:rPr>
              <w:t>tenue à Montréal (Canada) en juin 2026.</w:t>
            </w:r>
          </w:p>
        </w:tc>
      </w:tr>
      <w:tr w:rsidR="00C004A0" w:rsidRPr="00C67737" w14:paraId="065DEF70" w14:textId="77777777" w:rsidTr="00A769A6">
        <w:tc>
          <w:tcPr>
            <w:tcW w:w="2500" w:type="pct"/>
          </w:tcPr>
          <w:p w14:paraId="490A70E2" w14:textId="3BFFC569" w:rsidR="00C004A0" w:rsidRPr="00C67737" w:rsidRDefault="00C004A0" w:rsidP="00495437">
            <w:pPr>
              <w:snapToGrid/>
              <w:spacing w:before="100" w:after="100"/>
              <w:rPr>
                <w:rFonts w:eastAsia="SimSun" w:cstheme="minorHAnsi"/>
                <w:bCs/>
                <w:color w:val="000000"/>
              </w:rPr>
            </w:pPr>
            <w:r>
              <w:rPr>
                <w:color w:val="000000"/>
              </w:rPr>
              <w:lastRenderedPageBreak/>
              <w:t>3.</w:t>
            </w:r>
            <w:r>
              <w:rPr>
                <w:color w:val="000000"/>
              </w:rPr>
              <w:tab/>
            </w:r>
            <w:r>
              <w:rPr>
                <w:i/>
                <w:iCs/>
                <w:color w:val="000000"/>
              </w:rPr>
              <w:t>Invite</w:t>
            </w:r>
            <w:r>
              <w:rPr>
                <w:color w:val="000000"/>
              </w:rPr>
              <w:t xml:space="preserve"> les Parties au Protocole de </w:t>
            </w:r>
            <w:r w:rsidR="00ED3B3D">
              <w:t>Carthagène</w:t>
            </w:r>
            <w:r w:rsidR="00ED3B3D" w:rsidDel="00ED3B3D">
              <w:rPr>
                <w:color w:val="000000"/>
              </w:rPr>
              <w:t xml:space="preserve"> </w:t>
            </w:r>
            <w:r>
              <w:rPr>
                <w:color w:val="000000"/>
              </w:rPr>
              <w:t xml:space="preserve">concernées à accéder de manière anticipée à l’allocation théorique disponible pour le Protocole prévue dans les </w:t>
            </w:r>
            <w:r w:rsidR="00F02738">
              <w:rPr>
                <w:color w:val="000000"/>
              </w:rPr>
              <w:t>orientations programmatiques</w:t>
            </w:r>
            <w:r>
              <w:rPr>
                <w:color w:val="000000"/>
              </w:rPr>
              <w:t xml:space="preserve"> de la huitième reconstitution des ressources</w:t>
            </w:r>
            <w:r w:rsidR="00B72F14">
              <w:rPr>
                <w:color w:val="000000"/>
              </w:rPr>
              <w:t> </w:t>
            </w:r>
            <w:r>
              <w:rPr>
                <w:color w:val="000000"/>
              </w:rPr>
              <w:t>;</w:t>
            </w:r>
          </w:p>
        </w:tc>
        <w:tc>
          <w:tcPr>
            <w:tcW w:w="2500" w:type="pct"/>
          </w:tcPr>
          <w:p w14:paraId="30995BA7" w14:textId="0D0CA240" w:rsidR="00C004A0" w:rsidRPr="00C67737" w:rsidRDefault="004B27FF" w:rsidP="00495437">
            <w:pPr>
              <w:snapToGrid/>
              <w:spacing w:before="100" w:after="100"/>
              <w:rPr>
                <w:rFonts w:eastAsia="SimSun" w:cstheme="minorHAnsi"/>
                <w:color w:val="000000"/>
              </w:rPr>
            </w:pPr>
            <w:r>
              <w:rPr>
                <w:color w:val="000000"/>
              </w:rPr>
              <w:t>N’appelle pas de réponse.</w:t>
            </w:r>
          </w:p>
        </w:tc>
      </w:tr>
      <w:tr w:rsidR="00C004A0" w:rsidRPr="00C67737" w14:paraId="55FA28EF" w14:textId="77777777" w:rsidTr="00A769A6">
        <w:tc>
          <w:tcPr>
            <w:tcW w:w="2500" w:type="pct"/>
          </w:tcPr>
          <w:p w14:paraId="5CB74007" w14:textId="1D5C4101" w:rsidR="00C004A0" w:rsidRPr="00C67737" w:rsidRDefault="00C004A0" w:rsidP="00495437">
            <w:pPr>
              <w:snapToGrid/>
              <w:spacing w:before="100" w:after="100"/>
              <w:rPr>
                <w:rFonts w:eastAsia="SimSun" w:cstheme="minorHAnsi"/>
                <w:color w:val="000000"/>
              </w:rPr>
            </w:pPr>
            <w:r>
              <w:rPr>
                <w:color w:val="000000"/>
              </w:rPr>
              <w:t xml:space="preserve">4. </w:t>
            </w:r>
            <w:r>
              <w:rPr>
                <w:i/>
                <w:iCs/>
                <w:color w:val="000000"/>
              </w:rPr>
              <w:t>Prie</w:t>
            </w:r>
            <w:r>
              <w:rPr>
                <w:color w:val="000000"/>
              </w:rPr>
              <w:t xml:space="preserve"> la Secrétaire exécutive et le Fonds pour l’environnement mondial de promouvoir le partage des expériences et des connaissances en matière d’élaboration et de réalisation de projets à l’appui de la mise en œuvre de la cible</w:t>
            </w:r>
            <w:r w:rsidR="00B72F14">
              <w:rPr>
                <w:color w:val="000000"/>
              </w:rPr>
              <w:t> </w:t>
            </w:r>
            <w:r>
              <w:rPr>
                <w:color w:val="000000"/>
              </w:rPr>
              <w:t>13 du Cadre</w:t>
            </w:r>
            <w:r w:rsidR="00B72F14">
              <w:rPr>
                <w:color w:val="000000"/>
              </w:rPr>
              <w:t> </w:t>
            </w:r>
            <w:r>
              <w:rPr>
                <w:color w:val="000000"/>
              </w:rPr>
              <w:t>;</w:t>
            </w:r>
          </w:p>
        </w:tc>
        <w:tc>
          <w:tcPr>
            <w:tcW w:w="2500" w:type="pct"/>
          </w:tcPr>
          <w:p w14:paraId="4DA3509C" w14:textId="43AF1CA2" w:rsidR="000124FE" w:rsidRPr="00E673AB" w:rsidRDefault="000124FE" w:rsidP="000124FE">
            <w:pPr>
              <w:snapToGrid/>
              <w:spacing w:before="100" w:after="100"/>
              <w:rPr>
                <w:color w:val="000000"/>
              </w:rPr>
            </w:pPr>
            <w:r>
              <w:rPr>
                <w:color w:val="000000"/>
              </w:rPr>
              <w:t>Le GEF a organisé, en collaboration avec le Secrétariat de la CDB, le PNUE et le PNUD, une manifestation parallèle à la seizième réunion de la Conférence</w:t>
            </w:r>
            <w:r>
              <w:t xml:space="preserve"> des Parties à la CDB intitulée « </w:t>
            </w:r>
            <w:hyperlink r:id="rId30" w:history="1">
              <w:r w:rsidRPr="00FA7C35">
                <w:rPr>
                  <w:i/>
                  <w:iCs/>
                  <w:color w:val="000000"/>
                  <w:u w:val="single"/>
                </w:rPr>
                <w:t xml:space="preserve">GEF support to the Nagoya and Cartagena </w:t>
              </w:r>
              <w:proofErr w:type="spellStart"/>
              <w:r w:rsidRPr="00FA7C35">
                <w:rPr>
                  <w:i/>
                  <w:iCs/>
                  <w:color w:val="000000"/>
                  <w:u w:val="single"/>
                </w:rPr>
                <w:t>Protocols</w:t>
              </w:r>
              <w:proofErr w:type="spellEnd"/>
              <w:r>
                <w:rPr>
                  <w:color w:val="000000"/>
                  <w:u w:val="single"/>
                </w:rPr>
                <w:t> </w:t>
              </w:r>
            </w:hyperlink>
            <w:r>
              <w:t>».</w:t>
            </w:r>
            <w:r>
              <w:rPr>
                <w:color w:val="000000"/>
              </w:rPr>
              <w:t xml:space="preserve"> Cette manifestation a présenté les projets nationaux couronnés de succès et permis de faire connaitre les possibilités d’appui à la mise en œuvre de la cible 17 du KMGBF et du Protocole de </w:t>
            </w:r>
            <w:r w:rsidR="00ED3B3D">
              <w:t>Carthagène</w:t>
            </w:r>
            <w:r>
              <w:rPr>
                <w:color w:val="000000"/>
              </w:rPr>
              <w:t xml:space="preserve"> sur la prévention des risques biotechnologiques. Dans le cadre des activités menées au titre de sa stratégie </w:t>
            </w:r>
            <w:r w:rsidR="000918A8">
              <w:rPr>
                <w:color w:val="000000"/>
              </w:rPr>
              <w:t>d’engagement avec les pays</w:t>
            </w:r>
            <w:r>
              <w:rPr>
                <w:color w:val="000000"/>
              </w:rPr>
              <w:t xml:space="preserve">, le GEF continuera de promouvoir la présentation de telles propositions. </w:t>
            </w:r>
          </w:p>
          <w:p w14:paraId="0D585F6B" w14:textId="7B380FE2" w:rsidR="000124FE" w:rsidRPr="00C67737" w:rsidRDefault="000124FE" w:rsidP="000124FE">
            <w:pPr>
              <w:snapToGrid/>
              <w:spacing w:before="100" w:after="100"/>
              <w:rPr>
                <w:rFonts w:eastAsia="SimSun" w:cstheme="minorHAnsi"/>
                <w:color w:val="000000"/>
              </w:rPr>
            </w:pPr>
            <w:r w:rsidRPr="000D630C">
              <w:rPr>
                <w:color w:val="000000"/>
              </w:rPr>
              <w:t>Le Secrétariat du GEF a participé à distance à quatre ateliers régionaux, organisés par le PNUE et le Secrétariat de la CDB grâce à des financements au titre des activités habilitantes du GEF, respectivement pour l’Amérique latine et les Caraïbes, en juin 2025</w:t>
            </w:r>
            <w:r w:rsidR="003A48F4">
              <w:rPr>
                <w:color w:val="000000"/>
              </w:rPr>
              <w:t> </w:t>
            </w:r>
            <w:r w:rsidRPr="000D630C">
              <w:rPr>
                <w:color w:val="000000"/>
              </w:rPr>
              <w:t>; l’Afrique, en octobre 2025</w:t>
            </w:r>
            <w:r w:rsidR="003A48F4">
              <w:rPr>
                <w:color w:val="000000"/>
              </w:rPr>
              <w:t> </w:t>
            </w:r>
            <w:r w:rsidRPr="000D630C">
              <w:rPr>
                <w:color w:val="000000"/>
              </w:rPr>
              <w:t>; l’Europe centrale et orientale, l’Asie occidentale et l’Asie centrale, en janvier 2026</w:t>
            </w:r>
            <w:r w:rsidR="003A48F4">
              <w:rPr>
                <w:color w:val="000000"/>
              </w:rPr>
              <w:t> </w:t>
            </w:r>
            <w:r w:rsidRPr="000D630C">
              <w:rPr>
                <w:color w:val="000000"/>
              </w:rPr>
              <w:t xml:space="preserve">; et l’Asie-Pacifique, en janvier 2026. </w:t>
            </w:r>
            <w:r>
              <w:rPr>
                <w:color w:val="000000"/>
              </w:rPr>
              <w:t xml:space="preserve">Ces ateliers visaient à appuyer l’établissement des rapports nationaux prévus au titre des Protocoles de Nagoya et de </w:t>
            </w:r>
            <w:r w:rsidR="00ED3B3D">
              <w:t>Carthagène</w:t>
            </w:r>
            <w:r>
              <w:rPr>
                <w:color w:val="000000"/>
              </w:rPr>
              <w:t xml:space="preserve">. Le Secrétariat du GEF y a présenté aux points focaux des Protocoles les possibilités de financements </w:t>
            </w:r>
            <w:r>
              <w:rPr>
                <w:color w:val="000000"/>
              </w:rPr>
              <w:lastRenderedPageBreak/>
              <w:t xml:space="preserve">offertes à l’appui de la mise en œuvre de ces instruments au titre de </w:t>
            </w:r>
            <w:r w:rsidR="00376C22">
              <w:rPr>
                <w:color w:val="000000"/>
              </w:rPr>
              <w:t>GEF</w:t>
            </w:r>
            <w:r w:rsidR="00376C22">
              <w:rPr>
                <w:color w:val="000000"/>
              </w:rPr>
              <w:noBreakHyphen/>
            </w:r>
            <w:r>
              <w:rPr>
                <w:color w:val="000000"/>
              </w:rPr>
              <w:t xml:space="preserve">8 et du GBFF, ainsi que les perspectives pour </w:t>
            </w:r>
            <w:r w:rsidR="00376C22">
              <w:rPr>
                <w:color w:val="000000"/>
              </w:rPr>
              <w:t>GEF</w:t>
            </w:r>
            <w:r w:rsidR="00376C22">
              <w:rPr>
                <w:color w:val="000000"/>
              </w:rPr>
              <w:noBreakHyphen/>
            </w:r>
            <w:r>
              <w:rPr>
                <w:color w:val="000000"/>
              </w:rPr>
              <w:t>9.</w:t>
            </w:r>
          </w:p>
          <w:p w14:paraId="7D202A0D" w14:textId="4617BE00" w:rsidR="005D695C" w:rsidRPr="00C67737" w:rsidRDefault="005D695C" w:rsidP="00495437">
            <w:pPr>
              <w:snapToGrid/>
              <w:spacing w:before="100" w:after="100"/>
              <w:rPr>
                <w:rFonts w:eastAsia="SimSun" w:cstheme="minorHAnsi"/>
                <w:color w:val="000000"/>
              </w:rPr>
            </w:pPr>
            <w:r>
              <w:rPr>
                <w:color w:val="000000"/>
              </w:rPr>
              <w:t xml:space="preserve">Le Secrétariat du GEF a également participé à la sixième réunion du Comité consultatif informel sur le renforcement des capacités pour la mise en œuvre du Protocole de Nagoya, </w:t>
            </w:r>
            <w:r w:rsidR="009532F7">
              <w:rPr>
                <w:color w:val="000000"/>
              </w:rPr>
              <w:t xml:space="preserve">qui s’est </w:t>
            </w:r>
            <w:r>
              <w:rPr>
                <w:color w:val="000000"/>
              </w:rPr>
              <w:t>tenue à Montréal (Canada) en juin 2026.</w:t>
            </w:r>
          </w:p>
        </w:tc>
      </w:tr>
      <w:tr w:rsidR="00C004A0" w:rsidRPr="00C67737" w14:paraId="1754B5D4" w14:textId="77777777" w:rsidTr="00A769A6">
        <w:tc>
          <w:tcPr>
            <w:tcW w:w="2500" w:type="pct"/>
          </w:tcPr>
          <w:p w14:paraId="79014E89" w14:textId="5A27D991" w:rsidR="00C004A0" w:rsidRPr="00C67737" w:rsidRDefault="00C004A0" w:rsidP="00495437">
            <w:pPr>
              <w:snapToGrid/>
              <w:spacing w:before="100" w:after="100"/>
              <w:rPr>
                <w:rFonts w:eastAsia="SimSun" w:cstheme="minorHAnsi"/>
                <w:bCs/>
                <w:color w:val="000000"/>
              </w:rPr>
            </w:pPr>
            <w:r>
              <w:rPr>
                <w:color w:val="000000"/>
              </w:rPr>
              <w:lastRenderedPageBreak/>
              <w:t>5</w:t>
            </w:r>
            <w:r>
              <w:rPr>
                <w:i/>
                <w:color w:val="000000"/>
              </w:rPr>
              <w:t xml:space="preserve">. </w:t>
            </w:r>
            <w:r>
              <w:rPr>
                <w:i/>
                <w:iCs/>
                <w:color w:val="000000"/>
              </w:rPr>
              <w:t>Invite</w:t>
            </w:r>
            <w:r>
              <w:rPr>
                <w:color w:val="000000"/>
              </w:rPr>
              <w:t xml:space="preserve"> les Parties au Protocole de Nagoya sur l’accès aux ressources génétiques et le partage juste et équitable des avantages découlant de </w:t>
            </w:r>
            <w:proofErr w:type="gramStart"/>
            <w:r>
              <w:rPr>
                <w:color w:val="000000"/>
              </w:rPr>
              <w:t>leur utilisation concernées</w:t>
            </w:r>
            <w:proofErr w:type="gramEnd"/>
            <w:r>
              <w:rPr>
                <w:color w:val="000000"/>
              </w:rPr>
              <w:t xml:space="preserve"> à accéder de manière anticipée à l’allocation théorique disponible pour le Protocole prévue dans les </w:t>
            </w:r>
            <w:r w:rsidR="00F02738">
              <w:rPr>
                <w:color w:val="000000"/>
              </w:rPr>
              <w:t>orientations programmatiques</w:t>
            </w:r>
            <w:r>
              <w:rPr>
                <w:color w:val="000000"/>
              </w:rPr>
              <w:t xml:space="preserve"> de la huitième reconstitution des ressources</w:t>
            </w:r>
            <w:r w:rsidR="00B72F14">
              <w:rPr>
                <w:color w:val="000000"/>
              </w:rPr>
              <w:t> </w:t>
            </w:r>
            <w:r>
              <w:rPr>
                <w:color w:val="000000"/>
              </w:rPr>
              <w:t>;</w:t>
            </w:r>
          </w:p>
        </w:tc>
        <w:tc>
          <w:tcPr>
            <w:tcW w:w="2500" w:type="pct"/>
          </w:tcPr>
          <w:p w14:paraId="422EC552" w14:textId="62AF81DB" w:rsidR="00C004A0" w:rsidRPr="00C67737" w:rsidRDefault="009532F7" w:rsidP="00495437">
            <w:pPr>
              <w:snapToGrid/>
              <w:spacing w:before="100" w:after="100"/>
              <w:rPr>
                <w:rFonts w:eastAsia="SimSun" w:cstheme="minorHAnsi"/>
                <w:color w:val="000000"/>
              </w:rPr>
            </w:pPr>
            <w:r>
              <w:rPr>
                <w:color w:val="000000"/>
              </w:rPr>
              <w:t>N’appelle pas de réponse.</w:t>
            </w:r>
          </w:p>
        </w:tc>
      </w:tr>
      <w:tr w:rsidR="00C004A0" w:rsidRPr="00C67737" w14:paraId="321B7C62" w14:textId="77777777" w:rsidTr="00A769A6">
        <w:tc>
          <w:tcPr>
            <w:tcW w:w="2500" w:type="pct"/>
          </w:tcPr>
          <w:p w14:paraId="27D05418" w14:textId="531A01A8"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cstheme="minorHAnsi"/>
                <w:color w:val="000000"/>
              </w:rPr>
            </w:pPr>
            <w:r>
              <w:rPr>
                <w:color w:val="000000"/>
              </w:rPr>
              <w:t>6.</w:t>
            </w:r>
            <w:r>
              <w:rPr>
                <w:color w:val="000000"/>
              </w:rPr>
              <w:tab/>
            </w:r>
            <w:r>
              <w:rPr>
                <w:i/>
                <w:iCs/>
                <w:color w:val="000000"/>
              </w:rPr>
              <w:t>Demande</w:t>
            </w:r>
            <w:r>
              <w:rPr>
                <w:color w:val="000000"/>
              </w:rPr>
              <w:t xml:space="preserve"> au Fonds pour l’environnement mondial de déterminer, en collaboration avec les Parties admissibles, les causes de la sous-utilisation de l’allocation théorique disponible pour les protocoles et de proposer des mesures adéquates pour remédier à ces causes afin que cette allocation soit davantage utilisée, et de faire figurer les informations y afférentes dans le prochain rapport que son Conseil présentera à la Conférence des Parties</w:t>
            </w:r>
            <w:r w:rsidR="00B72F14">
              <w:rPr>
                <w:color w:val="000000"/>
              </w:rPr>
              <w:t> </w:t>
            </w:r>
            <w:r>
              <w:rPr>
                <w:color w:val="000000"/>
              </w:rPr>
              <w:t>;</w:t>
            </w:r>
          </w:p>
        </w:tc>
        <w:tc>
          <w:tcPr>
            <w:tcW w:w="2500" w:type="pct"/>
          </w:tcPr>
          <w:p w14:paraId="7E36DA88" w14:textId="6CF09E0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Au cours du cycle</w:t>
            </w:r>
            <w:r w:rsidR="00B72F14">
              <w:rPr>
                <w:color w:val="000000"/>
              </w:rPr>
              <w:t> </w:t>
            </w:r>
            <w:r w:rsidR="00376C22">
              <w:rPr>
                <w:color w:val="000000"/>
              </w:rPr>
              <w:t>GEF</w:t>
            </w:r>
            <w:r w:rsidR="00376C22">
              <w:rPr>
                <w:color w:val="000000"/>
              </w:rPr>
              <w:noBreakHyphen/>
            </w:r>
            <w:r>
              <w:rPr>
                <w:color w:val="000000"/>
              </w:rPr>
              <w:t>7, des financements de 13,1</w:t>
            </w:r>
            <w:r w:rsidR="00B72F14">
              <w:rPr>
                <w:color w:val="000000"/>
              </w:rPr>
              <w:t> </w:t>
            </w:r>
            <w:r>
              <w:rPr>
                <w:color w:val="000000"/>
              </w:rPr>
              <w:t>millions de dollars et de 32,2</w:t>
            </w:r>
            <w:r w:rsidR="00B72F14">
              <w:rPr>
                <w:color w:val="000000"/>
              </w:rPr>
              <w:t> </w:t>
            </w:r>
            <w:r>
              <w:rPr>
                <w:color w:val="000000"/>
              </w:rPr>
              <w:t xml:space="preserve">millions de dollars ont été approuvés, respectivement, en faveur de projets consacrés à la mise en œuvre des Protocoles de </w:t>
            </w:r>
            <w:r w:rsidR="00ED3B3D">
              <w:t>Carthagène</w:t>
            </w:r>
            <w:r>
              <w:rPr>
                <w:color w:val="000000"/>
              </w:rPr>
              <w:t xml:space="preserve"> et de Nagoya. Le montant approuvé au titre du Protocole de </w:t>
            </w:r>
            <w:r w:rsidR="00ED3B3D">
              <w:t>Carthagène</w:t>
            </w:r>
            <w:r>
              <w:rPr>
                <w:color w:val="000000"/>
              </w:rPr>
              <w:t xml:space="preserve"> a ainsi dépassé l’allocation </w:t>
            </w:r>
            <w:r w:rsidR="00235220">
              <w:rPr>
                <w:color w:val="000000"/>
              </w:rPr>
              <w:t>théorique</w:t>
            </w:r>
            <w:r>
              <w:rPr>
                <w:color w:val="000000"/>
              </w:rPr>
              <w:t xml:space="preserve"> de 7</w:t>
            </w:r>
            <w:r w:rsidR="00B72F14">
              <w:rPr>
                <w:color w:val="000000"/>
              </w:rPr>
              <w:t> </w:t>
            </w:r>
            <w:r>
              <w:rPr>
                <w:color w:val="000000"/>
              </w:rPr>
              <w:t xml:space="preserve">millions de dollars, tandis que celui consacré au Protocole de Nagoya </w:t>
            </w:r>
            <w:r w:rsidR="00022B22" w:rsidRPr="00022B22">
              <w:rPr>
                <w:color w:val="000000"/>
              </w:rPr>
              <w:t>était conforme à l’allocation théorique de 37</w:t>
            </w:r>
            <w:r w:rsidR="003A48F4">
              <w:rPr>
                <w:color w:val="000000"/>
              </w:rPr>
              <w:t> </w:t>
            </w:r>
            <w:r w:rsidR="00022B22" w:rsidRPr="00022B22">
              <w:rPr>
                <w:color w:val="000000"/>
              </w:rPr>
              <w:t>millions de dollars prévue à cet effet.</w:t>
            </w:r>
          </w:p>
          <w:p w14:paraId="4C228459" w14:textId="46273094" w:rsidR="008D2039" w:rsidRPr="008D2039" w:rsidRDefault="007D57F3" w:rsidP="008D2039">
            <w:pPr>
              <w:tabs>
                <w:tab w:val="left" w:pos="567"/>
                <w:tab w:val="left" w:pos="1134"/>
                <w:tab w:val="left" w:pos="1701"/>
                <w:tab w:val="left" w:pos="2268"/>
                <w:tab w:val="left" w:pos="2835"/>
                <w:tab w:val="left" w:pos="3402"/>
              </w:tabs>
              <w:snapToGrid/>
              <w:spacing w:before="100" w:after="100"/>
              <w:rPr>
                <w:color w:val="000000" w:themeColor="text1"/>
              </w:rPr>
            </w:pPr>
            <w:r w:rsidRPr="007D57F3">
              <w:rPr>
                <w:color w:val="000000" w:themeColor="text1"/>
              </w:rPr>
              <w:t xml:space="preserve">Durant </w:t>
            </w:r>
            <w:r w:rsidR="00376C22">
              <w:rPr>
                <w:color w:val="000000" w:themeColor="text1"/>
              </w:rPr>
              <w:t>GEF</w:t>
            </w:r>
            <w:r w:rsidR="00376C22">
              <w:rPr>
                <w:color w:val="000000" w:themeColor="text1"/>
              </w:rPr>
              <w:noBreakHyphen/>
            </w:r>
            <w:r w:rsidRPr="007D57F3">
              <w:rPr>
                <w:color w:val="000000" w:themeColor="text1"/>
              </w:rPr>
              <w:t xml:space="preserve">8, les Parties admissibles ont soumis au total huit propositions de projet relatives à la mise en œuvre du Protocole de </w:t>
            </w:r>
            <w:r w:rsidR="00ED3B3D">
              <w:t>Carthagène</w:t>
            </w:r>
            <w:r w:rsidR="006E54C7">
              <w:rPr>
                <w:color w:val="000000" w:themeColor="text1"/>
              </w:rPr>
              <w:t> :</w:t>
            </w:r>
            <w:r>
              <w:rPr>
                <w:color w:val="000000" w:themeColor="text1"/>
              </w:rPr>
              <w:t xml:space="preserve"> </w:t>
            </w:r>
            <w:r w:rsidR="008D2039" w:rsidRPr="008D2039">
              <w:rPr>
                <w:color w:val="000000" w:themeColor="text1"/>
              </w:rPr>
              <w:t xml:space="preserve">quatre </w:t>
            </w:r>
            <w:r w:rsidR="00A36BBF">
              <w:rPr>
                <w:color w:val="000000" w:themeColor="text1"/>
              </w:rPr>
              <w:t>au Fonds fiduciaire</w:t>
            </w:r>
            <w:r w:rsidR="008D2039" w:rsidRPr="008D2039">
              <w:rPr>
                <w:color w:val="000000" w:themeColor="text1"/>
              </w:rPr>
              <w:t xml:space="preserve"> du GEF et quatre demandes de financement PPG au titre du GBFF. S’agissant du Protocole de Nagoya, huit propositions de projet ont été soumises </w:t>
            </w:r>
            <w:r w:rsidR="00CD3559">
              <w:rPr>
                <w:color w:val="000000" w:themeColor="text1"/>
              </w:rPr>
              <w:t>a</w:t>
            </w:r>
            <w:r w:rsidR="00DD1F44">
              <w:t xml:space="preserve">u Fonds fiduciaire </w:t>
            </w:r>
            <w:r w:rsidR="008D2039" w:rsidRPr="008D2039">
              <w:rPr>
                <w:color w:val="000000" w:themeColor="text1"/>
              </w:rPr>
              <w:t xml:space="preserve">du GEF </w:t>
            </w:r>
            <w:r w:rsidR="00AF7AB9">
              <w:t>et 17 demandes de financement PPG ont été soumises au titre du GBFF, y compris les présentations successives d’une même proposition lors de plusieurs cycles de sélection du GBFF</w:t>
            </w:r>
          </w:p>
          <w:p w14:paraId="633C1CFA" w14:textId="71B34E94" w:rsidR="008D2039" w:rsidRPr="008D2039" w:rsidRDefault="008D2039" w:rsidP="008D2039">
            <w:pPr>
              <w:tabs>
                <w:tab w:val="left" w:pos="567"/>
                <w:tab w:val="left" w:pos="1134"/>
                <w:tab w:val="left" w:pos="1701"/>
                <w:tab w:val="left" w:pos="2268"/>
                <w:tab w:val="left" w:pos="2835"/>
                <w:tab w:val="left" w:pos="3402"/>
              </w:tabs>
              <w:snapToGrid/>
              <w:spacing w:before="100" w:after="100"/>
              <w:rPr>
                <w:color w:val="000000" w:themeColor="text1"/>
              </w:rPr>
            </w:pPr>
            <w:r w:rsidRPr="008D2039">
              <w:rPr>
                <w:color w:val="000000" w:themeColor="text1"/>
              </w:rPr>
              <w:t xml:space="preserve">Comme l’expose en détail le présent rapport, toutes les propositions soumises </w:t>
            </w:r>
            <w:r w:rsidR="00C95297">
              <w:rPr>
                <w:color w:val="000000" w:themeColor="text1"/>
              </w:rPr>
              <w:t>au Fonds fiduciaire</w:t>
            </w:r>
            <w:r w:rsidRPr="008D2039">
              <w:rPr>
                <w:color w:val="000000" w:themeColor="text1"/>
              </w:rPr>
              <w:t xml:space="preserve"> du GEF, ainsi que huit demandes de financement PPG au titre du GBFF, ont été approuvées. Par conséquent, le financement de projet du GEF </w:t>
            </w:r>
            <w:r w:rsidRPr="008D2039">
              <w:rPr>
                <w:color w:val="000000" w:themeColor="text1"/>
              </w:rPr>
              <w:lastRenderedPageBreak/>
              <w:t xml:space="preserve">accordé aux projets relatifs aux Protocoles de </w:t>
            </w:r>
            <w:proofErr w:type="gramStart"/>
            <w:r w:rsidR="002212ED">
              <w:t>Carthagène</w:t>
            </w:r>
            <w:r w:rsidR="002212ED" w:rsidRPr="008D2039" w:rsidDel="002212ED">
              <w:rPr>
                <w:color w:val="000000" w:themeColor="text1"/>
              </w:rPr>
              <w:t xml:space="preserve"> </w:t>
            </w:r>
            <w:r w:rsidR="002212ED">
              <w:rPr>
                <w:color w:val="000000" w:themeColor="text1"/>
              </w:rPr>
              <w:t xml:space="preserve"> </w:t>
            </w:r>
            <w:r w:rsidRPr="008D2039">
              <w:rPr>
                <w:color w:val="000000" w:themeColor="text1"/>
              </w:rPr>
              <w:t>et</w:t>
            </w:r>
            <w:proofErr w:type="gramEnd"/>
            <w:r w:rsidRPr="008D2039">
              <w:rPr>
                <w:color w:val="000000" w:themeColor="text1"/>
              </w:rPr>
              <w:t xml:space="preserve"> de Nagoya dans le cadre de </w:t>
            </w:r>
            <w:r w:rsidR="00376C22">
              <w:rPr>
                <w:color w:val="000000" w:themeColor="text1"/>
              </w:rPr>
              <w:t>GEF</w:t>
            </w:r>
            <w:r w:rsidR="00376C22">
              <w:rPr>
                <w:color w:val="000000" w:themeColor="text1"/>
              </w:rPr>
              <w:noBreakHyphen/>
            </w:r>
            <w:r w:rsidRPr="008D2039">
              <w:rPr>
                <w:color w:val="000000" w:themeColor="text1"/>
              </w:rPr>
              <w:t>8 et du GBFF s’élevait respectivement à 17,8</w:t>
            </w:r>
            <w:r w:rsidR="003A48F4">
              <w:rPr>
                <w:color w:val="000000" w:themeColor="text1"/>
              </w:rPr>
              <w:t> </w:t>
            </w:r>
            <w:r w:rsidRPr="008D2039">
              <w:rPr>
                <w:color w:val="000000" w:themeColor="text1"/>
              </w:rPr>
              <w:t>millions de dollars et à 57,0</w:t>
            </w:r>
            <w:r>
              <w:rPr>
                <w:color w:val="000000" w:themeColor="text1"/>
              </w:rPr>
              <w:t> </w:t>
            </w:r>
            <w:r w:rsidRPr="008D2039">
              <w:rPr>
                <w:color w:val="000000" w:themeColor="text1"/>
              </w:rPr>
              <w:t xml:space="preserve">millions de dollars. Ces montants dépassent les financements approuvés durant </w:t>
            </w:r>
            <w:r w:rsidR="00376C22">
              <w:rPr>
                <w:color w:val="000000" w:themeColor="text1"/>
              </w:rPr>
              <w:t>GEF</w:t>
            </w:r>
            <w:r w:rsidR="00376C22">
              <w:rPr>
                <w:color w:val="000000" w:themeColor="text1"/>
              </w:rPr>
              <w:noBreakHyphen/>
            </w:r>
            <w:r w:rsidRPr="008D2039">
              <w:rPr>
                <w:color w:val="000000" w:themeColor="text1"/>
              </w:rPr>
              <w:t>7 et représentent 91</w:t>
            </w:r>
            <w:r w:rsidR="00966C17">
              <w:rPr>
                <w:color w:val="000000" w:themeColor="text1"/>
              </w:rPr>
              <w:t> %</w:t>
            </w:r>
            <w:r w:rsidRPr="008D2039">
              <w:rPr>
                <w:color w:val="000000" w:themeColor="text1"/>
              </w:rPr>
              <w:t xml:space="preserve"> de l’allocation théorique de </w:t>
            </w:r>
            <w:r w:rsidR="00376C22">
              <w:rPr>
                <w:color w:val="000000" w:themeColor="text1"/>
              </w:rPr>
              <w:t>GEF</w:t>
            </w:r>
            <w:r w:rsidR="00376C22">
              <w:rPr>
                <w:color w:val="000000" w:themeColor="text1"/>
              </w:rPr>
              <w:noBreakHyphen/>
            </w:r>
            <w:r w:rsidRPr="008D2039">
              <w:rPr>
                <w:color w:val="000000" w:themeColor="text1"/>
              </w:rPr>
              <w:t xml:space="preserve">8 </w:t>
            </w:r>
            <w:proofErr w:type="gramStart"/>
            <w:r w:rsidRPr="008D2039">
              <w:rPr>
                <w:color w:val="000000" w:themeColor="text1"/>
              </w:rPr>
              <w:t>destinée</w:t>
            </w:r>
            <w:proofErr w:type="gramEnd"/>
            <w:r w:rsidRPr="008D2039">
              <w:rPr>
                <w:color w:val="000000" w:themeColor="text1"/>
              </w:rPr>
              <w:t xml:space="preserve"> aux deux Protocoles, qui s’établissait au total à 82</w:t>
            </w:r>
            <w:r w:rsidR="003A48F4">
              <w:rPr>
                <w:color w:val="000000" w:themeColor="text1"/>
              </w:rPr>
              <w:t> </w:t>
            </w:r>
            <w:r w:rsidRPr="008D2039">
              <w:rPr>
                <w:color w:val="000000" w:themeColor="text1"/>
              </w:rPr>
              <w:t>millions de dollars.</w:t>
            </w:r>
          </w:p>
          <w:p w14:paraId="347FF66E" w14:textId="7BA3472C" w:rsidR="001340DF" w:rsidRDefault="001340DF" w:rsidP="00495437">
            <w:pPr>
              <w:tabs>
                <w:tab w:val="left" w:pos="567"/>
                <w:tab w:val="left" w:pos="1134"/>
                <w:tab w:val="left" w:pos="1701"/>
                <w:tab w:val="left" w:pos="2268"/>
                <w:tab w:val="left" w:pos="2835"/>
                <w:tab w:val="left" w:pos="3402"/>
              </w:tabs>
              <w:snapToGrid/>
              <w:spacing w:before="100" w:after="100"/>
              <w:rPr>
                <w:color w:val="000000" w:themeColor="text1"/>
              </w:rPr>
            </w:pPr>
            <w:r w:rsidRPr="001340DF">
              <w:rPr>
                <w:color w:val="000000" w:themeColor="text1"/>
              </w:rPr>
              <w:t>Afin de garantir un niveau de financement adéquat à l’appui de la mise en œuvre des Protocoles au cours de GEF</w:t>
            </w:r>
            <w:r w:rsidRPr="001340DF">
              <w:rPr>
                <w:color w:val="000000" w:themeColor="text1"/>
              </w:rPr>
              <w:noBreakHyphen/>
              <w:t>9, une part des ressources du domaine d’intervention «</w:t>
            </w:r>
            <w:r w:rsidR="003A48F4">
              <w:rPr>
                <w:color w:val="000000" w:themeColor="text1"/>
              </w:rPr>
              <w:t> </w:t>
            </w:r>
            <w:r w:rsidRPr="001340DF">
              <w:rPr>
                <w:color w:val="000000" w:themeColor="text1"/>
              </w:rPr>
              <w:t>diversité biologique</w:t>
            </w:r>
            <w:r w:rsidR="003A48F4">
              <w:rPr>
                <w:color w:val="000000" w:themeColor="text1"/>
              </w:rPr>
              <w:t> </w:t>
            </w:r>
            <w:r w:rsidRPr="001340DF">
              <w:rPr>
                <w:color w:val="000000" w:themeColor="text1"/>
              </w:rPr>
              <w:t>» a été réservée au financement de projets régionaux ou mondiaux qui leur sont consacrés. La priorité sera accordée aux pays qui n’ont pas bénéficié de financements du GEF à cette fin au cours des derniers cycles. Cette réserve complétera les ressources du STAR, que les pays admissibles sont encouragés à mobiliser pour mettre en œuvre les Protocoles, grâce au point d’entrée spécifiquement consacré à l’objectif suivant</w:t>
            </w:r>
            <w:r w:rsidR="006E54C7">
              <w:rPr>
                <w:color w:val="000000" w:themeColor="text1"/>
              </w:rPr>
              <w:t> :</w:t>
            </w:r>
            <w:r w:rsidRPr="001340DF">
              <w:rPr>
                <w:color w:val="000000" w:themeColor="text1"/>
              </w:rPr>
              <w:t xml:space="preserve"> «</w:t>
            </w:r>
            <w:r w:rsidR="003A48F4">
              <w:rPr>
                <w:color w:val="000000" w:themeColor="text1"/>
              </w:rPr>
              <w:t> </w:t>
            </w:r>
            <w:r w:rsidR="00601D83">
              <w:t xml:space="preserve">Renforcer la prévention des risques biotechnologiques et garantir le partage juste et équitable des avantages découlant de l’utilisation des ressources génétiques, notamment par la mise en œuvre des Protocoles de </w:t>
            </w:r>
            <w:r w:rsidR="007A1F10">
              <w:t>Carthagène</w:t>
            </w:r>
            <w:r w:rsidR="00601D83">
              <w:t xml:space="preserve"> et de Nagoya</w:t>
            </w:r>
            <w:r w:rsidRPr="001340DF">
              <w:rPr>
                <w:color w:val="000000" w:themeColor="text1"/>
              </w:rPr>
              <w:t>.</w:t>
            </w:r>
            <w:r w:rsidR="003A48F4">
              <w:rPr>
                <w:color w:val="000000" w:themeColor="text1"/>
              </w:rPr>
              <w:t> </w:t>
            </w:r>
            <w:r w:rsidRPr="001340DF">
              <w:rPr>
                <w:color w:val="000000" w:themeColor="text1"/>
              </w:rPr>
              <w:t>»</w:t>
            </w:r>
          </w:p>
          <w:p w14:paraId="1ACC7E71" w14:textId="72399E70" w:rsidR="00C004A0" w:rsidRPr="008D2039" w:rsidRDefault="008D2039" w:rsidP="00495437">
            <w:pPr>
              <w:tabs>
                <w:tab w:val="left" w:pos="567"/>
                <w:tab w:val="left" w:pos="1134"/>
                <w:tab w:val="left" w:pos="1701"/>
                <w:tab w:val="left" w:pos="2268"/>
                <w:tab w:val="left" w:pos="2835"/>
                <w:tab w:val="left" w:pos="3402"/>
              </w:tabs>
              <w:snapToGrid/>
              <w:spacing w:before="100" w:after="100"/>
              <w:rPr>
                <w:color w:val="000000" w:themeColor="text1"/>
              </w:rPr>
            </w:pPr>
            <w:r w:rsidRPr="008D2039">
              <w:rPr>
                <w:color w:val="000000" w:themeColor="text1"/>
              </w:rPr>
              <w:t xml:space="preserve">Le Secrétariat du GEF a également mené les activités de sensibilisation ciblées décrites plus haut dans la présente matrice afin de présenter les possibilités de financement offertes par </w:t>
            </w:r>
            <w:r w:rsidR="0075668B">
              <w:rPr>
                <w:color w:val="000000" w:themeColor="text1"/>
              </w:rPr>
              <w:t>le Fonds fiduciaire</w:t>
            </w:r>
            <w:r w:rsidRPr="008D2039">
              <w:rPr>
                <w:color w:val="000000" w:themeColor="text1"/>
              </w:rPr>
              <w:t xml:space="preserve"> du GEF et le GBFF, et d’encourager la soumission de propositions relatives aux Protocoles.</w:t>
            </w:r>
            <w:r w:rsidR="00C004A0">
              <w:rPr>
                <w:color w:val="000000"/>
              </w:rPr>
              <w:t xml:space="preserve"> </w:t>
            </w:r>
          </w:p>
        </w:tc>
      </w:tr>
      <w:tr w:rsidR="00C004A0" w:rsidRPr="00C67737" w14:paraId="200BD65D" w14:textId="77777777" w:rsidTr="00A769A6">
        <w:tc>
          <w:tcPr>
            <w:tcW w:w="2500" w:type="pct"/>
          </w:tcPr>
          <w:p w14:paraId="637F9271" w14:textId="77777777" w:rsidR="00C004A0" w:rsidRPr="00C67737" w:rsidRDefault="00C004A0" w:rsidP="00495437">
            <w:pPr>
              <w:snapToGrid/>
              <w:spacing w:before="100" w:after="100"/>
              <w:rPr>
                <w:rFonts w:eastAsia="SimSun" w:cstheme="minorHAnsi"/>
                <w:bCs/>
                <w:color w:val="000000"/>
              </w:rPr>
            </w:pPr>
            <w:r>
              <w:rPr>
                <w:i/>
                <w:color w:val="000000"/>
              </w:rPr>
              <w:lastRenderedPageBreak/>
              <w:t xml:space="preserve">7. </w:t>
            </w:r>
            <w:r>
              <w:rPr>
                <w:i/>
                <w:iCs/>
                <w:color w:val="000000"/>
              </w:rPr>
              <w:t>Encourage</w:t>
            </w:r>
            <w:r>
              <w:rPr>
                <w:color w:val="000000"/>
              </w:rPr>
              <w:t xml:space="preserve"> le Fonds pour l’environnement mondial à continuer d’explorer d’éventuelles possibilités de maximiser la contribution de ses programmes intégrés à la mise en œuvre du Cadre de la biodiversité de Kunming-Montréal, notamment en apportant un appui ciblé aux peuples autochtones et communautés locales, aux femmes et aux jeunes</w:t>
            </w:r>
          </w:p>
        </w:tc>
        <w:tc>
          <w:tcPr>
            <w:tcW w:w="2500" w:type="pct"/>
          </w:tcPr>
          <w:p w14:paraId="3021E6E6" w14:textId="5BACED1F" w:rsidR="00C004A0" w:rsidRPr="00C67737" w:rsidRDefault="00C004A0" w:rsidP="00495437">
            <w:pPr>
              <w:snapToGrid/>
              <w:spacing w:before="100" w:after="100"/>
              <w:rPr>
                <w:rFonts w:eastAsia="SimSun" w:cstheme="minorHAnsi"/>
                <w:color w:val="000000"/>
              </w:rPr>
            </w:pPr>
            <w:r>
              <w:rPr>
                <w:color w:val="000000"/>
              </w:rPr>
              <w:t xml:space="preserve">A pris note. </w:t>
            </w:r>
          </w:p>
          <w:p w14:paraId="2BB8902D" w14:textId="5AA103EB" w:rsidR="6B7157D2" w:rsidRPr="00C67737" w:rsidRDefault="00C004A0" w:rsidP="00495437">
            <w:pPr>
              <w:snapToGrid/>
              <w:spacing w:before="100" w:after="100"/>
              <w:rPr>
                <w:rFonts w:eastAsia="SimSun" w:cstheme="minorHAnsi"/>
                <w:color w:val="000000"/>
              </w:rPr>
            </w:pPr>
            <w:r>
              <w:rPr>
                <w:color w:val="000000" w:themeColor="text1"/>
              </w:rPr>
              <w:t xml:space="preserve">Les huit programmes intégrés de </w:t>
            </w:r>
            <w:r w:rsidR="00376C22">
              <w:rPr>
                <w:color w:val="000000" w:themeColor="text1"/>
              </w:rPr>
              <w:t>GEF</w:t>
            </w:r>
            <w:r w:rsidR="00376C22">
              <w:rPr>
                <w:color w:val="000000" w:themeColor="text1"/>
              </w:rPr>
              <w:noBreakHyphen/>
            </w:r>
            <w:r>
              <w:rPr>
                <w:color w:val="000000" w:themeColor="text1"/>
              </w:rPr>
              <w:t xml:space="preserve">9 contribueront tous à la mise en œuvre des cibles du KMGBF, comme le précisent les </w:t>
            </w:r>
            <w:r w:rsidR="00F02738">
              <w:rPr>
                <w:color w:val="000000" w:themeColor="text1"/>
              </w:rPr>
              <w:t>orientations programmatiques</w:t>
            </w:r>
            <w:r>
              <w:rPr>
                <w:color w:val="000000" w:themeColor="text1"/>
              </w:rPr>
              <w:t xml:space="preserve"> de </w:t>
            </w:r>
            <w:r w:rsidR="00376C22">
              <w:rPr>
                <w:color w:val="000000" w:themeColor="text1"/>
              </w:rPr>
              <w:t>GEF</w:t>
            </w:r>
            <w:r w:rsidR="00376C22">
              <w:rPr>
                <w:color w:val="000000" w:themeColor="text1"/>
              </w:rPr>
              <w:noBreakHyphen/>
            </w:r>
            <w:r>
              <w:rPr>
                <w:color w:val="000000" w:themeColor="text1"/>
              </w:rPr>
              <w:t xml:space="preserve">9. Conformément aux exigences du GEF, tous les projets et programmes du GEF, y compris les programmes intégrés, prennent en compte l’égalité des genres et l’autonomisation des femmes en tant qu’enjeux transversaux. Ces aspects sont intégrés aux composantes des projets au moyen de mesures </w:t>
            </w:r>
            <w:r>
              <w:rPr>
                <w:color w:val="000000" w:themeColor="text1"/>
              </w:rPr>
              <w:lastRenderedPageBreak/>
              <w:t xml:space="preserve">spécifiques visant à promouvoir le rôle de chef de file des femmes, l’égalité d’accès aux ressources naturelles et les droits y afférents, ainsi qu’un partage équitable des avantages socioéconomiques découlant des projets. Un indicateur consacré au suivi et à l’évaluation des interventions de projet qui renforcent le rôle de chef de file et l’autonomisation des femmes a été intégré au cadre de gestion axé sur les résultats de </w:t>
            </w:r>
            <w:r w:rsidR="00376C22">
              <w:rPr>
                <w:color w:val="000000" w:themeColor="text1"/>
              </w:rPr>
              <w:t>GEF</w:t>
            </w:r>
            <w:r w:rsidR="00376C22">
              <w:rPr>
                <w:color w:val="000000" w:themeColor="text1"/>
              </w:rPr>
              <w:noBreakHyphen/>
            </w:r>
            <w:r>
              <w:rPr>
                <w:color w:val="000000" w:themeColor="text1"/>
              </w:rPr>
              <w:t xml:space="preserve">9. Il permettra d’établir des rapports systématiques et cohérents sur l’appui </w:t>
            </w:r>
            <w:r w:rsidR="007E05B3">
              <w:rPr>
                <w:color w:val="000000" w:themeColor="text1"/>
              </w:rPr>
              <w:t>apporté par le</w:t>
            </w:r>
            <w:r>
              <w:rPr>
                <w:color w:val="000000" w:themeColor="text1"/>
              </w:rPr>
              <w:t xml:space="preserve"> GEF aux femmes et à l’égalité des genres.</w:t>
            </w:r>
          </w:p>
          <w:p w14:paraId="4E7EB456" w14:textId="5F53BDDD" w:rsidR="00C004A0" w:rsidRPr="00C67737" w:rsidRDefault="00376C22" w:rsidP="00495437">
            <w:pPr>
              <w:snapToGrid/>
              <w:spacing w:before="100" w:after="100"/>
              <w:rPr>
                <w:rFonts w:eastAsia="SimSun" w:cstheme="minorHAnsi"/>
                <w:color w:val="000000"/>
              </w:rPr>
            </w:pPr>
            <w:r>
              <w:rPr>
                <w:color w:val="000000" w:themeColor="text1"/>
              </w:rPr>
              <w:t>GEF</w:t>
            </w:r>
            <w:r>
              <w:rPr>
                <w:color w:val="000000" w:themeColor="text1"/>
              </w:rPr>
              <w:noBreakHyphen/>
            </w:r>
            <w:r w:rsidR="00C004A0">
              <w:rPr>
                <w:color w:val="000000" w:themeColor="text1"/>
              </w:rPr>
              <w:t xml:space="preserve">9 </w:t>
            </w:r>
            <w:proofErr w:type="gramStart"/>
            <w:r w:rsidR="00C004A0">
              <w:rPr>
                <w:color w:val="000000" w:themeColor="text1"/>
              </w:rPr>
              <w:t>accroît</w:t>
            </w:r>
            <w:proofErr w:type="gramEnd"/>
            <w:r w:rsidR="00C004A0">
              <w:rPr>
                <w:color w:val="000000" w:themeColor="text1"/>
              </w:rPr>
              <w:t xml:space="preserve"> également considérablement son soutien aux peuples autochtones et communautés locales, notamment en quadruplant </w:t>
            </w:r>
            <w:r w:rsidR="001A0D0D">
              <w:rPr>
                <w:color w:val="000000" w:themeColor="text1"/>
              </w:rPr>
              <w:t xml:space="preserve">les ressources allouées à </w:t>
            </w:r>
            <w:r w:rsidR="00C004A0">
              <w:rPr>
                <w:color w:val="000000" w:themeColor="text1"/>
              </w:rPr>
              <w:t>l’Initiative de conservation inclusive. Celle-ci fournit des financements directs et spécifiquement destinés aux organisations dirigées par des peuples autochtones et contribue à renforcer leurs capacités, afin qu’elles puissent participer aux projets du GEF en qualité d’</w:t>
            </w:r>
            <w:r w:rsidR="00887A21">
              <w:rPr>
                <w:color w:val="000000" w:themeColor="text1"/>
              </w:rPr>
              <w:t>Agences d’exécution</w:t>
            </w:r>
            <w:r w:rsidR="00827D6F">
              <w:rPr>
                <w:color w:val="000000" w:themeColor="text1"/>
              </w:rPr>
              <w:t xml:space="preserve"> </w:t>
            </w:r>
            <w:r w:rsidR="00C004A0">
              <w:rPr>
                <w:color w:val="000000" w:themeColor="text1"/>
              </w:rPr>
              <w:t xml:space="preserve">et d’intermédiaires </w:t>
            </w:r>
            <w:r w:rsidR="00697C9C">
              <w:rPr>
                <w:color w:val="000000" w:themeColor="text1"/>
              </w:rPr>
              <w:t>de financement</w:t>
            </w:r>
            <w:r w:rsidR="00C004A0">
              <w:rPr>
                <w:color w:val="000000" w:themeColor="text1"/>
              </w:rPr>
              <w:t xml:space="preserve">, ce qui facilitera leur accès aux financements. </w:t>
            </w:r>
            <w:r w:rsidR="003A59FA" w:rsidRPr="003A59FA">
              <w:rPr>
                <w:color w:val="000000" w:themeColor="text1"/>
              </w:rPr>
              <w:t xml:space="preserve">Au-delà des investissements directs réalisés dans le cadre de l’Initiative de conservation inclusive, le GEF augmentera les allocations de financement en faveur des peuples autochtones et communautés locales dans l’ensemble de ses </w:t>
            </w:r>
            <w:r w:rsidR="004630E3">
              <w:rPr>
                <w:color w:val="000000" w:themeColor="text1"/>
              </w:rPr>
              <w:t>volet</w:t>
            </w:r>
            <w:r w:rsidR="00270309">
              <w:rPr>
                <w:color w:val="000000" w:themeColor="text1"/>
              </w:rPr>
              <w:t>s</w:t>
            </w:r>
            <w:r w:rsidR="003A59FA" w:rsidRPr="003A59FA">
              <w:rPr>
                <w:color w:val="000000" w:themeColor="text1"/>
              </w:rPr>
              <w:t xml:space="preserve"> de programmation, avec pour objectif indicatif d’allouer à ces derniers 20</w:t>
            </w:r>
            <w:r w:rsidR="00966C17">
              <w:rPr>
                <w:color w:val="000000" w:themeColor="text1"/>
              </w:rPr>
              <w:t> %</w:t>
            </w:r>
            <w:r w:rsidR="003A59FA" w:rsidRPr="003A59FA">
              <w:rPr>
                <w:color w:val="000000" w:themeColor="text1"/>
              </w:rPr>
              <w:t xml:space="preserve"> des ressources </w:t>
            </w:r>
            <w:r w:rsidR="00CD3559">
              <w:rPr>
                <w:color w:val="000000" w:themeColor="text1"/>
              </w:rPr>
              <w:t xml:space="preserve">du </w:t>
            </w:r>
            <w:r w:rsidR="00CD3559">
              <w:t>Fonds fiduciaire</w:t>
            </w:r>
            <w:r w:rsidR="003A59FA" w:rsidRPr="003A59FA">
              <w:rPr>
                <w:color w:val="000000" w:themeColor="text1"/>
              </w:rPr>
              <w:t xml:space="preserve"> du GEF et du FPMA/FSCC au cours de </w:t>
            </w:r>
            <w:r>
              <w:rPr>
                <w:color w:val="000000" w:themeColor="text1"/>
              </w:rPr>
              <w:t>GEF</w:t>
            </w:r>
            <w:r>
              <w:rPr>
                <w:color w:val="000000" w:themeColor="text1"/>
              </w:rPr>
              <w:noBreakHyphen/>
            </w:r>
            <w:r w:rsidR="003A59FA" w:rsidRPr="003A59FA">
              <w:rPr>
                <w:color w:val="000000" w:themeColor="text1"/>
              </w:rPr>
              <w:t>9.</w:t>
            </w:r>
          </w:p>
          <w:p w14:paraId="261C2032" w14:textId="381AD902" w:rsidR="00403AB8" w:rsidRPr="00C67737" w:rsidRDefault="00CF41E8" w:rsidP="004D6563">
            <w:pPr>
              <w:snapToGrid/>
              <w:spacing w:before="100" w:after="100"/>
              <w:rPr>
                <w:rFonts w:eastAsia="SimSun" w:cstheme="minorHAnsi"/>
                <w:color w:val="000000" w:themeColor="text1"/>
              </w:rPr>
            </w:pPr>
            <w:r w:rsidRPr="00CF41E8">
              <w:rPr>
                <w:color w:val="000000" w:themeColor="text1"/>
              </w:rPr>
              <w:t xml:space="preserve">Le GBFF a ouvert la voie à un renforcement de l’attention et de l’appui accordés aux actions menées par les peuples autochtones et communautés locales en faveur de la diversité biologique. Ses </w:t>
            </w:r>
            <w:r w:rsidR="00F02738">
              <w:rPr>
                <w:color w:val="000000" w:themeColor="text1"/>
              </w:rPr>
              <w:t>orientations programmatiques</w:t>
            </w:r>
            <w:r w:rsidRPr="00CF41E8">
              <w:rPr>
                <w:color w:val="000000" w:themeColor="text1"/>
              </w:rPr>
              <w:t xml:space="preserve"> prévoient un domaine d’action spécifique, un critère de sélection des projets lié à l’appui aux peuples autochtones et communautés locales, deux sièges d’observateur réservés à leurs représentants au sein du Conseil du GBFF, ainsi qu’un objectif ambitieux à l’échelle du portefeuille</w:t>
            </w:r>
            <w:r w:rsidR="006E54C7">
              <w:rPr>
                <w:color w:val="000000" w:themeColor="text1"/>
              </w:rPr>
              <w:t> :</w:t>
            </w:r>
            <w:r w:rsidRPr="00CF41E8">
              <w:rPr>
                <w:color w:val="000000" w:themeColor="text1"/>
              </w:rPr>
              <w:t xml:space="preserve"> d’ici à 2030, 20</w:t>
            </w:r>
            <w:r w:rsidR="00966C17">
              <w:rPr>
                <w:color w:val="000000" w:themeColor="text1"/>
              </w:rPr>
              <w:t> %</w:t>
            </w:r>
            <w:r w:rsidRPr="00CF41E8">
              <w:rPr>
                <w:color w:val="000000" w:themeColor="text1"/>
              </w:rPr>
              <w:t xml:space="preserve"> des ressources du GBFF devraient être allouées à l’appui des actions menées par les </w:t>
            </w:r>
            <w:r w:rsidRPr="00CF41E8">
              <w:rPr>
                <w:color w:val="000000" w:themeColor="text1"/>
              </w:rPr>
              <w:lastRenderedPageBreak/>
              <w:t>peuples autochtones et communautés locales en faveur de la diversité biologique. Au 30</w:t>
            </w:r>
            <w:r w:rsidR="003A48F4">
              <w:rPr>
                <w:color w:val="000000" w:themeColor="text1"/>
              </w:rPr>
              <w:t> </w:t>
            </w:r>
            <w:r w:rsidRPr="00CF41E8">
              <w:rPr>
                <w:color w:val="000000" w:themeColor="text1"/>
              </w:rPr>
              <w:t>juin 2026, cet objectif avait été dépassé</w:t>
            </w:r>
            <w:r w:rsidR="006E54C7">
              <w:rPr>
                <w:color w:val="000000" w:themeColor="text1"/>
              </w:rPr>
              <w:t> :</w:t>
            </w:r>
            <w:r w:rsidRPr="00CF41E8">
              <w:rPr>
                <w:color w:val="000000" w:themeColor="text1"/>
              </w:rPr>
              <w:t xml:space="preserve"> 31,8</w:t>
            </w:r>
            <w:r w:rsidR="00966C17">
              <w:rPr>
                <w:color w:val="000000" w:themeColor="text1"/>
              </w:rPr>
              <w:t> %</w:t>
            </w:r>
            <w:r w:rsidRPr="00CF41E8">
              <w:rPr>
                <w:color w:val="000000" w:themeColor="text1"/>
              </w:rPr>
              <w:t xml:space="preserve"> des ressources du GBFF avaient été programmées à cette fin. </w:t>
            </w:r>
            <w:r w:rsidR="00403AB8">
              <w:t>En 2025, à l’issue d’un processus consultatif, le GBFF a élaboré des lignes directrices sur les actions menées par les peuples autochtones et communautés locales (</w:t>
            </w:r>
            <w:r w:rsidR="00403AB8" w:rsidRPr="00553D08">
              <w:rPr>
                <w:i/>
                <w:iCs/>
              </w:rPr>
              <w:t>Guidelines on Actions by Indigenous Peoples and Local Communities</w:t>
            </w:r>
            <w:bookmarkStart w:id="115" w:name="_Ref226036260"/>
            <w:r w:rsidR="00403AB8" w:rsidRPr="00553D08">
              <w:rPr>
                <w:rFonts w:ascii="ZWAdobeF" w:hAnsi="ZWAdobeF"/>
                <w:i/>
                <w:iCs/>
                <w:sz w:val="2"/>
              </w:rPr>
              <w:t>54</w:t>
            </w:r>
            <w:r w:rsidR="00A92C0D" w:rsidRPr="00C67737">
              <w:rPr>
                <w:rStyle w:val="FootnoteReference"/>
                <w:rFonts w:eastAsia="SimSun" w:cstheme="minorHAnsi"/>
                <w:color w:val="000000" w:themeColor="text1"/>
              </w:rPr>
              <w:footnoteReference w:id="57"/>
            </w:r>
            <w:bookmarkEnd w:id="115"/>
            <w:r w:rsidR="00403AB8">
              <w:t xml:space="preserve">). </w:t>
            </w:r>
            <w:r w:rsidR="009E79D7">
              <w:t>Celles-ci décrivent la manière dont</w:t>
            </w:r>
            <w:r w:rsidR="004D6563" w:rsidRPr="004D6563">
              <w:t xml:space="preserve"> les projets du GBFF doivent être conçus, ainsi que les modalités de quantification </w:t>
            </w:r>
            <w:r w:rsidR="00BD1E90" w:rsidRPr="00BD1E90">
              <w:t>de l’appui aux actions menées par les peuples autochtones et communautés locales en faveur de la diversité biologique et de présentation de rapports à ce sujet.</w:t>
            </w:r>
          </w:p>
        </w:tc>
      </w:tr>
      <w:tr w:rsidR="00C004A0" w:rsidRPr="00C67737" w14:paraId="7C243093" w14:textId="77777777" w:rsidTr="00233DE6">
        <w:trPr>
          <w:trHeight w:val="2060"/>
        </w:trPr>
        <w:tc>
          <w:tcPr>
            <w:tcW w:w="2500" w:type="pct"/>
          </w:tcPr>
          <w:p w14:paraId="012B6A1B" w14:textId="5CB27322" w:rsidR="00C004A0" w:rsidRPr="00C67737" w:rsidRDefault="00C004A0" w:rsidP="00495437">
            <w:pPr>
              <w:snapToGrid/>
              <w:spacing w:before="100" w:after="100"/>
              <w:rPr>
                <w:rFonts w:eastAsia="SimSun" w:cstheme="minorHAnsi"/>
                <w:i/>
                <w:color w:val="000000"/>
              </w:rPr>
            </w:pPr>
            <w:r>
              <w:rPr>
                <w:i/>
                <w:color w:val="000000"/>
              </w:rPr>
              <w:lastRenderedPageBreak/>
              <w:t xml:space="preserve">8. </w:t>
            </w:r>
            <w:r>
              <w:rPr>
                <w:i/>
                <w:iCs/>
                <w:color w:val="000000"/>
              </w:rPr>
              <w:t>Encourage</w:t>
            </w:r>
            <w:r>
              <w:rPr>
                <w:color w:val="000000"/>
              </w:rPr>
              <w:t xml:space="preserve"> le Fonds pour l’environnement mondial et les Parties admissibles à maintenir la contribution du domaine d’intervention « eaux internationales » à la mise en œuvre du Cadre et à étendre cette pratique à d’autres domaines d’intervention, notamment les changements climatiques, la dégradation des terres, les produits chimiques et les déchets, en tenant compte des circonstances et priorités nationales</w:t>
            </w:r>
            <w:r w:rsidR="00B72F14">
              <w:rPr>
                <w:color w:val="000000"/>
              </w:rPr>
              <w:t> </w:t>
            </w:r>
            <w:r>
              <w:rPr>
                <w:color w:val="000000"/>
              </w:rPr>
              <w:t>;</w:t>
            </w:r>
          </w:p>
        </w:tc>
        <w:tc>
          <w:tcPr>
            <w:tcW w:w="2500" w:type="pct"/>
          </w:tcPr>
          <w:p w14:paraId="0E929689" w14:textId="37D8716F" w:rsidR="006802A3" w:rsidRPr="00C67737" w:rsidRDefault="00C004A0" w:rsidP="00495437">
            <w:pPr>
              <w:snapToGrid/>
              <w:spacing w:before="100" w:after="100"/>
              <w:rPr>
                <w:rFonts w:eastAsia="SimSun" w:cstheme="minorHAnsi"/>
                <w:color w:val="000000"/>
              </w:rPr>
            </w:pPr>
            <w:r>
              <w:rPr>
                <w:color w:val="000000"/>
              </w:rPr>
              <w:t xml:space="preserve">Les </w:t>
            </w:r>
            <w:r w:rsidR="00F02738">
              <w:rPr>
                <w:color w:val="000000"/>
              </w:rPr>
              <w:t>orientations programmatiques</w:t>
            </w:r>
            <w:r>
              <w:rPr>
                <w:color w:val="000000"/>
              </w:rPr>
              <w:t xml:space="preserve"> de </w:t>
            </w:r>
            <w:r w:rsidR="00376C22">
              <w:rPr>
                <w:color w:val="000000"/>
              </w:rPr>
              <w:t>GEF</w:t>
            </w:r>
            <w:r w:rsidR="00376C22">
              <w:rPr>
                <w:color w:val="000000"/>
              </w:rPr>
              <w:noBreakHyphen/>
            </w:r>
            <w:r>
              <w:rPr>
                <w:color w:val="000000"/>
              </w:rPr>
              <w:t xml:space="preserve">8 favorisent </w:t>
            </w:r>
            <w:r w:rsidR="00BD6433">
              <w:rPr>
                <w:color w:val="000000"/>
              </w:rPr>
              <w:t>une approche intégrée</w:t>
            </w:r>
            <w:r>
              <w:rPr>
                <w:color w:val="000000"/>
              </w:rPr>
              <w:t>. Elles ont introduit le recours aux marqueurs de Rio relatifs à la diversité biologique</w:t>
            </w:r>
            <w:r w:rsidR="00693738" w:rsidRPr="00693738">
              <w:rPr>
                <w:rFonts w:eastAsia="SimSun"/>
              </w:rPr>
              <w:t xml:space="preserve"> </w:t>
            </w:r>
            <w:r w:rsidR="00693738" w:rsidRPr="00693738">
              <w:rPr>
                <w:color w:val="000000"/>
              </w:rPr>
              <w:t>ainsi qu’un objectif, à l’échelle du portefeuille, de 60</w:t>
            </w:r>
            <w:r w:rsidR="00966C17">
              <w:rPr>
                <w:color w:val="000000"/>
              </w:rPr>
              <w:t> %</w:t>
            </w:r>
            <w:r w:rsidR="00693738" w:rsidRPr="00693738">
              <w:rPr>
                <w:color w:val="000000"/>
              </w:rPr>
              <w:t xml:space="preserve"> des financements pertinents pour la biodiversité, afin de suivre et d’encourager les contributions de l’ensemble des domaines d’intervention à la mise en œuvre du KMGBF.</w:t>
            </w:r>
            <w:r w:rsidR="00693738">
              <w:rPr>
                <w:color w:val="000000"/>
              </w:rPr>
              <w:t xml:space="preserve"> </w:t>
            </w:r>
            <w:r w:rsidR="00DD7857">
              <w:rPr>
                <w:color w:val="000000"/>
              </w:rPr>
              <w:t>A</w:t>
            </w:r>
            <w:r w:rsidR="00DD7857" w:rsidRPr="00DD7857">
              <w:rPr>
                <w:color w:val="000000"/>
              </w:rPr>
              <w:t>u 30</w:t>
            </w:r>
            <w:r w:rsidR="003A48F4">
              <w:rPr>
                <w:color w:val="000000"/>
              </w:rPr>
              <w:t> </w:t>
            </w:r>
            <w:r w:rsidR="00DD7857" w:rsidRPr="00DD7857">
              <w:rPr>
                <w:color w:val="000000"/>
              </w:rPr>
              <w:t xml:space="preserve">juin 2026, la part des financements de </w:t>
            </w:r>
            <w:r w:rsidR="00376C22">
              <w:rPr>
                <w:color w:val="000000"/>
              </w:rPr>
              <w:t>GEF</w:t>
            </w:r>
            <w:r w:rsidR="00376C22">
              <w:rPr>
                <w:color w:val="000000"/>
              </w:rPr>
              <w:noBreakHyphen/>
            </w:r>
            <w:r w:rsidR="00DD7857" w:rsidRPr="00DD7857">
              <w:rPr>
                <w:color w:val="000000"/>
              </w:rPr>
              <w:t>8 pertinents pour la biodiversité s’élevait à 71</w:t>
            </w:r>
            <w:r w:rsidR="00966C17">
              <w:rPr>
                <w:color w:val="000000"/>
              </w:rPr>
              <w:t> %</w:t>
            </w:r>
            <w:r w:rsidR="00DD7857" w:rsidRPr="00DD7857">
              <w:rPr>
                <w:color w:val="000000"/>
              </w:rPr>
              <w:t>. Les tableaux</w:t>
            </w:r>
            <w:r w:rsidR="003A48F4">
              <w:rPr>
                <w:color w:val="000000"/>
              </w:rPr>
              <w:t> </w:t>
            </w:r>
            <w:r w:rsidR="00DD7857" w:rsidRPr="00DD7857">
              <w:rPr>
                <w:color w:val="000000"/>
              </w:rPr>
              <w:t>1 et 6 du présent rapport présentent en détail les contributions de tous les domaines d’intervention à la mise en œuvre du KMGBF.</w:t>
            </w:r>
          </w:p>
          <w:p w14:paraId="799249BF" w14:textId="02CAF440" w:rsidR="00C004A0" w:rsidRPr="00C67737" w:rsidRDefault="00DB72D9" w:rsidP="00495437">
            <w:pPr>
              <w:snapToGrid/>
              <w:spacing w:before="100" w:after="100"/>
              <w:rPr>
                <w:rFonts w:eastAsia="SimSun" w:cstheme="minorHAnsi"/>
                <w:color w:val="000000"/>
              </w:rPr>
            </w:pPr>
            <w:r w:rsidRPr="00DB72D9">
              <w:rPr>
                <w:color w:val="000000"/>
              </w:rPr>
              <w:t>Un objectif de 70</w:t>
            </w:r>
            <w:r w:rsidR="00966C17">
              <w:rPr>
                <w:color w:val="000000"/>
              </w:rPr>
              <w:t> %</w:t>
            </w:r>
            <w:r w:rsidRPr="00DB72D9">
              <w:rPr>
                <w:color w:val="000000"/>
              </w:rPr>
              <w:t xml:space="preserve"> des financements pertinents pour la biodiversité a été fixé pour </w:t>
            </w:r>
            <w:r w:rsidR="00376C22">
              <w:rPr>
                <w:color w:val="000000"/>
              </w:rPr>
              <w:t>GEF</w:t>
            </w:r>
            <w:r w:rsidR="00376C22">
              <w:rPr>
                <w:color w:val="000000"/>
              </w:rPr>
              <w:noBreakHyphen/>
            </w:r>
            <w:r w:rsidRPr="00DB72D9">
              <w:rPr>
                <w:color w:val="000000"/>
              </w:rPr>
              <w:t>9 à l’échelle de l’ensemble du portefeuille, afin d’encourager davantage les contributions de tou</w:t>
            </w:r>
            <w:r w:rsidR="007A6146">
              <w:rPr>
                <w:color w:val="000000"/>
              </w:rPr>
              <w:t>s</w:t>
            </w:r>
            <w:r w:rsidRPr="00DB72D9">
              <w:rPr>
                <w:color w:val="000000"/>
              </w:rPr>
              <w:t xml:space="preserve"> les </w:t>
            </w:r>
            <w:r w:rsidR="007A6146">
              <w:rPr>
                <w:color w:val="000000"/>
              </w:rPr>
              <w:t xml:space="preserve">volets </w:t>
            </w:r>
            <w:r w:rsidRPr="00DB72D9">
              <w:rPr>
                <w:color w:val="000000"/>
              </w:rPr>
              <w:t xml:space="preserve">de programmation du GEF à la mise en œuvre du KMGBF. Cet objectif, conjugué à la conception de la stratégie de </w:t>
            </w:r>
            <w:r w:rsidR="00376C22">
              <w:rPr>
                <w:color w:val="000000"/>
              </w:rPr>
              <w:t>GEF</w:t>
            </w:r>
            <w:r w:rsidR="00376C22">
              <w:rPr>
                <w:color w:val="000000"/>
              </w:rPr>
              <w:noBreakHyphen/>
            </w:r>
            <w:r w:rsidRPr="00DB72D9">
              <w:rPr>
                <w:color w:val="000000"/>
              </w:rPr>
              <w:t>9 dans le domaine d’intervention «</w:t>
            </w:r>
            <w:r w:rsidR="003A48F4">
              <w:rPr>
                <w:color w:val="000000"/>
              </w:rPr>
              <w:t> </w:t>
            </w:r>
            <w:r w:rsidRPr="00DB72D9">
              <w:rPr>
                <w:color w:val="000000"/>
              </w:rPr>
              <w:t>diversité biologique</w:t>
            </w:r>
            <w:r w:rsidR="003A48F4">
              <w:rPr>
                <w:color w:val="000000"/>
              </w:rPr>
              <w:t> </w:t>
            </w:r>
            <w:r w:rsidRPr="00DB72D9">
              <w:rPr>
                <w:color w:val="000000"/>
              </w:rPr>
              <w:t>», qui favorise l’intégration et les synergies entre les conventions, contribuera à préserver la contribution du domaine d’intervention «</w:t>
            </w:r>
            <w:r w:rsidR="003A48F4">
              <w:rPr>
                <w:color w:val="000000"/>
              </w:rPr>
              <w:t> </w:t>
            </w:r>
            <w:r w:rsidRPr="00DB72D9">
              <w:rPr>
                <w:color w:val="000000"/>
              </w:rPr>
              <w:t>eaux internationales</w:t>
            </w:r>
            <w:r w:rsidR="003A48F4">
              <w:rPr>
                <w:color w:val="000000"/>
              </w:rPr>
              <w:t> </w:t>
            </w:r>
            <w:r w:rsidRPr="00DB72D9">
              <w:rPr>
                <w:color w:val="000000"/>
              </w:rPr>
              <w:t xml:space="preserve">» à la mise en </w:t>
            </w:r>
            <w:r w:rsidRPr="00DB72D9">
              <w:rPr>
                <w:color w:val="000000"/>
              </w:rPr>
              <w:lastRenderedPageBreak/>
              <w:t>œuvre du KMGBF et à étendre cette pratique aux autres domaines d’intervention.</w:t>
            </w:r>
          </w:p>
        </w:tc>
      </w:tr>
      <w:tr w:rsidR="00C004A0" w:rsidRPr="00C67737" w14:paraId="104407EB" w14:textId="77777777" w:rsidTr="00A769A6">
        <w:tc>
          <w:tcPr>
            <w:tcW w:w="2500" w:type="pct"/>
          </w:tcPr>
          <w:p w14:paraId="13687D74" w14:textId="62464F05" w:rsidR="00C004A0" w:rsidRPr="00C67737" w:rsidRDefault="00C004A0" w:rsidP="00495437">
            <w:pPr>
              <w:snapToGrid/>
              <w:spacing w:before="100" w:after="100"/>
              <w:rPr>
                <w:rFonts w:eastAsia="SimSun" w:cstheme="minorHAnsi"/>
                <w:b/>
                <w:color w:val="000000"/>
              </w:rPr>
            </w:pPr>
            <w:r>
              <w:rPr>
                <w:i/>
                <w:color w:val="000000"/>
              </w:rPr>
              <w:lastRenderedPageBreak/>
              <w:t xml:space="preserve">9. </w:t>
            </w:r>
            <w:r>
              <w:rPr>
                <w:i/>
                <w:iCs/>
                <w:color w:val="000000"/>
              </w:rPr>
              <w:t>Invite</w:t>
            </w:r>
            <w:r>
              <w:rPr>
                <w:color w:val="000000"/>
              </w:rPr>
              <w:t xml:space="preserve"> les pays développés Parties, les autres Parties qui assument volontairement les obligations des pays développés Parties, ainsi que les autres gouvernements, à participer à la neuvième reconstitution des ressources </w:t>
            </w:r>
            <w:r w:rsidR="0007574A">
              <w:rPr>
                <w:color w:val="000000"/>
              </w:rPr>
              <w:t xml:space="preserve">du </w:t>
            </w:r>
            <w:r w:rsidR="0007574A">
              <w:t xml:space="preserve">Fonds fiduciaire </w:t>
            </w:r>
            <w:r>
              <w:rPr>
                <w:color w:val="000000"/>
              </w:rPr>
              <w:t>du Fonds pour l’</w:t>
            </w:r>
            <w:r w:rsidR="004E3145">
              <w:rPr>
                <w:color w:val="000000"/>
              </w:rPr>
              <w:t>E</w:t>
            </w:r>
            <w:r>
              <w:rPr>
                <w:color w:val="000000"/>
              </w:rPr>
              <w:t xml:space="preserve">nvironnement </w:t>
            </w:r>
            <w:proofErr w:type="spellStart"/>
            <w:r w:rsidR="004E3145">
              <w:rPr>
                <w:color w:val="000000"/>
              </w:rPr>
              <w:t>M</w:t>
            </w:r>
            <w:r>
              <w:rPr>
                <w:color w:val="000000"/>
              </w:rPr>
              <w:t>mondial</w:t>
            </w:r>
            <w:proofErr w:type="spellEnd"/>
            <w:r>
              <w:rPr>
                <w:color w:val="000000"/>
              </w:rPr>
              <w:t xml:space="preserve"> afin de soutenir les pays en développement Parties admissibles, en particulier les pays les moins développés et les petits États insulaires en développement, ainsi que les Parties dont l’économie est en transition</w:t>
            </w:r>
            <w:r w:rsidR="00B72F14">
              <w:rPr>
                <w:color w:val="000000"/>
              </w:rPr>
              <w:t> </w:t>
            </w:r>
            <w:r>
              <w:rPr>
                <w:color w:val="000000"/>
              </w:rPr>
              <w:t>;</w:t>
            </w:r>
          </w:p>
        </w:tc>
        <w:tc>
          <w:tcPr>
            <w:tcW w:w="2500" w:type="pct"/>
          </w:tcPr>
          <w:p w14:paraId="2AA17CF8" w14:textId="1289DF5E" w:rsidR="00C004A0" w:rsidRPr="00C67737" w:rsidRDefault="004F2D10" w:rsidP="00495437">
            <w:pPr>
              <w:snapToGrid/>
              <w:spacing w:before="100" w:after="100"/>
              <w:rPr>
                <w:rFonts w:eastAsia="SimSun" w:cstheme="minorHAnsi"/>
                <w:color w:val="000000"/>
              </w:rPr>
            </w:pPr>
            <w:r>
              <w:rPr>
                <w:color w:val="000000"/>
              </w:rPr>
              <w:t>N’appelle pas de réponse</w:t>
            </w:r>
            <w:r w:rsidR="00C004A0">
              <w:rPr>
                <w:color w:val="000000"/>
              </w:rPr>
              <w:t>.</w:t>
            </w:r>
          </w:p>
        </w:tc>
      </w:tr>
      <w:tr w:rsidR="00C004A0" w:rsidRPr="00C67737" w14:paraId="58E9760F" w14:textId="77777777" w:rsidTr="00A769A6">
        <w:tc>
          <w:tcPr>
            <w:tcW w:w="2500" w:type="pct"/>
          </w:tcPr>
          <w:p w14:paraId="1CF08356" w14:textId="15B3493E" w:rsidR="00C004A0" w:rsidRPr="00C67737" w:rsidRDefault="00C004A0" w:rsidP="00495437">
            <w:pPr>
              <w:snapToGrid/>
              <w:spacing w:before="100" w:after="100"/>
              <w:rPr>
                <w:rFonts w:eastAsia="SimSun" w:cstheme="minorHAnsi"/>
                <w:iCs/>
                <w:color w:val="000000"/>
              </w:rPr>
            </w:pPr>
            <w:r>
              <w:rPr>
                <w:i/>
                <w:color w:val="000000"/>
              </w:rPr>
              <w:t xml:space="preserve">10. </w:t>
            </w:r>
            <w:r>
              <w:rPr>
                <w:i/>
                <w:iCs/>
                <w:color w:val="000000"/>
              </w:rPr>
              <w:t>Prie</w:t>
            </w:r>
            <w:r>
              <w:rPr>
                <w:color w:val="000000"/>
              </w:rPr>
              <w:t xml:space="preserve"> le Fonds pour l’environnement mondial et son Conseil d’examiner les moyens d’intégrer les actions en faveur de la Terre nourricière dans ses </w:t>
            </w:r>
            <w:r w:rsidR="00F02738">
              <w:rPr>
                <w:color w:val="000000"/>
              </w:rPr>
              <w:t>orientations programmatiques</w:t>
            </w:r>
            <w:r>
              <w:rPr>
                <w:color w:val="000000"/>
              </w:rPr>
              <w:t xml:space="preserve"> et le Fonds du Cadre mondial de la biodiversité</w:t>
            </w:r>
            <w:r w:rsidR="00B72F14">
              <w:rPr>
                <w:color w:val="000000"/>
              </w:rPr>
              <w:t> </w:t>
            </w:r>
            <w:r>
              <w:rPr>
                <w:color w:val="000000"/>
              </w:rPr>
              <w:t>;</w:t>
            </w:r>
          </w:p>
        </w:tc>
        <w:tc>
          <w:tcPr>
            <w:tcW w:w="2500" w:type="pct"/>
          </w:tcPr>
          <w:p w14:paraId="51EB4039" w14:textId="149AFAD6" w:rsidR="00C004A0" w:rsidRPr="00C67737" w:rsidRDefault="00C004A0" w:rsidP="00495437">
            <w:pPr>
              <w:snapToGrid/>
              <w:spacing w:before="100" w:after="100"/>
              <w:rPr>
                <w:rFonts w:eastAsia="SimSun" w:cstheme="minorHAnsi"/>
                <w:color w:val="000000"/>
              </w:rPr>
            </w:pPr>
            <w:r>
              <w:rPr>
                <w:color w:val="000000"/>
              </w:rPr>
              <w:t xml:space="preserve">Les </w:t>
            </w:r>
            <w:r w:rsidR="00F02738">
              <w:rPr>
                <w:color w:val="000000"/>
              </w:rPr>
              <w:t>orientations programmatiques</w:t>
            </w:r>
            <w:r>
              <w:rPr>
                <w:color w:val="000000"/>
              </w:rPr>
              <w:t xml:space="preserve"> du GBFF prévoient un appui à la cible</w:t>
            </w:r>
            <w:r w:rsidR="00B72F14">
              <w:rPr>
                <w:color w:val="000000"/>
              </w:rPr>
              <w:t> </w:t>
            </w:r>
            <w:r>
              <w:rPr>
                <w:color w:val="000000"/>
              </w:rPr>
              <w:t xml:space="preserve">19 du KMGBF, </w:t>
            </w:r>
            <w:r w:rsidR="003E59F0">
              <w:rPr>
                <w:color w:val="000000"/>
              </w:rPr>
              <w:t>notamment</w:t>
            </w:r>
            <w:r>
              <w:rPr>
                <w:color w:val="000000"/>
              </w:rPr>
              <w:t xml:space="preserve"> à sa cible</w:t>
            </w:r>
            <w:r w:rsidR="00B72F14">
              <w:rPr>
                <w:color w:val="000000"/>
              </w:rPr>
              <w:t> </w:t>
            </w:r>
            <w:r>
              <w:rPr>
                <w:color w:val="000000"/>
              </w:rPr>
              <w:t>19 f), au titre du domaine d’action</w:t>
            </w:r>
            <w:r w:rsidR="00B72F14">
              <w:rPr>
                <w:color w:val="000000"/>
              </w:rPr>
              <w:t> </w:t>
            </w:r>
            <w:r>
              <w:rPr>
                <w:color w:val="000000"/>
              </w:rPr>
              <w:t>4. Celui-ci soutient la mise en œuvre de l’ensemble des solutions de financement recensées dans les plans nationaux de financement de la biodiversité et dans les stratégies et plans d’action nationaux pour la biodiversité (SPANB).</w:t>
            </w:r>
          </w:p>
          <w:p w14:paraId="28C64247" w14:textId="58E4F7E6" w:rsidR="00C004A0" w:rsidRPr="00C67737" w:rsidRDefault="00C004A0" w:rsidP="00495437">
            <w:pPr>
              <w:snapToGrid/>
              <w:spacing w:before="100" w:after="100"/>
              <w:rPr>
                <w:rFonts w:eastAsia="SimSun" w:cstheme="minorHAnsi"/>
                <w:color w:val="000000"/>
              </w:rPr>
            </w:pPr>
            <w:r>
              <w:rPr>
                <w:color w:val="000000"/>
              </w:rPr>
              <w:t xml:space="preserve">La Stratégie de </w:t>
            </w:r>
            <w:r w:rsidR="00376C22">
              <w:rPr>
                <w:color w:val="000000"/>
              </w:rPr>
              <w:t>GEF</w:t>
            </w:r>
            <w:r w:rsidR="00376C22">
              <w:rPr>
                <w:color w:val="000000"/>
              </w:rPr>
              <w:noBreakHyphen/>
            </w:r>
            <w:r>
              <w:rPr>
                <w:color w:val="000000"/>
              </w:rPr>
              <w:t>9 pour la diversité biologique prévoit, dans le cadre de son objectif</w:t>
            </w:r>
            <w:r w:rsidR="00B72F14">
              <w:rPr>
                <w:color w:val="000000"/>
              </w:rPr>
              <w:t> </w:t>
            </w:r>
            <w:r>
              <w:rPr>
                <w:color w:val="000000"/>
              </w:rPr>
              <w:t>1 — «</w:t>
            </w:r>
            <w:r w:rsidR="00FF72C9">
              <w:rPr>
                <w:color w:val="000000"/>
              </w:rPr>
              <w:t> </w:t>
            </w:r>
            <w:r>
              <w:rPr>
                <w:color w:val="000000"/>
              </w:rPr>
              <w:t>Améliorer la conservation, l’utilisation durable et la restauration des écosystèmes naturels au moyen d’approches intégrées à l’échelle des paysages terrestres et marins</w:t>
            </w:r>
            <w:r w:rsidR="00FF72C9">
              <w:rPr>
                <w:color w:val="000000"/>
              </w:rPr>
              <w:t> </w:t>
            </w:r>
            <w:r>
              <w:rPr>
                <w:color w:val="000000"/>
              </w:rPr>
              <w:t>» — que les promoteurs de projets peuvent également intégrer des actions en faveur de la Terre nourricière produisant des avantages environnementaux mondiaux dans le cadre de ces approches intégrées.</w:t>
            </w:r>
          </w:p>
        </w:tc>
      </w:tr>
      <w:tr w:rsidR="00C004A0" w:rsidRPr="00C67737" w14:paraId="0B82D78E" w14:textId="77777777" w:rsidTr="00A769A6">
        <w:tc>
          <w:tcPr>
            <w:tcW w:w="2500" w:type="pct"/>
          </w:tcPr>
          <w:p w14:paraId="0F62F63E" w14:textId="655289E2" w:rsidR="00C004A0" w:rsidRPr="00C67737" w:rsidRDefault="00C004A0" w:rsidP="00495437">
            <w:pPr>
              <w:snapToGrid/>
              <w:spacing w:before="100" w:after="100"/>
              <w:rPr>
                <w:rFonts w:eastAsia="SimSun" w:cstheme="minorHAnsi"/>
                <w:iCs/>
                <w:color w:val="000000"/>
              </w:rPr>
            </w:pPr>
            <w:r>
              <w:rPr>
                <w:i/>
                <w:color w:val="000000"/>
              </w:rPr>
              <w:t xml:space="preserve">11. </w:t>
            </w:r>
            <w:r>
              <w:rPr>
                <w:i/>
                <w:iCs/>
                <w:color w:val="000000"/>
              </w:rPr>
              <w:t>Souligne</w:t>
            </w:r>
            <w:r>
              <w:rPr>
                <w:color w:val="000000"/>
              </w:rPr>
              <w:t xml:space="preserve"> l’importance de fournir un appui adéquat et prévisible aux pays en développement </w:t>
            </w:r>
            <w:r w:rsidR="0065157D">
              <w:rPr>
                <w:color w:val="000000"/>
              </w:rPr>
              <w:t>P</w:t>
            </w:r>
            <w:r>
              <w:rPr>
                <w:color w:val="000000"/>
              </w:rPr>
              <w:t>arties pour qu’ils élaborent et actualisent leurs rapports nationaux, leurs stratégies et plans d’action nationaux pour la biodiversité ainsi que leurs plans nationaux de financement de la biodiversité ou instruments similaires</w:t>
            </w:r>
            <w:r w:rsidR="00FF72C9">
              <w:rPr>
                <w:color w:val="000000"/>
              </w:rPr>
              <w:t> </w:t>
            </w:r>
            <w:r>
              <w:rPr>
                <w:color w:val="000000"/>
              </w:rPr>
              <w:t>;</w:t>
            </w:r>
          </w:p>
        </w:tc>
        <w:tc>
          <w:tcPr>
            <w:tcW w:w="2500" w:type="pct"/>
          </w:tcPr>
          <w:p w14:paraId="628D655D" w14:textId="26F0F135" w:rsidR="00C004A0" w:rsidRPr="00C67737" w:rsidRDefault="004A66B6" w:rsidP="00495437">
            <w:pPr>
              <w:snapToGrid/>
              <w:spacing w:before="100" w:after="100"/>
              <w:rPr>
                <w:rFonts w:eastAsia="SimSun" w:cstheme="minorHAnsi"/>
                <w:color w:val="000000"/>
              </w:rPr>
            </w:pPr>
            <w:r w:rsidRPr="004A66B6">
              <w:rPr>
                <w:color w:val="000000"/>
              </w:rPr>
              <w:t>L’appui du GEF aux activités habilitantes, pour lesquelles des budgets totaux de 46</w:t>
            </w:r>
            <w:r w:rsidR="003A48F4">
              <w:rPr>
                <w:color w:val="000000"/>
              </w:rPr>
              <w:t> </w:t>
            </w:r>
            <w:r w:rsidRPr="004A66B6">
              <w:rPr>
                <w:color w:val="000000"/>
              </w:rPr>
              <w:t xml:space="preserve">millions de dollars au titre de </w:t>
            </w:r>
            <w:r w:rsidR="00376C22">
              <w:rPr>
                <w:color w:val="000000"/>
              </w:rPr>
              <w:t>GEF</w:t>
            </w:r>
            <w:r w:rsidR="00376C22">
              <w:rPr>
                <w:color w:val="000000"/>
              </w:rPr>
              <w:noBreakHyphen/>
            </w:r>
            <w:r w:rsidRPr="004A66B6">
              <w:rPr>
                <w:color w:val="000000"/>
              </w:rPr>
              <w:t>7 et de 145</w:t>
            </w:r>
            <w:r w:rsidR="003A48F4">
              <w:rPr>
                <w:color w:val="000000"/>
              </w:rPr>
              <w:t> </w:t>
            </w:r>
            <w:r w:rsidRPr="004A66B6">
              <w:rPr>
                <w:color w:val="000000"/>
              </w:rPr>
              <w:t xml:space="preserve">millions de dollars au titre de </w:t>
            </w:r>
            <w:r w:rsidR="00376C22">
              <w:rPr>
                <w:color w:val="000000"/>
              </w:rPr>
              <w:t>GEF</w:t>
            </w:r>
            <w:r w:rsidR="00376C22">
              <w:rPr>
                <w:color w:val="000000"/>
              </w:rPr>
              <w:noBreakHyphen/>
            </w:r>
            <w:r w:rsidRPr="004A66B6">
              <w:rPr>
                <w:color w:val="000000"/>
              </w:rPr>
              <w:t>8 étaient prévus, a été fourni selon les modalités suivantes</w:t>
            </w:r>
            <w:r w:rsidR="006E54C7">
              <w:rPr>
                <w:color w:val="000000"/>
              </w:rPr>
              <w:t> :</w:t>
            </w:r>
          </w:p>
          <w:p w14:paraId="65768D81" w14:textId="46EF5B09" w:rsidR="00C004A0" w:rsidRPr="001311AB" w:rsidRDefault="001311AB" w:rsidP="001311AB">
            <w:pPr>
              <w:snapToGrid/>
              <w:spacing w:before="100" w:after="100"/>
              <w:ind w:left="166"/>
              <w:rPr>
                <w:color w:val="000000"/>
              </w:rPr>
            </w:pPr>
            <w:r w:rsidRPr="001311AB">
              <w:rPr>
                <w:color w:val="000000"/>
              </w:rPr>
              <w:t xml:space="preserve">i) </w:t>
            </w:r>
            <w:r w:rsidR="00376C22">
              <w:rPr>
                <w:color w:val="000000"/>
              </w:rPr>
              <w:t>GEF</w:t>
            </w:r>
            <w:r w:rsidR="00376C22">
              <w:rPr>
                <w:color w:val="000000"/>
              </w:rPr>
              <w:noBreakHyphen/>
            </w:r>
            <w:r w:rsidRPr="001311AB">
              <w:rPr>
                <w:color w:val="000000"/>
              </w:rPr>
              <w:t>7</w:t>
            </w:r>
            <w:r w:rsidR="006E54C7">
              <w:rPr>
                <w:color w:val="000000"/>
              </w:rPr>
              <w:t> :</w:t>
            </w:r>
            <w:r w:rsidRPr="001311AB">
              <w:rPr>
                <w:color w:val="000000"/>
              </w:rPr>
              <w:t xml:space="preserve"> Le projet d’appui aux interventions précoces en faveur du Cadre mondial de la </w:t>
            </w:r>
            <w:r w:rsidRPr="001311AB">
              <w:rPr>
                <w:color w:val="000000"/>
              </w:rPr>
              <w:lastRenderedPageBreak/>
              <w:t>biodiversité a donné lieu à l’approbation d’un ensemble de projets de moyenne envergure en une seule étape, représentant un financement du GEF de 44,7</w:t>
            </w:r>
            <w:r w:rsidR="003A48F4">
              <w:rPr>
                <w:color w:val="000000"/>
              </w:rPr>
              <w:t> </w:t>
            </w:r>
            <w:r w:rsidRPr="001311AB">
              <w:rPr>
                <w:color w:val="000000"/>
              </w:rPr>
              <w:t>millions de dollars. Leur mise en œuvre a été autorisée par le directeur général du GEF entre avril et juin 2022. Cet appui comprend un financement d’environ 270</w:t>
            </w:r>
            <w:r w:rsidR="003A48F4">
              <w:rPr>
                <w:color w:val="000000"/>
              </w:rPr>
              <w:t> 000 </w:t>
            </w:r>
            <w:r w:rsidRPr="001311AB">
              <w:rPr>
                <w:color w:val="000000"/>
              </w:rPr>
              <w:t>dollars par pays pour les activités nationales, ainsi qu’une enveloppe de 3</w:t>
            </w:r>
            <w:r w:rsidR="003A48F4">
              <w:rPr>
                <w:color w:val="000000"/>
              </w:rPr>
              <w:t> </w:t>
            </w:r>
            <w:r w:rsidRPr="001311AB">
              <w:rPr>
                <w:color w:val="000000"/>
              </w:rPr>
              <w:t>millions de dollars destinée à l’assistance technique à l’échelle mondiale assurée par le PNUD et le PNUE, au bénéfice de 138</w:t>
            </w:r>
            <w:r w:rsidR="003A48F4">
              <w:rPr>
                <w:color w:val="000000"/>
              </w:rPr>
              <w:t> </w:t>
            </w:r>
            <w:r w:rsidRPr="001311AB">
              <w:rPr>
                <w:color w:val="000000"/>
              </w:rPr>
              <w:t>pays. L’annexe</w:t>
            </w:r>
            <w:r w:rsidR="003A48F4">
              <w:rPr>
                <w:color w:val="000000"/>
              </w:rPr>
              <w:t> </w:t>
            </w:r>
            <w:r w:rsidRPr="001311AB">
              <w:rPr>
                <w:color w:val="000000"/>
              </w:rPr>
              <w:t>5 présente en détail l’état d’avancement de cet appui dans chaque pays participant.</w:t>
            </w:r>
          </w:p>
          <w:p w14:paraId="101F7D36" w14:textId="58227B42" w:rsidR="00C004A0" w:rsidRPr="00A13803" w:rsidRDefault="00C004A0" w:rsidP="00A13803">
            <w:pPr>
              <w:snapToGrid/>
              <w:spacing w:before="100" w:after="100"/>
              <w:ind w:left="166"/>
              <w:rPr>
                <w:color w:val="000000"/>
              </w:rPr>
            </w:pPr>
            <w:r>
              <w:rPr>
                <w:color w:val="000000"/>
              </w:rPr>
              <w:t xml:space="preserve">ii) </w:t>
            </w:r>
            <w:r w:rsidR="00376C22">
              <w:rPr>
                <w:color w:val="000000"/>
              </w:rPr>
              <w:t>GEF</w:t>
            </w:r>
            <w:r w:rsidR="00376C22">
              <w:rPr>
                <w:color w:val="000000"/>
              </w:rPr>
              <w:noBreakHyphen/>
            </w:r>
            <w:r>
              <w:rPr>
                <w:color w:val="000000"/>
              </w:rPr>
              <w:t>8</w:t>
            </w:r>
            <w:r w:rsidR="006E54C7">
              <w:rPr>
                <w:color w:val="000000"/>
              </w:rPr>
              <w:t> :</w:t>
            </w:r>
            <w:r>
              <w:rPr>
                <w:color w:val="000000"/>
              </w:rPr>
              <w:t xml:space="preserve"> </w:t>
            </w:r>
            <w:r w:rsidR="00A13803" w:rsidRPr="00A13803">
              <w:rPr>
                <w:color w:val="000000"/>
              </w:rPr>
              <w:t>Le Programme-cadre d’appui à la mise à jour des stratégies et plans d’action nationaux pour la biodiversité</w:t>
            </w:r>
            <w:r w:rsidR="003C01EF">
              <w:rPr>
                <w:color w:val="000000"/>
              </w:rPr>
              <w:t xml:space="preserve"> (SPANB</w:t>
            </w:r>
            <w:r w:rsidR="00FC1845">
              <w:rPr>
                <w:color w:val="000000"/>
              </w:rPr>
              <w:t>)</w:t>
            </w:r>
            <w:r w:rsidR="00A13803" w:rsidRPr="00A13803">
              <w:rPr>
                <w:color w:val="000000"/>
              </w:rPr>
              <w:t xml:space="preserve"> et à l’établissement des septièmes rapports nationaux a été approuvé par le Conseil en juin 2023. Il a ensuite reçu l’agrément du directeur général en janvier 2024 pour le volet mis en œuvre par le PNUD, puis en mars 2024 pour celui mis en œuvre par le PNUE, pour un financement total du GEF de 78,5</w:t>
            </w:r>
            <w:r w:rsidR="003C01EF">
              <w:rPr>
                <w:color w:val="000000"/>
              </w:rPr>
              <w:t> </w:t>
            </w:r>
            <w:r w:rsidR="00A13803" w:rsidRPr="00A13803">
              <w:rPr>
                <w:color w:val="000000"/>
              </w:rPr>
              <w:t>millions de dollars. Il comprend un financement de 450</w:t>
            </w:r>
            <w:r w:rsidR="003A48F4">
              <w:rPr>
                <w:color w:val="000000"/>
              </w:rPr>
              <w:t> 000 </w:t>
            </w:r>
            <w:r w:rsidR="00A13803" w:rsidRPr="00A13803">
              <w:rPr>
                <w:color w:val="000000"/>
              </w:rPr>
              <w:t>dollars par pays au titre des activités nationales liées aux SPANB et à l’établissement des rapports nationaux, ainsi qu’une enveloppe de 6</w:t>
            </w:r>
            <w:r w:rsidR="003A48F4">
              <w:rPr>
                <w:color w:val="000000"/>
              </w:rPr>
              <w:t> </w:t>
            </w:r>
            <w:r w:rsidR="00A13803" w:rsidRPr="00A13803">
              <w:rPr>
                <w:color w:val="000000"/>
              </w:rPr>
              <w:t>millions de dollars destinée à l’assistance technique à l’échelle mondiale assurée par le PNUD et le PNUE, au bénéfice de 139</w:t>
            </w:r>
            <w:r w:rsidR="003A48F4">
              <w:rPr>
                <w:color w:val="000000"/>
              </w:rPr>
              <w:t> </w:t>
            </w:r>
            <w:r w:rsidR="00A13803" w:rsidRPr="00A13803">
              <w:rPr>
                <w:color w:val="000000"/>
              </w:rPr>
              <w:t>pays. L’annexe</w:t>
            </w:r>
            <w:r w:rsidR="003A48F4">
              <w:rPr>
                <w:color w:val="000000"/>
              </w:rPr>
              <w:t> </w:t>
            </w:r>
            <w:r w:rsidR="00A13803" w:rsidRPr="00A13803">
              <w:rPr>
                <w:color w:val="000000"/>
              </w:rPr>
              <w:t>6 présente en détail l’état d’avancement de cet appui dans chaque pays participant.</w:t>
            </w:r>
          </w:p>
          <w:p w14:paraId="231330F3" w14:textId="3E72AA34" w:rsidR="00C004A0" w:rsidRPr="00C67737" w:rsidRDefault="00C004A0" w:rsidP="00495437">
            <w:pPr>
              <w:snapToGrid/>
              <w:spacing w:before="100" w:after="100"/>
              <w:ind w:left="166"/>
              <w:rPr>
                <w:rFonts w:eastAsia="SimSun" w:cstheme="minorHAnsi"/>
                <w:color w:val="000000"/>
              </w:rPr>
            </w:pPr>
            <w:r>
              <w:rPr>
                <w:color w:val="000000"/>
              </w:rPr>
              <w:t xml:space="preserve">iii) </w:t>
            </w:r>
            <w:r w:rsidR="00376C22">
              <w:rPr>
                <w:color w:val="000000"/>
              </w:rPr>
              <w:t>GEF</w:t>
            </w:r>
            <w:r w:rsidR="00376C22">
              <w:rPr>
                <w:color w:val="000000"/>
              </w:rPr>
              <w:noBreakHyphen/>
            </w:r>
            <w:r>
              <w:rPr>
                <w:color w:val="000000"/>
              </w:rPr>
              <w:t>8</w:t>
            </w:r>
            <w:r w:rsidR="006E54C7">
              <w:rPr>
                <w:color w:val="000000"/>
              </w:rPr>
              <w:t> :</w:t>
            </w:r>
            <w:r>
              <w:rPr>
                <w:color w:val="000000"/>
              </w:rPr>
              <w:t xml:space="preserve"> </w:t>
            </w:r>
            <w:r w:rsidR="00654EBC" w:rsidRPr="00654EBC">
              <w:rPr>
                <w:color w:val="000000"/>
              </w:rPr>
              <w:t>Le programme-cadre d’appui à l’élaboration de plans de financement de la biodiversité a été approuvé par le Conseil en décembre 2022, puis a reçu l’agrément du directeur général en novembre 2023. Il a été modifié en juin 2026 afin d’y inclure sept pays qui n’avaient pas sollicité d’appui auparavant, ce qui a porté le financement total du GEF à 45</w:t>
            </w:r>
            <w:r w:rsidR="003A48F4">
              <w:rPr>
                <w:color w:val="000000"/>
              </w:rPr>
              <w:t> 813 </w:t>
            </w:r>
            <w:r w:rsidR="00654EBC" w:rsidRPr="00654EBC">
              <w:rPr>
                <w:color w:val="000000"/>
              </w:rPr>
              <w:t>736</w:t>
            </w:r>
            <w:r w:rsidR="00654EBC">
              <w:rPr>
                <w:color w:val="000000"/>
              </w:rPr>
              <w:t> </w:t>
            </w:r>
            <w:r w:rsidR="00654EBC" w:rsidRPr="00654EBC">
              <w:rPr>
                <w:color w:val="000000"/>
              </w:rPr>
              <w:t>dollars. Il comprend un financement de 300</w:t>
            </w:r>
            <w:r w:rsidR="003A48F4">
              <w:rPr>
                <w:color w:val="000000"/>
              </w:rPr>
              <w:t> 000 </w:t>
            </w:r>
            <w:r w:rsidR="00654EBC" w:rsidRPr="00654EBC">
              <w:rPr>
                <w:color w:val="000000"/>
              </w:rPr>
              <w:t>dollars par pays, ainsi qu’une enveloppe de 10,53</w:t>
            </w:r>
            <w:r w:rsidR="005B2E78">
              <w:rPr>
                <w:color w:val="000000"/>
              </w:rPr>
              <w:t> </w:t>
            </w:r>
            <w:r w:rsidR="00654EBC" w:rsidRPr="00654EBC">
              <w:rPr>
                <w:color w:val="000000"/>
              </w:rPr>
              <w:t xml:space="preserve">millions de dollars destinée à l’assistance technique à l’échelle mondiale </w:t>
            </w:r>
            <w:r w:rsidR="00654EBC" w:rsidRPr="00654EBC">
              <w:rPr>
                <w:color w:val="000000"/>
              </w:rPr>
              <w:lastRenderedPageBreak/>
              <w:t>assurée par le PNUD, au bénéfice de 98</w:t>
            </w:r>
            <w:r w:rsidR="005B2E78">
              <w:rPr>
                <w:color w:val="000000"/>
              </w:rPr>
              <w:t> </w:t>
            </w:r>
            <w:r w:rsidR="00654EBC" w:rsidRPr="00654EBC">
              <w:rPr>
                <w:color w:val="000000"/>
              </w:rPr>
              <w:t>pays participants. L’annexe</w:t>
            </w:r>
            <w:r w:rsidR="005B2E78">
              <w:rPr>
                <w:color w:val="000000"/>
              </w:rPr>
              <w:t> </w:t>
            </w:r>
            <w:r w:rsidR="00654EBC" w:rsidRPr="00654EBC">
              <w:rPr>
                <w:color w:val="000000"/>
              </w:rPr>
              <w:t>7 présente en détail l’état d’avancement de cet appui dans chaque pays participant.</w:t>
            </w:r>
          </w:p>
          <w:p w14:paraId="324993D3" w14:textId="44C189E4" w:rsidR="00C004A0" w:rsidRPr="00C67737" w:rsidRDefault="00C004A0" w:rsidP="00495437">
            <w:pPr>
              <w:snapToGrid/>
              <w:spacing w:before="100" w:after="100"/>
              <w:ind w:left="166"/>
              <w:rPr>
                <w:rFonts w:eastAsia="SimSun" w:cstheme="minorHAnsi"/>
                <w:color w:val="000000"/>
              </w:rPr>
            </w:pPr>
            <w:r>
              <w:rPr>
                <w:color w:val="000000"/>
              </w:rPr>
              <w:t xml:space="preserve">iv) </w:t>
            </w:r>
            <w:r w:rsidR="00376C22">
              <w:rPr>
                <w:color w:val="000000"/>
              </w:rPr>
              <w:t>GEF</w:t>
            </w:r>
            <w:r w:rsidR="00376C22">
              <w:rPr>
                <w:color w:val="000000"/>
              </w:rPr>
              <w:noBreakHyphen/>
            </w:r>
            <w:r>
              <w:rPr>
                <w:color w:val="000000"/>
              </w:rPr>
              <w:t>8</w:t>
            </w:r>
            <w:r w:rsidR="006E54C7">
              <w:rPr>
                <w:color w:val="000000"/>
              </w:rPr>
              <w:t> :</w:t>
            </w:r>
            <w:r>
              <w:rPr>
                <w:color w:val="000000"/>
              </w:rPr>
              <w:t xml:space="preserve"> le projet d’appui à l’élaboration des cinquièmes rapports nationaux sur la mise en œuvre du Protocole de </w:t>
            </w:r>
            <w:r w:rsidR="00EA5960">
              <w:t>Carthagène</w:t>
            </w:r>
            <w:r>
              <w:rPr>
                <w:color w:val="000000"/>
              </w:rPr>
              <w:t xml:space="preserve"> sur la prévention des risques biotechnologiques a été approuvé par le directeur général en avril 2025, puis modifié en octobre 2025 afin d’y </w:t>
            </w:r>
            <w:r w:rsidR="00907E08">
              <w:rPr>
                <w:color w:val="000000"/>
              </w:rPr>
              <w:t>inclure</w:t>
            </w:r>
            <w:r>
              <w:rPr>
                <w:color w:val="000000"/>
              </w:rPr>
              <w:t xml:space="preserve"> des pays qui n’avaient pas transmis leur </w:t>
            </w:r>
            <w:r w:rsidR="004469FD">
              <w:rPr>
                <w:color w:val="000000"/>
              </w:rPr>
              <w:t>lettre d’</w:t>
            </w:r>
            <w:r w:rsidR="0082406C">
              <w:rPr>
                <w:color w:val="000000"/>
              </w:rPr>
              <w:t>approbation</w:t>
            </w:r>
            <w:r>
              <w:rPr>
                <w:color w:val="000000"/>
              </w:rPr>
              <w:t xml:space="preserve"> à temps lors de l’approbation initiale</w:t>
            </w:r>
            <w:r w:rsidR="00C55DD6" w:rsidRPr="00C55DD6">
              <w:rPr>
                <w:rFonts w:eastAsia="SimSun"/>
              </w:rPr>
              <w:t xml:space="preserve"> </w:t>
            </w:r>
            <w:r w:rsidR="00C55DD6" w:rsidRPr="00C55DD6">
              <w:rPr>
                <w:color w:val="000000"/>
              </w:rPr>
              <w:t>Le PNUE apporte un appui à 105</w:t>
            </w:r>
            <w:r w:rsidR="005B2E78">
              <w:rPr>
                <w:color w:val="000000"/>
              </w:rPr>
              <w:t> </w:t>
            </w:r>
            <w:r w:rsidR="00C55DD6" w:rsidRPr="00C55DD6">
              <w:rPr>
                <w:color w:val="000000"/>
              </w:rPr>
              <w:t>pays au total, comprenant un financement de 30</w:t>
            </w:r>
            <w:r w:rsidR="005B2E78">
              <w:rPr>
                <w:color w:val="000000"/>
              </w:rPr>
              <w:t> 000 </w:t>
            </w:r>
            <w:r w:rsidR="00C55DD6" w:rsidRPr="00C55DD6">
              <w:rPr>
                <w:color w:val="000000"/>
              </w:rPr>
              <w:t>dollars par pays pour les activités nationales ainsi qu’une assistance technique mondiale (financement de projet total du GEF</w:t>
            </w:r>
            <w:r w:rsidR="006E54C7">
              <w:rPr>
                <w:color w:val="000000"/>
              </w:rPr>
              <w:t> :</w:t>
            </w:r>
            <w:r w:rsidR="00C55DD6" w:rsidRPr="00C55DD6">
              <w:rPr>
                <w:color w:val="000000"/>
              </w:rPr>
              <w:t xml:space="preserve"> 4</w:t>
            </w:r>
            <w:r w:rsidR="005B2E78">
              <w:rPr>
                <w:color w:val="000000"/>
              </w:rPr>
              <w:t> 059 </w:t>
            </w:r>
            <w:r w:rsidR="00C55DD6" w:rsidRPr="00C55DD6">
              <w:rPr>
                <w:color w:val="000000"/>
              </w:rPr>
              <w:t>825</w:t>
            </w:r>
            <w:r w:rsidR="005145B3">
              <w:rPr>
                <w:color w:val="000000"/>
              </w:rPr>
              <w:t> </w:t>
            </w:r>
            <w:r w:rsidR="00C55DD6" w:rsidRPr="00C55DD6">
              <w:rPr>
                <w:color w:val="000000"/>
              </w:rPr>
              <w:t>dollars). L’annexe</w:t>
            </w:r>
            <w:r w:rsidR="005B2E78">
              <w:rPr>
                <w:color w:val="000000"/>
              </w:rPr>
              <w:t> </w:t>
            </w:r>
            <w:r w:rsidR="00C55DD6" w:rsidRPr="00C55DD6">
              <w:rPr>
                <w:color w:val="000000"/>
              </w:rPr>
              <w:t>8 présente en détail l’état d’avancement de cet appui dans chaque pays participant.</w:t>
            </w:r>
          </w:p>
          <w:p w14:paraId="69382476" w14:textId="63260FBE" w:rsidR="00C004A0" w:rsidRPr="00C67737" w:rsidRDefault="00C004A0" w:rsidP="00495437">
            <w:pPr>
              <w:snapToGrid/>
              <w:spacing w:before="100" w:after="100"/>
              <w:ind w:left="166"/>
              <w:rPr>
                <w:rFonts w:eastAsia="SimSun" w:cstheme="minorHAnsi"/>
                <w:color w:val="000000"/>
              </w:rPr>
            </w:pPr>
            <w:r>
              <w:rPr>
                <w:color w:val="000000"/>
              </w:rPr>
              <w:t xml:space="preserve">v) </w:t>
            </w:r>
            <w:r w:rsidR="00376C22">
              <w:rPr>
                <w:color w:val="000000"/>
              </w:rPr>
              <w:t>GEF</w:t>
            </w:r>
            <w:r w:rsidR="00376C22">
              <w:rPr>
                <w:color w:val="000000"/>
              </w:rPr>
              <w:noBreakHyphen/>
            </w:r>
            <w:r>
              <w:rPr>
                <w:color w:val="000000"/>
              </w:rPr>
              <w:t>8</w:t>
            </w:r>
            <w:r w:rsidR="006E54C7">
              <w:rPr>
                <w:color w:val="000000"/>
              </w:rPr>
              <w:t> :</w:t>
            </w:r>
            <w:r>
              <w:rPr>
                <w:color w:val="000000"/>
              </w:rPr>
              <w:t xml:space="preserve"> le projet d’appui à l’élaboration du premier rapport national sur la mise en œuvre du Protocole de Nagoya sur l’accès aux ressources génétiques et le partage juste et équitable des avantages découlant de leur utilisation a été approuvé par le directeur général en avril</w:t>
            </w:r>
            <w:r w:rsidR="00836B13">
              <w:rPr>
                <w:color w:val="000000"/>
              </w:rPr>
              <w:t> </w:t>
            </w:r>
            <w:r>
              <w:rPr>
                <w:color w:val="000000"/>
              </w:rPr>
              <w:t xml:space="preserve">2025, puis modifié en août 2025 afin d’y </w:t>
            </w:r>
            <w:r w:rsidR="007B629F">
              <w:rPr>
                <w:color w:val="000000"/>
              </w:rPr>
              <w:t>inclure</w:t>
            </w:r>
            <w:r>
              <w:rPr>
                <w:color w:val="000000"/>
              </w:rPr>
              <w:t xml:space="preserve"> 19</w:t>
            </w:r>
            <w:r w:rsidR="00FF72C9">
              <w:rPr>
                <w:color w:val="000000"/>
              </w:rPr>
              <w:t> </w:t>
            </w:r>
            <w:r>
              <w:rPr>
                <w:color w:val="000000"/>
              </w:rPr>
              <w:t xml:space="preserve">pays qui n’avaient pas transmis leur </w:t>
            </w:r>
            <w:r w:rsidR="004469FD">
              <w:rPr>
                <w:color w:val="000000"/>
              </w:rPr>
              <w:t>lettre d’</w:t>
            </w:r>
            <w:r w:rsidR="0082406C">
              <w:rPr>
                <w:color w:val="000000"/>
              </w:rPr>
              <w:t>approbation</w:t>
            </w:r>
            <w:r>
              <w:rPr>
                <w:color w:val="000000"/>
              </w:rPr>
              <w:t xml:space="preserve"> à temps lors de l’approbation initiale. </w:t>
            </w:r>
            <w:r w:rsidR="00D15B4A" w:rsidRPr="00D15B4A">
              <w:rPr>
                <w:color w:val="000000"/>
              </w:rPr>
              <w:t>Le PNUE apporte un appui à 96</w:t>
            </w:r>
            <w:r w:rsidR="005B2E78">
              <w:rPr>
                <w:color w:val="000000"/>
              </w:rPr>
              <w:t> </w:t>
            </w:r>
            <w:r w:rsidR="00D15B4A" w:rsidRPr="00D15B4A">
              <w:rPr>
                <w:color w:val="000000"/>
              </w:rPr>
              <w:t>pays au total, sous la forme d’un financement de 30</w:t>
            </w:r>
            <w:r w:rsidR="005B2E78">
              <w:rPr>
                <w:color w:val="000000"/>
              </w:rPr>
              <w:t> 000 </w:t>
            </w:r>
            <w:r w:rsidR="00D15B4A" w:rsidRPr="00BC4D27">
              <w:rPr>
                <w:color w:val="000000"/>
              </w:rPr>
              <w:t>dollars par pays pour les activités nationales, complété</w:t>
            </w:r>
            <w:r w:rsidR="00D15B4A" w:rsidRPr="00D15B4A">
              <w:rPr>
                <w:color w:val="000000"/>
              </w:rPr>
              <w:t xml:space="preserve"> par une assistance technique mondiale (financement de projet total du GEF</w:t>
            </w:r>
            <w:r w:rsidR="006E54C7">
              <w:rPr>
                <w:color w:val="000000"/>
              </w:rPr>
              <w:t> :</w:t>
            </w:r>
            <w:r w:rsidR="00D15B4A" w:rsidRPr="00D15B4A">
              <w:rPr>
                <w:color w:val="000000"/>
              </w:rPr>
              <w:t xml:space="preserve"> 3</w:t>
            </w:r>
            <w:r w:rsidR="005B2E78">
              <w:rPr>
                <w:color w:val="000000"/>
              </w:rPr>
              <w:t> 701 250 </w:t>
            </w:r>
            <w:r w:rsidR="00D15B4A" w:rsidRPr="00D15B4A">
              <w:rPr>
                <w:color w:val="000000"/>
              </w:rPr>
              <w:t>dollars). L’annexe</w:t>
            </w:r>
            <w:r w:rsidR="00275E87">
              <w:rPr>
                <w:color w:val="000000"/>
              </w:rPr>
              <w:t> </w:t>
            </w:r>
            <w:r w:rsidR="00D15B4A" w:rsidRPr="00D15B4A">
              <w:rPr>
                <w:color w:val="000000"/>
              </w:rPr>
              <w:t>9 présente en détail l’état d’avancement de cet appui dans chaque pays participant.</w:t>
            </w:r>
          </w:p>
          <w:p w14:paraId="4BB8CC4F" w14:textId="76209051" w:rsidR="000D5285" w:rsidRPr="00C67737" w:rsidRDefault="000D5285" w:rsidP="00495437">
            <w:pPr>
              <w:snapToGrid/>
              <w:spacing w:before="100" w:after="100"/>
              <w:ind w:left="166"/>
              <w:rPr>
                <w:rFonts w:eastAsia="SimSun" w:cstheme="minorHAnsi"/>
                <w:color w:val="000000"/>
              </w:rPr>
            </w:pPr>
            <w:r>
              <w:rPr>
                <w:color w:val="000000"/>
              </w:rPr>
              <w:t>Un budget initial de 125</w:t>
            </w:r>
            <w:r w:rsidR="00FF72C9">
              <w:rPr>
                <w:color w:val="000000"/>
              </w:rPr>
              <w:t> </w:t>
            </w:r>
            <w:r>
              <w:rPr>
                <w:color w:val="000000"/>
              </w:rPr>
              <w:t>millions de dollars a été approuvé pour les activités habilitantes liées à la CDB et à ses Protocoles durant</w:t>
            </w:r>
            <w:r w:rsidR="00FF72C9">
              <w:rPr>
                <w:color w:val="000000"/>
              </w:rPr>
              <w:t> </w:t>
            </w:r>
            <w:r w:rsidR="00376C22">
              <w:rPr>
                <w:color w:val="000000"/>
              </w:rPr>
              <w:t>GEF</w:t>
            </w:r>
            <w:r w:rsidR="00376C22">
              <w:rPr>
                <w:color w:val="000000"/>
              </w:rPr>
              <w:noBreakHyphen/>
            </w:r>
            <w:r>
              <w:rPr>
                <w:color w:val="000000"/>
              </w:rPr>
              <w:t xml:space="preserve">9. Ce budget couvre notamment l’établissement de rapports, l’appui aux systèmes de suivi et, pour les pays qui n’ont pas encore bénéficié d’un tel appui, </w:t>
            </w:r>
            <w:r>
              <w:rPr>
                <w:color w:val="000000"/>
              </w:rPr>
              <w:lastRenderedPageBreak/>
              <w:t>l’élaboration de plans de financement de la biodiversité.</w:t>
            </w:r>
          </w:p>
        </w:tc>
      </w:tr>
      <w:tr w:rsidR="00C004A0" w:rsidRPr="00C67737" w14:paraId="3B047C9B" w14:textId="77777777" w:rsidTr="00A769A6">
        <w:tc>
          <w:tcPr>
            <w:tcW w:w="2500" w:type="pct"/>
          </w:tcPr>
          <w:p w14:paraId="359428CB" w14:textId="484B9D04" w:rsidR="00C004A0" w:rsidRPr="00C67737" w:rsidRDefault="00C004A0" w:rsidP="00495437">
            <w:pPr>
              <w:keepNext/>
              <w:keepLines/>
              <w:tabs>
                <w:tab w:val="left" w:pos="240"/>
                <w:tab w:val="left" w:pos="1134"/>
                <w:tab w:val="left" w:pos="1701"/>
                <w:tab w:val="left" w:pos="2268"/>
                <w:tab w:val="left" w:pos="2835"/>
                <w:tab w:val="left" w:pos="3402"/>
                <w:tab w:val="left" w:pos="3969"/>
              </w:tabs>
              <w:snapToGrid/>
              <w:spacing w:before="0" w:after="100"/>
              <w:ind w:left="60"/>
              <w:rPr>
                <w:rFonts w:eastAsia="SimSun" w:cstheme="minorHAnsi"/>
                <w:b/>
                <w:color w:val="000000"/>
              </w:rPr>
            </w:pPr>
            <w:r>
              <w:rPr>
                <w:b/>
                <w:color w:val="000000"/>
              </w:rPr>
              <w:lastRenderedPageBreak/>
              <w:t xml:space="preserve">II </w:t>
            </w:r>
            <w:r w:rsidR="00BA5516">
              <w:rPr>
                <w:b/>
                <w:color w:val="000000"/>
              </w:rPr>
              <w:t>Fonds du Cadre</w:t>
            </w:r>
            <w:r>
              <w:rPr>
                <w:b/>
                <w:color w:val="000000"/>
              </w:rPr>
              <w:t xml:space="preserve"> mondial de la biodiversité</w:t>
            </w:r>
          </w:p>
          <w:p w14:paraId="0FEDD528" w14:textId="27C15601" w:rsidR="00C004A0" w:rsidRPr="00C67737" w:rsidRDefault="00C004A0" w:rsidP="00495437">
            <w:pPr>
              <w:tabs>
                <w:tab w:val="left" w:pos="240"/>
                <w:tab w:val="left" w:pos="1134"/>
                <w:tab w:val="left" w:pos="1701"/>
                <w:tab w:val="left" w:pos="2268"/>
                <w:tab w:val="left" w:pos="2835"/>
                <w:tab w:val="left" w:pos="3402"/>
              </w:tabs>
              <w:snapToGrid/>
              <w:spacing w:before="100" w:after="100"/>
              <w:ind w:left="60"/>
              <w:rPr>
                <w:rFonts w:eastAsia="SimSun" w:cstheme="minorHAnsi"/>
                <w:color w:val="000000"/>
              </w:rPr>
            </w:pPr>
            <w:r>
              <w:rPr>
                <w:color w:val="000000"/>
              </w:rPr>
              <w:t xml:space="preserve">12. </w:t>
            </w:r>
            <w:r>
              <w:rPr>
                <w:i/>
                <w:iCs/>
                <w:color w:val="000000"/>
              </w:rPr>
              <w:t>Exprime ses remerciements</w:t>
            </w:r>
            <w:r>
              <w:rPr>
                <w:color w:val="000000"/>
              </w:rPr>
              <w:t xml:space="preserve"> au Fonds pour l’environnement mondial pour l’établissement et l’opérationnalisation du </w:t>
            </w:r>
            <w:r w:rsidR="00BA5516">
              <w:rPr>
                <w:color w:val="000000"/>
              </w:rPr>
              <w:t>Fonds du Cadre</w:t>
            </w:r>
            <w:r>
              <w:rPr>
                <w:color w:val="000000"/>
              </w:rPr>
              <w:t xml:space="preserve"> mondial de la biodiversité</w:t>
            </w:r>
            <w:r w:rsidR="00FF72C9">
              <w:rPr>
                <w:color w:val="000000"/>
              </w:rPr>
              <w:t> </w:t>
            </w:r>
            <w:r>
              <w:rPr>
                <w:color w:val="000000"/>
              </w:rPr>
              <w:t>;</w:t>
            </w:r>
          </w:p>
        </w:tc>
        <w:tc>
          <w:tcPr>
            <w:tcW w:w="2500" w:type="pct"/>
          </w:tcPr>
          <w:p w14:paraId="3217181A" w14:textId="77777777" w:rsidR="00C004A0" w:rsidRPr="00C67737" w:rsidRDefault="00C004A0" w:rsidP="00495437">
            <w:pPr>
              <w:keepNext/>
              <w:keepLines/>
              <w:tabs>
                <w:tab w:val="left" w:pos="567"/>
                <w:tab w:val="left" w:pos="1134"/>
                <w:tab w:val="left" w:pos="1701"/>
                <w:tab w:val="left" w:pos="2268"/>
                <w:tab w:val="left" w:pos="2835"/>
                <w:tab w:val="left" w:pos="3402"/>
                <w:tab w:val="left" w:pos="3969"/>
              </w:tabs>
              <w:snapToGrid/>
              <w:spacing w:before="0" w:after="100"/>
              <w:ind w:left="567" w:hanging="567"/>
              <w:rPr>
                <w:rFonts w:eastAsia="SimSun" w:cstheme="minorHAnsi"/>
                <w:bCs/>
                <w:color w:val="000000"/>
              </w:rPr>
            </w:pPr>
            <w:r>
              <w:rPr>
                <w:color w:val="000000"/>
              </w:rPr>
              <w:t>A pris note avec satisfaction.</w:t>
            </w:r>
          </w:p>
        </w:tc>
      </w:tr>
      <w:tr w:rsidR="00C004A0" w:rsidRPr="00C67737" w14:paraId="21C9D66D" w14:textId="77777777" w:rsidTr="00A769A6">
        <w:tc>
          <w:tcPr>
            <w:tcW w:w="2500" w:type="pct"/>
          </w:tcPr>
          <w:p w14:paraId="362D1403" w14:textId="798E28C4" w:rsidR="00C004A0" w:rsidRPr="00C67737" w:rsidRDefault="00C004A0" w:rsidP="00495437">
            <w:pPr>
              <w:snapToGrid/>
              <w:spacing w:before="100" w:after="100"/>
              <w:rPr>
                <w:rFonts w:eastAsia="SimSun" w:cstheme="minorHAnsi"/>
                <w:iCs/>
                <w:color w:val="000000"/>
              </w:rPr>
            </w:pPr>
            <w:r>
              <w:rPr>
                <w:i/>
                <w:color w:val="000000"/>
              </w:rPr>
              <w:t xml:space="preserve">13. </w:t>
            </w:r>
            <w:r>
              <w:rPr>
                <w:i/>
                <w:iCs/>
              </w:rPr>
              <w:t xml:space="preserve">Prend note avec satisfaction </w:t>
            </w:r>
            <w:r>
              <w:t xml:space="preserve">des contributions de plusieurs pays et autres gouvernements donateurs à la capitalisation du </w:t>
            </w:r>
            <w:r w:rsidR="00BA5516">
              <w:t>Fonds du Cadre</w:t>
            </w:r>
            <w:r>
              <w:t xml:space="preserve"> mondial de la biodiversité, notamment l’Allemagne, l’Autriche, le Canada, le Danemark, l’Espagne, la France, le Japon, le Luxembourg, la Nouvelle-Zélande, la Norvège et le Royaume-Uni de Grande-Bretagne et d’Irlande du Nord, ainsi que le gouvernement du Québec, pour un montant d’environ 382</w:t>
            </w:r>
            <w:r w:rsidR="00FF72C9">
              <w:t> </w:t>
            </w:r>
            <w:r>
              <w:t>millions de dollars au moment de l’adoption de la présente décision</w:t>
            </w:r>
            <w:r w:rsidRPr="00C67737">
              <w:rPr>
                <w:rFonts w:eastAsia="SimSun" w:cstheme="minorHAnsi"/>
                <w:color w:val="000000"/>
                <w:vertAlign w:val="superscript"/>
              </w:rPr>
              <w:footnoteReference w:id="58"/>
            </w:r>
            <w:r>
              <w:t> ;</w:t>
            </w:r>
          </w:p>
        </w:tc>
        <w:tc>
          <w:tcPr>
            <w:tcW w:w="2500" w:type="pct"/>
          </w:tcPr>
          <w:p w14:paraId="7A65786D" w14:textId="2304ED25" w:rsidR="00C004A0" w:rsidRPr="00C67737" w:rsidRDefault="007F7538" w:rsidP="00495437">
            <w:pPr>
              <w:snapToGrid/>
              <w:spacing w:before="100" w:after="100"/>
              <w:rPr>
                <w:rFonts w:eastAsia="SimSun" w:cstheme="minorHAnsi"/>
                <w:color w:val="000000"/>
              </w:rPr>
            </w:pPr>
            <w:r>
              <w:rPr>
                <w:color w:val="000000"/>
              </w:rPr>
              <w:t>Le GEF remercie ces donateurs de leur soutien au GBFF.</w:t>
            </w:r>
          </w:p>
        </w:tc>
      </w:tr>
      <w:tr w:rsidR="00C004A0" w:rsidRPr="00C67737" w14:paraId="4622B33B" w14:textId="77777777" w:rsidTr="00A769A6">
        <w:tc>
          <w:tcPr>
            <w:tcW w:w="2500" w:type="pct"/>
          </w:tcPr>
          <w:p w14:paraId="5733CB91" w14:textId="009508F6" w:rsidR="00C004A0" w:rsidRPr="00C67737" w:rsidRDefault="00C004A0" w:rsidP="00495437">
            <w:pPr>
              <w:snapToGrid/>
              <w:spacing w:before="100" w:after="100"/>
              <w:rPr>
                <w:rFonts w:eastAsia="SimSun" w:cstheme="minorHAnsi"/>
                <w:iCs/>
                <w:color w:val="000000"/>
              </w:rPr>
            </w:pPr>
            <w:r>
              <w:rPr>
                <w:i/>
                <w:color w:val="000000"/>
              </w:rPr>
              <w:t xml:space="preserve">14. </w:t>
            </w:r>
            <w:r>
              <w:rPr>
                <w:i/>
                <w:iCs/>
                <w:color w:val="000000"/>
              </w:rPr>
              <w:t>Souligne</w:t>
            </w:r>
            <w:r>
              <w:rPr>
                <w:color w:val="000000"/>
              </w:rPr>
              <w:t xml:space="preserve"> la nécessité d’accroître considérablement la mobilisation des ressources adéquates et prévisibles mises à disposition du </w:t>
            </w:r>
            <w:r w:rsidR="00BA5516">
              <w:rPr>
                <w:color w:val="000000"/>
              </w:rPr>
              <w:t>Fonds du Cadre</w:t>
            </w:r>
            <w:r>
              <w:rPr>
                <w:color w:val="000000"/>
              </w:rPr>
              <w:t xml:space="preserve"> mondial de la biodiversité afin de contribuer à la mise en œuvre du Cadre en temps en opportun, en particulier sa cible</w:t>
            </w:r>
            <w:r w:rsidR="00FF72C9">
              <w:rPr>
                <w:color w:val="000000"/>
              </w:rPr>
              <w:t> </w:t>
            </w:r>
            <w:r>
              <w:rPr>
                <w:color w:val="000000"/>
              </w:rPr>
              <w:t>19</w:t>
            </w:r>
          </w:p>
        </w:tc>
        <w:tc>
          <w:tcPr>
            <w:tcW w:w="2500" w:type="pct"/>
          </w:tcPr>
          <w:p w14:paraId="79156DD0" w14:textId="77777777" w:rsidR="00C004A0" w:rsidRPr="00C67737" w:rsidRDefault="00C004A0" w:rsidP="00495437">
            <w:pPr>
              <w:snapToGrid/>
              <w:spacing w:before="100" w:after="100"/>
              <w:rPr>
                <w:rFonts w:eastAsia="SimSun" w:cstheme="minorHAnsi"/>
                <w:color w:val="000000"/>
              </w:rPr>
            </w:pPr>
            <w:r>
              <w:rPr>
                <w:color w:val="000000"/>
              </w:rPr>
              <w:t>A pris note.</w:t>
            </w:r>
          </w:p>
        </w:tc>
      </w:tr>
      <w:tr w:rsidR="00C004A0" w:rsidRPr="00C67737" w14:paraId="26A54DE0" w14:textId="77777777" w:rsidTr="00A769A6">
        <w:tc>
          <w:tcPr>
            <w:tcW w:w="2500" w:type="pct"/>
          </w:tcPr>
          <w:p w14:paraId="3C42C336" w14:textId="4CBE9987" w:rsidR="00C004A0" w:rsidRPr="00C67737" w:rsidRDefault="00C004A0" w:rsidP="00495437">
            <w:pPr>
              <w:snapToGrid/>
              <w:spacing w:before="100" w:after="100"/>
              <w:rPr>
                <w:rFonts w:eastAsia="SimSun" w:cstheme="minorHAnsi"/>
                <w:iCs/>
                <w:color w:val="000000"/>
              </w:rPr>
            </w:pPr>
            <w:r>
              <w:rPr>
                <w:i/>
                <w:color w:val="000000"/>
              </w:rPr>
              <w:t xml:space="preserve">15. </w:t>
            </w:r>
            <w:r>
              <w:rPr>
                <w:i/>
                <w:iCs/>
                <w:color w:val="000000"/>
              </w:rPr>
              <w:t>Invite</w:t>
            </w:r>
            <w:r>
              <w:rPr>
                <w:color w:val="000000"/>
              </w:rPr>
              <w:t xml:space="preserve"> les pays développés Parties et les autres Parties qui assument volontairement les obligations des pays développés Parties et les autres pays, ainsi que le secteur privé et financier, les organismes de bienfaisance, les organisations non gouvernementales, les entités non souveraines et autres parties prenantes, à contribuer ou à augmenter leurs contributions au </w:t>
            </w:r>
            <w:r w:rsidR="00BA5516">
              <w:rPr>
                <w:color w:val="000000"/>
              </w:rPr>
              <w:t>Fonds du Cadre</w:t>
            </w:r>
            <w:r>
              <w:rPr>
                <w:color w:val="000000"/>
              </w:rPr>
              <w:t xml:space="preserve"> mondial de la biodiversité, afin d’assurer sa capitalisation rapide de manière à ce qu’il contribue à la mise en œuvre du Cadre</w:t>
            </w:r>
            <w:r w:rsidR="00FF72C9">
              <w:rPr>
                <w:color w:val="000000"/>
              </w:rPr>
              <w:t> </w:t>
            </w:r>
            <w:r>
              <w:rPr>
                <w:color w:val="000000"/>
              </w:rPr>
              <w:t>; à compléter le soutien existant</w:t>
            </w:r>
            <w:r w:rsidR="00FF72C9">
              <w:rPr>
                <w:color w:val="000000"/>
              </w:rPr>
              <w:t> </w:t>
            </w:r>
            <w:r>
              <w:rPr>
                <w:color w:val="000000"/>
              </w:rPr>
              <w:t xml:space="preserve">; et à accroître les ressources financières garantissant la mise en œuvre du Cadre en temps opportun, en tenant compte de la nécessité de faire en sorte que les fonds soient adéquats et prévisibles et qu’ils circulent </w:t>
            </w:r>
            <w:r>
              <w:rPr>
                <w:color w:val="000000"/>
              </w:rPr>
              <w:lastRenderedPageBreak/>
              <w:t>rapidement, afin de contribuer à la réalisation de l’ambition quantitative fixée dans la cible</w:t>
            </w:r>
            <w:r w:rsidR="00FF72C9">
              <w:rPr>
                <w:color w:val="000000"/>
              </w:rPr>
              <w:t> </w:t>
            </w:r>
            <w:r>
              <w:rPr>
                <w:color w:val="000000"/>
              </w:rPr>
              <w:t>19 du Cadre</w:t>
            </w:r>
            <w:r w:rsidR="00FF72C9">
              <w:rPr>
                <w:color w:val="000000"/>
              </w:rPr>
              <w:t> </w:t>
            </w:r>
            <w:r>
              <w:rPr>
                <w:color w:val="000000"/>
              </w:rPr>
              <w:t>;</w:t>
            </w:r>
          </w:p>
        </w:tc>
        <w:tc>
          <w:tcPr>
            <w:tcW w:w="2500" w:type="pct"/>
          </w:tcPr>
          <w:p w14:paraId="6847D438" w14:textId="4DB95EA5" w:rsidR="00C004A0" w:rsidRPr="00C67737" w:rsidRDefault="00F450AB" w:rsidP="00495437">
            <w:pPr>
              <w:snapToGrid/>
              <w:spacing w:before="100" w:after="100"/>
              <w:rPr>
                <w:rFonts w:eastAsia="SimSun" w:cstheme="minorHAnsi"/>
                <w:color w:val="000000"/>
              </w:rPr>
            </w:pPr>
            <w:r>
              <w:rPr>
                <w:color w:val="000000"/>
              </w:rPr>
              <w:lastRenderedPageBreak/>
              <w:t>N’appelle pas de réponse.</w:t>
            </w:r>
          </w:p>
        </w:tc>
      </w:tr>
      <w:tr w:rsidR="00C004A0" w:rsidRPr="00C67737" w14:paraId="1E5181B4" w14:textId="77777777" w:rsidTr="00A769A6">
        <w:tc>
          <w:tcPr>
            <w:tcW w:w="2500" w:type="pct"/>
          </w:tcPr>
          <w:p w14:paraId="2EA94293" w14:textId="7CD38CE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16.</w:t>
            </w:r>
            <w:r>
              <w:rPr>
                <w:color w:val="000000"/>
              </w:rPr>
              <w:tab/>
            </w:r>
            <w:r>
              <w:rPr>
                <w:i/>
                <w:iCs/>
                <w:color w:val="000000"/>
              </w:rPr>
              <w:t>Constate avec regret</w:t>
            </w:r>
            <w:r>
              <w:rPr>
                <w:color w:val="000000"/>
              </w:rPr>
              <w:t xml:space="preserve"> l’insuffisance des contributions de la part du secteur privé et financier et des organismes de bienfaisance, des organisations non gouvernementales et des autres parties prenantes au </w:t>
            </w:r>
            <w:r w:rsidR="00BA5516">
              <w:rPr>
                <w:color w:val="000000"/>
              </w:rPr>
              <w:t>Fonds du Cadre</w:t>
            </w:r>
            <w:r>
              <w:rPr>
                <w:color w:val="000000"/>
              </w:rPr>
              <w:t xml:space="preserve"> mondial de la biodiversité et demande au Fonds pour l’environnement mondial et au Conseil du </w:t>
            </w:r>
            <w:r w:rsidR="00BA5516">
              <w:rPr>
                <w:color w:val="000000"/>
              </w:rPr>
              <w:t>Fonds du Cadre</w:t>
            </w:r>
            <w:r>
              <w:rPr>
                <w:color w:val="000000"/>
              </w:rPr>
              <w:t xml:space="preserve"> mondial de la biodiversité d’étudier les moyens d’améliorer la mobilisation des ressources et de rendre compte des progrès accomplis à la Conférence des Parties à sa dix-septième réunion</w:t>
            </w:r>
            <w:r w:rsidR="00FF72C9">
              <w:rPr>
                <w:color w:val="000000"/>
              </w:rPr>
              <w:t> </w:t>
            </w:r>
            <w:r>
              <w:rPr>
                <w:color w:val="000000"/>
              </w:rPr>
              <w:t>;</w:t>
            </w:r>
          </w:p>
          <w:p w14:paraId="2E6BBDB9" w14:textId="77777777" w:rsidR="00C004A0" w:rsidRPr="00C67737" w:rsidRDefault="00C004A0" w:rsidP="00495437">
            <w:pPr>
              <w:snapToGrid/>
              <w:spacing w:before="100" w:after="100"/>
              <w:rPr>
                <w:rFonts w:eastAsia="SimSun" w:cstheme="minorHAnsi"/>
                <w:iCs/>
                <w:color w:val="000000"/>
              </w:rPr>
            </w:pPr>
          </w:p>
        </w:tc>
        <w:tc>
          <w:tcPr>
            <w:tcW w:w="2500" w:type="pct"/>
          </w:tcPr>
          <w:p w14:paraId="7A437DA1" w14:textId="3F65748B" w:rsidR="00C004A0" w:rsidRPr="00C67737" w:rsidRDefault="00C004A0" w:rsidP="00495437">
            <w:pPr>
              <w:snapToGrid/>
              <w:spacing w:before="100" w:after="100"/>
              <w:rPr>
                <w:rFonts w:cstheme="minorHAnsi"/>
                <w:color w:val="000000"/>
              </w:rPr>
            </w:pPr>
            <w:r>
              <w:rPr>
                <w:color w:val="000000"/>
              </w:rPr>
              <w:t xml:space="preserve">Le GBFF est conçu pour recevoir des contributions de pays souverains, </w:t>
            </w:r>
            <w:r w:rsidR="00A037C3">
              <w:rPr>
                <w:color w:val="000000"/>
              </w:rPr>
              <w:t>a</w:t>
            </w:r>
            <w:r w:rsidR="00A037C3">
              <w:t>insi que</w:t>
            </w:r>
            <w:r>
              <w:rPr>
                <w:color w:val="000000"/>
              </w:rPr>
              <w:t xml:space="preserve"> de partenaires non souverains, </w:t>
            </w:r>
            <w:r w:rsidR="002D50C8">
              <w:rPr>
                <w:color w:val="000000"/>
              </w:rPr>
              <w:t>n</w:t>
            </w:r>
            <w:r w:rsidR="002D50C8">
              <w:t>otamment d’</w:t>
            </w:r>
            <w:r>
              <w:rPr>
                <w:color w:val="000000"/>
              </w:rPr>
              <w:t>entités infranationales, d</w:t>
            </w:r>
            <w:r w:rsidR="002D50C8">
              <w:rPr>
                <w:color w:val="000000"/>
              </w:rPr>
              <w:t>’</w:t>
            </w:r>
            <w:r>
              <w:rPr>
                <w:color w:val="000000"/>
              </w:rPr>
              <w:t>institutions publiques régionales, d</w:t>
            </w:r>
            <w:r w:rsidR="002D50C8">
              <w:rPr>
                <w:color w:val="000000"/>
              </w:rPr>
              <w:t>’</w:t>
            </w:r>
            <w:r>
              <w:rPr>
                <w:color w:val="000000"/>
              </w:rPr>
              <w:t>organisations philanthropiques et d</w:t>
            </w:r>
            <w:r w:rsidR="002D50C8">
              <w:rPr>
                <w:color w:val="000000"/>
              </w:rPr>
              <w:t>’</w:t>
            </w:r>
            <w:r>
              <w:rPr>
                <w:color w:val="000000"/>
              </w:rPr>
              <w:t>acteurs du secteur privé. Tout nouveau contributeur non souverain au Fonds doit faire l’objet d’une procédure de diligence raisonnable. Le GBFF a déjà reçu une contribution d’un gouvernement infranational</w:t>
            </w:r>
            <w:r w:rsidR="006E54C7">
              <w:rPr>
                <w:color w:val="000000"/>
              </w:rPr>
              <w:t> :</w:t>
            </w:r>
            <w:r>
              <w:rPr>
                <w:color w:val="000000"/>
              </w:rPr>
              <w:t xml:space="preserve"> la province de Québec.</w:t>
            </w:r>
          </w:p>
          <w:p w14:paraId="0ECFA6E1" w14:textId="1226C891" w:rsidR="00C004A0" w:rsidRPr="00C67737" w:rsidRDefault="00C004A0" w:rsidP="00495437">
            <w:pPr>
              <w:snapToGrid/>
              <w:spacing w:before="100" w:after="100"/>
              <w:rPr>
                <w:rFonts w:cstheme="minorHAnsi"/>
                <w:color w:val="000000"/>
              </w:rPr>
            </w:pPr>
            <w:r>
              <w:rPr>
                <w:color w:val="000000"/>
              </w:rPr>
              <w:t>En 2025, le Secrétariat du GBFF a recruté un spécialiste principal de la mobilisation des ressources.</w:t>
            </w:r>
          </w:p>
          <w:p w14:paraId="2C665EAA" w14:textId="1B9CEFF3" w:rsidR="0062618F" w:rsidRPr="00C67737" w:rsidRDefault="00567620" w:rsidP="00495437">
            <w:pPr>
              <w:snapToGrid/>
              <w:spacing w:before="100" w:after="100"/>
              <w:rPr>
                <w:rFonts w:cstheme="minorHAnsi"/>
                <w:color w:val="000000"/>
              </w:rPr>
            </w:pPr>
            <w:r>
              <w:t xml:space="preserve">En juin 2026, à sa sixième réunion, le Conseil du GBFF a approuvé le document intitulé </w:t>
            </w:r>
            <w:proofErr w:type="spellStart"/>
            <w:r w:rsidRPr="00CF5665">
              <w:rPr>
                <w:i/>
                <w:iCs/>
              </w:rPr>
              <w:t>Towards</w:t>
            </w:r>
            <w:proofErr w:type="spellEnd"/>
            <w:r w:rsidRPr="00CF5665">
              <w:rPr>
                <w:i/>
                <w:iCs/>
              </w:rPr>
              <w:t xml:space="preserve"> a Resource </w:t>
            </w:r>
            <w:proofErr w:type="spellStart"/>
            <w:r w:rsidRPr="00CF5665">
              <w:rPr>
                <w:i/>
                <w:iCs/>
              </w:rPr>
              <w:t>Mobilization</w:t>
            </w:r>
            <w:proofErr w:type="spellEnd"/>
            <w:r w:rsidRPr="00CF5665">
              <w:rPr>
                <w:i/>
                <w:iCs/>
              </w:rPr>
              <w:t xml:space="preserve"> </w:t>
            </w:r>
            <w:proofErr w:type="spellStart"/>
            <w:r w:rsidRPr="00CF5665">
              <w:rPr>
                <w:i/>
                <w:iCs/>
              </w:rPr>
              <w:t>Strategy</w:t>
            </w:r>
            <w:proofErr w:type="spellEnd"/>
            <w:r w:rsidRPr="00CF5665">
              <w:rPr>
                <w:i/>
                <w:iCs/>
              </w:rPr>
              <w:t xml:space="preserve"> for the Global </w:t>
            </w:r>
            <w:proofErr w:type="spellStart"/>
            <w:r w:rsidRPr="00CF5665">
              <w:rPr>
                <w:i/>
                <w:iCs/>
              </w:rPr>
              <w:t>Biodiversity</w:t>
            </w:r>
            <w:proofErr w:type="spellEnd"/>
            <w:r w:rsidRPr="00CF5665">
              <w:rPr>
                <w:i/>
                <w:iCs/>
              </w:rPr>
              <w:t xml:space="preserve"> Framework </w:t>
            </w:r>
            <w:proofErr w:type="spellStart"/>
            <w:r w:rsidRPr="00CF5665">
              <w:rPr>
                <w:i/>
                <w:iCs/>
              </w:rPr>
              <w:t>Fund</w:t>
            </w:r>
            <w:proofErr w:type="spellEnd"/>
            <w:r w:rsidRPr="00CF5665">
              <w:rPr>
                <w:i/>
                <w:iCs/>
              </w:rPr>
              <w:t xml:space="preserve"> 2026</w:t>
            </w:r>
            <w:r w:rsidR="005B2E78">
              <w:rPr>
                <w:i/>
                <w:iCs/>
              </w:rPr>
              <w:t>–</w:t>
            </w:r>
            <w:r w:rsidRPr="00CF5665">
              <w:rPr>
                <w:i/>
                <w:iCs/>
              </w:rPr>
              <w:t>2030</w:t>
            </w:r>
            <w:r w:rsidRPr="00C67737">
              <w:rPr>
                <w:rStyle w:val="FootnoteReference"/>
                <w:rFonts w:cstheme="minorHAnsi"/>
                <w:color w:val="000000"/>
              </w:rPr>
              <w:footnoteReference w:id="59"/>
            </w:r>
            <w:r w:rsidR="00713CEA">
              <w:rPr>
                <w:i/>
                <w:iCs/>
              </w:rPr>
              <w:t xml:space="preserve">, qui </w:t>
            </w:r>
            <w:r>
              <w:t xml:space="preserve">présente une </w:t>
            </w:r>
            <w:r w:rsidR="00713CEA">
              <w:t>démarche</w:t>
            </w:r>
            <w:r>
              <w:t xml:space="preserve"> systématique et un plan de mise en œuvre visant à élargir et à diversifier la base de donateurs, afin d’accroître les contributions au GBFF provenant de toutes les sources.</w:t>
            </w:r>
            <w:r>
              <w:rPr>
                <w:color w:val="000000"/>
              </w:rPr>
              <w:t xml:space="preserve"> Le document </w:t>
            </w:r>
            <w:r w:rsidR="00F02265">
              <w:rPr>
                <w:color w:val="000000"/>
              </w:rPr>
              <w:t>a</w:t>
            </w:r>
            <w:r>
              <w:rPr>
                <w:color w:val="000000"/>
              </w:rPr>
              <w:t xml:space="preserve"> été révisé à la lumière des recommandations du Groupe de travail spécial sur la prévisibilité d</w:t>
            </w:r>
            <w:r w:rsidR="00E53C1E">
              <w:rPr>
                <w:color w:val="000000"/>
              </w:rPr>
              <w:t>es</w:t>
            </w:r>
            <w:r>
              <w:rPr>
                <w:color w:val="000000"/>
              </w:rPr>
              <w:t xml:space="preserve"> financement</w:t>
            </w:r>
            <w:r w:rsidR="00E53C1E">
              <w:rPr>
                <w:color w:val="000000"/>
              </w:rPr>
              <w:t>s</w:t>
            </w:r>
            <w:r>
              <w:rPr>
                <w:color w:val="000000"/>
              </w:rPr>
              <w:t>, établi par le Conseil du GBFF lors de sa cinquième réunion. Ce groupe avait pour mandat d’examiner les moyens d’améliorer et de renforcer la prévisibilité des contributions au GBFF, notamment par des annonces de contributions pluriannuelles et l’examen des possibilités offertes par des barèmes indicatifs de contributions volontaires</w:t>
            </w:r>
            <w:r w:rsidR="00D36845" w:rsidRPr="00C67737">
              <w:rPr>
                <w:rFonts w:cstheme="minorHAnsi"/>
                <w:color w:val="000000"/>
                <w:vertAlign w:val="superscript"/>
              </w:rPr>
              <w:footnoteReference w:id="60"/>
            </w:r>
            <w:r>
              <w:rPr>
                <w:color w:val="000000"/>
              </w:rPr>
              <w:t xml:space="preserve">. </w:t>
            </w:r>
          </w:p>
          <w:p w14:paraId="73977B0E" w14:textId="56EE859F" w:rsidR="00904035" w:rsidRPr="00C67737" w:rsidRDefault="002C2CD6" w:rsidP="00495437">
            <w:pPr>
              <w:snapToGrid/>
              <w:spacing w:before="100" w:after="100"/>
              <w:rPr>
                <w:rFonts w:cstheme="minorHAnsi"/>
                <w:color w:val="000000"/>
              </w:rPr>
            </w:pPr>
            <w:r>
              <w:rPr>
                <w:color w:val="000000"/>
              </w:rPr>
              <w:t>Le</w:t>
            </w:r>
            <w:r w:rsidR="00C004A0">
              <w:rPr>
                <w:color w:val="000000"/>
              </w:rPr>
              <w:t xml:space="preserve"> </w:t>
            </w:r>
            <w:r w:rsidR="006B4F07">
              <w:rPr>
                <w:color w:val="000000"/>
              </w:rPr>
              <w:t>G</w:t>
            </w:r>
            <w:r w:rsidR="00C004A0">
              <w:rPr>
                <w:color w:val="000000"/>
              </w:rPr>
              <w:t xml:space="preserve">roupe consultatif des participants non souverains du GBFF a également été créé afin de fournir au Conseil et au Secrétariat du GBFF des avis techniques sur la mobilisation des contributeurs non souverains, à l’appui de la </w:t>
            </w:r>
            <w:r w:rsidR="00C004A0">
              <w:rPr>
                <w:color w:val="000000"/>
              </w:rPr>
              <w:lastRenderedPageBreak/>
              <w:t xml:space="preserve">réalisation des objectifs du GBFF et de la mise en œuvre de ses </w:t>
            </w:r>
            <w:r w:rsidR="00F02738">
              <w:rPr>
                <w:color w:val="000000"/>
              </w:rPr>
              <w:t>orientations programmatiques</w:t>
            </w:r>
            <w:r w:rsidR="00C004A0">
              <w:rPr>
                <w:color w:val="000000"/>
              </w:rPr>
              <w:t xml:space="preserve">. </w:t>
            </w:r>
            <w:r w:rsidR="00C31AA8">
              <w:rPr>
                <w:color w:val="000000"/>
              </w:rPr>
              <w:t>Il</w:t>
            </w:r>
            <w:r w:rsidR="00C004A0">
              <w:rPr>
                <w:color w:val="000000"/>
              </w:rPr>
              <w:t xml:space="preserve"> compte quatre membres</w:t>
            </w:r>
            <w:r w:rsidR="006E54C7">
              <w:rPr>
                <w:color w:val="000000"/>
              </w:rPr>
              <w:t> :</w:t>
            </w:r>
            <w:r w:rsidR="00C004A0">
              <w:rPr>
                <w:color w:val="000000"/>
              </w:rPr>
              <w:t xml:space="preserve"> la province de Québec, en tant que contributeur non souverain, ainsi que trois membres ne versant pas de contribution</w:t>
            </w:r>
            <w:r w:rsidR="006E54C7">
              <w:rPr>
                <w:color w:val="000000"/>
              </w:rPr>
              <w:t> :</w:t>
            </w:r>
            <w:r w:rsidR="00C004A0">
              <w:rPr>
                <w:color w:val="000000"/>
              </w:rPr>
              <w:t xml:space="preserve"> le Département sénatorial de la mobilité, des transports, de l’action climatique et de l’environnement du Land de Berlin, représent</w:t>
            </w:r>
            <w:r w:rsidR="00433896">
              <w:rPr>
                <w:color w:val="000000"/>
              </w:rPr>
              <w:t>ant</w:t>
            </w:r>
            <w:r w:rsidR="00C004A0">
              <w:rPr>
                <w:color w:val="000000"/>
              </w:rPr>
              <w:t xml:space="preserve"> les institutions publiques infranationales et régionales</w:t>
            </w:r>
            <w:r w:rsidR="00FF72C9">
              <w:rPr>
                <w:color w:val="000000"/>
              </w:rPr>
              <w:t> </w:t>
            </w:r>
            <w:r w:rsidR="00C004A0">
              <w:rPr>
                <w:color w:val="000000"/>
              </w:rPr>
              <w:t>; Mme</w:t>
            </w:r>
            <w:r w:rsidR="00FF72C9">
              <w:rPr>
                <w:color w:val="000000"/>
              </w:rPr>
              <w:t> </w:t>
            </w:r>
            <w:r w:rsidR="00C004A0">
              <w:rPr>
                <w:color w:val="000000"/>
              </w:rPr>
              <w:t>Simone Carolina Bauch et Mme</w:t>
            </w:r>
            <w:r w:rsidR="00FF72C9">
              <w:rPr>
                <w:color w:val="000000"/>
              </w:rPr>
              <w:t> </w:t>
            </w:r>
            <w:r w:rsidR="00C004A0">
              <w:rPr>
                <w:color w:val="000000"/>
              </w:rPr>
              <w:t xml:space="preserve">Stéphanie Flora Capdeville, expertes de la mobilisation de ressources en faveur de la diversité biologique et/ou du financement de la conservation. </w:t>
            </w:r>
          </w:p>
          <w:p w14:paraId="2B776459" w14:textId="71C7BDCE" w:rsidR="00692C29" w:rsidRPr="00C67737" w:rsidRDefault="00692C29" w:rsidP="00495437">
            <w:pPr>
              <w:spacing w:before="100" w:after="100"/>
              <w:rPr>
                <w:rFonts w:cstheme="minorHAnsi"/>
                <w:color w:val="000000"/>
              </w:rPr>
            </w:pPr>
            <w:r>
              <w:rPr>
                <w:color w:val="000000"/>
              </w:rPr>
              <w:t>En juin 2026, une nouvelle collaboration entre le GEF et la</w:t>
            </w:r>
            <w:r>
              <w:t xml:space="preserve"> </w:t>
            </w:r>
            <w:hyperlink r:id="rId31" w:tgtFrame="_blank" w:history="1">
              <w:r>
                <w:rPr>
                  <w:rStyle w:val="Hyperlink"/>
                </w:rPr>
                <w:t>Rob Walton Foundation (RWF)</w:t>
              </w:r>
            </w:hyperlink>
            <w:r>
              <w:t xml:space="preserve">, </w:t>
            </w:r>
            <w:r>
              <w:rPr>
                <w:color w:val="000000"/>
              </w:rPr>
              <w:t>organisation philanthropique établie aux États-Unis, a été annoncée</w:t>
            </w:r>
            <w:r w:rsidRPr="00C67737">
              <w:rPr>
                <w:rStyle w:val="FootnoteReference"/>
                <w:rFonts w:cstheme="minorHAnsi"/>
                <w:color w:val="000000"/>
              </w:rPr>
              <w:footnoteReference w:id="61"/>
            </w:r>
            <w:r>
              <w:rPr>
                <w:color w:val="000000"/>
              </w:rPr>
              <w:t xml:space="preserve">. Les pays admissibles au GEF qui choisiront d’orienter des ressources de </w:t>
            </w:r>
            <w:r w:rsidR="00376C22">
              <w:rPr>
                <w:color w:val="000000"/>
              </w:rPr>
              <w:t>GEF</w:t>
            </w:r>
            <w:r w:rsidR="00376C22">
              <w:rPr>
                <w:color w:val="000000"/>
              </w:rPr>
              <w:noBreakHyphen/>
            </w:r>
            <w:r>
              <w:rPr>
                <w:color w:val="000000"/>
              </w:rPr>
              <w:t xml:space="preserve">9 — y compris des ressources </w:t>
            </w:r>
            <w:r w:rsidR="00CD3559">
              <w:rPr>
                <w:color w:val="000000"/>
              </w:rPr>
              <w:t>du Fonds fiduciaire</w:t>
            </w:r>
            <w:r>
              <w:rPr>
                <w:color w:val="000000"/>
              </w:rPr>
              <w:t xml:space="preserve"> du GEF et du GBFF — vers des organisations non gouvernementales œuvrant dans des aires protégées essentielles pourront </w:t>
            </w:r>
            <w:r w:rsidR="00E7158A">
              <w:rPr>
                <w:color w:val="000000"/>
              </w:rPr>
              <w:t>obtenir de la RWF</w:t>
            </w:r>
            <w:r>
              <w:rPr>
                <w:color w:val="000000"/>
              </w:rPr>
              <w:t xml:space="preserve"> de</w:t>
            </w:r>
            <w:r w:rsidR="002767EF">
              <w:rPr>
                <w:color w:val="000000"/>
              </w:rPr>
              <w:t>s</w:t>
            </w:r>
            <w:r>
              <w:rPr>
                <w:color w:val="000000"/>
              </w:rPr>
              <w:t xml:space="preserve"> financements philanthropiques de contrepartie. La RWF s’est engagée à fournir jusqu’à 50</w:t>
            </w:r>
            <w:r w:rsidR="00FF72C9">
              <w:rPr>
                <w:color w:val="000000"/>
              </w:rPr>
              <w:t> </w:t>
            </w:r>
            <w:r>
              <w:rPr>
                <w:color w:val="000000"/>
              </w:rPr>
              <w:t xml:space="preserve">millions de dollars en financements de contrepartie et se </w:t>
            </w:r>
            <w:r w:rsidR="001E3DE5">
              <w:rPr>
                <w:color w:val="000000"/>
              </w:rPr>
              <w:t>déclare</w:t>
            </w:r>
            <w:r>
              <w:rPr>
                <w:color w:val="000000"/>
              </w:rPr>
              <w:t xml:space="preserve"> disposée à investir davantage si les pays africains manifestent un intérêt accru.  </w:t>
            </w:r>
          </w:p>
        </w:tc>
      </w:tr>
      <w:tr w:rsidR="00C004A0" w:rsidRPr="00C67737" w14:paraId="0D010799" w14:textId="77777777" w:rsidTr="00A769A6">
        <w:tc>
          <w:tcPr>
            <w:tcW w:w="2500" w:type="pct"/>
          </w:tcPr>
          <w:p w14:paraId="37E998EE" w14:textId="3ADB2BB5" w:rsidR="00C004A0" w:rsidRPr="00C67737" w:rsidRDefault="00C004A0" w:rsidP="00495437">
            <w:pPr>
              <w:snapToGrid/>
              <w:spacing w:before="100" w:after="100"/>
              <w:rPr>
                <w:rFonts w:eastAsia="SimSun" w:cstheme="minorHAnsi"/>
                <w:iCs/>
                <w:color w:val="000000"/>
              </w:rPr>
            </w:pPr>
            <w:r>
              <w:rPr>
                <w:i/>
                <w:color w:val="000000"/>
              </w:rPr>
              <w:lastRenderedPageBreak/>
              <w:t xml:space="preserve">17. </w:t>
            </w:r>
            <w:r>
              <w:rPr>
                <w:color w:val="000000"/>
              </w:rPr>
              <w:t xml:space="preserve">Demande au Fonds pour l’environnement mondial et au Conseil du </w:t>
            </w:r>
            <w:r w:rsidR="00BA5516">
              <w:rPr>
                <w:color w:val="000000"/>
              </w:rPr>
              <w:t>Fonds du Cadre</w:t>
            </w:r>
            <w:r>
              <w:rPr>
                <w:color w:val="000000"/>
              </w:rPr>
              <w:t xml:space="preserve"> mondial de la biodiversité d’étudier les moyens d</w:t>
            </w:r>
            <w:r w:rsidR="00FF72C9">
              <w:rPr>
                <w:color w:val="000000"/>
              </w:rPr>
              <w:t>’</w:t>
            </w:r>
            <w:r>
              <w:rPr>
                <w:color w:val="000000"/>
              </w:rPr>
              <w:t>améliorer et de renforcer la prévisibilité du financement de la mise en œuvre du Cadre en temps voulu, y compris au moyen d</w:t>
            </w:r>
            <w:r w:rsidR="00FF72C9">
              <w:rPr>
                <w:color w:val="000000"/>
              </w:rPr>
              <w:t>’</w:t>
            </w:r>
            <w:r>
              <w:rPr>
                <w:color w:val="000000"/>
              </w:rPr>
              <w:t>annonces de contributions pluriannuelles et en examinant les possibilités de barèmes indicatifs de contributions volontaires, et rendre compte de cette question pour examen par la Conférence des Parties à sa dix-septième réunion.</w:t>
            </w:r>
            <w:r w:rsidR="006E54C7">
              <w:rPr>
                <w:color w:val="000000"/>
              </w:rPr>
              <w:t> ;</w:t>
            </w:r>
          </w:p>
        </w:tc>
        <w:tc>
          <w:tcPr>
            <w:tcW w:w="2500" w:type="pct"/>
          </w:tcPr>
          <w:p w14:paraId="765DF265" w14:textId="3F813AE3" w:rsidR="00DA6186" w:rsidRPr="00C67737" w:rsidRDefault="00610668" w:rsidP="00495437">
            <w:pPr>
              <w:snapToGrid/>
              <w:spacing w:before="100" w:after="100"/>
              <w:rPr>
                <w:rFonts w:eastAsia="SimSun" w:cstheme="minorHAnsi"/>
                <w:color w:val="000000"/>
              </w:rPr>
            </w:pPr>
            <w:r>
              <w:rPr>
                <w:color w:val="000000"/>
              </w:rPr>
              <w:t xml:space="preserve">Le modèle de capitalisation </w:t>
            </w:r>
            <w:r w:rsidR="00CD3559">
              <w:rPr>
                <w:color w:val="000000"/>
              </w:rPr>
              <w:t xml:space="preserve">du fonds fiduciaire </w:t>
            </w:r>
            <w:r>
              <w:rPr>
                <w:color w:val="000000"/>
              </w:rPr>
              <w:t xml:space="preserve">du GEF, fondé sur des reconstitutions périodiques de ses ressources, favorise la prévisibilité des financements sur des cycles de quatre ans. En décembre 2024, le Conseil du GEF a décidé d’engager le processus de reconstitution des ressources de </w:t>
            </w:r>
            <w:r w:rsidR="00376C22">
              <w:rPr>
                <w:color w:val="000000"/>
              </w:rPr>
              <w:t>GEF</w:t>
            </w:r>
            <w:r w:rsidR="00376C22">
              <w:rPr>
                <w:color w:val="000000"/>
              </w:rPr>
              <w:noBreakHyphen/>
            </w:r>
            <w:r>
              <w:rPr>
                <w:color w:val="000000"/>
              </w:rPr>
              <w:t>9, qui permettr</w:t>
            </w:r>
            <w:r w:rsidR="00E15F9E">
              <w:rPr>
                <w:color w:val="000000"/>
              </w:rPr>
              <w:t>a</w:t>
            </w:r>
            <w:r>
              <w:rPr>
                <w:color w:val="000000"/>
              </w:rPr>
              <w:t xml:space="preserve"> </w:t>
            </w:r>
            <w:r w:rsidR="0027276A">
              <w:rPr>
                <w:color w:val="000000"/>
              </w:rPr>
              <w:t>de</w:t>
            </w:r>
            <w:r w:rsidR="00BE259B">
              <w:rPr>
                <w:color w:val="000000"/>
              </w:rPr>
              <w:t xml:space="preserve"> </w:t>
            </w:r>
            <w:r w:rsidR="00753679" w:rsidRPr="00753679">
              <w:rPr>
                <w:color w:val="000000"/>
              </w:rPr>
              <w:t>dégager des ressources supplémentaires</w:t>
            </w:r>
            <w:r>
              <w:rPr>
                <w:color w:val="000000"/>
              </w:rPr>
              <w:t xml:space="preserve"> </w:t>
            </w:r>
            <w:r w:rsidR="00753679">
              <w:rPr>
                <w:color w:val="000000"/>
              </w:rPr>
              <w:t>pour</w:t>
            </w:r>
            <w:r>
              <w:rPr>
                <w:color w:val="000000"/>
              </w:rPr>
              <w:t xml:space="preserve"> la mise en œuvre du KMGBF dans les délais prévus. Ce processus s’est achevé lorsque le Conseil du GEF a approuvé l’ensemble des éléments relatifs à la reconstitution à sa réunion de juin 2026. Comme l’a souligné le sixième examen de l’efficacité du mécanisme de financement, les ressources </w:t>
            </w:r>
            <w:r w:rsidR="006E573E">
              <w:rPr>
                <w:color w:val="000000"/>
              </w:rPr>
              <w:t>de celui-ci</w:t>
            </w:r>
            <w:r>
              <w:rPr>
                <w:color w:val="000000"/>
              </w:rPr>
              <w:t xml:space="preserve"> sont </w:t>
            </w:r>
            <w:r>
              <w:rPr>
                <w:color w:val="000000"/>
              </w:rPr>
              <w:lastRenderedPageBreak/>
              <w:t xml:space="preserve">également </w:t>
            </w:r>
            <w:r w:rsidR="006E573E">
              <w:rPr>
                <w:color w:val="000000"/>
              </w:rPr>
              <w:t xml:space="preserve">fournies </w:t>
            </w:r>
            <w:r>
              <w:rPr>
                <w:color w:val="000000"/>
              </w:rPr>
              <w:t xml:space="preserve">de manière prévisible grâce à </w:t>
            </w:r>
            <w:r w:rsidR="00BE259B">
              <w:rPr>
                <w:color w:val="000000"/>
              </w:rPr>
              <w:t>la</w:t>
            </w:r>
            <w:r w:rsidR="00E04FEA">
              <w:rPr>
                <w:color w:val="000000"/>
              </w:rPr>
              <w:t xml:space="preserve"> mise en œuvre </w:t>
            </w:r>
            <w:r>
              <w:rPr>
                <w:color w:val="000000"/>
              </w:rPr>
              <w:t xml:space="preserve">du Système transparent d’allocation des ressources (STAR). La reconstitution des ressources de </w:t>
            </w:r>
            <w:r w:rsidR="00376C22">
              <w:rPr>
                <w:color w:val="000000"/>
              </w:rPr>
              <w:t>GEF</w:t>
            </w:r>
            <w:r w:rsidR="00376C22">
              <w:rPr>
                <w:color w:val="000000"/>
              </w:rPr>
              <w:noBreakHyphen/>
            </w:r>
            <w:r>
              <w:rPr>
                <w:color w:val="000000"/>
              </w:rPr>
              <w:t xml:space="preserve">9 a confirmé le maintien du STAR, ainsi qu’une part </w:t>
            </w:r>
            <w:r w:rsidR="00EC5BD8">
              <w:rPr>
                <w:color w:val="000000"/>
              </w:rPr>
              <w:t>élevée</w:t>
            </w:r>
            <w:r>
              <w:rPr>
                <w:color w:val="000000"/>
              </w:rPr>
              <w:t xml:space="preserve"> en faveur du domaine d’intervention «</w:t>
            </w:r>
            <w:r w:rsidR="00FF72C9">
              <w:rPr>
                <w:color w:val="000000"/>
              </w:rPr>
              <w:t> </w:t>
            </w:r>
            <w:r>
              <w:rPr>
                <w:color w:val="000000"/>
              </w:rPr>
              <w:t>diversité biologique</w:t>
            </w:r>
            <w:r w:rsidR="00FF72C9">
              <w:rPr>
                <w:color w:val="000000"/>
              </w:rPr>
              <w:t> </w:t>
            </w:r>
            <w:r>
              <w:rPr>
                <w:color w:val="000000"/>
              </w:rPr>
              <w:t>», qui demeure, avec 35</w:t>
            </w:r>
            <w:r w:rsidR="00966C17">
              <w:rPr>
                <w:color w:val="000000"/>
              </w:rPr>
              <w:t> %</w:t>
            </w:r>
            <w:r w:rsidR="00765B23">
              <w:rPr>
                <w:color w:val="000000"/>
              </w:rPr>
              <w:t>, d</w:t>
            </w:r>
            <w:r w:rsidR="00765B23" w:rsidRPr="00765B23">
              <w:rPr>
                <w:color w:val="000000"/>
              </w:rPr>
              <w:t xml:space="preserve">e loin le principal domaine d’intervention du GEF. </w:t>
            </w:r>
            <w:r w:rsidR="00DE1A6B">
              <w:rPr>
                <w:color w:val="000000"/>
              </w:rPr>
              <w:t>Il a également été décidé</w:t>
            </w:r>
            <w:r w:rsidR="00765B23" w:rsidRPr="00765B23">
              <w:rPr>
                <w:color w:val="000000"/>
              </w:rPr>
              <w:t xml:space="preserve"> que 70</w:t>
            </w:r>
            <w:r w:rsidR="00966C17">
              <w:rPr>
                <w:color w:val="000000"/>
              </w:rPr>
              <w:t> %</w:t>
            </w:r>
            <w:r w:rsidR="00765B23" w:rsidRPr="00765B23">
              <w:rPr>
                <w:color w:val="000000"/>
              </w:rPr>
              <w:t xml:space="preserve"> de l’ensemble des financements du GEF soient pertinents pour la biodiversité, selon la méthodologie des marqueurs de Rio.</w:t>
            </w:r>
            <w:r>
              <w:rPr>
                <w:color w:val="000000"/>
              </w:rPr>
              <w:t xml:space="preserve"> </w:t>
            </w:r>
          </w:p>
          <w:p w14:paraId="1FB32734" w14:textId="13095174" w:rsidR="00661220" w:rsidRPr="00C67737" w:rsidRDefault="00D6737B" w:rsidP="00495437">
            <w:pPr>
              <w:snapToGrid/>
              <w:spacing w:before="100" w:after="100"/>
              <w:rPr>
                <w:rFonts w:cstheme="minorHAnsi"/>
                <w:color w:val="000000"/>
              </w:rPr>
            </w:pPr>
            <w:r>
              <w:rPr>
                <w:color w:val="000000"/>
              </w:rPr>
              <w:t xml:space="preserve">Après avoir examiné le document </w:t>
            </w:r>
            <w:proofErr w:type="spellStart"/>
            <w:r w:rsidRPr="00CF5665">
              <w:rPr>
                <w:i/>
                <w:iCs/>
                <w:color w:val="000000"/>
              </w:rPr>
              <w:t>Towards</w:t>
            </w:r>
            <w:proofErr w:type="spellEnd"/>
            <w:r w:rsidRPr="00CF5665">
              <w:rPr>
                <w:i/>
                <w:iCs/>
                <w:color w:val="000000"/>
              </w:rPr>
              <w:t xml:space="preserve"> a Resource </w:t>
            </w:r>
            <w:proofErr w:type="spellStart"/>
            <w:r w:rsidRPr="00CF5665">
              <w:rPr>
                <w:i/>
                <w:iCs/>
                <w:color w:val="000000"/>
              </w:rPr>
              <w:t>Mobilization</w:t>
            </w:r>
            <w:proofErr w:type="spellEnd"/>
            <w:r w:rsidRPr="00CF5665">
              <w:rPr>
                <w:i/>
                <w:iCs/>
                <w:color w:val="000000"/>
              </w:rPr>
              <w:t xml:space="preserve"> </w:t>
            </w:r>
            <w:proofErr w:type="spellStart"/>
            <w:r w:rsidRPr="00CF5665">
              <w:rPr>
                <w:i/>
                <w:iCs/>
                <w:color w:val="000000"/>
              </w:rPr>
              <w:t>Strategy</w:t>
            </w:r>
            <w:proofErr w:type="spellEnd"/>
            <w:r w:rsidRPr="00CF5665">
              <w:rPr>
                <w:i/>
                <w:iCs/>
                <w:color w:val="000000"/>
              </w:rPr>
              <w:t xml:space="preserve"> for the Global </w:t>
            </w:r>
            <w:proofErr w:type="spellStart"/>
            <w:r w:rsidRPr="00CF5665">
              <w:rPr>
                <w:i/>
                <w:iCs/>
                <w:color w:val="000000"/>
              </w:rPr>
              <w:t>Biodiversity</w:t>
            </w:r>
            <w:proofErr w:type="spellEnd"/>
            <w:r w:rsidRPr="00CF5665">
              <w:rPr>
                <w:i/>
                <w:iCs/>
                <w:color w:val="000000"/>
              </w:rPr>
              <w:t xml:space="preserve"> Framework </w:t>
            </w:r>
            <w:proofErr w:type="spellStart"/>
            <w:r w:rsidRPr="00CF5665">
              <w:rPr>
                <w:i/>
                <w:iCs/>
                <w:color w:val="000000"/>
              </w:rPr>
              <w:t>Fund</w:t>
            </w:r>
            <w:proofErr w:type="spellEnd"/>
            <w:r w:rsidR="005B2E78">
              <w:rPr>
                <w:i/>
                <w:iCs/>
                <w:color w:val="000000"/>
              </w:rPr>
              <w:t> </w:t>
            </w:r>
            <w:r w:rsidRPr="00CF5665">
              <w:rPr>
                <w:i/>
                <w:iCs/>
                <w:color w:val="000000"/>
              </w:rPr>
              <w:t>2025</w:t>
            </w:r>
            <w:r w:rsidR="005B2E78">
              <w:rPr>
                <w:i/>
                <w:iCs/>
                <w:color w:val="000000"/>
              </w:rPr>
              <w:t>—</w:t>
            </w:r>
            <w:r w:rsidRPr="00CF5665">
              <w:rPr>
                <w:i/>
                <w:iCs/>
                <w:color w:val="000000"/>
              </w:rPr>
              <w:t>2030</w:t>
            </w:r>
            <w:r>
              <w:rPr>
                <w:color w:val="000000"/>
              </w:rPr>
              <w:t>, le Conseil du GBFF, à sa cinquième réunion, a décidé de créer un Groupe de travail spécial sur la prévisibilité d</w:t>
            </w:r>
            <w:r w:rsidR="00C538A7">
              <w:rPr>
                <w:color w:val="000000"/>
              </w:rPr>
              <w:t xml:space="preserve">es </w:t>
            </w:r>
            <w:r>
              <w:rPr>
                <w:color w:val="000000"/>
              </w:rPr>
              <w:t>financement</w:t>
            </w:r>
            <w:r w:rsidR="00C538A7">
              <w:rPr>
                <w:color w:val="000000"/>
              </w:rPr>
              <w:t>s.</w:t>
            </w:r>
            <w:r>
              <w:rPr>
                <w:color w:val="000000"/>
              </w:rPr>
              <w:t xml:space="preserve"> </w:t>
            </w:r>
            <w:r w:rsidR="008D66B8">
              <w:rPr>
                <w:color w:val="000000"/>
              </w:rPr>
              <w:t>Ce</w:t>
            </w:r>
            <w:r>
              <w:rPr>
                <w:color w:val="000000"/>
              </w:rPr>
              <w:t xml:space="preserve"> </w:t>
            </w:r>
            <w:r w:rsidR="00C538A7">
              <w:rPr>
                <w:color w:val="000000"/>
              </w:rPr>
              <w:t>g</w:t>
            </w:r>
            <w:r>
              <w:rPr>
                <w:color w:val="000000"/>
              </w:rPr>
              <w:t xml:space="preserve">roupe </w:t>
            </w:r>
            <w:r w:rsidR="00AD62C3">
              <w:rPr>
                <w:color w:val="000000"/>
              </w:rPr>
              <w:t>était chargé de</w:t>
            </w:r>
            <w:r w:rsidR="00E02B4E">
              <w:rPr>
                <w:color w:val="000000"/>
              </w:rPr>
              <w:t xml:space="preserve"> formuler</w:t>
            </w:r>
            <w:r>
              <w:rPr>
                <w:color w:val="000000"/>
              </w:rPr>
              <w:t xml:space="preserve"> de</w:t>
            </w:r>
            <w:r w:rsidR="00E02B4E">
              <w:rPr>
                <w:color w:val="000000"/>
              </w:rPr>
              <w:t>s</w:t>
            </w:r>
            <w:r>
              <w:rPr>
                <w:color w:val="000000"/>
              </w:rPr>
              <w:t xml:space="preserve"> recommandations à l’intention de la sixième réunion du Conseil du GBFF </w:t>
            </w:r>
            <w:r w:rsidR="00E02B4E">
              <w:rPr>
                <w:color w:val="000000"/>
              </w:rPr>
              <w:t>en réponse</w:t>
            </w:r>
            <w:r>
              <w:rPr>
                <w:color w:val="000000"/>
              </w:rPr>
              <w:t xml:space="preserve"> aux orientations précises de la Conférence des Parties à la CDB</w:t>
            </w:r>
            <w:r w:rsidR="00224AF7">
              <w:rPr>
                <w:color w:val="000000"/>
              </w:rPr>
              <w:t xml:space="preserve"> et</w:t>
            </w:r>
            <w:r>
              <w:rPr>
                <w:color w:val="000000"/>
              </w:rPr>
              <w:t xml:space="preserve"> </w:t>
            </w:r>
            <w:r w:rsidR="00AD62C3">
              <w:rPr>
                <w:color w:val="000000"/>
              </w:rPr>
              <w:t>d’</w:t>
            </w:r>
            <w:r w:rsidR="00224AF7">
              <w:rPr>
                <w:color w:val="000000"/>
              </w:rPr>
              <w:t>étudier</w:t>
            </w:r>
            <w:r>
              <w:rPr>
                <w:color w:val="000000"/>
              </w:rPr>
              <w:t xml:space="preserve"> les moyens d’élargir la base des contributeurs et de renforcer la prévisibilité des contributions des Parties à la CDB, des autres gouvernements et des sources non souveraines, conformément à la vision et aux objectifs de la Stratégie de mobilisation des ressources du GBFF</w:t>
            </w:r>
            <w:r w:rsidR="00117C7F" w:rsidRPr="00C67737">
              <w:rPr>
                <w:rFonts w:cstheme="minorHAnsi"/>
                <w:color w:val="000000"/>
                <w:vertAlign w:val="superscript"/>
              </w:rPr>
              <w:footnoteReference w:id="62"/>
            </w:r>
            <w:r>
              <w:rPr>
                <w:color w:val="000000"/>
              </w:rPr>
              <w:t>.</w:t>
            </w:r>
          </w:p>
          <w:p w14:paraId="1631D751" w14:textId="52B92C6D" w:rsidR="00E56B41" w:rsidRPr="00C67737" w:rsidRDefault="00E56B41" w:rsidP="00495437">
            <w:pPr>
              <w:snapToGrid/>
              <w:spacing w:before="100" w:after="100"/>
              <w:rPr>
                <w:rFonts w:cstheme="minorHAnsi"/>
                <w:color w:val="000000"/>
              </w:rPr>
            </w:pPr>
            <w:r>
              <w:rPr>
                <w:color w:val="000000"/>
              </w:rPr>
              <w:t xml:space="preserve">Les membres et membres suppléants du Conseil ont été invités à faire part de leur intérêt pour participer au Groupe de travail. Celui-ci devait comprendre un nombre égal de représentants des contributeurs et des bénéficiaires de la famille de fonds du GEF, avec au moins trois représentants dans chacune de ces catégories. </w:t>
            </w:r>
            <w:r w:rsidR="0095688F">
              <w:rPr>
                <w:color w:val="000000"/>
              </w:rPr>
              <w:t>Il</w:t>
            </w:r>
            <w:r>
              <w:rPr>
                <w:color w:val="000000"/>
              </w:rPr>
              <w:t xml:space="preserve"> réunissait des représentants du Brésil, du Canada, de la France, de la Gambie, de Moldova</w:t>
            </w:r>
            <w:r w:rsidR="00AD62C3">
              <w:rPr>
                <w:color w:val="000000"/>
              </w:rPr>
              <w:t>,</w:t>
            </w:r>
            <w:r>
              <w:rPr>
                <w:color w:val="000000"/>
              </w:rPr>
              <w:t xml:space="preserve"> </w:t>
            </w:r>
            <w:r w:rsidR="00AD62C3">
              <w:rPr>
                <w:color w:val="000000"/>
              </w:rPr>
              <w:t xml:space="preserve">de l’Allemagne </w:t>
            </w:r>
            <w:r>
              <w:rPr>
                <w:color w:val="000000"/>
              </w:rPr>
              <w:t xml:space="preserve">et du Secrétariat de la CDB. </w:t>
            </w:r>
          </w:p>
          <w:p w14:paraId="42A2C13B" w14:textId="7CDE7426" w:rsidR="008B33BE" w:rsidRPr="00C67737" w:rsidRDefault="0038696A" w:rsidP="00495437">
            <w:pPr>
              <w:snapToGrid/>
              <w:spacing w:before="100" w:after="100"/>
              <w:rPr>
                <w:rFonts w:cstheme="minorHAnsi"/>
                <w:color w:val="000000"/>
              </w:rPr>
            </w:pPr>
            <w:r>
              <w:t xml:space="preserve">En juin 2026, le Conseil du GBFF, à sa sixième réunion, a adopté le document </w:t>
            </w:r>
            <w:r w:rsidR="00496CB8" w:rsidRPr="00496CB8">
              <w:rPr>
                <w:i/>
                <w:iCs/>
              </w:rPr>
              <w:t xml:space="preserve">intitulé </w:t>
            </w:r>
            <w:proofErr w:type="spellStart"/>
            <w:r w:rsidRPr="00496CB8">
              <w:rPr>
                <w:i/>
                <w:iCs/>
              </w:rPr>
              <w:t>Towards</w:t>
            </w:r>
            <w:proofErr w:type="spellEnd"/>
            <w:r w:rsidRPr="00496CB8">
              <w:rPr>
                <w:i/>
                <w:iCs/>
              </w:rPr>
              <w:t xml:space="preserve"> a Resource </w:t>
            </w:r>
            <w:proofErr w:type="spellStart"/>
            <w:r w:rsidRPr="00496CB8">
              <w:rPr>
                <w:i/>
                <w:iCs/>
              </w:rPr>
              <w:t>Mobilization</w:t>
            </w:r>
            <w:proofErr w:type="spellEnd"/>
            <w:r w:rsidRPr="00496CB8">
              <w:rPr>
                <w:i/>
                <w:iCs/>
              </w:rPr>
              <w:t xml:space="preserve"> </w:t>
            </w:r>
            <w:proofErr w:type="spellStart"/>
            <w:r w:rsidRPr="00496CB8">
              <w:rPr>
                <w:i/>
                <w:iCs/>
              </w:rPr>
              <w:t>Strategy</w:t>
            </w:r>
            <w:proofErr w:type="spellEnd"/>
            <w:r w:rsidRPr="00496CB8">
              <w:rPr>
                <w:i/>
                <w:iCs/>
              </w:rPr>
              <w:t xml:space="preserve"> for the Global </w:t>
            </w:r>
            <w:proofErr w:type="spellStart"/>
            <w:r w:rsidRPr="00496CB8">
              <w:rPr>
                <w:i/>
                <w:iCs/>
              </w:rPr>
              <w:lastRenderedPageBreak/>
              <w:t>Biodiversity</w:t>
            </w:r>
            <w:proofErr w:type="spellEnd"/>
            <w:r w:rsidRPr="00496CB8">
              <w:rPr>
                <w:i/>
                <w:iCs/>
              </w:rPr>
              <w:t xml:space="preserve"> Framework </w:t>
            </w:r>
            <w:proofErr w:type="spellStart"/>
            <w:r w:rsidRPr="00496CB8">
              <w:rPr>
                <w:i/>
                <w:iCs/>
              </w:rPr>
              <w:t>Fund</w:t>
            </w:r>
            <w:proofErr w:type="spellEnd"/>
            <w:r w:rsidR="005B2E78">
              <w:rPr>
                <w:i/>
                <w:iCs/>
              </w:rPr>
              <w:t> </w:t>
            </w:r>
            <w:r w:rsidRPr="00496CB8">
              <w:rPr>
                <w:i/>
                <w:iCs/>
              </w:rPr>
              <w:t>2026</w:t>
            </w:r>
            <w:r w:rsidR="00FF72C9" w:rsidRPr="00496CB8">
              <w:rPr>
                <w:i/>
                <w:iCs/>
              </w:rPr>
              <w:t>–</w:t>
            </w:r>
            <w:r w:rsidRPr="00496CB8">
              <w:rPr>
                <w:i/>
                <w:iCs/>
              </w:rPr>
              <w:t>2030</w:t>
            </w:r>
            <w:r w:rsidR="004500D5" w:rsidRPr="00C67737">
              <w:rPr>
                <w:rStyle w:val="FootnoteReference"/>
                <w:rFonts w:cstheme="minorHAnsi"/>
                <w:i/>
                <w:iCs/>
                <w:color w:val="000000"/>
              </w:rPr>
              <w:footnoteReference w:id="63"/>
            </w:r>
            <w:r>
              <w:t>, révisé à la lumière des recommandations du Groupe de travail spécial sur la prévisibilité d</w:t>
            </w:r>
            <w:r w:rsidR="00001D89">
              <w:t>es</w:t>
            </w:r>
            <w:r>
              <w:t xml:space="preserve"> financement</w:t>
            </w:r>
            <w:r w:rsidR="00001D89">
              <w:t>s</w:t>
            </w:r>
            <w:r>
              <w:t>.</w:t>
            </w:r>
            <w:r>
              <w:rPr>
                <w:color w:val="000000"/>
              </w:rPr>
              <w:t xml:space="preserve"> Conformément aux recommandations du Groupe de travail, le document répondait comme suit aux orientations de la Conférence des Parties à la CDB</w:t>
            </w:r>
            <w:r w:rsidR="006E54C7">
              <w:rPr>
                <w:color w:val="000000"/>
              </w:rPr>
              <w:t> :</w:t>
            </w:r>
          </w:p>
          <w:p w14:paraId="239F03F1" w14:textId="060FAB29" w:rsidR="008B33BE" w:rsidRPr="00C67737" w:rsidRDefault="00FF72C9" w:rsidP="00495437">
            <w:pPr>
              <w:snapToGrid/>
              <w:spacing w:before="100" w:after="100"/>
              <w:rPr>
                <w:rFonts w:cstheme="minorHAnsi"/>
                <w:color w:val="000000"/>
              </w:rPr>
            </w:pPr>
            <w:r>
              <w:rPr>
                <w:color w:val="000000"/>
              </w:rPr>
              <w:t>— </w:t>
            </w:r>
            <w:r w:rsidR="008B33BE">
              <w:rPr>
                <w:color w:val="000000"/>
              </w:rPr>
              <w:t xml:space="preserve">Les </w:t>
            </w:r>
            <w:r w:rsidR="00F262B9" w:rsidRPr="00F262B9">
              <w:rPr>
                <w:color w:val="000000"/>
              </w:rPr>
              <w:t>annonces de contributions pluriannuelles constituent une bonne pratique et devraient être utilisées par les contributeurs lorsque cela est possible. Les contributions souveraines devraient en outre continuer de constituer une source essentielle de financement.</w:t>
            </w:r>
          </w:p>
          <w:p w14:paraId="6B7F482E" w14:textId="328F563E" w:rsidR="00C004A0" w:rsidRPr="00C67737" w:rsidRDefault="00FF72C9" w:rsidP="00495437">
            <w:pPr>
              <w:snapToGrid/>
              <w:spacing w:before="100" w:after="100"/>
              <w:rPr>
                <w:rFonts w:eastAsia="SimSun" w:cstheme="minorHAnsi"/>
                <w:color w:val="000000"/>
              </w:rPr>
            </w:pPr>
            <w:r>
              <w:rPr>
                <w:color w:val="000000"/>
              </w:rPr>
              <w:t>— </w:t>
            </w:r>
            <w:r w:rsidR="00151FD2" w:rsidRPr="00151FD2">
              <w:rPr>
                <w:color w:val="000000"/>
              </w:rPr>
              <w:t>Après avoir examiné les possibilités offertes par un barème indicatif de contributions volontaires et s’être entretenu avec le PNUE, le Groupe de travail a conclu qu’un tel dispositif n’apporterait pas de valeur ajoutée au GBFF compte tenu de la conception actuelle de ce dernier au sein du PNUE. Si certains membres du Groupe de travail ont estimé qu’il pourrait servir à encourager de nouveaux contributeurs souverains, le Groupe ne recommande globalement pas d’y recourir à ce stade. La question pourrait néanmoins faire ultérieurement l’objet d’un examen technique plus approfondi.</w:t>
            </w:r>
          </w:p>
        </w:tc>
      </w:tr>
      <w:tr w:rsidR="00C004A0" w:rsidRPr="00C67737" w14:paraId="1F930496" w14:textId="77777777" w:rsidTr="00A769A6">
        <w:tc>
          <w:tcPr>
            <w:tcW w:w="2500" w:type="pct"/>
          </w:tcPr>
          <w:p w14:paraId="7B8D3EF0" w14:textId="42A1DBA4" w:rsidR="00C004A0" w:rsidRPr="00C67737" w:rsidRDefault="00C004A0" w:rsidP="00495437">
            <w:pPr>
              <w:snapToGrid/>
              <w:spacing w:before="100" w:after="100"/>
              <w:rPr>
                <w:rFonts w:eastAsia="SimSun" w:cstheme="minorHAnsi"/>
                <w:iCs/>
                <w:color w:val="000000"/>
              </w:rPr>
            </w:pPr>
            <w:r>
              <w:rPr>
                <w:i/>
                <w:color w:val="000000"/>
              </w:rPr>
              <w:lastRenderedPageBreak/>
              <w:t xml:space="preserve">18. </w:t>
            </w:r>
            <w:r>
              <w:rPr>
                <w:i/>
                <w:iCs/>
                <w:color w:val="000000"/>
              </w:rPr>
              <w:t xml:space="preserve">Se félicite </w:t>
            </w:r>
            <w:r>
              <w:rPr>
                <w:color w:val="000000"/>
              </w:rPr>
              <w:t>de la part de programmation ambitieuse de 20</w:t>
            </w:r>
            <w:r w:rsidR="00966C17">
              <w:rPr>
                <w:color w:val="000000"/>
              </w:rPr>
              <w:t> %</w:t>
            </w:r>
            <w:r>
              <w:rPr>
                <w:color w:val="000000"/>
              </w:rPr>
              <w:t xml:space="preserve"> d’ici 2030 du montant total des ressources allouées au titre du </w:t>
            </w:r>
            <w:r w:rsidR="00BA5516">
              <w:rPr>
                <w:color w:val="000000"/>
              </w:rPr>
              <w:t>Fonds du Cadre</w:t>
            </w:r>
            <w:r>
              <w:rPr>
                <w:color w:val="000000"/>
              </w:rPr>
              <w:t xml:space="preserve"> mondial de la biodiversité afin d’appuyer les actions menées par les peuples autochtones et communautés locales, et demande instamment au Fonds pour l’environnement mondial de veiller à ce que les projets menés par les pays qui contribuent à cette cible soient conçus et mis en œuvre en consultation et en partenariat avec les peuples autochtones et communautés locales</w:t>
            </w:r>
            <w:r w:rsidR="00FF72C9">
              <w:rPr>
                <w:color w:val="000000"/>
              </w:rPr>
              <w:t> </w:t>
            </w:r>
            <w:r>
              <w:rPr>
                <w:color w:val="000000"/>
              </w:rPr>
              <w:t>;</w:t>
            </w:r>
          </w:p>
        </w:tc>
        <w:tc>
          <w:tcPr>
            <w:tcW w:w="2500" w:type="pct"/>
          </w:tcPr>
          <w:p w14:paraId="504CC6B2" w14:textId="0A03D74E" w:rsidR="00EC3A50" w:rsidRPr="00C67737" w:rsidRDefault="00DC5AA1" w:rsidP="00495437">
            <w:pPr>
              <w:snapToGrid/>
              <w:spacing w:before="100" w:after="100"/>
              <w:rPr>
                <w:rFonts w:eastAsia="SimSun" w:cstheme="minorHAnsi"/>
                <w:color w:val="000000"/>
              </w:rPr>
            </w:pPr>
            <w:r>
              <w:rPr>
                <w:color w:val="000000" w:themeColor="text1"/>
              </w:rPr>
              <w:t>L</w:t>
            </w:r>
            <w:r w:rsidRPr="00DC5AA1">
              <w:rPr>
                <w:color w:val="000000" w:themeColor="text1"/>
              </w:rPr>
              <w:t xml:space="preserve">e Secrétariat du GEF considère que l’établissement et le suivi de cet </w:t>
            </w:r>
            <w:r w:rsidR="00E81C31">
              <w:rPr>
                <w:color w:val="000000" w:themeColor="text1"/>
              </w:rPr>
              <w:t>objectif</w:t>
            </w:r>
            <w:r w:rsidR="00294730">
              <w:rPr>
                <w:color w:val="000000" w:themeColor="text1"/>
              </w:rPr>
              <w:t xml:space="preserve"> i</w:t>
            </w:r>
            <w:r w:rsidRPr="00DC5AA1">
              <w:rPr>
                <w:color w:val="000000" w:themeColor="text1"/>
              </w:rPr>
              <w:t>ndicati</w:t>
            </w:r>
            <w:r w:rsidR="00294730">
              <w:rPr>
                <w:color w:val="000000" w:themeColor="text1"/>
              </w:rPr>
              <w:t>f</w:t>
            </w:r>
            <w:r w:rsidRPr="00DC5AA1">
              <w:rPr>
                <w:color w:val="000000" w:themeColor="text1"/>
              </w:rPr>
              <w:t xml:space="preserve"> à l’échelle du portefeuille concernant les actions menées par les peuples autochtones et les communautés locales constituent une avancée importante pour le GEF.</w:t>
            </w:r>
            <w:r>
              <w:rPr>
                <w:color w:val="000000" w:themeColor="text1"/>
              </w:rPr>
              <w:t xml:space="preserve"> </w:t>
            </w:r>
            <w:r w:rsidR="00A10904">
              <w:rPr>
                <w:color w:val="000000" w:themeColor="text1"/>
              </w:rPr>
              <w:t>Au 30</w:t>
            </w:r>
            <w:r w:rsidR="00FF72C9">
              <w:rPr>
                <w:color w:val="000000" w:themeColor="text1"/>
              </w:rPr>
              <w:t> </w:t>
            </w:r>
            <w:r w:rsidR="00A10904">
              <w:rPr>
                <w:color w:val="000000" w:themeColor="text1"/>
              </w:rPr>
              <w:t>juin 2026, cet objectif avait été dépassé</w:t>
            </w:r>
            <w:r w:rsidR="006E54C7">
              <w:rPr>
                <w:color w:val="000000" w:themeColor="text1"/>
              </w:rPr>
              <w:t> :</w:t>
            </w:r>
            <w:r w:rsidR="00A10904">
              <w:rPr>
                <w:color w:val="000000" w:themeColor="text1"/>
              </w:rPr>
              <w:t xml:space="preserve"> 31,8</w:t>
            </w:r>
            <w:r w:rsidR="00966C17">
              <w:rPr>
                <w:color w:val="000000" w:themeColor="text1"/>
              </w:rPr>
              <w:t> %</w:t>
            </w:r>
            <w:r w:rsidR="00A10904">
              <w:rPr>
                <w:color w:val="000000" w:themeColor="text1"/>
              </w:rPr>
              <w:t xml:space="preserve"> des ressources du GBFF avaient été programmées </w:t>
            </w:r>
            <w:r w:rsidR="00290DDB">
              <w:rPr>
                <w:color w:val="000000" w:themeColor="text1"/>
              </w:rPr>
              <w:t>à l’appui</w:t>
            </w:r>
            <w:r w:rsidR="00A10904">
              <w:rPr>
                <w:color w:val="000000" w:themeColor="text1"/>
              </w:rPr>
              <w:t xml:space="preserve"> </w:t>
            </w:r>
            <w:r w:rsidR="00290DDB">
              <w:rPr>
                <w:color w:val="000000" w:themeColor="text1"/>
              </w:rPr>
              <w:t>d</w:t>
            </w:r>
            <w:r w:rsidR="00A10904">
              <w:rPr>
                <w:color w:val="000000" w:themeColor="text1"/>
              </w:rPr>
              <w:t>es actions menées par les peuples autochtones et communautés locales en faveur de la diversité biologique.</w:t>
            </w:r>
          </w:p>
          <w:p w14:paraId="1F187097" w14:textId="2CC0CB83" w:rsidR="00087702" w:rsidRPr="00C67737" w:rsidRDefault="00C004A0" w:rsidP="00495437">
            <w:pPr>
              <w:snapToGrid/>
              <w:spacing w:before="100" w:after="100"/>
              <w:rPr>
                <w:rFonts w:eastAsia="SimSun" w:cstheme="minorHAnsi"/>
                <w:color w:val="000000"/>
              </w:rPr>
            </w:pPr>
            <w:r>
              <w:rPr>
                <w:color w:val="000000"/>
              </w:rPr>
              <w:t>La contribution de chaque projet du GBFF à l’objectif ambitieux consistant à consacrer 20</w:t>
            </w:r>
            <w:r w:rsidR="00966C17">
              <w:rPr>
                <w:color w:val="000000"/>
              </w:rPr>
              <w:t> %</w:t>
            </w:r>
            <w:r>
              <w:rPr>
                <w:color w:val="000000"/>
              </w:rPr>
              <w:t xml:space="preserve"> des ressources du GBFF aux actions menées par les peuples autochtones et communautés locales en faveur de la diversité biologique est examinée</w:t>
            </w:r>
            <w:r w:rsidR="00FB363C">
              <w:rPr>
                <w:color w:val="000000"/>
              </w:rPr>
              <w:t xml:space="preserve"> afin </w:t>
            </w:r>
            <w:r w:rsidR="00FB363C">
              <w:rPr>
                <w:color w:val="000000"/>
              </w:rPr>
              <w:lastRenderedPageBreak/>
              <w:t>de veiller</w:t>
            </w:r>
            <w:r w:rsidR="00F4281C">
              <w:rPr>
                <w:color w:val="000000"/>
              </w:rPr>
              <w:t xml:space="preserve"> à ce que les</w:t>
            </w:r>
            <w:r>
              <w:rPr>
                <w:color w:val="000000"/>
              </w:rPr>
              <w:t xml:space="preserve"> projets </w:t>
            </w:r>
            <w:r w:rsidR="0040068F">
              <w:rPr>
                <w:color w:val="000000"/>
              </w:rPr>
              <w:t>sous-jacents</w:t>
            </w:r>
            <w:r>
              <w:rPr>
                <w:color w:val="000000"/>
              </w:rPr>
              <w:t xml:space="preserve"> soient conçus et mis en œuvre en consultation et en partenariat avec les peuples autochtones et communautés locales. Comme </w:t>
            </w:r>
            <w:r w:rsidR="00D0794D">
              <w:rPr>
                <w:color w:val="000000"/>
              </w:rPr>
              <w:t xml:space="preserve">en </w:t>
            </w:r>
            <w:r>
              <w:rPr>
                <w:color w:val="000000"/>
              </w:rPr>
              <w:t>a décidé le Conseil du GBFF à sa quatrième réunion, en juin 2025, les</w:t>
            </w:r>
            <w:r>
              <w:t xml:space="preserve"> lignes directrices sur les actions menées par les peuples autochtones et communautés locales (</w:t>
            </w:r>
            <w:hyperlink r:id="rId32">
              <w:r w:rsidRPr="00592C75">
                <w:rPr>
                  <w:i/>
                  <w:iCs/>
                  <w:color w:val="0000FF"/>
                  <w:u w:val="single"/>
                </w:rPr>
                <w:t xml:space="preserve">Guidelines on Actions by Indigenous Peoples and Local </w:t>
              </w:r>
              <w:proofErr w:type="spellStart"/>
              <w:r w:rsidRPr="00592C75">
                <w:rPr>
                  <w:i/>
                  <w:iCs/>
                  <w:color w:val="0000FF"/>
                  <w:u w:val="single"/>
                </w:rPr>
                <w:t>Communities</w:t>
              </w:r>
              <w:proofErr w:type="spellEnd"/>
            </w:hyperlink>
            <w:r w:rsidR="006755FA" w:rsidRPr="00C67737">
              <w:rPr>
                <w:rStyle w:val="FootnoteReference"/>
                <w:rFonts w:eastAsia="SimSun" w:cstheme="minorHAnsi"/>
                <w:color w:val="000000"/>
              </w:rPr>
              <w:footnoteReference w:id="64"/>
            </w:r>
            <w:r>
              <w:t xml:space="preserve">) </w:t>
            </w:r>
            <w:r>
              <w:rPr>
                <w:color w:val="000000"/>
              </w:rPr>
              <w:t xml:space="preserve">ont été élaborées au terme d’un processus consultatif, </w:t>
            </w:r>
            <w:r w:rsidR="00E976B4">
              <w:rPr>
                <w:color w:val="000000"/>
              </w:rPr>
              <w:t xml:space="preserve">comprenant </w:t>
            </w:r>
            <w:r>
              <w:rPr>
                <w:color w:val="000000"/>
              </w:rPr>
              <w:t>notamment une consultation ouverte organisée en marge de la première réunion de l’Organe subsidiaire sur l’article</w:t>
            </w:r>
            <w:r w:rsidR="00FF72C9">
              <w:rPr>
                <w:color w:val="000000"/>
              </w:rPr>
              <w:t> </w:t>
            </w:r>
            <w:r>
              <w:rPr>
                <w:color w:val="000000"/>
              </w:rPr>
              <w:t>8</w:t>
            </w:r>
            <w:r w:rsidR="000F7D40">
              <w:rPr>
                <w:color w:val="000000"/>
              </w:rPr>
              <w:t> </w:t>
            </w:r>
            <w:r>
              <w:rPr>
                <w:color w:val="000000"/>
              </w:rPr>
              <w:t xml:space="preserve">j) et les autres dispositions de la Convention sur la diversité biologique relatives aux peuples autochtones et communautés locales (SB-8j), en octobre 2025. </w:t>
            </w:r>
            <w:r>
              <w:t>Ces lignes directrices s’appuient sur un ensemble complet de politiques du GEF applicables à la participation des peuples autochtones et communautés locales</w:t>
            </w:r>
            <w:r w:rsidR="006E54C7">
              <w:t> :</w:t>
            </w:r>
            <w:r>
              <w:t xml:space="preserve"> les Principes et lignes directrices concernant la participation des peuples autochtones (</w:t>
            </w:r>
            <w:hyperlink r:id="rId33" w:history="1">
              <w:r w:rsidRPr="00592C75">
                <w:rPr>
                  <w:rStyle w:val="Hyperlink"/>
                  <w:i/>
                  <w:iCs/>
                </w:rPr>
                <w:t xml:space="preserve">Principles and Guidelines for Engagement </w:t>
              </w:r>
              <w:proofErr w:type="spellStart"/>
              <w:r w:rsidRPr="00592C75">
                <w:rPr>
                  <w:rStyle w:val="Hyperlink"/>
                  <w:i/>
                  <w:iCs/>
                </w:rPr>
                <w:t>with</w:t>
              </w:r>
              <w:proofErr w:type="spellEnd"/>
              <w:r w:rsidRPr="00592C75">
                <w:rPr>
                  <w:rStyle w:val="Hyperlink"/>
                  <w:i/>
                  <w:iCs/>
                </w:rPr>
                <w:t xml:space="preserve"> </w:t>
              </w:r>
              <w:proofErr w:type="spellStart"/>
              <w:r w:rsidRPr="00592C75">
                <w:rPr>
                  <w:rStyle w:val="Hyperlink"/>
                  <w:i/>
                  <w:iCs/>
                </w:rPr>
                <w:t>Indigenous</w:t>
              </w:r>
              <w:proofErr w:type="spellEnd"/>
              <w:r w:rsidRPr="00592C75">
                <w:rPr>
                  <w:rStyle w:val="Hyperlink"/>
                  <w:i/>
                  <w:iCs/>
                </w:rPr>
                <w:t xml:space="preserve"> Peoples</w:t>
              </w:r>
            </w:hyperlink>
            <w:r>
              <w:t xml:space="preserve">), la Politique du GEF relative à </w:t>
            </w:r>
            <w:r w:rsidR="00592C75">
              <w:t>la mobilisation</w:t>
            </w:r>
            <w:r>
              <w:t xml:space="preserve"> des parties prenantes </w:t>
            </w:r>
            <w:r w:rsidR="00592C75">
              <w:t>(</w:t>
            </w:r>
            <w:hyperlink r:id="rId34">
              <w:r w:rsidRPr="00592C75">
                <w:rPr>
                  <w:i/>
                  <w:iCs/>
                  <w:color w:val="000000"/>
                  <w:u w:val="single"/>
                </w:rPr>
                <w:t>Stakeholder Engagement</w:t>
              </w:r>
            </w:hyperlink>
            <w:r w:rsidR="00592C75">
              <w:rPr>
                <w:i/>
                <w:iCs/>
              </w:rPr>
              <w:t>)</w:t>
            </w:r>
            <w:r>
              <w:t>, ainsi que la Politique du GEF relative aux normes de sauvegarde environnementale et sociale</w:t>
            </w:r>
            <w:r w:rsidR="00592C75">
              <w:t xml:space="preserve"> (</w:t>
            </w:r>
            <w:hyperlink r:id="rId35" w:history="1">
              <w:hyperlink r:id="rId36" w:history="1">
                <w:r w:rsidRPr="00113DAD">
                  <w:rPr>
                    <w:i/>
                    <w:iCs/>
                    <w:color w:val="000000"/>
                    <w:u w:val="single"/>
                  </w:rPr>
                  <w:t>Environmental and Social Safeguard Standards</w:t>
                </w:r>
              </w:hyperlink>
            </w:hyperlink>
            <w:r w:rsidR="00592C75">
              <w:t>)</w:t>
            </w:r>
            <w:r>
              <w:t>. Elles visent à garantir que les projets pilotés par les pays qui contribuent à l’objectif de 20</w:t>
            </w:r>
            <w:r w:rsidR="00966C17">
              <w:t> %</w:t>
            </w:r>
            <w:r>
              <w:t xml:space="preserve"> soient conçus et mis en œuvre en consultation et en partenariat avec les peuples autochtones et communautés locales.</w:t>
            </w:r>
            <w:r>
              <w:rPr>
                <w:color w:val="000000"/>
              </w:rPr>
              <w:t xml:space="preserve"> </w:t>
            </w:r>
          </w:p>
          <w:p w14:paraId="4DDC82CE" w14:textId="22DFC4A9" w:rsidR="00C004A0" w:rsidRPr="00C67737" w:rsidRDefault="7CB3C9CE" w:rsidP="00495437">
            <w:pPr>
              <w:snapToGrid/>
              <w:spacing w:before="100" w:after="100"/>
              <w:rPr>
                <w:rFonts w:eastAsia="SimSun" w:cstheme="minorHAnsi"/>
                <w:color w:val="000000"/>
              </w:rPr>
            </w:pPr>
            <w:r>
              <w:rPr>
                <w:color w:val="000000" w:themeColor="text1"/>
              </w:rPr>
              <w:t xml:space="preserve">Dans le cadre de </w:t>
            </w:r>
            <w:r w:rsidR="00376C22">
              <w:rPr>
                <w:color w:val="000000" w:themeColor="text1"/>
              </w:rPr>
              <w:t>GEF</w:t>
            </w:r>
            <w:r w:rsidR="00376C22">
              <w:rPr>
                <w:color w:val="000000" w:themeColor="text1"/>
              </w:rPr>
              <w:noBreakHyphen/>
            </w:r>
            <w:r>
              <w:rPr>
                <w:color w:val="000000" w:themeColor="text1"/>
              </w:rPr>
              <w:t>9, l’objectif ambitieux consistant à consacrer 20</w:t>
            </w:r>
            <w:r w:rsidR="00966C17">
              <w:rPr>
                <w:color w:val="000000" w:themeColor="text1"/>
              </w:rPr>
              <w:t> %</w:t>
            </w:r>
            <w:r>
              <w:rPr>
                <w:color w:val="000000" w:themeColor="text1"/>
              </w:rPr>
              <w:t xml:space="preserve"> des ressources aux actions menées par les peuples autochtones et communautés locales sera désormais étendu </w:t>
            </w:r>
            <w:r w:rsidR="00CD3559">
              <w:rPr>
                <w:color w:val="000000" w:themeColor="text1"/>
              </w:rPr>
              <w:t xml:space="preserve">au fonds fiduciaire </w:t>
            </w:r>
            <w:r>
              <w:rPr>
                <w:color w:val="000000" w:themeColor="text1"/>
              </w:rPr>
              <w:t>du GEF, au Fonds pour les pays les moins avancés (</w:t>
            </w:r>
            <w:r w:rsidR="00E64BB9">
              <w:rPr>
                <w:color w:val="000000" w:themeColor="text1"/>
              </w:rPr>
              <w:t>FPMA</w:t>
            </w:r>
            <w:r>
              <w:rPr>
                <w:color w:val="000000" w:themeColor="text1"/>
              </w:rPr>
              <w:t>) et au Fonds spécial pour les changements climatiques (</w:t>
            </w:r>
            <w:r w:rsidR="00E64BB9">
              <w:rPr>
                <w:color w:val="000000" w:themeColor="text1"/>
              </w:rPr>
              <w:t>FSCC</w:t>
            </w:r>
            <w:r>
              <w:rPr>
                <w:color w:val="000000" w:themeColor="text1"/>
              </w:rPr>
              <w:t xml:space="preserve">). En outre, le GEF élaborera une politique spécifique relative à la participation des peuples autochtones, qui </w:t>
            </w:r>
            <w:r>
              <w:rPr>
                <w:color w:val="000000" w:themeColor="text1"/>
              </w:rPr>
              <w:lastRenderedPageBreak/>
              <w:t>renforcera et complétera les normes existantes de sauvegarde environnementale et sociale. Cette politique s’appliquera à l’ensemble des projets financés par le GEF et revêtira une importance particulière pour ceux qui associent directement les peuples autochtones. Parallèlement, les Principes et lignes directrices concernant la participation des peuples autochtones seront actualisés afin de tenir compte des normes et engagements en vigueur. L’objectif est de veiller à ce que les cadres du GEF relatifs à la participation des peuples autochtones restent conformes à l’évolution des normes internationales et aux attentes des peuples autochtones eux-mêmes.</w:t>
            </w:r>
          </w:p>
        </w:tc>
      </w:tr>
      <w:tr w:rsidR="00C004A0" w:rsidRPr="00C67737" w14:paraId="76790170" w14:textId="77777777" w:rsidTr="00A769A6">
        <w:tc>
          <w:tcPr>
            <w:tcW w:w="2500" w:type="pct"/>
          </w:tcPr>
          <w:p w14:paraId="6623A99C" w14:textId="0F987696" w:rsidR="00C004A0" w:rsidRPr="00C67737" w:rsidRDefault="00C004A0" w:rsidP="00495437">
            <w:pPr>
              <w:snapToGrid/>
              <w:spacing w:before="100" w:after="100"/>
              <w:rPr>
                <w:rFonts w:cstheme="minorHAnsi"/>
                <w:color w:val="000000"/>
              </w:rPr>
            </w:pPr>
            <w:r>
              <w:rPr>
                <w:i/>
                <w:color w:val="000000"/>
              </w:rPr>
              <w:lastRenderedPageBreak/>
              <w:t xml:space="preserve">19. </w:t>
            </w:r>
            <w:r>
              <w:rPr>
                <w:i/>
                <w:iCs/>
                <w:color w:val="000000"/>
              </w:rPr>
              <w:t xml:space="preserve">Se félicite également </w:t>
            </w:r>
            <w:r>
              <w:rPr>
                <w:color w:val="000000"/>
              </w:rPr>
              <w:t>du fait que 25</w:t>
            </w:r>
            <w:r w:rsidR="00966C17">
              <w:rPr>
                <w:color w:val="000000"/>
              </w:rPr>
              <w:t> %</w:t>
            </w:r>
            <w:r>
              <w:rPr>
                <w:color w:val="000000"/>
              </w:rPr>
              <w:t xml:space="preserve"> des ressources du Fonds du Cadre mondial de la biodiversité doivent être programmées par l’intermédiaire d’institutions financières internationales qui sont des </w:t>
            </w:r>
            <w:r w:rsidR="005F0DF3">
              <w:rPr>
                <w:color w:val="000000"/>
              </w:rPr>
              <w:t>A</w:t>
            </w:r>
            <w:r>
              <w:rPr>
                <w:color w:val="000000"/>
              </w:rPr>
              <w:t>gences du Fonds pour l’environnement mondial</w:t>
            </w:r>
          </w:p>
        </w:tc>
        <w:tc>
          <w:tcPr>
            <w:tcW w:w="2500" w:type="pct"/>
          </w:tcPr>
          <w:p w14:paraId="2151CA74" w14:textId="35A128B0" w:rsidR="00C004A0" w:rsidRPr="00C67737" w:rsidRDefault="00E67C53" w:rsidP="00495437">
            <w:pPr>
              <w:snapToGrid/>
              <w:spacing w:before="100" w:after="100"/>
              <w:rPr>
                <w:rFonts w:eastAsia="SimSun" w:cstheme="minorHAnsi"/>
                <w:color w:val="000000"/>
              </w:rPr>
            </w:pPr>
            <w:r>
              <w:rPr>
                <w:color w:val="000000"/>
              </w:rPr>
              <w:t xml:space="preserve">Cet objectif fixé à l’échelle du portefeuille reconnaît </w:t>
            </w:r>
            <w:r w:rsidR="00936A0A">
              <w:rPr>
                <w:color w:val="000000"/>
              </w:rPr>
              <w:t>l’importance</w:t>
            </w:r>
            <w:r>
              <w:rPr>
                <w:color w:val="000000"/>
              </w:rPr>
              <w:t xml:space="preserve"> des institutions financières internationales </w:t>
            </w:r>
            <w:r w:rsidR="009E5125">
              <w:rPr>
                <w:color w:val="000000"/>
              </w:rPr>
              <w:t xml:space="preserve">(IFI) </w:t>
            </w:r>
            <w:r w:rsidR="00936A0A">
              <w:rPr>
                <w:color w:val="000000"/>
              </w:rPr>
              <w:t>pour</w:t>
            </w:r>
            <w:r>
              <w:rPr>
                <w:color w:val="000000"/>
              </w:rPr>
              <w:t xml:space="preserve"> l’appui aux initiatives en faveur de la diversité biologique. Au 30</w:t>
            </w:r>
            <w:r w:rsidR="000F7D40">
              <w:rPr>
                <w:color w:val="000000"/>
              </w:rPr>
              <w:t> </w:t>
            </w:r>
            <w:r>
              <w:rPr>
                <w:color w:val="000000"/>
              </w:rPr>
              <w:t>juin 2026, il avait été dépassé</w:t>
            </w:r>
            <w:r w:rsidR="006E54C7">
              <w:rPr>
                <w:color w:val="000000"/>
              </w:rPr>
              <w:t> :</w:t>
            </w:r>
            <w:r>
              <w:rPr>
                <w:color w:val="000000"/>
              </w:rPr>
              <w:t xml:space="preserve"> 30,4</w:t>
            </w:r>
            <w:r w:rsidR="00966C17">
              <w:rPr>
                <w:color w:val="000000"/>
              </w:rPr>
              <w:t> %</w:t>
            </w:r>
            <w:r>
              <w:rPr>
                <w:color w:val="000000"/>
              </w:rPr>
              <w:t xml:space="preserve"> des ressources du GBFF avaient été programmées par l’intermédiaire </w:t>
            </w:r>
            <w:r w:rsidR="009E5125">
              <w:rPr>
                <w:color w:val="000000"/>
              </w:rPr>
              <w:t>d’IFI</w:t>
            </w:r>
            <w:r w:rsidR="00E83B93">
              <w:rPr>
                <w:color w:val="000000"/>
              </w:rPr>
              <w:t>.</w:t>
            </w:r>
          </w:p>
          <w:p w14:paraId="012EAB94" w14:textId="00DA98A0" w:rsidR="009932EF" w:rsidRPr="00C67737" w:rsidRDefault="00A41367" w:rsidP="00495437">
            <w:pPr>
              <w:snapToGrid/>
              <w:spacing w:before="100" w:after="100"/>
              <w:rPr>
                <w:rFonts w:eastAsia="SimSun" w:cstheme="minorHAnsi"/>
                <w:color w:val="000000"/>
              </w:rPr>
            </w:pPr>
            <w:r>
              <w:rPr>
                <w:color w:val="000000"/>
              </w:rPr>
              <w:t xml:space="preserve">À sa quatrième réunion, le Conseil du GBFF a demandé à l’Organe auxiliaire du GBFF d’examiner les moyens de faciliter l’atteinte de cet objectif à l’échelle du portefeuille. </w:t>
            </w:r>
            <w:r>
              <w:t xml:space="preserve">À sa sixième réunion, le Conseil du GBFF a accueilli favorablement la recommandation présentée par l’Organe auxiliaire dans </w:t>
            </w:r>
            <w:r w:rsidR="00CE5E58">
              <w:t>le</w:t>
            </w:r>
            <w:r>
              <w:t xml:space="preserve"> document </w:t>
            </w:r>
            <w:r w:rsidRPr="00E83B93">
              <w:rPr>
                <w:i/>
                <w:iCs/>
              </w:rPr>
              <w:t xml:space="preserve">Options to </w:t>
            </w:r>
            <w:proofErr w:type="spellStart"/>
            <w:r w:rsidRPr="00E83B93">
              <w:rPr>
                <w:i/>
                <w:iCs/>
              </w:rPr>
              <w:t>Facilitate</w:t>
            </w:r>
            <w:proofErr w:type="spellEnd"/>
            <w:r w:rsidRPr="00E83B93">
              <w:rPr>
                <w:i/>
                <w:iCs/>
              </w:rPr>
              <w:t xml:space="preserve"> the </w:t>
            </w:r>
            <w:proofErr w:type="spellStart"/>
            <w:r w:rsidRPr="00E83B93">
              <w:rPr>
                <w:i/>
                <w:iCs/>
              </w:rPr>
              <w:t>Achievement</w:t>
            </w:r>
            <w:proofErr w:type="spellEnd"/>
            <w:r w:rsidRPr="00E83B93">
              <w:rPr>
                <w:i/>
                <w:iCs/>
              </w:rPr>
              <w:t xml:space="preserve"> of the Portfolio Target </w:t>
            </w:r>
            <w:proofErr w:type="spellStart"/>
            <w:r w:rsidRPr="00E83B93">
              <w:rPr>
                <w:i/>
                <w:iCs/>
              </w:rPr>
              <w:t>Related</w:t>
            </w:r>
            <w:proofErr w:type="spellEnd"/>
            <w:r w:rsidRPr="00E83B93">
              <w:rPr>
                <w:i/>
                <w:iCs/>
              </w:rPr>
              <w:t xml:space="preserve"> to International Financial Institutions</w:t>
            </w:r>
            <w:r w:rsidR="00ED7D21" w:rsidRPr="00C67737">
              <w:rPr>
                <w:rStyle w:val="FootnoteReference"/>
                <w:rFonts w:eastAsia="SimSun" w:cstheme="minorHAnsi"/>
                <w:color w:val="000000"/>
              </w:rPr>
              <w:footnoteReference w:id="65"/>
            </w:r>
            <w:r w:rsidR="00AF013C">
              <w:t xml:space="preserve"> </w:t>
            </w:r>
            <w:proofErr w:type="spellStart"/>
            <w:r w:rsidR="00AF013C">
              <w:t>et</w:t>
            </w:r>
            <w:r>
              <w:t>a</w:t>
            </w:r>
            <w:proofErr w:type="spellEnd"/>
            <w:r>
              <w:t xml:space="preserve"> demandé au Secrétariat et aux </w:t>
            </w:r>
            <w:r w:rsidR="00F52D3D">
              <w:t>Agences</w:t>
            </w:r>
            <w:r>
              <w:t xml:space="preserve"> du GEF qui sont des IFI de mettre en œuvre les recommandations qui leur étaient adressées.</w:t>
            </w:r>
            <w:r>
              <w:rPr>
                <w:color w:val="000000"/>
              </w:rPr>
              <w:t xml:space="preserve"> </w:t>
            </w:r>
          </w:p>
        </w:tc>
      </w:tr>
      <w:tr w:rsidR="00C004A0" w:rsidRPr="00C67737" w14:paraId="3F5F9C88" w14:textId="77777777" w:rsidTr="00A769A6">
        <w:tc>
          <w:tcPr>
            <w:tcW w:w="2500" w:type="pct"/>
          </w:tcPr>
          <w:p w14:paraId="1B391A21" w14:textId="5F511B0B" w:rsidR="00C004A0" w:rsidRPr="00C67737" w:rsidRDefault="00C76D91" w:rsidP="00495437">
            <w:pPr>
              <w:keepNext/>
              <w:keepLines/>
              <w:tabs>
                <w:tab w:val="left" w:pos="1134"/>
                <w:tab w:val="left" w:pos="1701"/>
                <w:tab w:val="left" w:pos="2268"/>
                <w:tab w:val="left" w:pos="2835"/>
                <w:tab w:val="left" w:pos="3402"/>
                <w:tab w:val="left" w:pos="3969"/>
              </w:tabs>
              <w:snapToGrid/>
              <w:spacing w:before="0" w:after="100"/>
              <w:rPr>
                <w:rFonts w:eastAsia="SimSun" w:cstheme="minorHAnsi"/>
                <w:b/>
                <w:color w:val="000000"/>
              </w:rPr>
            </w:pPr>
            <w:r>
              <w:rPr>
                <w:b/>
                <w:color w:val="000000"/>
              </w:rPr>
              <w:lastRenderedPageBreak/>
              <w:t xml:space="preserve">III </w:t>
            </w:r>
            <w:r w:rsidR="00C004A0">
              <w:rPr>
                <w:b/>
                <w:color w:val="000000"/>
              </w:rPr>
              <w:t xml:space="preserve">Cadre quadriennal </w:t>
            </w:r>
            <w:proofErr w:type="gramStart"/>
            <w:r w:rsidR="00C004A0">
              <w:rPr>
                <w:b/>
                <w:color w:val="000000"/>
              </w:rPr>
              <w:t>axé</w:t>
            </w:r>
            <w:proofErr w:type="gramEnd"/>
            <w:r w:rsidR="00C004A0">
              <w:rPr>
                <w:b/>
                <w:color w:val="000000"/>
              </w:rPr>
              <w:t xml:space="preserve"> sur les résultats des priorités du programme sur la diversité biologique de la Convention sur la diversité biologique et de ses Protocoles</w:t>
            </w:r>
          </w:p>
          <w:p w14:paraId="78AC2D57" w14:textId="59C2FBA5"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20.</w:t>
            </w:r>
            <w:r>
              <w:rPr>
                <w:color w:val="000000"/>
              </w:rPr>
              <w:tab/>
            </w:r>
            <w:r>
              <w:rPr>
                <w:i/>
                <w:iCs/>
              </w:rPr>
              <w:t>Adopte</w:t>
            </w:r>
            <w:r>
              <w:t xml:space="preserve"> le </w:t>
            </w:r>
            <w:bookmarkStart w:id="116" w:name="_Hlk163216087"/>
            <w:r>
              <w:rPr>
                <w:color w:val="000000"/>
              </w:rPr>
              <w:t>Cadre quadriennal axé sur les résultats des priorités du programme sur la diversité biologique de la Convention figurant en annexe à la présente décision à titre de principale orientation pour la neuvième reconstitution des ressources</w:t>
            </w:r>
            <w:bookmarkEnd w:id="116"/>
            <w:r>
              <w:t xml:space="preserve"> </w:t>
            </w:r>
            <w:r w:rsidR="007978DF">
              <w:t xml:space="preserve">du Fonds fiduciaire </w:t>
            </w:r>
            <w:r>
              <w:t>du Fonds pour l’environnement mondial (juillet</w:t>
            </w:r>
            <w:r w:rsidR="000F7D40">
              <w:t> </w:t>
            </w:r>
            <w:r>
              <w:t>2026-juin 2030), qui s’aligne sur le Cadre mondial de la biodiversité de Kunming-Montréal</w:t>
            </w:r>
            <w:r w:rsidR="000F7D40">
              <w:t> </w:t>
            </w:r>
            <w:r>
              <w:t>;</w:t>
            </w:r>
          </w:p>
        </w:tc>
        <w:tc>
          <w:tcPr>
            <w:tcW w:w="2500" w:type="pct"/>
          </w:tcPr>
          <w:p w14:paraId="00545C25" w14:textId="77777777" w:rsidR="00C004A0" w:rsidRPr="00C67737" w:rsidRDefault="00C004A0" w:rsidP="00495437">
            <w:pPr>
              <w:snapToGrid/>
              <w:spacing w:before="100" w:after="100"/>
              <w:rPr>
                <w:rFonts w:eastAsia="SimSun" w:cstheme="minorHAnsi"/>
                <w:color w:val="000000"/>
              </w:rPr>
            </w:pPr>
            <w:r>
              <w:rPr>
                <w:color w:val="000000"/>
              </w:rPr>
              <w:t>A pris note.</w:t>
            </w:r>
          </w:p>
        </w:tc>
      </w:tr>
      <w:tr w:rsidR="00C004A0" w:rsidRPr="00C67737" w14:paraId="3D2FEA6E" w14:textId="77777777" w:rsidTr="00A769A6">
        <w:tc>
          <w:tcPr>
            <w:tcW w:w="2500" w:type="pct"/>
          </w:tcPr>
          <w:p w14:paraId="5204E3E0" w14:textId="5F0BA43E"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bCs/>
                <w:color w:val="000000"/>
              </w:rPr>
            </w:pPr>
            <w:r>
              <w:rPr>
                <w:color w:val="000000"/>
              </w:rPr>
              <w:t>21.</w:t>
            </w:r>
            <w:r>
              <w:rPr>
                <w:color w:val="000000"/>
              </w:rPr>
              <w:tab/>
            </w:r>
            <w:r>
              <w:rPr>
                <w:i/>
                <w:iCs/>
                <w:color w:val="000000"/>
              </w:rPr>
              <w:t>Demande</w:t>
            </w:r>
            <w:r>
              <w:rPr>
                <w:color w:val="000000"/>
              </w:rPr>
              <w:t xml:space="preserve"> au Fonds pour l’environnement mondial d’inclure dans son rapport à la Conférence des Parties des renseignements sur ses réponses concernant le cadre quadriennal axé sur les résultats et d’expliquer comment ces réponses contribuent à la réalisation de chaque cible du Cadre mondial de la biodiversité de Kunming-Montréal, en plus des considérations relatives à sa mise en œuvre (section C du Cadre), et contribuent aux objectifs de la Convention et de ses Protocoles</w:t>
            </w:r>
            <w:r w:rsidR="000F7D40">
              <w:rPr>
                <w:color w:val="000000"/>
              </w:rPr>
              <w:t> </w:t>
            </w:r>
            <w:r>
              <w:rPr>
                <w:color w:val="000000"/>
              </w:rPr>
              <w:t>;</w:t>
            </w:r>
          </w:p>
        </w:tc>
        <w:tc>
          <w:tcPr>
            <w:tcW w:w="2500" w:type="pct"/>
          </w:tcPr>
          <w:p w14:paraId="20A6E1C4" w14:textId="23938B12" w:rsidR="00C004A0" w:rsidRPr="00C67737" w:rsidRDefault="00C2688B" w:rsidP="00495437">
            <w:pPr>
              <w:snapToGrid/>
              <w:spacing w:before="100" w:after="100"/>
              <w:rPr>
                <w:rFonts w:eastAsia="SimSun" w:cstheme="minorHAnsi"/>
                <w:color w:val="000000"/>
              </w:rPr>
            </w:pPr>
            <w:r>
              <w:rPr>
                <w:color w:val="000000"/>
              </w:rPr>
              <w:t>Le présent rapport répond à cette demande.</w:t>
            </w:r>
          </w:p>
        </w:tc>
      </w:tr>
      <w:tr w:rsidR="00C004A0" w:rsidRPr="00C67737" w14:paraId="2BFDF43A" w14:textId="77777777" w:rsidTr="00A769A6">
        <w:tc>
          <w:tcPr>
            <w:tcW w:w="2500" w:type="pct"/>
          </w:tcPr>
          <w:p w14:paraId="724149B6" w14:textId="57167EA8"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22.</w:t>
            </w:r>
            <w:r>
              <w:rPr>
                <w:color w:val="000000"/>
              </w:rPr>
              <w:tab/>
            </w:r>
            <w:r>
              <w:rPr>
                <w:i/>
                <w:iCs/>
                <w:color w:val="000000"/>
              </w:rPr>
              <w:t>Encourage</w:t>
            </w:r>
            <w:r>
              <w:rPr>
                <w:color w:val="000000"/>
              </w:rPr>
              <w:t xml:space="preserve"> les organes directeurs des diverses conventions relatives à la biodiversité à inscrire un point permanent à l’ordre du jour de leurs réunions pour la fourniture de conseils stratégiques, comme il convient, concernant des mesures nationales qui pourraient favoriser la collaboration, la coopération et les synergies, selon le cas, afin d’atteindre les objectifs de la Convention sur la diversité biologique et de ses Protocoles et les objectifs et cibles du Cadre, qui peut être renvoyé au Fonds pour l’environnement mondial par le biais de la Conférence des Parties, et de demander à leurs secrétariats respectifs de communiquer ces conseils à la Secrétaire exécutive de la Convention</w:t>
            </w:r>
            <w:r w:rsidR="000F7D40">
              <w:rPr>
                <w:color w:val="000000"/>
              </w:rPr>
              <w:t> </w:t>
            </w:r>
            <w:r>
              <w:rPr>
                <w:color w:val="000000"/>
              </w:rPr>
              <w:t>;</w:t>
            </w:r>
          </w:p>
          <w:p w14:paraId="4DB5BD75" w14:textId="5C5CA952"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i/>
                <w:iCs/>
                <w:color w:val="000000"/>
              </w:rPr>
            </w:pPr>
            <w:r>
              <w:rPr>
                <w:color w:val="000000"/>
              </w:rPr>
              <w:t>23.</w:t>
            </w:r>
            <w:r>
              <w:rPr>
                <w:color w:val="000000"/>
              </w:rPr>
              <w:tab/>
              <w:t xml:space="preserve">Invite les secrétariats des conventions relatives à la diversité biologique à participer et à apporter leur contribution dans le cadre des consultations </w:t>
            </w:r>
            <w:proofErr w:type="spellStart"/>
            <w:r>
              <w:rPr>
                <w:color w:val="000000"/>
              </w:rPr>
              <w:t>intersecrétariats</w:t>
            </w:r>
            <w:proofErr w:type="spellEnd"/>
            <w:r>
              <w:rPr>
                <w:color w:val="000000"/>
              </w:rPr>
              <w:t xml:space="preserve"> qui seront convoquées par la Secrétaire exécutive de la Convention sur la diversité biologique au moment </w:t>
            </w:r>
            <w:r>
              <w:rPr>
                <w:color w:val="000000"/>
              </w:rPr>
              <w:lastRenderedPageBreak/>
              <w:t xml:space="preserve">de l’élaboration des contributions du secrétariat de la Convention à la rédaction des </w:t>
            </w:r>
            <w:r w:rsidR="00F02738">
              <w:rPr>
                <w:color w:val="000000"/>
              </w:rPr>
              <w:t>orientations programmatiques</w:t>
            </w:r>
            <w:r>
              <w:rPr>
                <w:color w:val="000000"/>
              </w:rPr>
              <w:t xml:space="preserve"> et des recommandations de politique générale pour les négociations relatives à la neuvième reconstitution des ressources </w:t>
            </w:r>
            <w:r w:rsidR="007978DF">
              <w:rPr>
                <w:color w:val="000000"/>
              </w:rPr>
              <w:t xml:space="preserve">du </w:t>
            </w:r>
            <w:r w:rsidR="007978DF">
              <w:t xml:space="preserve">Fonds fiduciaire </w:t>
            </w:r>
            <w:r>
              <w:rPr>
                <w:color w:val="000000"/>
              </w:rPr>
              <w:t>du Fonds pour l’environnement mondial, auxquelles le Fonds participera, conformément au paragraphe</w:t>
            </w:r>
            <w:r w:rsidR="000F7D40">
              <w:rPr>
                <w:color w:val="000000"/>
              </w:rPr>
              <w:t> </w:t>
            </w:r>
            <w:r>
              <w:rPr>
                <w:color w:val="000000"/>
              </w:rPr>
              <w:t>7 du mémorandum d’accord entre la Conférence des Parties et le Conseil du Fonds pour l’environnement mondial</w:t>
            </w:r>
            <w:r w:rsidR="000F7D40">
              <w:rPr>
                <w:color w:val="000000"/>
              </w:rPr>
              <w:t> </w:t>
            </w:r>
            <w:r>
              <w:rPr>
                <w:color w:val="000000"/>
              </w:rPr>
              <w:t>;</w:t>
            </w:r>
          </w:p>
        </w:tc>
        <w:tc>
          <w:tcPr>
            <w:tcW w:w="2500" w:type="pct"/>
          </w:tcPr>
          <w:p w14:paraId="50321289" w14:textId="5E6EAF77" w:rsidR="00C004A0" w:rsidRPr="00C67737" w:rsidRDefault="00A110C9" w:rsidP="00495437">
            <w:pPr>
              <w:snapToGrid/>
              <w:spacing w:before="100" w:after="100"/>
              <w:rPr>
                <w:rFonts w:eastAsia="SimSun" w:cstheme="minorHAnsi"/>
                <w:color w:val="000000"/>
              </w:rPr>
            </w:pPr>
            <w:r>
              <w:rPr>
                <w:color w:val="000000"/>
              </w:rPr>
              <w:lastRenderedPageBreak/>
              <w:t>N’appelle pas de réponse</w:t>
            </w:r>
            <w:r w:rsidR="00C004A0">
              <w:rPr>
                <w:color w:val="000000"/>
              </w:rPr>
              <w:t>.</w:t>
            </w:r>
          </w:p>
        </w:tc>
      </w:tr>
      <w:tr w:rsidR="00C004A0" w:rsidRPr="00C67737" w14:paraId="566DB2AB" w14:textId="77777777" w:rsidTr="00A769A6">
        <w:tc>
          <w:tcPr>
            <w:tcW w:w="2500" w:type="pct"/>
          </w:tcPr>
          <w:p w14:paraId="488F2279" w14:textId="77777777" w:rsidR="00C004A0" w:rsidRPr="00C67737" w:rsidRDefault="00C004A0" w:rsidP="00495437">
            <w:pPr>
              <w:rPr>
                <w:rFonts w:cstheme="minorHAnsi"/>
                <w:b/>
                <w:bCs/>
              </w:rPr>
            </w:pPr>
            <w:r>
              <w:rPr>
                <w:b/>
              </w:rPr>
              <w:t>IV Évaluation des besoins de financement</w:t>
            </w:r>
          </w:p>
          <w:p w14:paraId="362A47C9" w14:textId="60B2BDF6"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24.</w:t>
            </w:r>
            <w:r>
              <w:rPr>
                <w:color w:val="000000"/>
              </w:rPr>
              <w:tab/>
            </w:r>
            <w:r>
              <w:rPr>
                <w:i/>
                <w:iCs/>
                <w:color w:val="000000"/>
              </w:rPr>
              <w:t>Prie</w:t>
            </w:r>
            <w:r>
              <w:rPr>
                <w:color w:val="000000"/>
              </w:rPr>
              <w:t xml:space="preserve"> la Secrétaire exécutive de compiler et de transmettre, dès que possible, les informations sur les besoins de financement reçues de tous les pays en développement Parties remplissant les conditions requises, en particulier les pays les moins avancés et les petits États insulaires en développement, ainsi que les Parties à économie en transition, au secrétariat du Fonds pour l’environnement mondial et aux participants aux négociations relatives à la neuvième reconstitution des ressources </w:t>
            </w:r>
            <w:r w:rsidR="007978DF">
              <w:rPr>
                <w:color w:val="000000"/>
              </w:rPr>
              <w:t xml:space="preserve">du </w:t>
            </w:r>
            <w:r w:rsidR="007978DF">
              <w:t xml:space="preserve">Fonds fiduciaire </w:t>
            </w:r>
            <w:r>
              <w:rPr>
                <w:color w:val="000000"/>
              </w:rPr>
              <w:t>du Fonds pour l’environnement mondial</w:t>
            </w:r>
            <w:r w:rsidR="000F7D40">
              <w:rPr>
                <w:color w:val="000000"/>
              </w:rPr>
              <w:t> </w:t>
            </w:r>
            <w:r>
              <w:rPr>
                <w:color w:val="000000"/>
              </w:rPr>
              <w:t>;</w:t>
            </w:r>
          </w:p>
          <w:p w14:paraId="0F10BCF8" w14:textId="2CA9814A"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i/>
                <w:iCs/>
                <w:color w:val="000000"/>
              </w:rPr>
            </w:pPr>
            <w:r>
              <w:rPr>
                <w:color w:val="000000"/>
              </w:rPr>
              <w:t>25.</w:t>
            </w:r>
            <w:r>
              <w:rPr>
                <w:color w:val="000000"/>
              </w:rPr>
              <w:tab/>
            </w:r>
            <w:r>
              <w:rPr>
                <w:i/>
                <w:iCs/>
                <w:color w:val="000000"/>
              </w:rPr>
              <w:t>Prie</w:t>
            </w:r>
            <w:r>
              <w:rPr>
                <w:color w:val="000000"/>
              </w:rPr>
              <w:t xml:space="preserve"> </w:t>
            </w:r>
            <w:r>
              <w:rPr>
                <w:i/>
                <w:iCs/>
                <w:color w:val="000000"/>
              </w:rPr>
              <w:t>également</w:t>
            </w:r>
            <w:r>
              <w:rPr>
                <w:color w:val="000000"/>
              </w:rPr>
              <w:t xml:space="preserve"> la Secrétaire exécutive de tirer parti de l’expérience acquise et des enseignements tirés de la mise en œuvre du mandat relatif à l’évaluation des besoins de financement du Fonds pour l’environnement mondial aux fins de la mise en œuvre de la Convention et de ses Protocoles et d’élaborer un projet de mandat en vue de procéder à la cinquième détermination des besoins de financement pour la dixième reconstitution des ressources </w:t>
            </w:r>
            <w:r w:rsidR="004F3F14">
              <w:rPr>
                <w:color w:val="000000"/>
              </w:rPr>
              <w:t xml:space="preserve">du </w:t>
            </w:r>
            <w:r w:rsidR="004F3F14">
              <w:t>Fonds fiduciaire</w:t>
            </w:r>
            <w:r>
              <w:rPr>
                <w:color w:val="000000"/>
              </w:rPr>
              <w:t xml:space="preserve"> du Fonds pour l’environnement mondial (juillet</w:t>
            </w:r>
            <w:r w:rsidR="000F7D40">
              <w:rPr>
                <w:color w:val="000000"/>
              </w:rPr>
              <w:t> </w:t>
            </w:r>
            <w:r>
              <w:rPr>
                <w:color w:val="000000"/>
              </w:rPr>
              <w:t>2030-juin 2034), pour examen par l’Organe subsidiaire chargé de l’application à une réunion tenue avant la dix-septième réunion de la Conférence des Parties et par la Conférence des Parties à sa dix-septième réunion</w:t>
            </w:r>
          </w:p>
        </w:tc>
        <w:tc>
          <w:tcPr>
            <w:tcW w:w="2500" w:type="pct"/>
          </w:tcPr>
          <w:p w14:paraId="102E2C7F" w14:textId="5675570E" w:rsidR="00C004A0" w:rsidRPr="00C67737" w:rsidRDefault="00F706C8" w:rsidP="00495437">
            <w:pPr>
              <w:snapToGrid/>
              <w:spacing w:before="100" w:after="100"/>
              <w:rPr>
                <w:rFonts w:eastAsia="SimSun" w:cstheme="minorHAnsi"/>
                <w:color w:val="000000"/>
              </w:rPr>
            </w:pPr>
            <w:r>
              <w:rPr>
                <w:color w:val="000000"/>
              </w:rPr>
              <w:t>N’appelle pas de réponse</w:t>
            </w:r>
            <w:r w:rsidR="00C004A0">
              <w:rPr>
                <w:color w:val="000000"/>
              </w:rPr>
              <w:t>.</w:t>
            </w:r>
          </w:p>
        </w:tc>
      </w:tr>
      <w:tr w:rsidR="00C004A0" w:rsidRPr="00C67737" w14:paraId="731EFD86" w14:textId="77777777" w:rsidTr="00A769A6">
        <w:tc>
          <w:tcPr>
            <w:tcW w:w="2500" w:type="pct"/>
          </w:tcPr>
          <w:p w14:paraId="496C1C3E" w14:textId="77777777" w:rsidR="00C004A0" w:rsidRPr="00C67737" w:rsidRDefault="00C004A0" w:rsidP="00495437">
            <w:pPr>
              <w:keepNext/>
              <w:keepLines/>
              <w:tabs>
                <w:tab w:val="left" w:pos="567"/>
                <w:tab w:val="left" w:pos="1134"/>
                <w:tab w:val="left" w:pos="1701"/>
                <w:tab w:val="left" w:pos="2268"/>
                <w:tab w:val="left" w:pos="2835"/>
                <w:tab w:val="left" w:pos="3402"/>
                <w:tab w:val="left" w:pos="3969"/>
              </w:tabs>
              <w:snapToGrid/>
              <w:spacing w:before="0" w:after="100"/>
              <w:ind w:left="567" w:hanging="567"/>
              <w:rPr>
                <w:rFonts w:eastAsia="SimSun" w:cstheme="minorHAnsi"/>
                <w:b/>
                <w:color w:val="000000"/>
              </w:rPr>
            </w:pPr>
            <w:r>
              <w:rPr>
                <w:b/>
                <w:color w:val="000000"/>
              </w:rPr>
              <w:lastRenderedPageBreak/>
              <w:t>V Nouvelles orientations à intention du Fonds pour l’environnement mondial</w:t>
            </w:r>
          </w:p>
          <w:p w14:paraId="5384535C" w14:textId="193DFC71"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26.</w:t>
            </w:r>
            <w:r>
              <w:rPr>
                <w:color w:val="000000"/>
              </w:rPr>
              <w:tab/>
            </w:r>
            <w:r>
              <w:t xml:space="preserve">Prend note des orientations antérieures consolidées à l’intention du Fonds pour l’environnement mondial, qui figurent à l’annexe du document </w:t>
            </w:r>
            <w:hyperlink r:id="rId37" w:history="1">
              <w:r>
                <w:rPr>
                  <w:color w:val="000000"/>
                  <w:u w:val="single"/>
                </w:rPr>
                <w:t>CBD/COP/16/6/Add.1</w:t>
              </w:r>
            </w:hyperlink>
            <w:r w:rsidR="000F7D40">
              <w:t> </w:t>
            </w:r>
            <w:r>
              <w:t>;</w:t>
            </w:r>
          </w:p>
          <w:p w14:paraId="167ECC49" w14:textId="0C04C1EE"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i/>
                <w:iCs/>
                <w:color w:val="000000"/>
              </w:rPr>
            </w:pPr>
            <w:r>
              <w:rPr>
                <w:color w:val="000000"/>
              </w:rPr>
              <w:t>27.</w:t>
            </w:r>
            <w:r>
              <w:rPr>
                <w:color w:val="000000"/>
              </w:rPr>
              <w:tab/>
            </w:r>
            <w:r>
              <w:rPr>
                <w:i/>
                <w:iCs/>
                <w:color w:val="000000"/>
              </w:rPr>
              <w:t>Adopte</w:t>
            </w:r>
            <w:r>
              <w:rPr>
                <w:color w:val="000000"/>
              </w:rPr>
              <w:t xml:space="preserve"> les orientations supplémentaires à l’intention du Fonds pour l’environnement mondial qui figurent à l’annexe</w:t>
            </w:r>
            <w:r w:rsidR="000F7D40">
              <w:rPr>
                <w:color w:val="000000"/>
              </w:rPr>
              <w:t> </w:t>
            </w:r>
            <w:r>
              <w:rPr>
                <w:color w:val="000000"/>
              </w:rPr>
              <w:t>II de la présente décision et demande au Conseil du Fonds pour l’environnement mondial de faire figurer dans ses rapports à la Conférence des Parties des informations concernant la mise en œuvre de ces orientations supplémentaires</w:t>
            </w:r>
            <w:r w:rsidR="000F7D40">
              <w:rPr>
                <w:color w:val="000000"/>
              </w:rPr>
              <w:t> </w:t>
            </w:r>
            <w:r>
              <w:rPr>
                <w:color w:val="000000"/>
              </w:rPr>
              <w:t>;</w:t>
            </w:r>
          </w:p>
        </w:tc>
        <w:tc>
          <w:tcPr>
            <w:tcW w:w="2500" w:type="pct"/>
          </w:tcPr>
          <w:p w14:paraId="196FDA86" w14:textId="6E73614F" w:rsidR="00C004A0" w:rsidRPr="00C67737" w:rsidRDefault="009642BC" w:rsidP="00495437">
            <w:pPr>
              <w:snapToGrid/>
              <w:spacing w:before="100" w:after="100"/>
              <w:rPr>
                <w:rFonts w:eastAsia="SimSun" w:cstheme="minorHAnsi"/>
                <w:color w:val="000000"/>
              </w:rPr>
            </w:pPr>
            <w:r>
              <w:rPr>
                <w:color w:val="000000"/>
              </w:rPr>
              <w:t>Le présent rapport répond à cette demande.</w:t>
            </w:r>
          </w:p>
        </w:tc>
      </w:tr>
      <w:tr w:rsidR="00C004A0" w:rsidRPr="00C67737" w14:paraId="44D0E6D9" w14:textId="77777777" w:rsidTr="00A769A6">
        <w:tc>
          <w:tcPr>
            <w:tcW w:w="2500" w:type="pct"/>
          </w:tcPr>
          <w:p w14:paraId="06F0FC63" w14:textId="2A9FEAC3"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28.</w:t>
            </w:r>
            <w:r>
              <w:rPr>
                <w:color w:val="000000"/>
              </w:rPr>
              <w:tab/>
            </w:r>
            <w:r>
              <w:rPr>
                <w:i/>
                <w:iCs/>
              </w:rPr>
              <w:t>Demande</w:t>
            </w:r>
            <w:r>
              <w:t xml:space="preserve"> à l’Organe subsidiaire chargé de l’application d’examiner, à une réunion tenue avant la dix</w:t>
            </w:r>
            <w:r w:rsidR="00D96B6D">
              <w:t>-</w:t>
            </w:r>
            <w:r>
              <w:t>septième réunion de la Conférence des Parties, les projets d’éléments d’orientation supplémentaires élaborés en réponse à sa recommandation</w:t>
            </w:r>
            <w:r w:rsidR="000F7D40">
              <w:t> </w:t>
            </w:r>
            <w:hyperlink r:id="rId38" w:history="1">
              <w:r>
                <w:rPr>
                  <w:color w:val="000000"/>
                  <w:u w:val="single"/>
                </w:rPr>
                <w:t>4/4</w:t>
              </w:r>
            </w:hyperlink>
            <w:r>
              <w:t xml:space="preserve">, tels qu’ils figurent dans l’annexe du document </w:t>
            </w:r>
            <w:hyperlink r:id="rId39" w:history="1">
              <w:r>
                <w:rPr>
                  <w:color w:val="000000"/>
                  <w:u w:val="single"/>
                </w:rPr>
                <w:t>CBD/COP/16/6/Rev.1</w:t>
              </w:r>
            </w:hyperlink>
            <w:r w:rsidR="000F7D40">
              <w:t> </w:t>
            </w:r>
            <w:r>
              <w:t>;</w:t>
            </w:r>
            <w:r w:rsidRPr="00C67737">
              <w:rPr>
                <w:rFonts w:eastAsia="SimSun" w:cstheme="minorHAnsi"/>
                <w:color w:val="000000"/>
                <w:vertAlign w:val="superscript"/>
              </w:rPr>
              <w:footnoteReference w:id="66"/>
            </w:r>
          </w:p>
          <w:p w14:paraId="660F1B6F" w14:textId="038C421A"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29.</w:t>
            </w:r>
            <w:r>
              <w:rPr>
                <w:color w:val="000000"/>
              </w:rPr>
              <w:tab/>
            </w:r>
            <w:r>
              <w:rPr>
                <w:i/>
                <w:iCs/>
              </w:rPr>
              <w:t>Rappelle</w:t>
            </w:r>
            <w:r>
              <w:t xml:space="preserve"> les paragraphes</w:t>
            </w:r>
            <w:r w:rsidR="000F7D40">
              <w:t> </w:t>
            </w:r>
            <w:r>
              <w:t>2, 3 et 4 de sa décision</w:t>
            </w:r>
            <w:r w:rsidR="000F7D40">
              <w:t> </w:t>
            </w:r>
            <w:hyperlink r:id="rId40" w:history="1">
              <w:r>
                <w:rPr>
                  <w:color w:val="000000"/>
                  <w:u w:val="single"/>
                </w:rPr>
                <w:t>XII/30</w:t>
              </w:r>
            </w:hyperlink>
            <w:r>
              <w:t xml:space="preserve"> du 17</w:t>
            </w:r>
            <w:r w:rsidR="000F7D40">
              <w:t> </w:t>
            </w:r>
            <w:r>
              <w:t>octobre 2014, et demande à la Secrétaire exécutive de continuer à assurer la liaison avec les différentes conventions relatives à la biodiversité et le Fonds pour l’environnement mondial afin d’étudier les possibilités d’accroître l’appui du Fonds pour les pays en ce qui concerne les activités pertinentes pour la mise en œuvre des différentes conventions relatives à la biodiversité</w:t>
            </w:r>
            <w:r w:rsidR="000F7D40">
              <w:t> </w:t>
            </w:r>
            <w:r>
              <w:t>;</w:t>
            </w:r>
          </w:p>
        </w:tc>
        <w:tc>
          <w:tcPr>
            <w:tcW w:w="2500" w:type="pct"/>
          </w:tcPr>
          <w:p w14:paraId="6C9C5760" w14:textId="55EE25E2" w:rsidR="00C004A0" w:rsidRPr="00C67737" w:rsidRDefault="00F33E78" w:rsidP="00495437">
            <w:pPr>
              <w:snapToGrid/>
              <w:spacing w:before="100" w:after="100"/>
              <w:rPr>
                <w:rFonts w:eastAsia="SimSun" w:cstheme="minorHAnsi"/>
                <w:color w:val="000000"/>
              </w:rPr>
            </w:pPr>
            <w:r>
              <w:rPr>
                <w:color w:val="000000"/>
              </w:rPr>
              <w:t>N’appelle pas de réponse.</w:t>
            </w:r>
          </w:p>
        </w:tc>
      </w:tr>
      <w:tr w:rsidR="00C004A0" w:rsidRPr="00C67737" w14:paraId="70A76340" w14:textId="77777777" w:rsidTr="00A769A6">
        <w:tc>
          <w:tcPr>
            <w:tcW w:w="2500" w:type="pct"/>
          </w:tcPr>
          <w:p w14:paraId="1D34FF1B" w14:textId="2D1C27EB"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30.</w:t>
            </w:r>
            <w:r>
              <w:rPr>
                <w:color w:val="000000"/>
              </w:rPr>
              <w:tab/>
            </w:r>
            <w:r>
              <w:rPr>
                <w:i/>
                <w:iCs/>
                <w:color w:val="000000"/>
              </w:rPr>
              <w:t>Demande</w:t>
            </w:r>
            <w:r>
              <w:rPr>
                <w:color w:val="000000"/>
              </w:rPr>
              <w:t xml:space="preserve"> au Fonds pour l’environnement mondial de continuer à appuyer les partenariats avec les peuples autochtones et communautés locales, les femmes et les jeunes, et de reconnaître et promouvoir leurs contributions à la mise en œuvre des cibles du Cadre</w:t>
            </w:r>
            <w:r w:rsidR="000F7D40">
              <w:rPr>
                <w:color w:val="000000"/>
              </w:rPr>
              <w:t> </w:t>
            </w:r>
            <w:r>
              <w:rPr>
                <w:color w:val="000000"/>
              </w:rPr>
              <w:t>;</w:t>
            </w:r>
          </w:p>
        </w:tc>
        <w:tc>
          <w:tcPr>
            <w:tcW w:w="2500" w:type="pct"/>
          </w:tcPr>
          <w:p w14:paraId="0E354CD8" w14:textId="3AB43936" w:rsidR="00C004A0" w:rsidRPr="00C67737" w:rsidRDefault="00C004A0" w:rsidP="00495437">
            <w:pPr>
              <w:snapToGrid/>
              <w:spacing w:before="100" w:after="100"/>
              <w:rPr>
                <w:rFonts w:eastAsia="SimSun" w:cstheme="minorHAnsi"/>
                <w:color w:val="000000"/>
              </w:rPr>
            </w:pPr>
            <w:r>
              <w:t>Le GEF dispose de plusieurs politiques</w:t>
            </w:r>
            <w:r w:rsidRPr="00C67737">
              <w:rPr>
                <w:rFonts w:eastAsia="SimSun" w:cstheme="minorHAnsi"/>
                <w:color w:val="000000"/>
                <w:vertAlign w:val="superscript"/>
              </w:rPr>
              <w:footnoteReference w:id="67"/>
            </w:r>
            <w:r>
              <w:t xml:space="preserve"> </w:t>
            </w:r>
            <w:r w:rsidR="008E002A" w:rsidRPr="008E002A">
              <w:t xml:space="preserve">qui prescrivent d’importants principes relatifs aux consultations et à la mobilisation des parties prenantes, à la prise en compte de l’égalité des genres et des jeunes, au respect des droits des peuples autochtones et communautés locales, ainsi qu’à la prévention et à l’atténuation des éventuels </w:t>
            </w:r>
            <w:r w:rsidR="008E002A" w:rsidRPr="008E002A">
              <w:lastRenderedPageBreak/>
              <w:t>effets négatifs des activités financées par le GEF sur les groupes et les personnes vulnérables</w:t>
            </w:r>
            <w:r w:rsidR="008E002A">
              <w:t>.</w:t>
            </w:r>
          </w:p>
          <w:p w14:paraId="2DD1AFE5" w14:textId="0C39E35D" w:rsidR="00C004A0" w:rsidRPr="00C67737" w:rsidRDefault="00C004A0" w:rsidP="00495437">
            <w:pPr>
              <w:snapToGrid/>
              <w:spacing w:before="100" w:after="100"/>
              <w:rPr>
                <w:rFonts w:eastAsia="SimSun" w:cstheme="minorHAnsi"/>
                <w:color w:val="000000"/>
              </w:rPr>
            </w:pPr>
            <w:r>
              <w:rPr>
                <w:color w:val="000000"/>
              </w:rPr>
              <w:t>Comme l’a demandé le Conseil du GBFF à sa quatrième réunion, en juin 2025, les</w:t>
            </w:r>
            <w:r>
              <w:t xml:space="preserve"> lignes directrices sur les actions menées par les peuples autochtones et communautés locales (</w:t>
            </w:r>
            <w:hyperlink r:id="rId41">
              <w:r w:rsidRPr="009211A6">
                <w:rPr>
                  <w:i/>
                  <w:iCs/>
                  <w:color w:val="0000FF"/>
                  <w:u w:val="single"/>
                </w:rPr>
                <w:t>Guidelines on Actions by Indigenous Peoples and Local Communities</w:t>
              </w:r>
            </w:hyperlink>
            <w:r w:rsidR="00F22E88" w:rsidRPr="00C67737">
              <w:rPr>
                <w:rFonts w:cstheme="minorHAnsi"/>
                <w:color w:val="000000"/>
                <w:vertAlign w:val="superscript"/>
              </w:rPr>
              <w:fldChar w:fldCharType="begin"/>
            </w:r>
            <w:r w:rsidR="00F22E88" w:rsidRPr="00C67737">
              <w:rPr>
                <w:rFonts w:eastAsia="SimSun" w:cstheme="minorHAnsi"/>
                <w:color w:val="000000"/>
                <w:vertAlign w:val="superscript"/>
              </w:rPr>
              <w:instrText xml:space="preserve"> NOTEREF _Ref226035329 \h </w:instrText>
            </w:r>
            <w:r w:rsidR="00876082" w:rsidRPr="00C67737">
              <w:rPr>
                <w:rFonts w:cstheme="minorHAnsi"/>
                <w:color w:val="000000"/>
                <w:vertAlign w:val="superscript"/>
              </w:rPr>
              <w:instrText xml:space="preserve"> \* MERGEFORMAT </w:instrText>
            </w:r>
            <w:r w:rsidR="00F22E88" w:rsidRPr="00C67737">
              <w:rPr>
                <w:rFonts w:cstheme="minorHAnsi"/>
                <w:color w:val="000000"/>
                <w:vertAlign w:val="superscript"/>
              </w:rPr>
            </w:r>
            <w:r w:rsidR="00F22E88" w:rsidRPr="00C67737">
              <w:rPr>
                <w:rFonts w:cstheme="minorHAnsi"/>
                <w:color w:val="000000"/>
                <w:vertAlign w:val="superscript"/>
              </w:rPr>
              <w:fldChar w:fldCharType="separate"/>
            </w:r>
            <w:r w:rsidR="006C2F5A">
              <w:rPr>
                <w:rFonts w:eastAsia="SimSun" w:cstheme="minorHAnsi"/>
                <w:color w:val="000000"/>
                <w:vertAlign w:val="superscript"/>
              </w:rPr>
              <w:t>70</w:t>
            </w:r>
            <w:r w:rsidR="00F22E88" w:rsidRPr="00C67737">
              <w:rPr>
                <w:rFonts w:cstheme="minorHAnsi"/>
                <w:color w:val="000000"/>
                <w:vertAlign w:val="superscript"/>
              </w:rPr>
              <w:fldChar w:fldCharType="end"/>
            </w:r>
            <w:r>
              <w:t xml:space="preserve">) </w:t>
            </w:r>
            <w:r w:rsidR="00113DAD">
              <w:rPr>
                <w:color w:val="000000"/>
              </w:rPr>
              <w:t>ont été élaborées au terme d’un processus consultatif, comprenant notamment une consultation ouverte organisée en marge de la première réunion de l’Organe subsidiaire sur l’article 8 j) et les autres dispositions de la Convention sur la diversité biologique relatives aux peuples autochtones et communautés locales (SB-8j), en octobre 2025</w:t>
            </w:r>
            <w:r>
              <w:rPr>
                <w:color w:val="000000"/>
              </w:rPr>
              <w:t xml:space="preserve">. </w:t>
            </w:r>
            <w:r w:rsidR="00155CB3">
              <w:rPr>
                <w:color w:val="000000"/>
              </w:rPr>
              <w:t>Elles</w:t>
            </w:r>
            <w:r>
              <w:rPr>
                <w:color w:val="000000"/>
              </w:rPr>
              <w:t xml:space="preserve"> ont été publiées en décembre 2025 et s’appliquent à l’ensemble des projets du GBFF.</w:t>
            </w:r>
          </w:p>
          <w:p w14:paraId="698A9068" w14:textId="0919AE1F" w:rsidR="70DC7537" w:rsidRPr="00C67737" w:rsidRDefault="4A5CE301" w:rsidP="00495437">
            <w:pPr>
              <w:spacing w:before="100" w:after="100"/>
              <w:rPr>
                <w:rFonts w:cstheme="minorHAnsi"/>
              </w:rPr>
            </w:pPr>
            <w:r>
              <w:t>Le GEF et le Groupe consultatif des peuples autochtones (IPAG) ont organisé une série de dialogues techniques réunissant des experts autochtones et des membres du personnel du GEF afin d’</w:t>
            </w:r>
            <w:r w:rsidR="006E5580">
              <w:t>orient</w:t>
            </w:r>
            <w:r>
              <w:t xml:space="preserve">er l’élaboration et la mise en œuvre des </w:t>
            </w:r>
            <w:r w:rsidR="00F02738">
              <w:t>orientations programmatiques</w:t>
            </w:r>
            <w:r>
              <w:t xml:space="preserve"> de </w:t>
            </w:r>
            <w:r w:rsidR="00376C22">
              <w:t>GEF</w:t>
            </w:r>
            <w:r w:rsidR="00376C22">
              <w:noBreakHyphen/>
            </w:r>
            <w:r>
              <w:t xml:space="preserve">9. </w:t>
            </w:r>
            <w:r w:rsidR="00565730">
              <w:t>U</w:t>
            </w:r>
            <w:r w:rsidR="000C47FD" w:rsidRPr="000C47FD">
              <w:t xml:space="preserve">ne </w:t>
            </w:r>
            <w:r w:rsidR="0080762A">
              <w:t>rencontre</w:t>
            </w:r>
            <w:r w:rsidR="000C47FD" w:rsidRPr="000C47FD">
              <w:t xml:space="preserve"> avec le Forum international des peuples autochtones sur la biodiversité s’est</w:t>
            </w:r>
            <w:r w:rsidR="00565730">
              <w:t xml:space="preserve"> notamment</w:t>
            </w:r>
            <w:r w:rsidR="000C47FD" w:rsidRPr="000C47FD">
              <w:t xml:space="preserve"> tenue en août 2025</w:t>
            </w:r>
            <w:r>
              <w:t xml:space="preserve">, afin d’éclairer les </w:t>
            </w:r>
            <w:r w:rsidR="00F02738">
              <w:t>orientations programmatiques</w:t>
            </w:r>
            <w:r>
              <w:t xml:space="preserve"> de </w:t>
            </w:r>
            <w:r w:rsidR="00376C22">
              <w:t>GEF</w:t>
            </w:r>
            <w:r w:rsidR="00376C22">
              <w:noBreakHyphen/>
            </w:r>
            <w:r>
              <w:t>9 dans le domaine d’intervention «</w:t>
            </w:r>
            <w:r w:rsidR="000F7D40">
              <w:t> </w:t>
            </w:r>
            <w:r>
              <w:t>diversité biologique</w:t>
            </w:r>
            <w:r w:rsidR="000F7D40">
              <w:t> </w:t>
            </w:r>
            <w:r>
              <w:t>» et de veiller à ce que les contributions et les priorités des peuples autochtones et communautés locales soient prises en compte dans leur conception et leur mise en œuvre.</w:t>
            </w:r>
          </w:p>
          <w:p w14:paraId="1760D69A" w14:textId="19C61B48" w:rsidR="00C004A0" w:rsidRPr="00C67737" w:rsidRDefault="00F37680" w:rsidP="00495437">
            <w:pPr>
              <w:snapToGrid/>
              <w:spacing w:before="100" w:after="100"/>
              <w:rPr>
                <w:rFonts w:eastAsia="SimSun" w:cstheme="minorHAnsi"/>
                <w:color w:val="000000"/>
              </w:rPr>
            </w:pPr>
            <w:r w:rsidRPr="00F37680">
              <w:rPr>
                <w:color w:val="000000" w:themeColor="text1"/>
              </w:rPr>
              <w:t>Dans le cadre de la reconstitution des ressources de GEF-9</w:t>
            </w:r>
            <w:r w:rsidR="00C004A0">
              <w:rPr>
                <w:color w:val="000000" w:themeColor="text1"/>
              </w:rPr>
              <w:t xml:space="preserve">, il a été convenu d’ici à 2028 d’affiner les mécanismes de financement et les politiques du GEF afin </w:t>
            </w:r>
            <w:r w:rsidR="001A5D30">
              <w:rPr>
                <w:color w:val="000000" w:themeColor="text1"/>
              </w:rPr>
              <w:t>de</w:t>
            </w:r>
            <w:r w:rsidR="00C004A0">
              <w:rPr>
                <w:color w:val="000000" w:themeColor="text1"/>
              </w:rPr>
              <w:t xml:space="preserve"> mieux </w:t>
            </w:r>
            <w:r w:rsidR="001A5D30">
              <w:rPr>
                <w:color w:val="000000" w:themeColor="text1"/>
              </w:rPr>
              <w:t xml:space="preserve">prendre en </w:t>
            </w:r>
            <w:r w:rsidR="00C004A0">
              <w:rPr>
                <w:color w:val="000000" w:themeColor="text1"/>
              </w:rPr>
              <w:t xml:space="preserve">compte </w:t>
            </w:r>
            <w:r w:rsidR="001A5D30">
              <w:rPr>
                <w:color w:val="000000" w:themeColor="text1"/>
              </w:rPr>
              <w:t>l</w:t>
            </w:r>
            <w:r w:rsidR="00C004A0">
              <w:rPr>
                <w:color w:val="000000" w:themeColor="text1"/>
              </w:rPr>
              <w:t xml:space="preserve">es peuples autochtones et communautés locales, </w:t>
            </w:r>
            <w:r w:rsidR="001A5D30">
              <w:rPr>
                <w:color w:val="000000" w:themeColor="text1"/>
              </w:rPr>
              <w:t>l</w:t>
            </w:r>
            <w:r w:rsidR="00C004A0">
              <w:rPr>
                <w:color w:val="000000" w:themeColor="text1"/>
              </w:rPr>
              <w:t xml:space="preserve">es femmes et </w:t>
            </w:r>
            <w:r w:rsidR="001A5D30">
              <w:rPr>
                <w:color w:val="000000" w:themeColor="text1"/>
              </w:rPr>
              <w:t>l</w:t>
            </w:r>
            <w:r w:rsidR="00C004A0">
              <w:rPr>
                <w:color w:val="000000" w:themeColor="text1"/>
              </w:rPr>
              <w:t>es jeunes. Il a également été convenu d’élaborer une politique du GEF relative aux peuples autochtones et communautés locales afin d’actualiser et d’affiner l’ensemble existant de lignes directrices et de politiques.</w:t>
            </w:r>
          </w:p>
          <w:p w14:paraId="19C6DEA3" w14:textId="6E2BF4D4" w:rsidR="00503B15" w:rsidRPr="00C67737" w:rsidRDefault="00C004A0" w:rsidP="00495437">
            <w:pPr>
              <w:snapToGrid/>
              <w:spacing w:before="100" w:after="100"/>
              <w:rPr>
                <w:rFonts w:eastAsia="SimSun" w:cstheme="minorHAnsi"/>
                <w:color w:val="000000" w:themeColor="text1"/>
              </w:rPr>
            </w:pPr>
            <w:r>
              <w:t xml:space="preserve">En outre, le GEF a mis en place des programmes spécifiques, tels que le </w:t>
            </w:r>
            <w:hyperlink r:id="rId42">
              <w:r>
                <w:rPr>
                  <w:color w:val="000000" w:themeColor="text1"/>
                  <w:u w:val="single"/>
                </w:rPr>
                <w:t xml:space="preserve">Programme de </w:t>
              </w:r>
              <w:r>
                <w:rPr>
                  <w:color w:val="000000" w:themeColor="text1"/>
                  <w:u w:val="single"/>
                </w:rPr>
                <w:lastRenderedPageBreak/>
                <w:t>microfinancements</w:t>
              </w:r>
            </w:hyperlink>
            <w:r>
              <w:t>, établi de longue date, ainsi que l’</w:t>
            </w:r>
            <w:hyperlink r:id="rId43">
              <w:r>
                <w:rPr>
                  <w:color w:val="000000" w:themeColor="text1"/>
                  <w:u w:val="single"/>
                </w:rPr>
                <w:t>Initiative de conservation inclusive, l’Initiative Heart of the conservation</w:t>
              </w:r>
            </w:hyperlink>
            <w:r w:rsidR="001A5D30">
              <w:t xml:space="preserve"> (HCI)</w:t>
            </w:r>
            <w:r>
              <w:t xml:space="preserve">, plus récente, et le </w:t>
            </w:r>
            <w:hyperlink r:id="rId44">
              <w:r>
                <w:rPr>
                  <w:color w:val="000000" w:themeColor="text1"/>
                  <w:u w:val="single"/>
                </w:rPr>
                <w:t>Programme de leadership Fonseca</w:t>
              </w:r>
            </w:hyperlink>
            <w:r>
              <w:t>. Ces programmes constituent des voies d’accès essentielles, pour les organisations de la société civile, les peuples autochtones et communautés locales, les groupes de femmes et les groupes de jeunes, aux financements du GEF, au renforcement des capacités et à l’appui technique nécessaires pour relever les enjeux environnementaux mondiaux grâce à des modalités de mise en œuvre décentralisées</w:t>
            </w:r>
          </w:p>
          <w:p w14:paraId="4B16819C" w14:textId="7E4BC182" w:rsidR="00C004A0" w:rsidRPr="00C67737" w:rsidRDefault="005E2AA1" w:rsidP="00495437">
            <w:pPr>
              <w:snapToGrid/>
              <w:spacing w:before="100" w:after="100"/>
              <w:rPr>
                <w:rFonts w:eastAsia="SimSun" w:cstheme="minorHAnsi"/>
                <w:color w:val="000000"/>
              </w:rPr>
            </w:pPr>
            <w:r>
              <w:rPr>
                <w:color w:val="000000" w:themeColor="text1"/>
              </w:rPr>
              <w:t>Le Programme de leadership Fonseca a soutenu plus de 300</w:t>
            </w:r>
            <w:r w:rsidR="000F7D40">
              <w:rPr>
                <w:color w:val="000000" w:themeColor="text1"/>
              </w:rPr>
              <w:t> </w:t>
            </w:r>
            <w:r>
              <w:rPr>
                <w:color w:val="000000" w:themeColor="text1"/>
              </w:rPr>
              <w:t>jeunes responsables de la conservation issus de 62</w:t>
            </w:r>
            <w:r w:rsidR="000F7D40">
              <w:rPr>
                <w:color w:val="000000" w:themeColor="text1"/>
              </w:rPr>
              <w:t> </w:t>
            </w:r>
            <w:r>
              <w:rPr>
                <w:color w:val="000000" w:themeColor="text1"/>
              </w:rPr>
              <w:t>pays, en combinant des bourses d’études supérieures attribuées à 95</w:t>
            </w:r>
            <w:r w:rsidR="000F7D40">
              <w:rPr>
                <w:color w:val="000000" w:themeColor="text1"/>
              </w:rPr>
              <w:t> </w:t>
            </w:r>
            <w:r>
              <w:rPr>
                <w:color w:val="000000" w:themeColor="text1"/>
              </w:rPr>
              <w:t>bénéficiaires et des subventions de recherche sur le terrain accordées à 205</w:t>
            </w:r>
            <w:r w:rsidR="000F7D40">
              <w:rPr>
                <w:color w:val="000000" w:themeColor="text1"/>
              </w:rPr>
              <w:t> </w:t>
            </w:r>
            <w:r>
              <w:rPr>
                <w:color w:val="000000" w:themeColor="text1"/>
              </w:rPr>
              <w:t>bénéficiaires.</w:t>
            </w:r>
          </w:p>
          <w:p w14:paraId="2B68B042" w14:textId="3C0908DE" w:rsidR="00C004A0" w:rsidRPr="00C67737" w:rsidRDefault="008C0D36" w:rsidP="00495437">
            <w:pPr>
              <w:snapToGrid/>
              <w:spacing w:before="100" w:after="100"/>
              <w:rPr>
                <w:rFonts w:eastAsia="SimSun" w:cstheme="minorHAnsi"/>
                <w:color w:val="000000"/>
              </w:rPr>
            </w:pPr>
            <w:r>
              <w:t>Les ressources allouées</w:t>
            </w:r>
            <w:r w:rsidR="00C004A0">
              <w:t xml:space="preserve"> à l’</w:t>
            </w:r>
            <w:hyperlink r:id="rId45">
              <w:r w:rsidR="00C004A0">
                <w:rPr>
                  <w:color w:val="000000" w:themeColor="text1"/>
                  <w:u w:val="single"/>
                </w:rPr>
                <w:t xml:space="preserve">Initiative de conservation inclusive </w:t>
              </w:r>
            </w:hyperlink>
            <w:r w:rsidR="00C004A0">
              <w:t xml:space="preserve">et à l’Initiative </w:t>
            </w:r>
            <w:r w:rsidR="001A5D30">
              <w:rPr>
                <w:i/>
                <w:iCs/>
                <w:u w:val="single"/>
              </w:rPr>
              <w:t>HCI</w:t>
            </w:r>
            <w:r w:rsidR="00C004A0">
              <w:t xml:space="preserve">, qui </w:t>
            </w:r>
            <w:r w:rsidR="003E0253">
              <w:t>financent directement des</w:t>
            </w:r>
            <w:r w:rsidR="00C004A0">
              <w:t xml:space="preserve"> organisations de peuples autochtones et communautés locales, </w:t>
            </w:r>
            <w:r w:rsidR="003E0253">
              <w:t xml:space="preserve">ont </w:t>
            </w:r>
            <w:r w:rsidR="00C004A0">
              <w:t>été considérablement accru</w:t>
            </w:r>
            <w:r w:rsidR="003E0253">
              <w:t>es</w:t>
            </w:r>
            <w:r w:rsidR="00C004A0">
              <w:t>, passant de 25</w:t>
            </w:r>
            <w:r w:rsidR="000F7D40">
              <w:t> </w:t>
            </w:r>
            <w:r w:rsidR="00C004A0">
              <w:t xml:space="preserve">millions de dollars </w:t>
            </w:r>
            <w:r w:rsidR="003E0253">
              <w:t>pendant</w:t>
            </w:r>
            <w:r w:rsidR="00C004A0">
              <w:t xml:space="preserve"> </w:t>
            </w:r>
            <w:r w:rsidR="00376C22">
              <w:t>GEF</w:t>
            </w:r>
            <w:r w:rsidR="00376C22">
              <w:noBreakHyphen/>
            </w:r>
            <w:r w:rsidR="00C004A0">
              <w:t xml:space="preserve">7 et </w:t>
            </w:r>
            <w:r w:rsidR="00376C22">
              <w:t>GEF</w:t>
            </w:r>
            <w:r w:rsidR="00376C22">
              <w:noBreakHyphen/>
            </w:r>
            <w:r w:rsidR="00C004A0">
              <w:t>8 à 100</w:t>
            </w:r>
            <w:r w:rsidR="000F7D40">
              <w:t> </w:t>
            </w:r>
            <w:r w:rsidR="00C004A0">
              <w:t xml:space="preserve">millions de dollars </w:t>
            </w:r>
            <w:r w:rsidR="003E0253">
              <w:t>pendant</w:t>
            </w:r>
            <w:r w:rsidR="00C004A0">
              <w:t xml:space="preserve"> </w:t>
            </w:r>
            <w:r w:rsidR="00376C22">
              <w:t>GEF</w:t>
            </w:r>
            <w:r w:rsidR="00376C22">
              <w:noBreakHyphen/>
            </w:r>
            <w:r w:rsidR="00C004A0">
              <w:t>9.</w:t>
            </w:r>
          </w:p>
          <w:p w14:paraId="5FE5E40B" w14:textId="574C9EE7" w:rsidR="00C906CF" w:rsidRPr="00C67737" w:rsidRDefault="00C004A0" w:rsidP="00495437">
            <w:pPr>
              <w:snapToGrid/>
              <w:spacing w:before="100" w:after="100"/>
              <w:rPr>
                <w:rFonts w:eastAsia="SimSun" w:cstheme="minorHAnsi"/>
                <w:color w:val="000000"/>
              </w:rPr>
            </w:pPr>
            <w:r>
              <w:rPr>
                <w:color w:val="000000"/>
              </w:rPr>
              <w:t>Un plan d’action pour l’égalité des genres doit être établi pour chaque projet financé par le GEF, afin que celui-ci produise des effets positifs dans le contexte où il est mis en œuvre.</w:t>
            </w:r>
          </w:p>
          <w:p w14:paraId="0200B834" w14:textId="311FDAB5" w:rsidR="00C004A0" w:rsidRPr="00DF67A7" w:rsidRDefault="00C004A0" w:rsidP="00495437">
            <w:pPr>
              <w:snapToGrid/>
              <w:spacing w:before="100" w:after="100"/>
              <w:rPr>
                <w:color w:val="000000" w:themeColor="text1"/>
              </w:rPr>
            </w:pPr>
            <w:r>
              <w:rPr>
                <w:color w:val="000000" w:themeColor="text1"/>
              </w:rPr>
              <w:t xml:space="preserve">Le Conseil du GBFF </w:t>
            </w:r>
            <w:r w:rsidR="00DF67A7" w:rsidRPr="00DF67A7">
              <w:rPr>
                <w:color w:val="000000" w:themeColor="text1"/>
              </w:rPr>
              <w:t xml:space="preserve">dispose d’une représentation élargie des observateurs, </w:t>
            </w:r>
            <w:r w:rsidR="00180F30">
              <w:rPr>
                <w:color w:val="000000" w:themeColor="text1"/>
              </w:rPr>
              <w:t>avec</w:t>
            </w:r>
            <w:r w:rsidR="00DF67A7" w:rsidRPr="00DF67A7">
              <w:rPr>
                <w:color w:val="000000" w:themeColor="text1"/>
              </w:rPr>
              <w:t xml:space="preserve"> deux sièges pour les peuples autochtones et les communautés locales, deux pour les femmes et deux pour les jeunes, conformément aux groupes reconnus par la Convention sur la diversité biologique.</w:t>
            </w:r>
          </w:p>
        </w:tc>
      </w:tr>
      <w:tr w:rsidR="00C004A0" w:rsidRPr="00C67737" w14:paraId="5839BD3B" w14:textId="77777777" w:rsidTr="00A769A6">
        <w:tc>
          <w:tcPr>
            <w:tcW w:w="2500" w:type="pct"/>
          </w:tcPr>
          <w:p w14:paraId="60978F94" w14:textId="17FDF865"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lastRenderedPageBreak/>
              <w:t>31.</w:t>
            </w:r>
            <w:r>
              <w:rPr>
                <w:color w:val="000000"/>
              </w:rPr>
              <w:tab/>
            </w:r>
            <w:r>
              <w:rPr>
                <w:i/>
                <w:iCs/>
              </w:rPr>
              <w:t>Demande également</w:t>
            </w:r>
            <w:r>
              <w:t xml:space="preserve"> au Fonds pour l’environnement mondial d’informer la Conférence des Parties de la manière dont il prend en compte les lignes directrices facultatives sur les garanties dans les mécanismes de financement de la diversité biologique élaborées dans le cadre de la </w:t>
            </w:r>
            <w:r>
              <w:lastRenderedPageBreak/>
              <w:t>Convention, rappelant à cet égard le paragraphe</w:t>
            </w:r>
            <w:r w:rsidR="000F7D40">
              <w:t> </w:t>
            </w:r>
            <w:r>
              <w:t xml:space="preserve">6 de la décision </w:t>
            </w:r>
            <w:hyperlink r:id="rId46" w:history="1">
              <w:r>
                <w:rPr>
                  <w:color w:val="000000"/>
                  <w:u w:val="single"/>
                </w:rPr>
                <w:t>14/15</w:t>
              </w:r>
            </w:hyperlink>
            <w:r>
              <w:t xml:space="preserve"> du 29</w:t>
            </w:r>
            <w:r w:rsidR="00F53652">
              <w:t> </w:t>
            </w:r>
            <w:r>
              <w:t>novembre 2018</w:t>
            </w:r>
          </w:p>
          <w:p w14:paraId="316BFEF4"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p>
        </w:tc>
        <w:tc>
          <w:tcPr>
            <w:tcW w:w="2500" w:type="pct"/>
          </w:tcPr>
          <w:p w14:paraId="1720967B" w14:textId="52167E5B" w:rsidR="00C004A0" w:rsidRPr="00C67737" w:rsidRDefault="00B9461C" w:rsidP="00495437">
            <w:pPr>
              <w:snapToGrid/>
              <w:spacing w:before="100" w:after="100"/>
              <w:rPr>
                <w:rFonts w:eastAsia="SimSun" w:cstheme="minorHAnsi"/>
                <w:color w:val="000000"/>
              </w:rPr>
            </w:pPr>
            <w:r w:rsidRPr="00B9461C">
              <w:lastRenderedPageBreak/>
              <w:t>Par sa décision</w:t>
            </w:r>
            <w:r w:rsidR="005B2E78">
              <w:t> </w:t>
            </w:r>
            <w:r w:rsidRPr="00B9461C">
              <w:t xml:space="preserve">12/3, la Conférence des Parties à la CDB a adopté les lignes directrices facultatives </w:t>
            </w:r>
            <w:r w:rsidR="00AC52F5">
              <w:t>sur les</w:t>
            </w:r>
            <w:r w:rsidRPr="00B9461C">
              <w:t xml:space="preserve"> garanties dans les mécanismes de financement de la diversité biologique. Le GEF y a donné suite en actualisant, en 2018, sa Politique relative aux </w:t>
            </w:r>
            <w:r w:rsidR="00D37B45">
              <w:t>n</w:t>
            </w:r>
            <w:r w:rsidRPr="00B9461C">
              <w:t xml:space="preserve">ormes de sauvegarde environnementale et sociale </w:t>
            </w:r>
            <w:r w:rsidR="002472D9">
              <w:t>(</w:t>
            </w:r>
            <w:proofErr w:type="spellStart"/>
            <w:r w:rsidR="002472D9">
              <w:fldChar w:fldCharType="begin"/>
            </w:r>
            <w:r w:rsidR="002472D9">
              <w:instrText>HYPERLINK "https://www.thegef.org/documents/environmental-and-social-safeguard-standards" \h</w:instrText>
            </w:r>
            <w:r w:rsidR="002472D9">
              <w:fldChar w:fldCharType="separate"/>
            </w:r>
            <w:r w:rsidR="002472D9" w:rsidRPr="00806B41">
              <w:rPr>
                <w:i/>
                <w:iCs/>
                <w:color w:val="000000" w:themeColor="text1"/>
                <w:u w:val="single"/>
              </w:rPr>
              <w:t>Environmental</w:t>
            </w:r>
            <w:proofErr w:type="spellEnd"/>
            <w:r w:rsidR="002472D9" w:rsidRPr="00806B41">
              <w:rPr>
                <w:i/>
                <w:iCs/>
                <w:color w:val="000000" w:themeColor="text1"/>
                <w:u w:val="single"/>
              </w:rPr>
              <w:t xml:space="preserve"> and Social </w:t>
            </w:r>
            <w:proofErr w:type="spellStart"/>
            <w:r w:rsidR="002472D9" w:rsidRPr="00806B41">
              <w:rPr>
                <w:i/>
                <w:iCs/>
                <w:color w:val="000000" w:themeColor="text1"/>
                <w:u w:val="single"/>
              </w:rPr>
              <w:t>Safeguard</w:t>
            </w:r>
            <w:proofErr w:type="spellEnd"/>
            <w:r w:rsidR="002472D9" w:rsidRPr="00806B41">
              <w:rPr>
                <w:i/>
                <w:iCs/>
                <w:color w:val="000000" w:themeColor="text1"/>
                <w:u w:val="single"/>
              </w:rPr>
              <w:t xml:space="preserve"> Standards</w:t>
            </w:r>
            <w:r w:rsidR="002472D9">
              <w:fldChar w:fldCharType="end"/>
            </w:r>
            <w:r w:rsidR="002472D9">
              <w:t>),</w:t>
            </w:r>
            <w:r>
              <w:t xml:space="preserve"> qui est</w:t>
            </w:r>
            <w:r w:rsidR="002472D9">
              <w:t xml:space="preserve"> désormais conforme à ces lignes directrices.</w:t>
            </w:r>
            <w:r w:rsidR="002472D9">
              <w:rPr>
                <w:color w:val="000000"/>
              </w:rPr>
              <w:t xml:space="preserve"> </w:t>
            </w:r>
            <w:r w:rsidR="002472D9">
              <w:lastRenderedPageBreak/>
              <w:t>En juin 2025, les 18</w:t>
            </w:r>
            <w:r w:rsidR="00F53652">
              <w:t> </w:t>
            </w:r>
            <w:r w:rsidR="00F52D3D">
              <w:t>Agences</w:t>
            </w:r>
            <w:r w:rsidR="002472D9">
              <w:t xml:space="preserve"> du GEF avaient toutes été jugées conformes aux </w:t>
            </w:r>
            <w:r w:rsidR="002172CB">
              <w:t>n</w:t>
            </w:r>
            <w:r w:rsidR="00E37196">
              <w:t>ormes de sauvegarde</w:t>
            </w:r>
            <w:r w:rsidR="00253EC9">
              <w:t xml:space="preserve"> environnementales et sociale </w:t>
            </w:r>
            <w:r w:rsidR="002472D9">
              <w:t>du GEF</w:t>
            </w:r>
            <w:r w:rsidR="00D936AF">
              <w:t>.</w:t>
            </w:r>
            <w:r w:rsidR="002472D9">
              <w:t xml:space="preserve"> De</w:t>
            </w:r>
            <w:r w:rsidR="00FB6A5B">
              <w:t xml:space="preserve"> plus amples informations</w:t>
            </w:r>
            <w:r w:rsidR="002472D9">
              <w:t xml:space="preserve"> figurent dans le rapport d’étape sur la conformité des </w:t>
            </w:r>
            <w:r w:rsidR="00F52D3D">
              <w:t>Agences</w:t>
            </w:r>
            <w:r w:rsidR="002472D9">
              <w:t xml:space="preserve"> du GEF aux normes minimales du GEF (</w:t>
            </w:r>
            <w:r w:rsidR="002472D9" w:rsidRPr="00806B41">
              <w:rPr>
                <w:i/>
                <w:iCs/>
              </w:rPr>
              <w:t xml:space="preserve">Progress Report on GEF </w:t>
            </w:r>
            <w:proofErr w:type="spellStart"/>
            <w:r w:rsidR="002472D9" w:rsidRPr="00806B41">
              <w:rPr>
                <w:i/>
                <w:iCs/>
              </w:rPr>
              <w:t>Agencies</w:t>
            </w:r>
            <w:proofErr w:type="spellEnd"/>
            <w:r w:rsidR="002472D9" w:rsidRPr="00806B41">
              <w:rPr>
                <w:i/>
                <w:iCs/>
              </w:rPr>
              <w:t xml:space="preserve">’ Compliance </w:t>
            </w:r>
            <w:proofErr w:type="spellStart"/>
            <w:r w:rsidR="002472D9" w:rsidRPr="00806B41">
              <w:rPr>
                <w:i/>
                <w:iCs/>
              </w:rPr>
              <w:t>with</w:t>
            </w:r>
            <w:proofErr w:type="spellEnd"/>
            <w:r w:rsidR="002472D9" w:rsidRPr="00806B41">
              <w:rPr>
                <w:i/>
                <w:iCs/>
              </w:rPr>
              <w:t xml:space="preserve"> GEF Minimum Standards</w:t>
            </w:r>
            <w:r w:rsidR="00F53652">
              <w:t>—</w:t>
            </w:r>
            <w:r w:rsidR="002472D9">
              <w:t>GEF/C.69/Inf.06, 4</w:t>
            </w:r>
            <w:r w:rsidR="00F53652">
              <w:t> </w:t>
            </w:r>
            <w:r w:rsidR="002472D9">
              <w:t>mai 2025), disponible</w:t>
            </w:r>
            <w:r w:rsidR="00806B41">
              <w:t xml:space="preserve"> </w:t>
            </w:r>
            <w:hyperlink r:id="rId47">
              <w:r w:rsidR="002472D9">
                <w:rPr>
                  <w:color w:val="000000" w:themeColor="text1"/>
                  <w:u w:val="single"/>
                </w:rPr>
                <w:t>ici</w:t>
              </w:r>
            </w:hyperlink>
            <w:r w:rsidR="002472D9">
              <w:rPr>
                <w:color w:val="000000"/>
              </w:rPr>
              <w:t>.</w:t>
            </w:r>
            <w:r w:rsidR="002472D9">
              <w:t xml:space="preserve"> Le GEF a communiqué au Secrétariat de la CDB des informations en réponse à l’enquête </w:t>
            </w:r>
            <w:r w:rsidR="00682570">
              <w:t xml:space="preserve">portant </w:t>
            </w:r>
            <w:r w:rsidR="002472D9">
              <w:t>sur la mise en œuvre des orientations relatives aux garanties dans les mécanismes de financement de la diversité biologique, adoptées par les décisions</w:t>
            </w:r>
            <w:r w:rsidR="00F53652">
              <w:t> </w:t>
            </w:r>
            <w:r w:rsidR="002472D9">
              <w:t xml:space="preserve">12/3 et 14/15 de la Conférence des Parties à la CDB. Ces informations ont été reprises dans le document relatif à la mobilisation des ressources (CBD/SBI/6/2, </w:t>
            </w:r>
            <w:r w:rsidR="002472D9" w:rsidRPr="00806B41">
              <w:rPr>
                <w:i/>
                <w:iCs/>
              </w:rPr>
              <w:t xml:space="preserve">Resource </w:t>
            </w:r>
            <w:proofErr w:type="spellStart"/>
            <w:r w:rsidR="002472D9" w:rsidRPr="00806B41">
              <w:rPr>
                <w:i/>
                <w:iCs/>
              </w:rPr>
              <w:t>Mobilization</w:t>
            </w:r>
            <w:proofErr w:type="spellEnd"/>
            <w:r w:rsidR="002472D9">
              <w:t>).</w:t>
            </w:r>
            <w:r w:rsidR="002472D9">
              <w:rPr>
                <w:color w:val="000000" w:themeColor="text1"/>
              </w:rPr>
              <w:t xml:space="preserve"> </w:t>
            </w:r>
            <w:r w:rsidR="002472D9">
              <w:t>Des renseignements complémentaires sur la mise en œuvre de la politique du GEF relative aux garanties figurent dans le rapport d’étape sur la mise en œuvre de la politique du GEF relative aux garanties environnementales et sociales (</w:t>
            </w:r>
            <w:r w:rsidR="002472D9" w:rsidRPr="00852873">
              <w:rPr>
                <w:i/>
                <w:iCs/>
              </w:rPr>
              <w:t xml:space="preserve">Progress Report on the </w:t>
            </w:r>
            <w:proofErr w:type="spellStart"/>
            <w:r w:rsidR="002472D9" w:rsidRPr="00852873">
              <w:rPr>
                <w:i/>
                <w:iCs/>
              </w:rPr>
              <w:t>Implementation</w:t>
            </w:r>
            <w:proofErr w:type="spellEnd"/>
            <w:r w:rsidR="002472D9" w:rsidRPr="00852873">
              <w:rPr>
                <w:i/>
                <w:iCs/>
              </w:rPr>
              <w:t xml:space="preserve"> of the GEF Policy on </w:t>
            </w:r>
            <w:proofErr w:type="spellStart"/>
            <w:r w:rsidR="002472D9" w:rsidRPr="00852873">
              <w:rPr>
                <w:i/>
                <w:iCs/>
              </w:rPr>
              <w:t>Environmental</w:t>
            </w:r>
            <w:proofErr w:type="spellEnd"/>
            <w:r w:rsidR="002472D9" w:rsidRPr="00852873">
              <w:rPr>
                <w:i/>
                <w:iCs/>
              </w:rPr>
              <w:t xml:space="preserve"> and Social</w:t>
            </w:r>
            <w:r w:rsidR="00C004A0" w:rsidRPr="00C67737">
              <w:rPr>
                <w:rFonts w:eastAsia="SimSun" w:cstheme="minorHAnsi"/>
                <w:color w:val="000000" w:themeColor="text1"/>
                <w:vertAlign w:val="superscript"/>
              </w:rPr>
              <w:footnoteReference w:id="68"/>
            </w:r>
            <w:r w:rsidR="002472D9">
              <w:t>).</w:t>
            </w:r>
            <w:r w:rsidR="002472D9">
              <w:rPr>
                <w:color w:val="000000"/>
              </w:rPr>
              <w:t xml:space="preserve"> </w:t>
            </w:r>
          </w:p>
        </w:tc>
      </w:tr>
      <w:tr w:rsidR="00C004A0" w:rsidRPr="00C67737" w14:paraId="22116FD3" w14:textId="77777777" w:rsidTr="00A769A6">
        <w:tc>
          <w:tcPr>
            <w:tcW w:w="2500" w:type="pct"/>
          </w:tcPr>
          <w:p w14:paraId="3A1D6463" w14:textId="09EE52DC"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lastRenderedPageBreak/>
              <w:t>32.</w:t>
            </w:r>
            <w:r>
              <w:rPr>
                <w:color w:val="000000"/>
              </w:rPr>
              <w:tab/>
            </w:r>
            <w:r>
              <w:rPr>
                <w:i/>
                <w:iCs/>
                <w:color w:val="000000"/>
              </w:rPr>
              <w:t>Demande en outre</w:t>
            </w:r>
            <w:r>
              <w:rPr>
                <w:color w:val="000000"/>
              </w:rPr>
              <w:t xml:space="preserve"> au Fonds pour l’environnement mondial d’étudier les moyens d’améliorer, de faciliter l’accès et d’accroître plus avant le financement direct en faveur des peuples autochtones et communautés locales, des femmes et des jeunes, en veillant à ce que ces ressources appuient leurs droits et leurs systèmes de connaissances</w:t>
            </w:r>
            <w:r w:rsidR="00F53652">
              <w:rPr>
                <w:color w:val="000000"/>
              </w:rPr>
              <w:t> </w:t>
            </w:r>
            <w:r>
              <w:rPr>
                <w:color w:val="000000"/>
              </w:rPr>
              <w:t>;</w:t>
            </w:r>
          </w:p>
        </w:tc>
        <w:tc>
          <w:tcPr>
            <w:tcW w:w="2500" w:type="pct"/>
          </w:tcPr>
          <w:p w14:paraId="6B93D9A5" w14:textId="0882C344" w:rsidR="00C004A0" w:rsidRPr="00C67737" w:rsidRDefault="00C906CF" w:rsidP="00495437">
            <w:pPr>
              <w:snapToGrid/>
              <w:spacing w:before="100" w:after="100"/>
              <w:rPr>
                <w:rFonts w:eastAsia="SimSun" w:cstheme="minorHAnsi"/>
                <w:color w:val="000000"/>
              </w:rPr>
            </w:pPr>
            <w:r>
              <w:rPr>
                <w:color w:val="000000"/>
              </w:rPr>
              <w:t>Voir les réponses apportées plus haut aux paragraphes</w:t>
            </w:r>
            <w:r w:rsidR="00F53652">
              <w:rPr>
                <w:color w:val="000000"/>
              </w:rPr>
              <w:t> </w:t>
            </w:r>
            <w:r>
              <w:rPr>
                <w:color w:val="000000"/>
              </w:rPr>
              <w:t>7, 18 et 30.</w:t>
            </w:r>
          </w:p>
        </w:tc>
      </w:tr>
      <w:tr w:rsidR="00C004A0" w:rsidRPr="00C67737" w14:paraId="500DEDDC" w14:textId="77777777" w:rsidTr="00A769A6">
        <w:tc>
          <w:tcPr>
            <w:tcW w:w="2500" w:type="pct"/>
          </w:tcPr>
          <w:p w14:paraId="11FBC640" w14:textId="77777777" w:rsidR="00C004A0" w:rsidRPr="00C67737" w:rsidRDefault="00C004A0" w:rsidP="00495437">
            <w:pPr>
              <w:rPr>
                <w:rFonts w:cstheme="minorHAnsi"/>
                <w:b/>
                <w:bCs/>
              </w:rPr>
            </w:pPr>
            <w:r>
              <w:rPr>
                <w:b/>
              </w:rPr>
              <w:t>VI Examen de l’efficacité du mécanisme de financement</w:t>
            </w:r>
          </w:p>
          <w:p w14:paraId="02F13B81" w14:textId="07A5BAA6"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t>33.</w:t>
            </w:r>
            <w:r>
              <w:rPr>
                <w:i/>
                <w:color w:val="000000"/>
              </w:rPr>
              <w:tab/>
            </w:r>
            <w:r>
              <w:rPr>
                <w:i/>
                <w:iCs/>
                <w:color w:val="000000"/>
              </w:rPr>
              <w:t>Demande</w:t>
            </w:r>
            <w:r>
              <w:rPr>
                <w:color w:val="000000"/>
              </w:rPr>
              <w:t xml:space="preserve"> au Fonds pour l’environnement mondial de poursuivre ses efforts pour mobiliser des ressources à l’appui de la mise en œuvre de la Convention et de ses Protocoles et, en particulier, du Cadre, notamment en mobilisant des contributions volontaires des pays développés </w:t>
            </w:r>
            <w:r>
              <w:rPr>
                <w:color w:val="000000"/>
              </w:rPr>
              <w:lastRenderedPageBreak/>
              <w:t>Parties, d’autres Parties qui assument volontairement les obligations des pays développés Parties, d’autres pays et d’autres sources, telles que les banques multilatérales de développement, le secteur privé et les organisations philanthropiques, ainsi qu’au moyen d’instruments de financement durable, afin d’améliorer la prévisibilité, l’adéquation et la rapidité des flux de fonds et de contribuer à combler le déficit de financement en matière de diversité biologique</w:t>
            </w:r>
            <w:r w:rsidR="00F53652">
              <w:rPr>
                <w:color w:val="000000"/>
              </w:rPr>
              <w:t> </w:t>
            </w:r>
            <w:r>
              <w:rPr>
                <w:color w:val="000000"/>
              </w:rPr>
              <w:t>;</w:t>
            </w:r>
          </w:p>
          <w:p w14:paraId="7B846474"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p>
        </w:tc>
        <w:tc>
          <w:tcPr>
            <w:tcW w:w="2500" w:type="pct"/>
          </w:tcPr>
          <w:p w14:paraId="210EB6DF" w14:textId="7812BC73" w:rsidR="00C004A0" w:rsidRPr="00C67737" w:rsidRDefault="002F45CE" w:rsidP="00495437">
            <w:pPr>
              <w:snapToGrid/>
              <w:spacing w:before="100" w:after="100"/>
              <w:rPr>
                <w:rFonts w:eastAsia="SimSun" w:cstheme="minorHAnsi"/>
                <w:color w:val="000000"/>
              </w:rPr>
            </w:pPr>
            <w:r>
              <w:rPr>
                <w:color w:val="000000"/>
              </w:rPr>
              <w:lastRenderedPageBreak/>
              <w:t>Voir l</w:t>
            </w:r>
            <w:r w:rsidR="003B445A">
              <w:rPr>
                <w:color w:val="000000"/>
              </w:rPr>
              <w:t>es</w:t>
            </w:r>
            <w:r>
              <w:rPr>
                <w:color w:val="000000"/>
              </w:rPr>
              <w:t xml:space="preserve"> réponses apportées plus haut aux paragraphes</w:t>
            </w:r>
            <w:r w:rsidR="00F53652">
              <w:rPr>
                <w:color w:val="000000"/>
              </w:rPr>
              <w:t> </w:t>
            </w:r>
            <w:r>
              <w:rPr>
                <w:color w:val="000000"/>
              </w:rPr>
              <w:t>16 et 17.</w:t>
            </w:r>
          </w:p>
          <w:p w14:paraId="0C8B1E16" w14:textId="1756F1FA" w:rsidR="00C004A0" w:rsidRPr="00C67737" w:rsidRDefault="00DC2F93" w:rsidP="00495437">
            <w:pPr>
              <w:snapToGrid/>
              <w:spacing w:before="100" w:after="0"/>
              <w:rPr>
                <w:rFonts w:cstheme="minorHAnsi"/>
                <w:bCs/>
                <w:color w:val="000000"/>
              </w:rPr>
            </w:pPr>
            <w:r>
              <w:t xml:space="preserve">En outre, un ensemble complet de mesures a été approuvé afin d’intégrer systématiquement le financement mixte et d’accroître la mobilisation de capitaux privés, l’efficience et la portée des </w:t>
            </w:r>
            <w:r w:rsidR="006A6749">
              <w:t>financements</w:t>
            </w:r>
            <w:r w:rsidR="00BA6322">
              <w:t xml:space="preserve">, au titre </w:t>
            </w:r>
            <w:r>
              <w:t>de l’objectif «</w:t>
            </w:r>
            <w:r w:rsidR="00F53652">
              <w:t> </w:t>
            </w:r>
            <w:r>
              <w:t>Financements abordables et à grande échelle</w:t>
            </w:r>
            <w:r w:rsidR="00F53652">
              <w:t> </w:t>
            </w:r>
            <w:r>
              <w:t xml:space="preserve">» des </w:t>
            </w:r>
            <w:r>
              <w:lastRenderedPageBreak/>
              <w:t xml:space="preserve">Recommandations de politique générale de </w:t>
            </w:r>
            <w:r w:rsidR="00376C22">
              <w:t>GEF</w:t>
            </w:r>
            <w:r w:rsidR="00376C22">
              <w:noBreakHyphen/>
            </w:r>
            <w:r>
              <w:t>9</w:t>
            </w:r>
            <w:r w:rsidR="006816B8" w:rsidRPr="00C67737">
              <w:rPr>
                <w:rStyle w:val="FootnoteReference"/>
                <w:rFonts w:eastAsia="SimSun" w:cstheme="minorHAnsi"/>
                <w:color w:val="000000"/>
              </w:rPr>
              <w:footnoteReference w:id="69"/>
            </w:r>
            <w:r>
              <w:t xml:space="preserve">. </w:t>
            </w:r>
            <w:r w:rsidR="008C2BB9" w:rsidRPr="008C2BB9">
              <w:t>Ces mesures prévoient de simplifier le recours au financement mixte au-delà du guichet actuel des instruments financiers autres que les aides directes, de supprimer le plafond d’investissement afin de permettre la présentation de propositions de plus grande envergure, de simplifier les procédures d’approbation des projets et d’établir des plateformes nationales afin de renforcer les conditions propices à l’investissement privé</w:t>
            </w:r>
            <w:r w:rsidR="008C2BB9">
              <w:t xml:space="preserve">. </w:t>
            </w:r>
            <w:r>
              <w:rPr>
                <w:color w:val="000000"/>
              </w:rPr>
              <w:t xml:space="preserve">Une </w:t>
            </w:r>
            <w:r w:rsidR="00693EBB">
              <w:rPr>
                <w:color w:val="000000"/>
              </w:rPr>
              <w:t>refonte</w:t>
            </w:r>
            <w:r>
              <w:rPr>
                <w:color w:val="000000"/>
              </w:rPr>
              <w:t xml:space="preserve"> en profondeur de la Politique de cofinancement renforcera la transparence et l’efficacité en clarifiant les catégories de cofinancement et en améliorant la mesure de la mobilisation de capitaux privés conformément aux méthodes</w:t>
            </w:r>
            <w:r w:rsidR="00F102B4">
              <w:rPr>
                <w:color w:val="000000"/>
              </w:rPr>
              <w:t xml:space="preserve"> appliquées par</w:t>
            </w:r>
            <w:r>
              <w:rPr>
                <w:color w:val="000000"/>
              </w:rPr>
              <w:t xml:space="preserve"> </w:t>
            </w:r>
            <w:r w:rsidR="00F102B4">
              <w:rPr>
                <w:color w:val="000000"/>
              </w:rPr>
              <w:t>l</w:t>
            </w:r>
            <w:r>
              <w:rPr>
                <w:color w:val="000000"/>
              </w:rPr>
              <w:t>es banques multilatérales de développement</w:t>
            </w:r>
            <w:r w:rsidR="00170DEB">
              <w:rPr>
                <w:color w:val="000000"/>
              </w:rPr>
              <w:t>, et à terme, en amplifiant l’effet</w:t>
            </w:r>
            <w:r>
              <w:rPr>
                <w:color w:val="000000"/>
              </w:rPr>
              <w:t xml:space="preserve"> de levier, la qualité des financements et les résultats environnementaux.</w:t>
            </w:r>
          </w:p>
        </w:tc>
      </w:tr>
      <w:tr w:rsidR="00C004A0" w:rsidRPr="00C67737" w14:paraId="243FF218" w14:textId="77777777" w:rsidTr="00A769A6">
        <w:tc>
          <w:tcPr>
            <w:tcW w:w="2500" w:type="pct"/>
          </w:tcPr>
          <w:p w14:paraId="416AEFC8" w14:textId="361C618E" w:rsidR="00C004A0" w:rsidRPr="00C67737" w:rsidRDefault="007F2EF4"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lastRenderedPageBreak/>
              <w:t>34.</w:t>
            </w:r>
            <w:r>
              <w:rPr>
                <w:i/>
                <w:color w:val="000000"/>
              </w:rPr>
              <w:tab/>
            </w:r>
            <w:r w:rsidR="00C004A0">
              <w:rPr>
                <w:i/>
                <w:iCs/>
                <w:color w:val="000000"/>
              </w:rPr>
              <w:t>Demande également</w:t>
            </w:r>
            <w:r w:rsidR="00C004A0">
              <w:rPr>
                <w:color w:val="000000"/>
              </w:rPr>
              <w:t xml:space="preserve"> au Fonds pour l’environnement mondial</w:t>
            </w:r>
            <w:r w:rsidR="006E54C7">
              <w:rPr>
                <w:color w:val="000000"/>
              </w:rPr>
              <w:t> :</w:t>
            </w:r>
          </w:p>
          <w:p w14:paraId="3E7DA3D9" w14:textId="0319D4CD"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t>a) D’accroître encore la flexibilité des cycles de projets pour toutes les Parties admissibles, en particulier les pays les moins avancés et les petits États insulaires en développement, en prenant également en considération les pays les plus vulnérables du point de vue de l’environnement dans le contexte des dispositions du paragraphe</w:t>
            </w:r>
            <w:r w:rsidR="00F53652">
              <w:t> </w:t>
            </w:r>
            <w:r>
              <w:t>7 de l’article</w:t>
            </w:r>
            <w:r w:rsidR="00F53652">
              <w:t> </w:t>
            </w:r>
            <w:hyperlink r:id="rId48" w:history="1">
              <w:r>
                <w:rPr>
                  <w:color w:val="000000"/>
                  <w:u w:val="single"/>
                </w:rPr>
                <w:t>20</w:t>
              </w:r>
            </w:hyperlink>
            <w:r>
              <w:t xml:space="preserve"> de la Convention</w:t>
            </w:r>
            <w:r w:rsidR="00F53652">
              <w:t> </w:t>
            </w:r>
            <w:r>
              <w:t>;</w:t>
            </w:r>
          </w:p>
          <w:p w14:paraId="75038DA7" w14:textId="3E6E9636"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t>b) D’envisager d’accroître l’appui aux approches programmatiques durables et au renforcement des capacités</w:t>
            </w:r>
            <w:r w:rsidR="00F53652">
              <w:rPr>
                <w:color w:val="000000"/>
              </w:rPr>
              <w:t> </w:t>
            </w:r>
            <w:r>
              <w:rPr>
                <w:color w:val="000000"/>
              </w:rPr>
              <w:t>;</w:t>
            </w:r>
          </w:p>
          <w:p w14:paraId="245E26FF" w14:textId="49CDEEFF"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t xml:space="preserve">c) De continuer à renforcer l’appropriation nationale et locale, notamment en examinant l’appui en matière de capacités dont disposent les </w:t>
            </w:r>
            <w:r w:rsidR="00D47F5F">
              <w:rPr>
                <w:color w:val="000000"/>
              </w:rPr>
              <w:t>points focaux</w:t>
            </w:r>
            <w:r>
              <w:rPr>
                <w:color w:val="000000"/>
              </w:rPr>
              <w:t xml:space="preserve"> opérationnels et en examinant le rôle de ses </w:t>
            </w:r>
            <w:r w:rsidR="00F52D3D">
              <w:rPr>
                <w:color w:val="000000"/>
              </w:rPr>
              <w:t>Agences</w:t>
            </w:r>
            <w:r>
              <w:rPr>
                <w:color w:val="000000"/>
              </w:rPr>
              <w:t>, tout en envisageant d’élargir leur base, en vue de promouvoir un engagement plus direct des entités nationales dans les pays en développement</w:t>
            </w:r>
            <w:r w:rsidR="00F53652">
              <w:rPr>
                <w:color w:val="000000"/>
              </w:rPr>
              <w:t> </w:t>
            </w:r>
            <w:r>
              <w:rPr>
                <w:color w:val="000000"/>
              </w:rPr>
              <w:t>;</w:t>
            </w:r>
          </w:p>
          <w:p w14:paraId="4B0ACAB2" w14:textId="6489D336"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lastRenderedPageBreak/>
              <w:t xml:space="preserve">d) De continuer à étudier les modalités permettant d’améliorer l’efficacité des processus de financement des activités menées dans le cadre du Protocole de </w:t>
            </w:r>
            <w:r w:rsidR="00EA5960">
              <w:t>Carthagène</w:t>
            </w:r>
            <w:r>
              <w:rPr>
                <w:color w:val="000000"/>
              </w:rPr>
              <w:t xml:space="preserve"> et du Protocole de Nagoya et d’encourager les pays à les mettre en œuvre</w:t>
            </w:r>
            <w:r w:rsidR="00F53652">
              <w:rPr>
                <w:color w:val="000000"/>
              </w:rPr>
              <w:t> </w:t>
            </w:r>
            <w:r>
              <w:rPr>
                <w:color w:val="000000"/>
              </w:rPr>
              <w:t>;</w:t>
            </w:r>
          </w:p>
          <w:p w14:paraId="780EE222" w14:textId="02C10EE2"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t xml:space="preserve">e) De continuer à promouvoir l’appui aux peuples autochtones et communautés locales, notamment en encourageant leur rôle de chef de file et leur partenariat dans les projets, en reconnaissant que les connaissances autochtones sont à la base des activités soutenues par le Fonds pour l’environnement mondial et en utilisant des indicateurs ciblés pour suivre les projets, et d’envisager de fixer une cible de financement pour appuyer les priorités des peuples autochtones et communautés locales dans l’ensemble du programme relatif à la biodiversité </w:t>
            </w:r>
            <w:r w:rsidR="004F3F14">
              <w:rPr>
                <w:color w:val="000000"/>
              </w:rPr>
              <w:t xml:space="preserve">du </w:t>
            </w:r>
            <w:r w:rsidR="004F3F14">
              <w:t xml:space="preserve">Fonds fiduciaire </w:t>
            </w:r>
            <w:r>
              <w:rPr>
                <w:color w:val="000000"/>
              </w:rPr>
              <w:t>du Fonds pour l’environnement mondial</w:t>
            </w:r>
            <w:r w:rsidR="00F53652">
              <w:rPr>
                <w:color w:val="000000"/>
              </w:rPr>
              <w:t> </w:t>
            </w:r>
            <w:r>
              <w:rPr>
                <w:color w:val="000000"/>
              </w:rPr>
              <w:t>;</w:t>
            </w:r>
          </w:p>
          <w:p w14:paraId="6E061986" w14:textId="67F8A19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t xml:space="preserve">f) De contribuer à la mise en œuvre de l’approche pangouvernementale et </w:t>
            </w:r>
            <w:proofErr w:type="spellStart"/>
            <w:r>
              <w:rPr>
                <w:color w:val="000000"/>
              </w:rPr>
              <w:t>pansociétale</w:t>
            </w:r>
            <w:proofErr w:type="spellEnd"/>
            <w:r>
              <w:rPr>
                <w:color w:val="000000"/>
              </w:rPr>
              <w:t xml:space="preserve"> du Cadre en continuant à renforcer l’engagement effectif des organisations de la société civile, des femmes et des jeunes, des peuples autochtones et communautés locales, du secteur privé, des organisations philanthropiques et de protection de la nature et d’autres grands groupes de parties prenantes</w:t>
            </w:r>
            <w:r w:rsidR="005B2E78">
              <w:rPr>
                <w:color w:val="000000"/>
              </w:rPr>
              <w:t> </w:t>
            </w:r>
            <w:r w:rsidR="00341E37">
              <w:rPr>
                <w:color w:val="000000"/>
              </w:rPr>
              <w:t>;</w:t>
            </w:r>
          </w:p>
          <w:p w14:paraId="7B0E2E86" w14:textId="77777777" w:rsidR="00C004A0" w:rsidRPr="00C67737" w:rsidRDefault="00C004A0" w:rsidP="00495437">
            <w:pPr>
              <w:snapToGrid/>
              <w:spacing w:before="100" w:after="100"/>
              <w:rPr>
                <w:rFonts w:cstheme="minorHAnsi"/>
                <w:color w:val="000000"/>
              </w:rPr>
            </w:pPr>
          </w:p>
        </w:tc>
        <w:tc>
          <w:tcPr>
            <w:tcW w:w="2500" w:type="pct"/>
          </w:tcPr>
          <w:p w14:paraId="26375359" w14:textId="2AFC5873" w:rsidR="00C004A0" w:rsidRPr="00C67737" w:rsidRDefault="008C765D" w:rsidP="00495437">
            <w:pPr>
              <w:snapToGrid/>
              <w:spacing w:before="100" w:after="100"/>
              <w:rPr>
                <w:rFonts w:eastAsia="SimSun" w:cstheme="minorHAnsi"/>
                <w:color w:val="000000"/>
              </w:rPr>
            </w:pPr>
            <w:r w:rsidRPr="008C765D">
              <w:rPr>
                <w:color w:val="000000"/>
              </w:rPr>
              <w:lastRenderedPageBreak/>
              <w:t xml:space="preserve">S’appuyant sur les réformes déjà menées ou en cours, des mesures supplémentaires ont été convenues afin de répondre à ces demandes dans le cadre de la reconstitution des ressources de </w:t>
            </w:r>
            <w:r w:rsidR="00376C22">
              <w:rPr>
                <w:color w:val="000000"/>
              </w:rPr>
              <w:t>GEF</w:t>
            </w:r>
            <w:r w:rsidR="00376C22">
              <w:rPr>
                <w:color w:val="000000"/>
              </w:rPr>
              <w:noBreakHyphen/>
            </w:r>
            <w:r w:rsidRPr="008C765D">
              <w:rPr>
                <w:color w:val="000000"/>
              </w:rPr>
              <w:t>9.</w:t>
            </w:r>
            <w:r w:rsidR="0056497D">
              <w:rPr>
                <w:color w:val="000000"/>
              </w:rPr>
              <w:t xml:space="preserve"> </w:t>
            </w:r>
            <w:r w:rsidR="00C004A0">
              <w:t xml:space="preserve">Ces éléments sont présentés en détail dans les recommandations de politique générale de </w:t>
            </w:r>
            <w:r w:rsidR="00376C22">
              <w:t>GEF</w:t>
            </w:r>
            <w:r w:rsidR="00376C22">
              <w:noBreakHyphen/>
            </w:r>
            <w:r w:rsidR="00C004A0">
              <w:t>9</w:t>
            </w:r>
            <w:r w:rsidR="00376C22">
              <w:t xml:space="preserve"> </w:t>
            </w:r>
            <w:r w:rsidR="00C225B8">
              <w:t>(</w:t>
            </w:r>
            <w:r w:rsidR="00C225B8">
              <w:rPr>
                <w:i/>
                <w:iCs/>
              </w:rPr>
              <w:t xml:space="preserve">Policy </w:t>
            </w:r>
            <w:proofErr w:type="spellStart"/>
            <w:r w:rsidR="00C225B8">
              <w:rPr>
                <w:i/>
                <w:iCs/>
              </w:rPr>
              <w:t>Recom</w:t>
            </w:r>
            <w:r w:rsidR="004D1332">
              <w:rPr>
                <w:i/>
                <w:iCs/>
              </w:rPr>
              <w:t>m</w:t>
            </w:r>
            <w:r w:rsidR="00F13DB3">
              <w:rPr>
                <w:i/>
                <w:iCs/>
              </w:rPr>
              <w:t>endation</w:t>
            </w:r>
            <w:r w:rsidR="004D1332">
              <w:rPr>
                <w:i/>
                <w:iCs/>
              </w:rPr>
              <w:t>s</w:t>
            </w:r>
            <w:proofErr w:type="spellEnd"/>
            <w:r w:rsidR="00AF4B03">
              <w:rPr>
                <w:i/>
                <w:iCs/>
              </w:rPr>
              <w:t xml:space="preserve"> for </w:t>
            </w:r>
            <w:r w:rsidR="00AF4B03">
              <w:t>GEF</w:t>
            </w:r>
            <w:r w:rsidR="00AF4B03">
              <w:noBreakHyphen/>
              <w:t>9</w:t>
            </w:r>
            <w:r w:rsidR="00C004A0" w:rsidRPr="00C67737">
              <w:rPr>
                <w:rFonts w:eastAsia="SimSun" w:cstheme="minorHAnsi"/>
                <w:color w:val="000000"/>
                <w:vertAlign w:val="superscript"/>
              </w:rPr>
              <w:footnoteReference w:id="70"/>
            </w:r>
            <w:r w:rsidR="004D1332" w:rsidRPr="004D1332">
              <w:t>)</w:t>
            </w:r>
            <w:r w:rsidR="00C004A0">
              <w:t xml:space="preserve"> et dans le</w:t>
            </w:r>
            <w:r w:rsidR="00A06BA3">
              <w:t xml:space="preserve"> cadre de positionnement stratégique de</w:t>
            </w:r>
            <w:r w:rsidR="00F53652">
              <w:t> </w:t>
            </w:r>
            <w:r w:rsidR="00376C22">
              <w:t>GEF</w:t>
            </w:r>
            <w:r w:rsidR="00376C22">
              <w:noBreakHyphen/>
            </w:r>
            <w:r w:rsidR="00C004A0">
              <w:t xml:space="preserve">9 </w:t>
            </w:r>
            <w:r w:rsidR="00A06BA3">
              <w:t>(</w:t>
            </w:r>
            <w:r w:rsidR="00513F0D" w:rsidRPr="00513F0D">
              <w:rPr>
                <w:i/>
                <w:iCs/>
              </w:rPr>
              <w:t>GEF</w:t>
            </w:r>
            <w:r w:rsidR="00513F0D" w:rsidRPr="00513F0D">
              <w:rPr>
                <w:i/>
                <w:iCs/>
              </w:rPr>
              <w:noBreakHyphen/>
              <w:t xml:space="preserve">9 </w:t>
            </w:r>
            <w:r w:rsidR="00C004A0" w:rsidRPr="00513F0D">
              <w:rPr>
                <w:i/>
                <w:iCs/>
              </w:rPr>
              <w:t xml:space="preserve">Strategic </w:t>
            </w:r>
            <w:proofErr w:type="spellStart"/>
            <w:r w:rsidR="00C004A0" w:rsidRPr="00513F0D">
              <w:rPr>
                <w:i/>
                <w:iCs/>
              </w:rPr>
              <w:t>Positioning</w:t>
            </w:r>
            <w:proofErr w:type="spellEnd"/>
            <w:r w:rsidR="00AF4B03">
              <w:rPr>
                <w:i/>
                <w:iCs/>
              </w:rPr>
              <w:t xml:space="preserve"> Framework</w:t>
            </w:r>
            <w:r w:rsidR="00C004A0" w:rsidRPr="00C67737">
              <w:rPr>
                <w:rFonts w:eastAsia="SimSun" w:cstheme="minorHAnsi"/>
                <w:color w:val="000000"/>
                <w:vertAlign w:val="superscript"/>
              </w:rPr>
              <w:footnoteReference w:id="71"/>
            </w:r>
            <w:r w:rsidR="00513F0D">
              <w:t>)</w:t>
            </w:r>
            <w:r w:rsidR="00C004A0">
              <w:t xml:space="preserve">, </w:t>
            </w:r>
            <w:r w:rsidR="00DA4B46">
              <w:t xml:space="preserve">et sont </w:t>
            </w:r>
            <w:r w:rsidR="00C004A0">
              <w:t>résumés ci-après.</w:t>
            </w:r>
          </w:p>
          <w:p w14:paraId="3385512E" w14:textId="56A4A064" w:rsidR="00C004A0" w:rsidRPr="00C67737" w:rsidRDefault="003D0698" w:rsidP="00495437">
            <w:pPr>
              <w:snapToGrid/>
              <w:spacing w:before="100" w:after="100"/>
              <w:rPr>
                <w:rFonts w:eastAsia="SimSun" w:cstheme="minorHAnsi"/>
                <w:color w:val="000000"/>
              </w:rPr>
            </w:pPr>
            <w:r>
              <w:rPr>
                <w:color w:val="000000"/>
              </w:rPr>
              <w:t>Au titre du p</w:t>
            </w:r>
            <w:r w:rsidR="00C004A0">
              <w:rPr>
                <w:color w:val="000000"/>
              </w:rPr>
              <w:t>oint a</w:t>
            </w:r>
            <w:r w:rsidR="006E54C7">
              <w:rPr>
                <w:color w:val="000000"/>
              </w:rPr>
              <w:t> :</w:t>
            </w:r>
          </w:p>
          <w:p w14:paraId="1C880F01" w14:textId="683DB851" w:rsidR="00C004A0" w:rsidRPr="00C67737" w:rsidRDefault="00F53652" w:rsidP="00495437">
            <w:pPr>
              <w:snapToGrid/>
              <w:spacing w:before="100" w:after="100"/>
              <w:rPr>
                <w:rFonts w:eastAsia="SimSun" w:cstheme="minorHAnsi"/>
                <w:color w:val="000000"/>
              </w:rPr>
            </w:pPr>
            <w:r>
              <w:t>— </w:t>
            </w:r>
            <w:r w:rsidR="00C004A0">
              <w:t xml:space="preserve">En décembre 2024, le Conseil a approuvé un </w:t>
            </w:r>
            <w:hyperlink r:id="rId49" w:history="1">
              <w:r w:rsidR="00C004A0">
                <w:rPr>
                  <w:color w:val="000000"/>
                  <w:u w:val="single"/>
                </w:rPr>
                <w:t>ensemble complet de 35</w:t>
              </w:r>
              <w:r>
                <w:rPr>
                  <w:color w:val="000000"/>
                  <w:u w:val="single"/>
                </w:rPr>
                <w:t> </w:t>
              </w:r>
              <w:r w:rsidR="00C004A0">
                <w:rPr>
                  <w:color w:val="000000"/>
                  <w:u w:val="single"/>
                </w:rPr>
                <w:t>mesures de rationalisation</w:t>
              </w:r>
            </w:hyperlink>
            <w:r w:rsidR="00C004A0">
              <w:t>.</w:t>
            </w:r>
            <w:r w:rsidR="00C004A0">
              <w:rPr>
                <w:color w:val="000000"/>
              </w:rPr>
              <w:t xml:space="preserve"> </w:t>
            </w:r>
            <w:r w:rsidR="00357196" w:rsidRPr="00357196">
              <w:rPr>
                <w:color w:val="000000"/>
              </w:rPr>
              <w:t xml:space="preserve">Ces mesures prévoient notamment la simplification des modèles et de la procédure d’approbation, la rationalisation de l’examen des projets, un meilleur suivi des normes de service afin d’améliorer la prise en compte des échéances, l’amélioration de la cohérence et de la planification du suivi des projets, ainsi que des orientations à l’intention des Agences visant à clarifier les coûts liés aux projets et les plafonds qui s’y appliquent. </w:t>
            </w:r>
            <w:r w:rsidR="00C004A0">
              <w:lastRenderedPageBreak/>
              <w:t xml:space="preserve">Les modifications correspondantes apportées aux politiques ont été </w:t>
            </w:r>
            <w:hyperlink r:id="rId50" w:history="1">
              <w:r w:rsidR="00C004A0">
                <w:rPr>
                  <w:color w:val="0000FF"/>
                  <w:u w:val="single"/>
                </w:rPr>
                <w:t>approuvées à la soixante-neuvième réunion du Conseil</w:t>
              </w:r>
            </w:hyperlink>
            <w:r w:rsidR="00C004A0">
              <w:t xml:space="preserve">, puis mises en œuvre au moyen de </w:t>
            </w:r>
            <w:hyperlink r:id="rId51" w:history="1">
              <w:r w:rsidR="00C004A0">
                <w:rPr>
                  <w:color w:val="0000FF"/>
                  <w:u w:val="single"/>
                </w:rPr>
                <w:t>lignes directrices</w:t>
              </w:r>
            </w:hyperlink>
            <w:r w:rsidR="00C004A0">
              <w:t>.</w:t>
            </w:r>
          </w:p>
          <w:p w14:paraId="7B64DA90" w14:textId="43661398" w:rsidR="00B51DC6" w:rsidRPr="00B51DC6" w:rsidRDefault="00F53652" w:rsidP="00B51DC6">
            <w:pPr>
              <w:snapToGrid/>
              <w:spacing w:before="100" w:after="100"/>
              <w:rPr>
                <w:color w:val="000000"/>
              </w:rPr>
            </w:pPr>
            <w:r>
              <w:rPr>
                <w:color w:val="000000"/>
              </w:rPr>
              <w:t>— </w:t>
            </w:r>
            <w:r w:rsidR="00B51DC6" w:rsidRPr="00B51DC6">
              <w:rPr>
                <w:color w:val="000000"/>
              </w:rPr>
              <w:t>Dans le cadre des négociations relatives à la reconstitution des ressources de GEF-9, un ensemble complet de mesures relevant des objectifs «</w:t>
            </w:r>
            <w:r w:rsidR="005B2E78">
              <w:rPr>
                <w:color w:val="000000"/>
              </w:rPr>
              <w:t> </w:t>
            </w:r>
            <w:r w:rsidR="00B51DC6" w:rsidRPr="00B51DC6">
              <w:rPr>
                <w:color w:val="000000"/>
              </w:rPr>
              <w:t>Accélération et simplification de l’exécution</w:t>
            </w:r>
            <w:r w:rsidR="005B2E78">
              <w:rPr>
                <w:color w:val="000000"/>
              </w:rPr>
              <w:t> </w:t>
            </w:r>
            <w:r w:rsidR="00B51DC6" w:rsidRPr="00B51DC6">
              <w:rPr>
                <w:color w:val="000000"/>
              </w:rPr>
              <w:t>» et «</w:t>
            </w:r>
            <w:r w:rsidR="005B2E78">
              <w:rPr>
                <w:color w:val="000000"/>
              </w:rPr>
              <w:t> </w:t>
            </w:r>
            <w:r w:rsidR="00B51DC6" w:rsidRPr="00B51DC6">
              <w:rPr>
                <w:color w:val="000000"/>
              </w:rPr>
              <w:t>Mise en œuvre souple et efficace</w:t>
            </w:r>
            <w:r w:rsidR="005B2E78">
              <w:rPr>
                <w:color w:val="000000"/>
              </w:rPr>
              <w:t> </w:t>
            </w:r>
            <w:r w:rsidR="00B51DC6" w:rsidRPr="00B51DC6">
              <w:rPr>
                <w:color w:val="000000"/>
              </w:rPr>
              <w:t>» a été approuvé. Au cœur de cet ensemble figure la généralisation, à l’ensemble des fonds administrés par le GEF, d’une modalité unique et accélérée applicable à tous les projets. Adaptée de l’approche en une étape introduite par le GBFF, elle devrait permettre de gagner trois à quatre mois au cours des premières étapes du cycle de projet. Parmi les autres mesures figurent la rationalisation des processus internes des Agences et l’instauration de délais applicables à la nouvelle soumission des projets, afin de réduire les incertitudes</w:t>
            </w:r>
            <w:r w:rsidR="005B2E78">
              <w:rPr>
                <w:color w:val="000000"/>
              </w:rPr>
              <w:t> </w:t>
            </w:r>
            <w:r w:rsidR="00B51DC6" w:rsidRPr="00B51DC6">
              <w:rPr>
                <w:color w:val="000000"/>
              </w:rPr>
              <w:t>; le renforcement des capacités des entités d’exécution en vue d’accélérer la mise en œuvre</w:t>
            </w:r>
            <w:r w:rsidR="005B2E78">
              <w:rPr>
                <w:color w:val="000000"/>
              </w:rPr>
              <w:t> </w:t>
            </w:r>
            <w:r w:rsidR="00B51DC6" w:rsidRPr="00B51DC6">
              <w:rPr>
                <w:color w:val="000000"/>
              </w:rPr>
              <w:t>; une souplesse accrue pour les projets menés dans des situations de fragilité et de conflit, grâce à l’adaptation des calendriers, des budgets et des modalités de participation</w:t>
            </w:r>
            <w:r w:rsidR="005B2E78">
              <w:rPr>
                <w:color w:val="000000"/>
              </w:rPr>
              <w:t> </w:t>
            </w:r>
            <w:r w:rsidR="00B51DC6" w:rsidRPr="00B51DC6">
              <w:rPr>
                <w:color w:val="000000"/>
              </w:rPr>
              <w:t>; l’application d’une approche fondée sur les risques afin d’accélérer le traitement des projets à moindre risque au moyen de procédures simplifiées et accélérées</w:t>
            </w:r>
            <w:r w:rsidR="005B2E78">
              <w:rPr>
                <w:color w:val="000000"/>
              </w:rPr>
              <w:t> </w:t>
            </w:r>
            <w:r w:rsidR="00B51DC6" w:rsidRPr="00B51DC6">
              <w:rPr>
                <w:color w:val="000000"/>
              </w:rPr>
              <w:t xml:space="preserve">; et la </w:t>
            </w:r>
            <w:r w:rsidR="00410ADF">
              <w:rPr>
                <w:color w:val="000000"/>
              </w:rPr>
              <w:t>mise à niveau</w:t>
            </w:r>
            <w:r w:rsidR="00B51DC6" w:rsidRPr="00B51DC6">
              <w:rPr>
                <w:color w:val="000000"/>
              </w:rPr>
              <w:t xml:space="preserve"> des systèmes </w:t>
            </w:r>
            <w:r w:rsidR="005556E0">
              <w:rPr>
                <w:color w:val="000000"/>
              </w:rPr>
              <w:t>d’information</w:t>
            </w:r>
            <w:r w:rsidR="00B51DC6" w:rsidRPr="00B51DC6">
              <w:rPr>
                <w:color w:val="000000"/>
              </w:rPr>
              <w:t xml:space="preserve"> du GEF afin de rationaliser les flux de travail, d’améliorer la visibilité du portefeuille de projets en préparation et de tirer parti de l’intelligence artificielle pour faciliter une prise de décisions plus rapide et fondée sur les données.</w:t>
            </w:r>
          </w:p>
          <w:p w14:paraId="5BB7E745" w14:textId="0A637E1F" w:rsidR="00C004A0" w:rsidRPr="00C67737" w:rsidRDefault="003D0698" w:rsidP="00495437">
            <w:pPr>
              <w:snapToGrid/>
              <w:spacing w:before="100" w:after="100"/>
              <w:rPr>
                <w:rFonts w:eastAsia="SimSun" w:cstheme="minorHAnsi"/>
                <w:color w:val="000000"/>
              </w:rPr>
            </w:pPr>
            <w:r>
              <w:rPr>
                <w:color w:val="000000"/>
              </w:rPr>
              <w:t>Au titre du p</w:t>
            </w:r>
            <w:r w:rsidR="000E3382">
              <w:rPr>
                <w:color w:val="000000"/>
              </w:rPr>
              <w:t>oint</w:t>
            </w:r>
            <w:r w:rsidR="00C004A0">
              <w:rPr>
                <w:color w:val="000000"/>
              </w:rPr>
              <w:t xml:space="preserve"> b</w:t>
            </w:r>
            <w:r w:rsidR="006E54C7">
              <w:rPr>
                <w:color w:val="000000"/>
              </w:rPr>
              <w:t> :</w:t>
            </w:r>
            <w:r w:rsidR="000E3382">
              <w:rPr>
                <w:color w:val="000000"/>
              </w:rPr>
              <w:t xml:space="preserve"> </w:t>
            </w:r>
            <w:r w:rsidR="00376C22">
              <w:rPr>
                <w:color w:val="000000"/>
              </w:rPr>
              <w:t>GEF</w:t>
            </w:r>
            <w:r w:rsidR="00376C22">
              <w:rPr>
                <w:color w:val="000000"/>
              </w:rPr>
              <w:noBreakHyphen/>
            </w:r>
            <w:r w:rsidR="00C004A0">
              <w:rPr>
                <w:color w:val="000000"/>
              </w:rPr>
              <w:t xml:space="preserve">9 continuera d’appuyer les programmes intégrés. Comme le précisent les </w:t>
            </w:r>
            <w:r w:rsidR="00893FDB">
              <w:rPr>
                <w:color w:val="000000"/>
              </w:rPr>
              <w:t>o</w:t>
            </w:r>
            <w:r w:rsidR="00702D99">
              <w:rPr>
                <w:color w:val="000000"/>
              </w:rPr>
              <w:t>rientations</w:t>
            </w:r>
            <w:r w:rsidR="00893FDB">
              <w:rPr>
                <w:color w:val="000000"/>
              </w:rPr>
              <w:t xml:space="preserve"> programmatiques</w:t>
            </w:r>
            <w:r w:rsidR="00C004A0">
              <w:rPr>
                <w:color w:val="000000"/>
              </w:rPr>
              <w:t xml:space="preserve">, tous les programmes intégrés de </w:t>
            </w:r>
            <w:r w:rsidR="00376C22">
              <w:rPr>
                <w:color w:val="000000"/>
              </w:rPr>
              <w:t>GEF</w:t>
            </w:r>
            <w:r w:rsidR="00376C22">
              <w:rPr>
                <w:color w:val="000000"/>
              </w:rPr>
              <w:noBreakHyphen/>
            </w:r>
            <w:r w:rsidR="00C004A0">
              <w:rPr>
                <w:color w:val="000000"/>
              </w:rPr>
              <w:t xml:space="preserve">9 contribueront à la réalisation des cibles du KMGBF. Le renforcement des capacités est intégré à l’ensemble des investissements du GEF. </w:t>
            </w:r>
            <w:r w:rsidR="00894AE2">
              <w:rPr>
                <w:color w:val="000000"/>
              </w:rPr>
              <w:t>I</w:t>
            </w:r>
            <w:r w:rsidR="00894AE2" w:rsidRPr="00894AE2">
              <w:rPr>
                <w:color w:val="000000"/>
              </w:rPr>
              <w:t xml:space="preserve">l a en outre été convenu, dans le cadre de la reconstitution des ressources de GEF-9, que le GEF renforcerait, d’ici à 2027, les capacités des points focaux opérationnels en leur </w:t>
            </w:r>
            <w:r w:rsidR="00894AE2" w:rsidRPr="00894AE2">
              <w:rPr>
                <w:color w:val="000000"/>
              </w:rPr>
              <w:lastRenderedPageBreak/>
              <w:t>fournissant des formations, une assistance technique et des ressources spécifiquement destinées à soutenir leur participation active à la supervision et à la coordination des projets.</w:t>
            </w:r>
          </w:p>
          <w:p w14:paraId="39301F21" w14:textId="2056D998" w:rsidR="00C004A0" w:rsidRPr="00C67737" w:rsidRDefault="003D0698" w:rsidP="00495437">
            <w:pPr>
              <w:snapToGrid/>
              <w:spacing w:before="100" w:after="100"/>
              <w:rPr>
                <w:rFonts w:eastAsia="SimSun" w:cstheme="minorHAnsi"/>
                <w:color w:val="000000"/>
              </w:rPr>
            </w:pPr>
            <w:r>
              <w:rPr>
                <w:color w:val="000000"/>
              </w:rPr>
              <w:t>Au titre du p</w:t>
            </w:r>
            <w:r w:rsidR="00C004A0">
              <w:rPr>
                <w:color w:val="000000"/>
              </w:rPr>
              <w:t>oint c</w:t>
            </w:r>
            <w:r w:rsidR="006E54C7">
              <w:rPr>
                <w:color w:val="000000"/>
              </w:rPr>
              <w:t> :</w:t>
            </w:r>
          </w:p>
          <w:p w14:paraId="0626FF65" w14:textId="285D855E" w:rsidR="00C004A0" w:rsidRPr="00C67737" w:rsidRDefault="00F53652" w:rsidP="00495437">
            <w:pPr>
              <w:snapToGrid/>
              <w:spacing w:before="100" w:after="0"/>
              <w:rPr>
                <w:rFonts w:eastAsia="SimSun" w:cstheme="minorHAnsi"/>
                <w:color w:val="000000"/>
              </w:rPr>
            </w:pPr>
            <w:r>
              <w:rPr>
                <w:color w:val="000000"/>
              </w:rPr>
              <w:t>— </w:t>
            </w:r>
            <w:r w:rsidR="00251E6E" w:rsidRPr="00251E6E">
              <w:rPr>
                <w:color w:val="000000"/>
              </w:rPr>
              <w:t>En février 2025, le GEF a commencé à déployer un appui aux points focaux opérationnels du GEF, en collaboration avec huit partenaires</w:t>
            </w:r>
            <w:r w:rsidR="006E54C7">
              <w:rPr>
                <w:color w:val="000000"/>
              </w:rPr>
              <w:t> :</w:t>
            </w:r>
            <w:r w:rsidR="00251E6E" w:rsidRPr="00251E6E">
              <w:rPr>
                <w:color w:val="000000"/>
              </w:rPr>
              <w:t xml:space="preserve"> l’</w:t>
            </w:r>
            <w:proofErr w:type="spellStart"/>
            <w:r w:rsidR="00251E6E" w:rsidRPr="00251E6E">
              <w:rPr>
                <w:color w:val="000000"/>
              </w:rPr>
              <w:t>African</w:t>
            </w:r>
            <w:proofErr w:type="spellEnd"/>
            <w:r w:rsidR="00251E6E" w:rsidRPr="00251E6E">
              <w:rPr>
                <w:color w:val="000000"/>
              </w:rPr>
              <w:t xml:space="preserve"> </w:t>
            </w:r>
            <w:proofErr w:type="spellStart"/>
            <w:r w:rsidR="00251E6E" w:rsidRPr="00251E6E">
              <w:rPr>
                <w:color w:val="000000"/>
              </w:rPr>
              <w:t>Wildlife</w:t>
            </w:r>
            <w:proofErr w:type="spellEnd"/>
            <w:r w:rsidR="00251E6E" w:rsidRPr="00251E6E">
              <w:rPr>
                <w:color w:val="000000"/>
              </w:rPr>
              <w:t xml:space="preserve"> </w:t>
            </w:r>
            <w:proofErr w:type="spellStart"/>
            <w:r w:rsidR="00251E6E" w:rsidRPr="00251E6E">
              <w:rPr>
                <w:color w:val="000000"/>
              </w:rPr>
              <w:t>Foundation</w:t>
            </w:r>
            <w:proofErr w:type="spellEnd"/>
            <w:r w:rsidR="00251E6E" w:rsidRPr="00251E6E">
              <w:rPr>
                <w:color w:val="000000"/>
              </w:rPr>
              <w:t xml:space="preserve">, la Tropical </w:t>
            </w:r>
            <w:proofErr w:type="spellStart"/>
            <w:r w:rsidR="00251E6E" w:rsidRPr="00251E6E">
              <w:rPr>
                <w:color w:val="000000"/>
              </w:rPr>
              <w:t>Biology</w:t>
            </w:r>
            <w:proofErr w:type="spellEnd"/>
            <w:r w:rsidR="00251E6E" w:rsidRPr="00251E6E">
              <w:rPr>
                <w:color w:val="000000"/>
              </w:rPr>
              <w:t xml:space="preserve"> Association, le Secrétariat du Programme régional océanien de l’environnement, l’Organisation des États américains, le Partenariat pour la gestion environnementale des mers d’Asie de l’Est, le Secrétariat du Commonwealth et le Bureau des Nations Unies pour les services d’appui aux projets. Ensemble, ces partenaires apportent, sous forme de formations et de financements, un appui à 140</w:t>
            </w:r>
            <w:r w:rsidR="005B2E78">
              <w:rPr>
                <w:color w:val="000000"/>
              </w:rPr>
              <w:t> </w:t>
            </w:r>
            <w:r w:rsidR="00251E6E" w:rsidRPr="00251E6E">
              <w:rPr>
                <w:color w:val="000000"/>
              </w:rPr>
              <w:t>pays. Cet appui fournit aux points focaux opérationnels les outils et les moyens nécessaires pour suivre et superviser efficacement leur portefeuille de projets financés par le GEF.</w:t>
            </w:r>
          </w:p>
          <w:p w14:paraId="21208755" w14:textId="393DD272" w:rsidR="00C004A0" w:rsidRPr="00C67737" w:rsidRDefault="00F53652" w:rsidP="00495437">
            <w:pPr>
              <w:snapToGrid/>
              <w:spacing w:before="100" w:after="0"/>
              <w:rPr>
                <w:rFonts w:eastAsia="SimSun" w:cstheme="minorHAnsi"/>
                <w:color w:val="000000"/>
              </w:rPr>
            </w:pPr>
            <w:r>
              <w:rPr>
                <w:color w:val="000000"/>
              </w:rPr>
              <w:t>— </w:t>
            </w:r>
            <w:r w:rsidR="003508B3" w:rsidRPr="003508B3">
              <w:rPr>
                <w:color w:val="000000"/>
              </w:rPr>
              <w:t>L’ensemble de mesures de rationalisation examiné par le Conseil en décembre 2024 comprend des mesures visant spécifiquement à renforcer l’appropriation par les pays. Il prévoit, par exemple, l’octroi de financements aux points focaux opérationnels afin qu’ils puissent mobiliser les comités directeurs nationaux, collaborer avec les différents ministères, superviser les projets et consulter les parties prenantes. Il prévoit également que les Agences organisent des examens annuels du portefeuille avec les points focaux opérationnels du GEF et les points focaux des conventions.</w:t>
            </w:r>
          </w:p>
          <w:p w14:paraId="3107B572" w14:textId="68FB31ED" w:rsidR="000254F6" w:rsidRPr="00C67737" w:rsidRDefault="00F53652" w:rsidP="00495437">
            <w:pPr>
              <w:snapToGrid/>
              <w:spacing w:before="100" w:after="0"/>
              <w:rPr>
                <w:rFonts w:eastAsia="SimSun" w:cstheme="minorHAnsi"/>
                <w:color w:val="000000"/>
              </w:rPr>
            </w:pPr>
            <w:r>
              <w:rPr>
                <w:color w:val="000000"/>
              </w:rPr>
              <w:t>— </w:t>
            </w:r>
            <w:r w:rsidR="005C059F" w:rsidRPr="005C059F">
              <w:rPr>
                <w:color w:val="000000"/>
              </w:rPr>
              <w:t xml:space="preserve">En juin 2026, le Conseil du GEF a lancé une procédure d’élargissement du réseau des Agences afin de renforcer le partenariat du GEF. Conformément aux Recommandations de politique générale de GEF-9, le Conseil examinera la possibilité d’accréditer un groupe de nouvelles Agences complémentaires disposant collectivement d’une expertise concernant </w:t>
            </w:r>
            <w:r w:rsidR="005C059F">
              <w:rPr>
                <w:color w:val="000000"/>
              </w:rPr>
              <w:t>PMA</w:t>
            </w:r>
            <w:r w:rsidR="005C059F" w:rsidRPr="005C059F">
              <w:rPr>
                <w:color w:val="000000"/>
              </w:rPr>
              <w:t xml:space="preserve">, les PEID, les peuples autochtones et communautés locales, le secteur privé et les cinq domaines d’intervention du </w:t>
            </w:r>
            <w:r w:rsidR="005C059F" w:rsidRPr="005C059F">
              <w:rPr>
                <w:color w:val="000000"/>
              </w:rPr>
              <w:lastRenderedPageBreak/>
              <w:t>GEF</w:t>
            </w:r>
            <w:r w:rsidR="00FE1923" w:rsidRPr="00C67737">
              <w:rPr>
                <w:rStyle w:val="FootnoteReference"/>
                <w:rFonts w:eastAsia="SimSun" w:cstheme="minorHAnsi"/>
                <w:color w:val="000000"/>
              </w:rPr>
              <w:footnoteReference w:id="72"/>
            </w:r>
            <w:r w:rsidR="005C059F" w:rsidRPr="005C059F">
              <w:rPr>
                <w:color w:val="000000"/>
              </w:rPr>
              <w:t>. Les Agences dont l’accréditation sera recommandée seront présentées au Conseil pour décision au plus tard le 30</w:t>
            </w:r>
            <w:r w:rsidR="005B2E78">
              <w:rPr>
                <w:color w:val="000000"/>
              </w:rPr>
              <w:t> </w:t>
            </w:r>
            <w:r w:rsidR="005C059F" w:rsidRPr="005C059F">
              <w:rPr>
                <w:color w:val="000000"/>
              </w:rPr>
              <w:t>juin 2027</w:t>
            </w:r>
            <w:r w:rsidR="00C004A0">
              <w:t>.</w:t>
            </w:r>
            <w:r w:rsidR="00C004A0">
              <w:rPr>
                <w:color w:val="000000"/>
              </w:rPr>
              <w:t xml:space="preserve"> </w:t>
            </w:r>
          </w:p>
          <w:p w14:paraId="79D99BF8" w14:textId="3FE750FC" w:rsidR="00C004A0" w:rsidRPr="00C67737" w:rsidRDefault="00543B54" w:rsidP="00495437">
            <w:pPr>
              <w:snapToGrid/>
              <w:spacing w:before="100" w:after="100"/>
              <w:rPr>
                <w:rFonts w:eastAsia="SimSun" w:cstheme="minorHAnsi"/>
                <w:color w:val="000000"/>
              </w:rPr>
            </w:pPr>
            <w:r>
              <w:rPr>
                <w:color w:val="000000"/>
              </w:rPr>
              <w:t>— </w:t>
            </w:r>
            <w:r w:rsidR="00C004A0">
              <w:rPr>
                <w:color w:val="000000"/>
              </w:rPr>
              <w:t xml:space="preserve">Un ensemble supplémentaire de mesures a été convenu au titre des objectifs </w:t>
            </w:r>
            <w:r w:rsidR="00F95337">
              <w:rPr>
                <w:color w:val="000000"/>
              </w:rPr>
              <w:t xml:space="preserve">suivants </w:t>
            </w:r>
            <w:r w:rsidR="00C004A0">
              <w:rPr>
                <w:color w:val="000000"/>
              </w:rPr>
              <w:t xml:space="preserve">des orientations de </w:t>
            </w:r>
            <w:r w:rsidR="00C0132C">
              <w:rPr>
                <w:color w:val="000000"/>
              </w:rPr>
              <w:t>politi</w:t>
            </w:r>
            <w:r w:rsidR="00A850A3">
              <w:rPr>
                <w:color w:val="000000"/>
              </w:rPr>
              <w:t>que générale</w:t>
            </w:r>
            <w:r w:rsidR="00C004A0">
              <w:rPr>
                <w:color w:val="000000"/>
              </w:rPr>
              <w:t xml:space="preserve"> de </w:t>
            </w:r>
            <w:r w:rsidR="00376C22">
              <w:rPr>
                <w:color w:val="000000"/>
              </w:rPr>
              <w:t>GEF</w:t>
            </w:r>
            <w:r w:rsidR="00376C22">
              <w:rPr>
                <w:color w:val="000000"/>
              </w:rPr>
              <w:noBreakHyphen/>
            </w:r>
            <w:r w:rsidR="00C004A0">
              <w:rPr>
                <w:color w:val="000000"/>
              </w:rPr>
              <w:t>9</w:t>
            </w:r>
            <w:r w:rsidR="006E54C7">
              <w:rPr>
                <w:color w:val="000000"/>
              </w:rPr>
              <w:t> :</w:t>
            </w:r>
            <w:r w:rsidR="00C004A0">
              <w:rPr>
                <w:color w:val="000000"/>
              </w:rPr>
              <w:t xml:space="preserve"> «</w:t>
            </w:r>
            <w:r w:rsidR="00F53652">
              <w:rPr>
                <w:color w:val="000000"/>
              </w:rPr>
              <w:t> </w:t>
            </w:r>
            <w:r w:rsidR="0062341F">
              <w:rPr>
                <w:color w:val="000000"/>
              </w:rPr>
              <w:t>A</w:t>
            </w:r>
            <w:r w:rsidR="0062341F">
              <w:rPr>
                <w:i/>
                <w:iCs/>
              </w:rPr>
              <w:t>mélioration de l’accès et autonomisation des pays</w:t>
            </w:r>
            <w:r w:rsidR="00F53652">
              <w:rPr>
                <w:color w:val="000000"/>
              </w:rPr>
              <w:t> </w:t>
            </w:r>
            <w:r w:rsidR="00C004A0">
              <w:rPr>
                <w:color w:val="000000"/>
              </w:rPr>
              <w:t>», «</w:t>
            </w:r>
            <w:r w:rsidR="00F53652">
              <w:rPr>
                <w:color w:val="000000"/>
              </w:rPr>
              <w:t> </w:t>
            </w:r>
            <w:r w:rsidR="00761257">
              <w:rPr>
                <w:i/>
                <w:iCs/>
              </w:rPr>
              <w:t>Accélération et simplification de l’exécution</w:t>
            </w:r>
            <w:r w:rsidR="00F53652">
              <w:rPr>
                <w:color w:val="000000"/>
              </w:rPr>
              <w:t> </w:t>
            </w:r>
            <w:r w:rsidR="00C004A0">
              <w:rPr>
                <w:color w:val="000000"/>
              </w:rPr>
              <w:t>» et «</w:t>
            </w:r>
            <w:r w:rsidR="00F53652">
              <w:rPr>
                <w:color w:val="000000"/>
              </w:rPr>
              <w:t> </w:t>
            </w:r>
            <w:r w:rsidR="00C004A0">
              <w:rPr>
                <w:color w:val="000000"/>
              </w:rPr>
              <w:t xml:space="preserve">Mise en œuvre </w:t>
            </w:r>
            <w:r w:rsidR="00E80847">
              <w:rPr>
                <w:color w:val="000000"/>
              </w:rPr>
              <w:t>souple</w:t>
            </w:r>
            <w:r w:rsidR="00C004A0">
              <w:rPr>
                <w:color w:val="000000"/>
              </w:rPr>
              <w:t xml:space="preserve"> et efficace</w:t>
            </w:r>
            <w:r w:rsidR="00F53652">
              <w:rPr>
                <w:color w:val="000000"/>
              </w:rPr>
              <w:t> </w:t>
            </w:r>
            <w:r w:rsidR="00C004A0">
              <w:rPr>
                <w:color w:val="000000"/>
              </w:rPr>
              <w:t xml:space="preserve">». Il prévoit notamment d’élargir le réseau des </w:t>
            </w:r>
            <w:r w:rsidR="00F52D3D">
              <w:rPr>
                <w:color w:val="000000"/>
              </w:rPr>
              <w:t>Agences</w:t>
            </w:r>
            <w:r w:rsidR="00C004A0">
              <w:rPr>
                <w:color w:val="000000"/>
              </w:rPr>
              <w:t xml:space="preserve"> du GEF au moyen de procédures d’accréditation ouvertes, financées conjointement et ciblées</w:t>
            </w:r>
            <w:r w:rsidR="00AF6D00" w:rsidRPr="00AF6D00">
              <w:rPr>
                <w:rFonts w:eastAsia="SimSun"/>
              </w:rPr>
              <w:t xml:space="preserve"> </w:t>
            </w:r>
            <w:r w:rsidR="00AF6D00" w:rsidRPr="00AF6D00">
              <w:rPr>
                <w:color w:val="000000"/>
              </w:rPr>
              <w:t>afin d’y intégrer de nouvelles entités et de veiller, entre autres, à ce que les nouvelles Agences retenues disposent d’une expérience du secteur privé et des peuples autochtones et communautés locales</w:t>
            </w:r>
            <w:r w:rsidR="00C004A0">
              <w:rPr>
                <w:color w:val="000000"/>
              </w:rPr>
              <w:t>. Ces mesures comprennent également</w:t>
            </w:r>
            <w:r w:rsidR="006E54C7">
              <w:rPr>
                <w:color w:val="000000"/>
              </w:rPr>
              <w:t> :</w:t>
            </w:r>
            <w:r w:rsidR="00C004A0">
              <w:rPr>
                <w:color w:val="000000"/>
              </w:rPr>
              <w:t xml:space="preserve"> Le plafonnement à 25</w:t>
            </w:r>
            <w:r w:rsidR="00966C17">
              <w:rPr>
                <w:color w:val="000000"/>
              </w:rPr>
              <w:t> %</w:t>
            </w:r>
            <w:r w:rsidR="00C004A0">
              <w:rPr>
                <w:color w:val="000000"/>
              </w:rPr>
              <w:t xml:space="preserve"> de la part du portefeuille pouvant être détenue par une même </w:t>
            </w:r>
            <w:r w:rsidR="00F52D3D">
              <w:rPr>
                <w:color w:val="000000"/>
              </w:rPr>
              <w:t>Agence</w:t>
            </w:r>
            <w:r w:rsidR="00C004A0">
              <w:rPr>
                <w:color w:val="000000"/>
              </w:rPr>
              <w:t xml:space="preserve"> du GEF</w:t>
            </w:r>
            <w:r w:rsidR="00F53652">
              <w:rPr>
                <w:color w:val="000000"/>
              </w:rPr>
              <w:t> </w:t>
            </w:r>
            <w:r w:rsidR="00C004A0">
              <w:rPr>
                <w:color w:val="000000"/>
              </w:rPr>
              <w:t>; le renforcement des capacités des points focaux opérationnels, grâce à des formations spécialisées, à une assistance technique et à des ressources destinées à faciliter leur participation active à la supervision et à la coordination des projets</w:t>
            </w:r>
            <w:r w:rsidR="00F53652">
              <w:rPr>
                <w:color w:val="000000"/>
              </w:rPr>
              <w:t> </w:t>
            </w:r>
            <w:r w:rsidR="00C004A0">
              <w:rPr>
                <w:color w:val="000000"/>
              </w:rPr>
              <w:t>; la rationalisation des procédures internes des Agences relatives au traitement des financements du GEF</w:t>
            </w:r>
            <w:r w:rsidR="00F53652">
              <w:rPr>
                <w:color w:val="000000"/>
              </w:rPr>
              <w:t> </w:t>
            </w:r>
            <w:r w:rsidR="00C004A0">
              <w:rPr>
                <w:color w:val="000000"/>
              </w:rPr>
              <w:t>; l’institutionnalisation des examens du portefeuille afin de renforcer la supervision et de détecter rapidement les difficultés.</w:t>
            </w:r>
          </w:p>
          <w:p w14:paraId="54F9B4EF" w14:textId="3F61F836" w:rsidR="00C004A0" w:rsidRPr="00C67737" w:rsidRDefault="003D0698" w:rsidP="00495437">
            <w:pPr>
              <w:snapToGrid/>
              <w:spacing w:before="100" w:after="100"/>
              <w:rPr>
                <w:rFonts w:eastAsia="SimSun" w:cstheme="minorHAnsi"/>
                <w:color w:val="000000"/>
              </w:rPr>
            </w:pPr>
            <w:r>
              <w:rPr>
                <w:color w:val="000000"/>
              </w:rPr>
              <w:t>Au titre du p</w:t>
            </w:r>
            <w:r w:rsidR="00C004A0">
              <w:rPr>
                <w:color w:val="000000"/>
              </w:rPr>
              <w:t>oint d)</w:t>
            </w:r>
            <w:r w:rsidR="006E54C7">
              <w:rPr>
                <w:color w:val="000000"/>
              </w:rPr>
              <w:t> :</w:t>
            </w:r>
            <w:r w:rsidR="00C004A0">
              <w:rPr>
                <w:color w:val="000000"/>
              </w:rPr>
              <w:t xml:space="preserve"> </w:t>
            </w:r>
            <w:r w:rsidR="006D4B40" w:rsidRPr="006D4B40">
              <w:rPr>
                <w:color w:val="000000"/>
              </w:rPr>
              <w:t>Afin de garantir un niveau de financement adéquat à l’appui de la mise en œuvre des Protocoles au cours de GEF</w:t>
            </w:r>
            <w:r w:rsidR="006D4B40" w:rsidRPr="006D4B40">
              <w:rPr>
                <w:color w:val="000000"/>
              </w:rPr>
              <w:noBreakHyphen/>
              <w:t>9, une part des ressources du domaine d’intervention «</w:t>
            </w:r>
            <w:r w:rsidR="005B2E78">
              <w:rPr>
                <w:color w:val="000000"/>
              </w:rPr>
              <w:t> </w:t>
            </w:r>
            <w:r w:rsidR="006D4B40" w:rsidRPr="006D4B40">
              <w:rPr>
                <w:color w:val="000000"/>
              </w:rPr>
              <w:t>diversité biologique</w:t>
            </w:r>
            <w:r w:rsidR="005B2E78">
              <w:rPr>
                <w:color w:val="000000"/>
              </w:rPr>
              <w:t> </w:t>
            </w:r>
            <w:r w:rsidR="006D4B40" w:rsidRPr="006D4B40">
              <w:rPr>
                <w:color w:val="000000"/>
              </w:rPr>
              <w:t xml:space="preserve">» a été réservée au financement de projets régionaux ou mondiaux qui leur sont consacrés. La priorité sera accordée aux pays qui n’ont pas bénéficié de financements du GEF à cette fin au cours des derniers cycles. Cette réserve complétera les ressources du STAR, que les pays admissibles sont encouragés à mobiliser pour mettre en œuvre les Protocoles, grâce au point d’entrée spécifiquement consacré à l’objectif </w:t>
            </w:r>
            <w:r w:rsidR="006D4B40" w:rsidRPr="006D4B40">
              <w:rPr>
                <w:color w:val="000000"/>
              </w:rPr>
              <w:lastRenderedPageBreak/>
              <w:t>suivant</w:t>
            </w:r>
            <w:r w:rsidR="006E54C7">
              <w:rPr>
                <w:color w:val="000000"/>
              </w:rPr>
              <w:t> :</w:t>
            </w:r>
            <w:r w:rsidR="006D4B40" w:rsidRPr="006D4B40">
              <w:rPr>
                <w:color w:val="000000"/>
              </w:rPr>
              <w:t xml:space="preserve"> «</w:t>
            </w:r>
            <w:r w:rsidR="005B2E78">
              <w:rPr>
                <w:color w:val="000000"/>
              </w:rPr>
              <w:t> </w:t>
            </w:r>
            <w:r w:rsidR="00601D83">
              <w:t>Renforcer la prévention des risques biotechnologiques et garantir le partage juste et équitable des avantages découlant de l’utilisation des ressources génétiques, notamment par la mise en œuvre des Protocoles de</w:t>
            </w:r>
            <w:r w:rsidR="00EA5960">
              <w:t xml:space="preserve"> Carthagène</w:t>
            </w:r>
            <w:r w:rsidR="00EA5960" w:rsidDel="00EA5960">
              <w:t xml:space="preserve"> </w:t>
            </w:r>
            <w:r w:rsidR="00601D83">
              <w:t>et de Nagoya</w:t>
            </w:r>
            <w:r w:rsidR="006D4B40" w:rsidRPr="006D4B40">
              <w:rPr>
                <w:color w:val="000000"/>
              </w:rPr>
              <w:t>.</w:t>
            </w:r>
            <w:r w:rsidR="005B2E78">
              <w:rPr>
                <w:color w:val="000000"/>
              </w:rPr>
              <w:t> </w:t>
            </w:r>
            <w:r w:rsidR="006D4B40" w:rsidRPr="006D4B40">
              <w:rPr>
                <w:color w:val="000000"/>
              </w:rPr>
              <w:t>»</w:t>
            </w:r>
            <w:r w:rsidR="006D4B40">
              <w:rPr>
                <w:color w:val="000000"/>
              </w:rPr>
              <w:t xml:space="preserve"> </w:t>
            </w:r>
            <w:r w:rsidR="005A37D9" w:rsidRPr="005A37D9">
              <w:rPr>
                <w:color w:val="000000"/>
              </w:rPr>
              <w:t xml:space="preserve">Le Secrétariat du GEF a également mené des activités ciblées de sensibilisation, décrites ailleurs dans la présente matrice, afin de présenter les possibilités de financement offertes par </w:t>
            </w:r>
            <w:r w:rsidR="00CD3559">
              <w:rPr>
                <w:color w:val="000000"/>
              </w:rPr>
              <w:t xml:space="preserve">le fonds fiduciaire </w:t>
            </w:r>
            <w:r w:rsidR="005A37D9" w:rsidRPr="005A37D9">
              <w:rPr>
                <w:color w:val="000000"/>
              </w:rPr>
              <w:t>du GEF et le GBFF et d’encourager la soumission de propositions relatives aux Protocoles.</w:t>
            </w:r>
          </w:p>
          <w:p w14:paraId="6ADF1214" w14:textId="0688F3C4" w:rsidR="000E27E1" w:rsidRPr="00C67737" w:rsidRDefault="003D0698" w:rsidP="00495437">
            <w:pPr>
              <w:snapToGrid/>
              <w:spacing w:before="100" w:after="100"/>
              <w:rPr>
                <w:rFonts w:eastAsia="SimSun" w:cstheme="minorHAnsi"/>
                <w:color w:val="000000"/>
              </w:rPr>
            </w:pPr>
            <w:r>
              <w:rPr>
                <w:color w:val="000000"/>
              </w:rPr>
              <w:t>Au titre du p</w:t>
            </w:r>
            <w:r w:rsidR="00C004A0">
              <w:rPr>
                <w:color w:val="000000"/>
              </w:rPr>
              <w:t>oint e</w:t>
            </w:r>
            <w:r w:rsidR="006E54C7">
              <w:rPr>
                <w:color w:val="000000"/>
              </w:rPr>
              <w:t> :</w:t>
            </w:r>
            <w:r w:rsidR="00C004A0">
              <w:rPr>
                <w:color w:val="000000"/>
              </w:rPr>
              <w:t xml:space="preserve"> </w:t>
            </w:r>
          </w:p>
          <w:p w14:paraId="712029A1" w14:textId="6DB1AF3C" w:rsidR="00C004A0" w:rsidRPr="00C67737" w:rsidRDefault="00F53652" w:rsidP="00495437">
            <w:pPr>
              <w:snapToGrid/>
              <w:spacing w:before="100" w:after="100"/>
              <w:rPr>
                <w:rFonts w:eastAsia="SimSun" w:cstheme="minorHAnsi"/>
                <w:color w:val="000000"/>
              </w:rPr>
            </w:pPr>
            <w:r>
              <w:rPr>
                <w:color w:val="000000"/>
              </w:rPr>
              <w:t>— </w:t>
            </w:r>
            <w:r w:rsidR="004F04F6" w:rsidRPr="00F37680">
              <w:rPr>
                <w:color w:val="000000" w:themeColor="text1"/>
              </w:rPr>
              <w:t>Dans le cadre de la reconstitution des ressources de GEF-9</w:t>
            </w:r>
            <w:r w:rsidR="004F04F6">
              <w:rPr>
                <w:color w:val="000000" w:themeColor="text1"/>
              </w:rPr>
              <w:t>, il a été convenu d’ici à 2028 d’affiner les mécanismes de financement et les politiques du GEF afin de mieux prendre en compte les peuples autochtones et communautés locales, les femmes et les jeunes. Il a également été convenu d’élaborer une politique du GEF relative aux peuples autochtones et communautés locales afin d’actualiser et d’affiner l’ensemble existant de lignes directrices et de politiques</w:t>
            </w:r>
            <w:r w:rsidR="000E27E1">
              <w:rPr>
                <w:color w:val="000000"/>
              </w:rPr>
              <w:t xml:space="preserve">. </w:t>
            </w:r>
            <w:r w:rsidR="003076E8" w:rsidRPr="003076E8">
              <w:rPr>
                <w:color w:val="000000"/>
              </w:rPr>
              <w:t xml:space="preserve">Il a en outre été convenu de fixer un </w:t>
            </w:r>
            <w:r w:rsidR="003076E8" w:rsidRPr="00FD5BD1">
              <w:rPr>
                <w:color w:val="000000"/>
              </w:rPr>
              <w:t xml:space="preserve">objectif </w:t>
            </w:r>
            <w:r w:rsidR="00B30F7D">
              <w:rPr>
                <w:color w:val="000000"/>
              </w:rPr>
              <w:t>ambitieux</w:t>
            </w:r>
            <w:r w:rsidR="003076E8" w:rsidRPr="003076E8">
              <w:rPr>
                <w:color w:val="000000"/>
              </w:rPr>
              <w:t xml:space="preserve"> de 20</w:t>
            </w:r>
            <w:r w:rsidR="00966C17">
              <w:rPr>
                <w:color w:val="000000"/>
              </w:rPr>
              <w:t> %</w:t>
            </w:r>
            <w:r w:rsidR="003076E8" w:rsidRPr="003076E8">
              <w:rPr>
                <w:color w:val="000000"/>
              </w:rPr>
              <w:t xml:space="preserve"> des financements à l’échelle du portefeuille </w:t>
            </w:r>
            <w:r w:rsidR="00CD3559">
              <w:rPr>
                <w:color w:val="000000"/>
              </w:rPr>
              <w:t xml:space="preserve">du fonds fiduciaire </w:t>
            </w:r>
            <w:r w:rsidR="003076E8" w:rsidRPr="003076E8">
              <w:rPr>
                <w:color w:val="000000"/>
              </w:rPr>
              <w:t>du GEF afin d’appuyer les actions menées par les peuples autochtones et communautés locales. Les ressources allouées à l’</w:t>
            </w:r>
            <w:hyperlink r:id="rId52" w:tgtFrame="_blank" w:history="1">
              <w:r w:rsidR="003076E8" w:rsidRPr="003076E8">
                <w:rPr>
                  <w:rStyle w:val="Hyperlink"/>
                </w:rPr>
                <w:t>Initiative de conservation inclusive</w:t>
              </w:r>
            </w:hyperlink>
            <w:r w:rsidR="003076E8" w:rsidRPr="003076E8">
              <w:rPr>
                <w:color w:val="000000"/>
              </w:rPr>
              <w:t>, qui finance directement des organisations de peuples autochtones et de communautés locales, ont été considérablement accrues, passant de 25</w:t>
            </w:r>
            <w:r w:rsidR="005B2E78">
              <w:rPr>
                <w:color w:val="000000"/>
              </w:rPr>
              <w:t> </w:t>
            </w:r>
            <w:r w:rsidR="003076E8" w:rsidRPr="003076E8">
              <w:rPr>
                <w:color w:val="000000"/>
              </w:rPr>
              <w:t>millions de dollars pendant GEF-7 et GEF-8 à 100</w:t>
            </w:r>
            <w:r w:rsidR="005B2E78">
              <w:rPr>
                <w:color w:val="000000"/>
              </w:rPr>
              <w:t> </w:t>
            </w:r>
            <w:r w:rsidR="003076E8" w:rsidRPr="003076E8">
              <w:rPr>
                <w:color w:val="000000"/>
              </w:rPr>
              <w:t>millions de dollars pendant GEF-9. Enfin, le Cadre de résultats de GEF-9 comprendra un indicateur ventilé permettant de suivre le nombre de peuples autochtones et communautés locales bénéficiant d’un appui</w:t>
            </w:r>
            <w:r w:rsidR="003076E8">
              <w:rPr>
                <w:color w:val="000000"/>
              </w:rPr>
              <w:t>.</w:t>
            </w:r>
          </w:p>
          <w:p w14:paraId="7B51930B" w14:textId="418ABF93" w:rsidR="001533B9" w:rsidRPr="00C67737" w:rsidRDefault="005B2E78" w:rsidP="00495437">
            <w:pPr>
              <w:snapToGrid/>
              <w:spacing w:before="100" w:after="100"/>
              <w:rPr>
                <w:rFonts w:eastAsia="SimSun" w:cstheme="minorHAnsi"/>
                <w:color w:val="000000"/>
              </w:rPr>
            </w:pPr>
            <w:r>
              <w:rPr>
                <w:color w:val="000000"/>
              </w:rPr>
              <w:t>– </w:t>
            </w:r>
            <w:r w:rsidR="00E51D04" w:rsidRPr="00E51D04">
              <w:rPr>
                <w:color w:val="000000"/>
              </w:rPr>
              <w:t>Le GBFF applique un critère de sélection spécifique intitulé «</w:t>
            </w:r>
            <w:r>
              <w:rPr>
                <w:color w:val="000000"/>
              </w:rPr>
              <w:t> </w:t>
            </w:r>
            <w:r w:rsidR="00E51D04" w:rsidRPr="00E51D04">
              <w:rPr>
                <w:color w:val="000000"/>
              </w:rPr>
              <w:t>Participation des peuples autochtones et des communautés locales et appui à leurs actions</w:t>
            </w:r>
            <w:r>
              <w:rPr>
                <w:color w:val="000000"/>
              </w:rPr>
              <w:t> </w:t>
            </w:r>
            <w:r w:rsidR="00E51D04" w:rsidRPr="00E51D04">
              <w:rPr>
                <w:color w:val="000000"/>
              </w:rPr>
              <w:t>», ainsi qu’un objectif indicatif fixé à l’échelle du portefeuille</w:t>
            </w:r>
            <w:r w:rsidR="006E54C7">
              <w:rPr>
                <w:color w:val="000000"/>
              </w:rPr>
              <w:t> :</w:t>
            </w:r>
            <w:r w:rsidR="00E51D04" w:rsidRPr="00E51D04">
              <w:rPr>
                <w:color w:val="000000"/>
              </w:rPr>
              <w:t xml:space="preserve"> «</w:t>
            </w:r>
            <w:r>
              <w:rPr>
                <w:color w:val="000000"/>
              </w:rPr>
              <w:t> </w:t>
            </w:r>
            <w:r w:rsidR="00E51D04" w:rsidRPr="00E51D04">
              <w:rPr>
                <w:color w:val="000000"/>
              </w:rPr>
              <w:t>D’ici à 2030, une part ambitieuse de 20</w:t>
            </w:r>
            <w:r w:rsidR="00966C17">
              <w:rPr>
                <w:color w:val="000000"/>
              </w:rPr>
              <w:t> %</w:t>
            </w:r>
            <w:r w:rsidR="00E51D04" w:rsidRPr="00E51D04">
              <w:rPr>
                <w:color w:val="000000"/>
              </w:rPr>
              <w:t xml:space="preserve"> du montant total des ressources allouées au titre du GBFF doit, à l’échelle du portefeuille, appuyer les actions menées par les </w:t>
            </w:r>
            <w:r w:rsidR="00E51D04" w:rsidRPr="00E51D04">
              <w:rPr>
                <w:color w:val="000000"/>
              </w:rPr>
              <w:lastRenderedPageBreak/>
              <w:t>peuples autochtones et les communautés locales en faveur de la conservation, de la restauration, de l’utilisation durable et de la gestion de la biodiversité.</w:t>
            </w:r>
            <w:r>
              <w:rPr>
                <w:color w:val="000000"/>
              </w:rPr>
              <w:t> </w:t>
            </w:r>
            <w:r w:rsidR="00E51D04" w:rsidRPr="00E51D04">
              <w:rPr>
                <w:color w:val="000000"/>
              </w:rPr>
              <w:t>»</w:t>
            </w:r>
            <w:r w:rsidR="000E27E1">
              <w:rPr>
                <w:color w:val="000000"/>
              </w:rPr>
              <w:t xml:space="preserve"> Comme l’a décidé le Conseil du GBFF à sa quatrième réunion, en juin 2025, les</w:t>
            </w:r>
            <w:r w:rsidR="000E27E1">
              <w:t xml:space="preserve"> lignes directrices sur les actions menées par les peuples autochtones et communautés locales (</w:t>
            </w:r>
            <w:hyperlink r:id="rId53">
              <w:r w:rsidR="000E27E1" w:rsidRPr="005111D7">
                <w:rPr>
                  <w:i/>
                  <w:iCs/>
                  <w:color w:val="0000FF"/>
                  <w:u w:val="single"/>
                </w:rPr>
                <w:t xml:space="preserve">Guidelines on Actions by Indigenous Peoples and Local </w:t>
              </w:r>
              <w:proofErr w:type="spellStart"/>
              <w:r w:rsidR="000E27E1" w:rsidRPr="005111D7">
                <w:rPr>
                  <w:i/>
                  <w:iCs/>
                  <w:color w:val="0000FF"/>
                  <w:u w:val="single"/>
                </w:rPr>
                <w:t>Communities</w:t>
              </w:r>
              <w:proofErr w:type="spellEnd"/>
            </w:hyperlink>
            <w:bookmarkStart w:id="117" w:name="_Ref226035329"/>
            <w:r w:rsidR="00C004A0" w:rsidRPr="00C67737">
              <w:rPr>
                <w:rFonts w:eastAsia="SimSun" w:cstheme="minorHAnsi"/>
                <w:color w:val="000000"/>
                <w:vertAlign w:val="superscript"/>
              </w:rPr>
              <w:footnoteReference w:id="73"/>
            </w:r>
            <w:bookmarkEnd w:id="117"/>
            <w:r w:rsidR="000E27E1">
              <w:t xml:space="preserve">) </w:t>
            </w:r>
            <w:r w:rsidR="000E27E1">
              <w:rPr>
                <w:color w:val="000000"/>
              </w:rPr>
              <w:t>ont été élaborées au terme d’un processus consultatif, comprenant notamment une consultation ouverte organisée en marge de la première réunion de l’Organe subsidiaire sur l’article</w:t>
            </w:r>
            <w:r w:rsidR="00111EA5">
              <w:rPr>
                <w:color w:val="000000"/>
              </w:rPr>
              <w:t> </w:t>
            </w:r>
            <w:r w:rsidR="000E27E1">
              <w:rPr>
                <w:color w:val="000000"/>
              </w:rPr>
              <w:t>8</w:t>
            </w:r>
            <w:r w:rsidR="00111EA5">
              <w:rPr>
                <w:color w:val="000000"/>
              </w:rPr>
              <w:t> </w:t>
            </w:r>
            <w:r w:rsidR="000E27E1">
              <w:rPr>
                <w:color w:val="000000"/>
              </w:rPr>
              <w:t>j) et les autres dispositions de la Convention sur la diversité biologique relatives aux peuples autochtones et communautés locales (SB-8j), en octobre 2025. Ces lignes directrices visent à garantir que les projets pilotés par les pays et contribuant à l’objectif de 20</w:t>
            </w:r>
            <w:r w:rsidR="00966C17">
              <w:rPr>
                <w:color w:val="000000"/>
              </w:rPr>
              <w:t> %</w:t>
            </w:r>
            <w:r w:rsidR="000E27E1">
              <w:rPr>
                <w:color w:val="000000"/>
              </w:rPr>
              <w:t xml:space="preserve"> soient conçus et mis en œuvre en consultation et en partenariat avec les peuples autochtones et communautés locales.</w:t>
            </w:r>
          </w:p>
          <w:p w14:paraId="26F74903" w14:textId="2C803449" w:rsidR="00C004A0" w:rsidRPr="00C67737" w:rsidRDefault="005B2E78" w:rsidP="00495437">
            <w:pPr>
              <w:snapToGrid/>
              <w:spacing w:before="100" w:after="100"/>
              <w:rPr>
                <w:rFonts w:eastAsia="SimSun" w:cstheme="minorHAnsi"/>
                <w:color w:val="000000"/>
              </w:rPr>
            </w:pPr>
            <w:r>
              <w:t>— </w:t>
            </w:r>
            <w:r w:rsidR="00A32C01">
              <w:t>En décembre 2025, le Conseil du GBFF a adopté un Cadre de résultats renforcé pour le GBFF</w:t>
            </w:r>
            <w:r w:rsidR="00C004A0" w:rsidRPr="00C67737">
              <w:rPr>
                <w:rFonts w:eastAsia="SimSun" w:cstheme="minorHAnsi"/>
                <w:color w:val="000000"/>
                <w:vertAlign w:val="superscript"/>
              </w:rPr>
              <w:footnoteReference w:id="74"/>
            </w:r>
            <w:r w:rsidR="00A32C01">
              <w:t>, qui introduit pour la première fois plusieurs indicateurs spécialement consacrés à la mesure de l’appui apporté par le GBFF aux peuples autochtones et communautés locales, ainsi qu’aux mesures menées par ces derniers en faveur de la diversité biologique.</w:t>
            </w:r>
          </w:p>
          <w:p w14:paraId="77B8C5DD" w14:textId="08772315" w:rsidR="00C004A0" w:rsidRPr="00C67737" w:rsidRDefault="003D0698" w:rsidP="00495437">
            <w:pPr>
              <w:snapToGrid/>
              <w:spacing w:before="100" w:after="100"/>
              <w:rPr>
                <w:rFonts w:eastAsia="SimSun" w:cstheme="minorHAnsi"/>
                <w:color w:val="000000"/>
              </w:rPr>
            </w:pPr>
            <w:r>
              <w:rPr>
                <w:color w:val="000000"/>
              </w:rPr>
              <w:t>Au titre du p</w:t>
            </w:r>
            <w:r w:rsidR="00DE5F60">
              <w:rPr>
                <w:color w:val="000000"/>
              </w:rPr>
              <w:t xml:space="preserve">oint </w:t>
            </w:r>
            <w:r w:rsidR="00C004A0">
              <w:rPr>
                <w:color w:val="000000"/>
              </w:rPr>
              <w:t>f</w:t>
            </w:r>
            <w:r w:rsidR="006E54C7">
              <w:rPr>
                <w:color w:val="000000"/>
              </w:rPr>
              <w:t> :</w:t>
            </w:r>
            <w:r w:rsidR="00C004A0">
              <w:rPr>
                <w:color w:val="000000"/>
              </w:rPr>
              <w:t xml:space="preserve"> </w:t>
            </w:r>
            <w:r w:rsidR="00DE5F60">
              <w:rPr>
                <w:color w:val="000000"/>
              </w:rPr>
              <w:t>L</w:t>
            </w:r>
            <w:r w:rsidR="00C004A0">
              <w:rPr>
                <w:color w:val="000000"/>
              </w:rPr>
              <w:t xml:space="preserve">’approche </w:t>
            </w:r>
            <w:proofErr w:type="spellStart"/>
            <w:r w:rsidR="00C004A0">
              <w:rPr>
                <w:color w:val="000000"/>
              </w:rPr>
              <w:t>pansociétale</w:t>
            </w:r>
            <w:proofErr w:type="spellEnd"/>
            <w:r w:rsidR="00C004A0">
              <w:rPr>
                <w:color w:val="000000"/>
              </w:rPr>
              <w:t xml:space="preserve"> a été approuvée comme une composante essentielle de </w:t>
            </w:r>
            <w:r w:rsidR="00376C22">
              <w:rPr>
                <w:color w:val="000000"/>
              </w:rPr>
              <w:t>GEF</w:t>
            </w:r>
            <w:r w:rsidR="00376C22">
              <w:rPr>
                <w:color w:val="000000"/>
              </w:rPr>
              <w:noBreakHyphen/>
            </w:r>
            <w:r w:rsidR="00C004A0">
              <w:rPr>
                <w:color w:val="000000"/>
              </w:rPr>
              <w:t xml:space="preserve">9, comme le précisent les </w:t>
            </w:r>
            <w:r w:rsidR="00DE5F60">
              <w:rPr>
                <w:color w:val="000000"/>
              </w:rPr>
              <w:t>o</w:t>
            </w:r>
            <w:r w:rsidR="00702D99">
              <w:rPr>
                <w:color w:val="000000"/>
              </w:rPr>
              <w:t xml:space="preserve">rientations </w:t>
            </w:r>
            <w:r w:rsidR="00DE5F60">
              <w:rPr>
                <w:color w:val="000000"/>
              </w:rPr>
              <w:t>programmatiques</w:t>
            </w:r>
            <w:r w:rsidR="00C004A0">
              <w:rPr>
                <w:color w:val="000000"/>
              </w:rPr>
              <w:t xml:space="preserve"> de </w:t>
            </w:r>
            <w:r w:rsidR="00376C22">
              <w:rPr>
                <w:color w:val="000000"/>
              </w:rPr>
              <w:t>GEF</w:t>
            </w:r>
            <w:r w:rsidR="00376C22">
              <w:rPr>
                <w:color w:val="000000"/>
              </w:rPr>
              <w:noBreakHyphen/>
            </w:r>
            <w:r w:rsidR="00C004A0">
              <w:rPr>
                <w:color w:val="000000"/>
              </w:rPr>
              <w:t xml:space="preserve">9. </w:t>
            </w:r>
          </w:p>
          <w:p w14:paraId="068B9DF5" w14:textId="3713F8FD" w:rsidR="00C004A0" w:rsidRPr="00C67737" w:rsidRDefault="0019331A" w:rsidP="00495437">
            <w:pPr>
              <w:snapToGrid/>
              <w:spacing w:before="100" w:after="100"/>
              <w:rPr>
                <w:rFonts w:eastAsia="SimSun" w:cstheme="minorHAnsi"/>
                <w:color w:val="000000"/>
              </w:rPr>
            </w:pPr>
            <w:r w:rsidRPr="0019331A">
              <w:rPr>
                <w:color w:val="000000"/>
              </w:rPr>
              <w:t>En conséquence, des mesures ont été arrêtées au titre de l’objectif «</w:t>
            </w:r>
            <w:r w:rsidR="005B2E78">
              <w:rPr>
                <w:color w:val="000000"/>
              </w:rPr>
              <w:t> </w:t>
            </w:r>
            <w:r w:rsidRPr="0019331A">
              <w:rPr>
                <w:color w:val="000000"/>
              </w:rPr>
              <w:t>amélioration de l’accès et autonomisation des pays</w:t>
            </w:r>
            <w:r w:rsidR="005B2E78">
              <w:rPr>
                <w:color w:val="000000"/>
              </w:rPr>
              <w:t> </w:t>
            </w:r>
            <w:r w:rsidRPr="0019331A">
              <w:rPr>
                <w:color w:val="000000"/>
              </w:rPr>
              <w:t xml:space="preserve">» des orientations de politique générale de GEF-9. Elles prévoient notamment de promouvoir et d’appuyer les plateformes nationales en tant que cadres nationaux de coordination visant à renforcer la collaboration entre les banques multilatérales de </w:t>
            </w:r>
            <w:r w:rsidRPr="0019331A">
              <w:rPr>
                <w:color w:val="000000"/>
              </w:rPr>
              <w:lastRenderedPageBreak/>
              <w:t xml:space="preserve">développement, le secteur privé, les autres bailleurs de fonds et l’ensemble de la société. Elles visent ainsi à favoriser des réformes pangouvernementales et à mobiliser des investissements de grande ampleur conformes aux priorités nationales. Elles comprennent également la promotion de la création de comités directeurs nationaux réunissant plusieurs ministères et parties prenantes, chargés de coordonner les activités du GEF afin de favoriser une approche pangouvernementale et </w:t>
            </w:r>
            <w:proofErr w:type="spellStart"/>
            <w:r w:rsidRPr="0019331A">
              <w:rPr>
                <w:color w:val="000000"/>
              </w:rPr>
              <w:t>pansociétale</w:t>
            </w:r>
            <w:proofErr w:type="spellEnd"/>
            <w:r w:rsidRPr="0019331A">
              <w:rPr>
                <w:color w:val="000000"/>
              </w:rPr>
              <w:t>.</w:t>
            </w:r>
          </w:p>
          <w:p w14:paraId="2CF9B47A" w14:textId="62E4579A" w:rsidR="00C004A0" w:rsidRPr="00C67737" w:rsidRDefault="00C004A0" w:rsidP="00495437">
            <w:pPr>
              <w:snapToGrid/>
              <w:spacing w:before="100" w:after="100"/>
              <w:rPr>
                <w:rFonts w:eastAsia="SimSun" w:cstheme="minorHAnsi"/>
                <w:color w:val="000000"/>
              </w:rPr>
            </w:pPr>
            <w:r>
              <w:rPr>
                <w:color w:val="000000"/>
              </w:rPr>
              <w:t xml:space="preserve">En outre, </w:t>
            </w:r>
            <w:r w:rsidR="00376C22">
              <w:rPr>
                <w:color w:val="000000"/>
              </w:rPr>
              <w:t>GEF</w:t>
            </w:r>
            <w:r w:rsidR="00376C22">
              <w:rPr>
                <w:color w:val="000000"/>
              </w:rPr>
              <w:noBreakHyphen/>
            </w:r>
            <w:r>
              <w:rPr>
                <w:color w:val="000000"/>
              </w:rPr>
              <w:t>9 accroîtra sensiblement la participation du secteur privé à sa programmation, à la fois par l’élargissement du guichet consacré au financement mixte et par des mesures visant à intégrer le financement mixte dans la programmation au titre du STAR et des programmes intégrés. L’objectif fixé est d’orienter 25</w:t>
            </w:r>
            <w:r w:rsidR="00966C17">
              <w:rPr>
                <w:color w:val="000000"/>
              </w:rPr>
              <w:t> %</w:t>
            </w:r>
            <w:r>
              <w:rPr>
                <w:color w:val="000000"/>
              </w:rPr>
              <w:t xml:space="preserve"> de la programmation de </w:t>
            </w:r>
            <w:r w:rsidR="00376C22">
              <w:rPr>
                <w:color w:val="000000"/>
              </w:rPr>
              <w:t>GEF</w:t>
            </w:r>
            <w:r w:rsidR="00376C22">
              <w:rPr>
                <w:color w:val="000000"/>
              </w:rPr>
              <w:noBreakHyphen/>
            </w:r>
            <w:r>
              <w:rPr>
                <w:color w:val="000000"/>
              </w:rPr>
              <w:t>9 vers la mobilisation de financements privés à grande échelle.</w:t>
            </w:r>
          </w:p>
          <w:p w14:paraId="5D6C7135" w14:textId="7F875A32" w:rsidR="00C004A0" w:rsidRPr="00C67737" w:rsidRDefault="00C004A0" w:rsidP="00495437">
            <w:pPr>
              <w:snapToGrid/>
              <w:spacing w:before="100" w:after="100"/>
              <w:rPr>
                <w:rFonts w:eastAsia="SimSun" w:cstheme="minorHAnsi"/>
                <w:color w:val="000000"/>
              </w:rPr>
            </w:pPr>
            <w:r>
              <w:rPr>
                <w:color w:val="000000"/>
              </w:rPr>
              <w:t>Le Conseil du GBFF a également élargi la représentation des observateurs, en prévoyant deux sièges pour chacune des catégories suivantes</w:t>
            </w:r>
            <w:r w:rsidR="006E54C7">
              <w:rPr>
                <w:color w:val="000000"/>
              </w:rPr>
              <w:t> :</w:t>
            </w:r>
            <w:r>
              <w:rPr>
                <w:color w:val="000000"/>
              </w:rPr>
              <w:t xml:space="preserve"> le secteur privé</w:t>
            </w:r>
            <w:r w:rsidR="00111EA5">
              <w:rPr>
                <w:color w:val="000000"/>
              </w:rPr>
              <w:t> </w:t>
            </w:r>
            <w:r>
              <w:rPr>
                <w:color w:val="000000"/>
              </w:rPr>
              <w:t>; les organisations philanthropiques et les organisations de conservation</w:t>
            </w:r>
            <w:r w:rsidR="00111EA5">
              <w:rPr>
                <w:color w:val="000000"/>
              </w:rPr>
              <w:t> </w:t>
            </w:r>
            <w:r>
              <w:rPr>
                <w:color w:val="000000"/>
              </w:rPr>
              <w:t>; les peuples autochtones et communautés locales</w:t>
            </w:r>
            <w:r w:rsidR="00111EA5">
              <w:rPr>
                <w:color w:val="000000"/>
              </w:rPr>
              <w:t> </w:t>
            </w:r>
            <w:r>
              <w:rPr>
                <w:color w:val="000000"/>
              </w:rPr>
              <w:t>; les femmes</w:t>
            </w:r>
            <w:r w:rsidR="00111EA5">
              <w:rPr>
                <w:color w:val="000000"/>
              </w:rPr>
              <w:t> </w:t>
            </w:r>
            <w:r>
              <w:rPr>
                <w:color w:val="000000"/>
              </w:rPr>
              <w:t>; et les jeunes.</w:t>
            </w:r>
          </w:p>
        </w:tc>
      </w:tr>
      <w:tr w:rsidR="00C004A0" w:rsidRPr="00C67737" w14:paraId="6A1553C2" w14:textId="77777777" w:rsidTr="00A769A6">
        <w:tc>
          <w:tcPr>
            <w:tcW w:w="2500" w:type="pct"/>
          </w:tcPr>
          <w:p w14:paraId="44375584" w14:textId="33459D4F"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lastRenderedPageBreak/>
              <w:t>35.</w:t>
            </w:r>
            <w:r>
              <w:rPr>
                <w:i/>
                <w:color w:val="000000"/>
              </w:rPr>
              <w:tab/>
            </w:r>
            <w:r>
              <w:rPr>
                <w:i/>
                <w:iCs/>
                <w:color w:val="000000"/>
              </w:rPr>
              <w:t>Demande également</w:t>
            </w:r>
            <w:r>
              <w:rPr>
                <w:color w:val="000000"/>
              </w:rPr>
              <w:t xml:space="preserve"> au Fonds pour l’environnement mondial</w:t>
            </w:r>
            <w:r w:rsidR="006E54C7">
              <w:rPr>
                <w:color w:val="000000"/>
              </w:rPr>
              <w:t> :</w:t>
            </w:r>
          </w:p>
          <w:p w14:paraId="19D877C8" w14:textId="0B8C33AF"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t>a) D’envisager de lier les résultats de la mise en œuvre dans le Cadre de mesure des résultats de la neuvième reconstitution des ressources de s</w:t>
            </w:r>
            <w:r w:rsidR="00CD3559">
              <w:rPr>
                <w:color w:val="000000"/>
              </w:rPr>
              <w:t>on</w:t>
            </w:r>
            <w:r>
              <w:rPr>
                <w:color w:val="000000"/>
              </w:rPr>
              <w:t xml:space="preserve"> </w:t>
            </w:r>
            <w:r w:rsidR="00CD3559">
              <w:rPr>
                <w:color w:val="000000"/>
              </w:rPr>
              <w:t>Fonds fiduciaire</w:t>
            </w:r>
            <w:r>
              <w:rPr>
                <w:color w:val="000000"/>
              </w:rPr>
              <w:t>, les examens annuels de résultats et les évaluations stratégiques par groupe de pays aux objectifs des accords multilatéraux relatifs à l’environnement, tels que ceux de la Convention</w:t>
            </w:r>
            <w:r w:rsidR="00111EA5">
              <w:rPr>
                <w:color w:val="000000"/>
              </w:rPr>
              <w:t> </w:t>
            </w:r>
            <w:r>
              <w:rPr>
                <w:color w:val="000000"/>
              </w:rPr>
              <w:t>;</w:t>
            </w:r>
          </w:p>
        </w:tc>
        <w:tc>
          <w:tcPr>
            <w:tcW w:w="2500" w:type="pct"/>
          </w:tcPr>
          <w:p w14:paraId="3F4B8785" w14:textId="28DFCFE3" w:rsidR="007D4732" w:rsidRPr="00C67737" w:rsidRDefault="007D4732" w:rsidP="00495437">
            <w:pPr>
              <w:snapToGrid/>
              <w:spacing w:before="100" w:after="100"/>
              <w:rPr>
                <w:rFonts w:eastAsia="SimSun" w:cstheme="minorHAnsi"/>
                <w:color w:val="000000"/>
              </w:rPr>
            </w:pPr>
            <w:r>
              <w:rPr>
                <w:color w:val="000000"/>
              </w:rPr>
              <w:t xml:space="preserve">Le Cadre de gestion des résultats de </w:t>
            </w:r>
            <w:r w:rsidR="00376C22">
              <w:rPr>
                <w:color w:val="000000"/>
              </w:rPr>
              <w:t>GEF</w:t>
            </w:r>
            <w:r w:rsidR="00376C22">
              <w:rPr>
                <w:color w:val="000000"/>
              </w:rPr>
              <w:noBreakHyphen/>
            </w:r>
            <w:r>
              <w:rPr>
                <w:color w:val="000000"/>
              </w:rPr>
              <w:t>9, élaboré au cours des négociations relatives à la reconstitution des ressources, comprend des indicateurs permettant de rendre compte des contributions aux trois objectifs de</w:t>
            </w:r>
            <w:r w:rsidR="00DB02FE">
              <w:rPr>
                <w:color w:val="000000"/>
              </w:rPr>
              <w:t>s conve</w:t>
            </w:r>
            <w:r w:rsidR="00D3187A">
              <w:rPr>
                <w:color w:val="000000"/>
              </w:rPr>
              <w:t>ntions</w:t>
            </w:r>
            <w:r>
              <w:rPr>
                <w:color w:val="000000"/>
              </w:rPr>
              <w:t xml:space="preserve">. Tous les indicateurs consacrés aux résultats en matière de diversité biologique ont été réexaminés afin de mieux les </w:t>
            </w:r>
            <w:r w:rsidR="00D3187A">
              <w:rPr>
                <w:color w:val="000000"/>
              </w:rPr>
              <w:t>harmoniser</w:t>
            </w:r>
            <w:r w:rsidR="00703941">
              <w:rPr>
                <w:color w:val="000000"/>
              </w:rPr>
              <w:t xml:space="preserve"> avec</w:t>
            </w:r>
            <w:r>
              <w:rPr>
                <w:color w:val="000000"/>
              </w:rPr>
              <w:t xml:space="preserve"> le cadre de suivi du KMGBF. En matière de conservation, le Cadre de résultats est davantage aligné sur la cible</w:t>
            </w:r>
            <w:r w:rsidR="00111EA5">
              <w:rPr>
                <w:color w:val="000000"/>
              </w:rPr>
              <w:t> </w:t>
            </w:r>
            <w:r>
              <w:rPr>
                <w:color w:val="000000"/>
              </w:rPr>
              <w:t xml:space="preserve">3 que </w:t>
            </w:r>
            <w:r w:rsidR="00703941">
              <w:rPr>
                <w:color w:val="000000"/>
              </w:rPr>
              <w:t>celui de</w:t>
            </w:r>
            <w:r>
              <w:rPr>
                <w:color w:val="000000"/>
              </w:rPr>
              <w:t xml:space="preserve"> </w:t>
            </w:r>
            <w:r w:rsidR="00376C22">
              <w:rPr>
                <w:color w:val="000000"/>
              </w:rPr>
              <w:t>GEF</w:t>
            </w:r>
            <w:r w:rsidR="00376C22">
              <w:rPr>
                <w:color w:val="000000"/>
              </w:rPr>
              <w:noBreakHyphen/>
            </w:r>
            <w:r>
              <w:rPr>
                <w:color w:val="000000"/>
              </w:rPr>
              <w:t>8. Il comprend un indicateur couvrant l’ensemble des aires de conservation, y compris les aires protégées et les autres mesures de conservation efficaces par zone</w:t>
            </w:r>
            <w:r w:rsidR="00703941">
              <w:rPr>
                <w:color w:val="000000"/>
              </w:rPr>
              <w:t xml:space="preserve"> (AMCEZ)</w:t>
            </w:r>
            <w:r>
              <w:rPr>
                <w:color w:val="000000"/>
              </w:rPr>
              <w:t xml:space="preserve">. L’efficacité de la gestion des </w:t>
            </w:r>
            <w:r w:rsidR="009C7865">
              <w:rPr>
                <w:color w:val="000000"/>
              </w:rPr>
              <w:t>AMCEZ</w:t>
            </w:r>
            <w:r>
              <w:rPr>
                <w:color w:val="000000"/>
              </w:rPr>
              <w:t xml:space="preserve"> sera suivie et améliorée à l’aide d’un nouvel outil de mesure </w:t>
            </w:r>
            <w:r>
              <w:rPr>
                <w:color w:val="000000"/>
              </w:rPr>
              <w:lastRenderedPageBreak/>
              <w:t>adapté de l’Outil de suivi de l’efficacité de la gestion utilisé pour les aires protégées. Un sous-indicateur distinct, axé sur l’amélioration de la gestion des forêts primaires, a</w:t>
            </w:r>
            <w:r w:rsidR="00342093">
              <w:rPr>
                <w:color w:val="000000"/>
              </w:rPr>
              <w:t xml:space="preserve"> également</w:t>
            </w:r>
            <w:r>
              <w:rPr>
                <w:color w:val="000000"/>
              </w:rPr>
              <w:t xml:space="preserve"> été introduit. Le sous-indicateur relatif aux pertes forestières évitées a également été élargi </w:t>
            </w:r>
            <w:r w:rsidR="00301D50">
              <w:rPr>
                <w:color w:val="000000"/>
              </w:rPr>
              <w:t>afin de couvrir</w:t>
            </w:r>
            <w:r>
              <w:rPr>
                <w:color w:val="000000"/>
              </w:rPr>
              <w:t xml:space="preserve"> l’ensemble des écosystèmes naturels, conformément à l’objectif</w:t>
            </w:r>
            <w:r w:rsidR="00AD4988">
              <w:rPr>
                <w:color w:val="000000"/>
              </w:rPr>
              <w:t> </w:t>
            </w:r>
            <w:r>
              <w:rPr>
                <w:color w:val="000000"/>
              </w:rPr>
              <w:t>A et à la cible</w:t>
            </w:r>
            <w:r w:rsidR="00111EA5">
              <w:rPr>
                <w:color w:val="000000"/>
              </w:rPr>
              <w:t> </w:t>
            </w:r>
            <w:r>
              <w:rPr>
                <w:color w:val="000000"/>
              </w:rPr>
              <w:t>1 du KMGBF</w:t>
            </w:r>
            <w:r w:rsidR="00BE2281">
              <w:rPr>
                <w:color w:val="000000"/>
              </w:rPr>
              <w:t xml:space="preserve">. </w:t>
            </w:r>
            <w:r w:rsidR="00BE2281" w:rsidRPr="00BE2281">
              <w:rPr>
                <w:color w:val="000000"/>
              </w:rPr>
              <w:t>S’agissant de l’utilisation durable, le Cadre de résultats de GEF-9 conserve un ensemble d’indicateurs permettant de suivre l’intégration de la diversité biologique dans les secteurs prioritaires. Enfin, le nouvel indicateur relatif aux avantages socioéconomiques annexes, qui permettra de suivre l’évolution des politiques, servira à mesurer les progrès accomplis en vue d’assurer un partage juste et équitable des avantages découlant de l’utilisation de ressources génétiques nouvelles ou renforcées.</w:t>
            </w:r>
          </w:p>
          <w:p w14:paraId="0D88D9A9" w14:textId="551EFA8D" w:rsidR="00C004A0" w:rsidRPr="00C67737" w:rsidRDefault="00A80318" w:rsidP="00495437">
            <w:pPr>
              <w:snapToGrid/>
              <w:spacing w:before="100" w:after="100"/>
              <w:rPr>
                <w:rFonts w:eastAsia="SimSun" w:cstheme="minorHAnsi"/>
                <w:color w:val="000000"/>
              </w:rPr>
            </w:pPr>
            <w:r>
              <w:t xml:space="preserve">En décembre 2025, le Conseil du GBFF a adopté le cadre de résultats du Fonds du Cadre mondial de la </w:t>
            </w:r>
            <w:proofErr w:type="spellStart"/>
            <w:r>
              <w:t>biodoversité</w:t>
            </w:r>
            <w:proofErr w:type="spellEnd"/>
            <w:r>
              <w:t xml:space="preserve"> (</w:t>
            </w:r>
            <w:proofErr w:type="spellStart"/>
            <w:r w:rsidRPr="00C778FE">
              <w:rPr>
                <w:i/>
                <w:iCs/>
              </w:rPr>
              <w:t>Results</w:t>
            </w:r>
            <w:proofErr w:type="spellEnd"/>
            <w:r w:rsidRPr="00C778FE">
              <w:rPr>
                <w:i/>
                <w:iCs/>
              </w:rPr>
              <w:t xml:space="preserve"> Framework of the Global </w:t>
            </w:r>
            <w:proofErr w:type="spellStart"/>
            <w:r w:rsidRPr="00C778FE">
              <w:rPr>
                <w:i/>
                <w:iCs/>
              </w:rPr>
              <w:t>Biodiversity</w:t>
            </w:r>
            <w:proofErr w:type="spellEnd"/>
            <w:r w:rsidRPr="00C778FE">
              <w:rPr>
                <w:i/>
                <w:iCs/>
              </w:rPr>
              <w:t xml:space="preserve"> Framework </w:t>
            </w:r>
            <w:proofErr w:type="spellStart"/>
            <w:r w:rsidRPr="00C778FE">
              <w:rPr>
                <w:i/>
                <w:iCs/>
              </w:rPr>
              <w:t>Fund</w:t>
            </w:r>
            <w:proofErr w:type="spellEnd"/>
            <w:r w:rsidR="006F09C5" w:rsidRPr="00C67737">
              <w:rPr>
                <w:rStyle w:val="FootnoteReference"/>
                <w:rFonts w:eastAsia="SimSun" w:cstheme="minorHAnsi"/>
                <w:color w:val="000000"/>
              </w:rPr>
              <w:footnoteReference w:id="75"/>
            </w:r>
            <w:r>
              <w:t xml:space="preserve">), dont les modalités </w:t>
            </w:r>
            <w:r w:rsidR="00DC0B20">
              <w:t xml:space="preserve">d’application </w:t>
            </w:r>
            <w:r>
              <w:t>sont précisées dans des lignes directrices spécifiques</w:t>
            </w:r>
            <w:r w:rsidR="00CC493F" w:rsidRPr="00C67737">
              <w:rPr>
                <w:rStyle w:val="FootnoteReference"/>
                <w:rFonts w:eastAsia="SimSun" w:cstheme="minorHAnsi"/>
                <w:color w:val="000000"/>
              </w:rPr>
              <w:footnoteReference w:id="76"/>
            </w:r>
            <w:r>
              <w:t>.</w:t>
            </w:r>
            <w:r>
              <w:rPr>
                <w:color w:val="000000"/>
              </w:rPr>
              <w:t xml:space="preserve"> </w:t>
            </w:r>
            <w:r w:rsidR="00DC0B20">
              <w:rPr>
                <w:color w:val="000000"/>
              </w:rPr>
              <w:t>Ce cadre</w:t>
            </w:r>
            <w:r>
              <w:rPr>
                <w:color w:val="000000"/>
              </w:rPr>
              <w:t xml:space="preserve"> permet de mieux </w:t>
            </w:r>
            <w:r w:rsidR="00DC0B20">
              <w:rPr>
                <w:color w:val="000000"/>
              </w:rPr>
              <w:t>harmoniser</w:t>
            </w:r>
            <w:r>
              <w:rPr>
                <w:color w:val="000000"/>
              </w:rPr>
              <w:t xml:space="preserve"> les indicateurs de résultats du </w:t>
            </w:r>
            <w:r w:rsidR="00AA5849">
              <w:rPr>
                <w:color w:val="000000"/>
              </w:rPr>
              <w:t xml:space="preserve">portefeuille du </w:t>
            </w:r>
            <w:r>
              <w:rPr>
                <w:color w:val="000000"/>
              </w:rPr>
              <w:t xml:space="preserve">GBFF </w:t>
            </w:r>
            <w:r w:rsidR="00AA5849">
              <w:rPr>
                <w:color w:val="000000"/>
              </w:rPr>
              <w:t>avec</w:t>
            </w:r>
            <w:r>
              <w:rPr>
                <w:color w:val="000000"/>
              </w:rPr>
              <w:t xml:space="preserve"> le cadre de suivi du KMGBF, adopté par la seizième réunion de la Conférence des Parties à la Convention sur la diversité biologique en février 2025. </w:t>
            </w:r>
            <w:r w:rsidR="00AA57A6">
              <w:rPr>
                <w:color w:val="000000"/>
              </w:rPr>
              <w:t>Il renforce ainsi</w:t>
            </w:r>
            <w:r>
              <w:rPr>
                <w:color w:val="000000"/>
              </w:rPr>
              <w:t xml:space="preserve"> la capacité de suivre la contribution du Fonds à la mise en œuvre du KMGBF et d’en rendre compte. </w:t>
            </w:r>
          </w:p>
          <w:p w14:paraId="6273A808" w14:textId="10CFA1E5" w:rsidR="00CC1EE9" w:rsidRPr="00C67737" w:rsidRDefault="00CC1EE9" w:rsidP="00495437">
            <w:pPr>
              <w:rPr>
                <w:rFonts w:cstheme="minorHAnsi"/>
              </w:rPr>
            </w:pPr>
            <w:r>
              <w:rPr>
                <w:color w:val="000000"/>
              </w:rPr>
              <w:t xml:space="preserve">L’évaluation de la cohérence des projets du GEF avec les objectifs des accords multilatéraux sur l’environnement, y compris ceux de la </w:t>
            </w:r>
            <w:r w:rsidR="008121B1">
              <w:rPr>
                <w:color w:val="000000"/>
              </w:rPr>
              <w:t>CDB, constitue</w:t>
            </w:r>
            <w:r>
              <w:rPr>
                <w:color w:val="000000"/>
              </w:rPr>
              <w:t xml:space="preserve"> un élément permanent des évaluations menées par le Bureau indépendant d’évaluation du GEF. </w:t>
            </w:r>
            <w:r w:rsidR="00EC67A6">
              <w:rPr>
                <w:color w:val="000000"/>
              </w:rPr>
              <w:t>Cette</w:t>
            </w:r>
            <w:r>
              <w:rPr>
                <w:color w:val="000000"/>
              </w:rPr>
              <w:t xml:space="preserve"> pertinence est appréciée tant au niveau institutionnel qu’au niveau des projets. Les Rapports annuels sur la performance du Bureau indépendant d’évaluation, dont le plus récent </w:t>
            </w:r>
            <w:r w:rsidR="00507207">
              <w:rPr>
                <w:color w:val="000000"/>
              </w:rPr>
              <w:t xml:space="preserve">a été </w:t>
            </w:r>
            <w:r w:rsidR="00507207">
              <w:rPr>
                <w:color w:val="000000"/>
              </w:rPr>
              <w:lastRenderedPageBreak/>
              <w:t>publié en</w:t>
            </w:r>
            <w:r>
              <w:rPr>
                <w:color w:val="000000"/>
              </w:rPr>
              <w:t xml:space="preserve"> avril 2025, examinent les </w:t>
            </w:r>
            <w:r w:rsidRPr="00CF7800">
              <w:rPr>
                <w:color w:val="000000"/>
              </w:rPr>
              <w:t>résultats d</w:t>
            </w:r>
            <w:r w:rsidR="00051802" w:rsidRPr="00CF7800">
              <w:rPr>
                <w:color w:val="000000"/>
              </w:rPr>
              <w:t>e</w:t>
            </w:r>
            <w:r w:rsidR="00432657">
              <w:rPr>
                <w:color w:val="000000"/>
              </w:rPr>
              <w:t>s</w:t>
            </w:r>
            <w:r w:rsidR="00051802" w:rsidRPr="00CF7800">
              <w:rPr>
                <w:color w:val="000000"/>
              </w:rPr>
              <w:t xml:space="preserve"> projets achevés du porte</w:t>
            </w:r>
            <w:r w:rsidR="006B60F0" w:rsidRPr="00CF7800">
              <w:rPr>
                <w:color w:val="000000"/>
              </w:rPr>
              <w:t xml:space="preserve">feuille </w:t>
            </w:r>
            <w:r w:rsidRPr="00CF7800">
              <w:rPr>
                <w:color w:val="000000"/>
              </w:rPr>
              <w:t>du GE</w:t>
            </w:r>
            <w:r>
              <w:rPr>
                <w:color w:val="000000"/>
              </w:rPr>
              <w:t xml:space="preserve">F, les facteurs qui les influencent ainsi que la qualité des systèmes de suivi et d’évaluation. </w:t>
            </w:r>
            <w:r>
              <w:t xml:space="preserve">Le Cadre de mesure des résultats de </w:t>
            </w:r>
            <w:r w:rsidR="00376C22">
              <w:t>GEF</w:t>
            </w:r>
            <w:r w:rsidR="00376C22">
              <w:noBreakHyphen/>
            </w:r>
            <w:r>
              <w:t xml:space="preserve">8 n’établit pas actuellement de lien direct entre les indicateurs de résultats du GEF et les objectifs des accords multilatéraux sur l’environnement. Lorsque </w:t>
            </w:r>
            <w:r w:rsidR="00397951">
              <w:t>ces liens auront été</w:t>
            </w:r>
            <w:r>
              <w:t xml:space="preserve"> intégrés au Cadre de résultats, ils seront pris en compte dans les rapports du Bureau indépendant d’évaluation, notamment dans les Rapports annuels sur la performance et les autres évaluations.</w:t>
            </w:r>
          </w:p>
          <w:p w14:paraId="33694F56" w14:textId="2254AEA0" w:rsidR="00CC1EE9" w:rsidRPr="00C67737" w:rsidRDefault="00CC1EE9" w:rsidP="00495437">
            <w:pPr>
              <w:rPr>
                <w:rFonts w:eastAsia="SimSun" w:cstheme="minorHAnsi"/>
                <w:color w:val="000000"/>
              </w:rPr>
            </w:pPr>
            <w:bookmarkStart w:id="118" w:name="OLE_LINK6"/>
            <w:r>
              <w:t xml:space="preserve">Depuis la seizième réunion de la Conférence des Parties à la Convention sur la diversité biologique, le Bureau indépendant d’évaluation a lancé deux évaluations qui appliquent l’approche définie par la Conférence des Parties. L’évaluation récemment achevée du Programme de villes durables du GEF examine la manière dont ce programme </w:t>
            </w:r>
            <w:r w:rsidR="00D8107A">
              <w:t>tient</w:t>
            </w:r>
            <w:r>
              <w:t xml:space="preserve"> compte </w:t>
            </w:r>
            <w:r w:rsidR="00D8107A">
              <w:t>d</w:t>
            </w:r>
            <w:r>
              <w:t xml:space="preserve">es décisions de la Conférence des Parties à la </w:t>
            </w:r>
            <w:r w:rsidR="00B05352">
              <w:t>CDB</w:t>
            </w:r>
            <w:r>
              <w:t xml:space="preserve"> et contribue aux Objectifs d’Aichi pour la biodiversité ainsi qu’à la cible</w:t>
            </w:r>
            <w:r w:rsidR="00111EA5">
              <w:t> </w:t>
            </w:r>
            <w:r>
              <w:t xml:space="preserve">12 du KMGBF. Cette cible vise à accroître, dans les zones urbaines et densément peuplées, la superficie, la qualité, la connectivité et l’accessibilité des espaces verts et bleus, ainsi que les avantages qu’ils procurent. L’évaluation en cours </w:t>
            </w:r>
            <w:r w:rsidRPr="00805863">
              <w:t>du Programme de paysages durables de l’Amazonie</w:t>
            </w:r>
            <w:r>
              <w:t xml:space="preserve"> examine de même la cohérence du programme avec les accords multilatéraux sur l’environnement, y compris avec les objectifs de la </w:t>
            </w:r>
            <w:r w:rsidR="00A1373D">
              <w:t>CDB</w:t>
            </w:r>
            <w:r>
              <w:t>.</w:t>
            </w:r>
            <w:bookmarkEnd w:id="118"/>
            <w:r>
              <w:t xml:space="preserve"> Le Bureau indépendant d’évaluation continuera d’appliquer cette approche dans ses futures évaluations stratégiques par groupe de pays et évaluations au niveau des programmes, lorsque leur champ d’application le permettra, afin d’appuyer la contribution du GEF à la réalisation des objectifs de la </w:t>
            </w:r>
            <w:r w:rsidR="00156071">
              <w:t>CDB</w:t>
            </w:r>
            <w:r>
              <w:t xml:space="preserve"> et d’autres accords multilatéraux sur l’environnement.</w:t>
            </w:r>
          </w:p>
        </w:tc>
      </w:tr>
      <w:tr w:rsidR="00C004A0" w:rsidRPr="00C67737" w14:paraId="26C9675E" w14:textId="77777777" w:rsidTr="00A769A6">
        <w:tc>
          <w:tcPr>
            <w:tcW w:w="2500" w:type="pct"/>
          </w:tcPr>
          <w:p w14:paraId="4F3B182F" w14:textId="25DEA158"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lastRenderedPageBreak/>
              <w:t xml:space="preserve">b) De renforcer son action en vue de satisfaire à toutes les exigences actuelles en matière d’établissement de rapports et, à cet égard, d’inclure des informations sur les projets relatifs à la diversité biologique qu’il finance en dehors de la Convention et sur sa réponse aux évaluations des besoins réalisées par la Conférence des Parties dans </w:t>
            </w:r>
            <w:r>
              <w:rPr>
                <w:color w:val="000000"/>
              </w:rPr>
              <w:lastRenderedPageBreak/>
              <w:t>le cadre du mémorandum d’accord entre la Conférence des Parties et le Conseil du Fonds pour l’environnement mondial, afin de permettre à la Conférence des Parties d’améliorer ses orientations</w:t>
            </w:r>
            <w:r w:rsidR="00111EA5">
              <w:rPr>
                <w:color w:val="000000"/>
              </w:rPr>
              <w:t> </w:t>
            </w:r>
            <w:r>
              <w:rPr>
                <w:color w:val="000000"/>
              </w:rPr>
              <w:t>;</w:t>
            </w:r>
          </w:p>
        </w:tc>
        <w:tc>
          <w:tcPr>
            <w:tcW w:w="2500" w:type="pct"/>
          </w:tcPr>
          <w:p w14:paraId="40F01163" w14:textId="45568290" w:rsidR="00C004A0" w:rsidRPr="00C67737" w:rsidRDefault="007415CA" w:rsidP="00495437">
            <w:pPr>
              <w:snapToGrid/>
              <w:spacing w:before="100" w:after="100"/>
              <w:rPr>
                <w:rFonts w:eastAsia="SimSun" w:cstheme="minorHAnsi"/>
                <w:color w:val="000000"/>
              </w:rPr>
            </w:pPr>
            <w:r>
              <w:rPr>
                <w:color w:val="000000"/>
              </w:rPr>
              <w:lastRenderedPageBreak/>
              <w:t>Ce rapport fournit des informations détaillées sur les projets financés en dehors du domaine d’intervention «</w:t>
            </w:r>
            <w:r w:rsidR="00111EA5">
              <w:rPr>
                <w:color w:val="000000"/>
              </w:rPr>
              <w:t> </w:t>
            </w:r>
            <w:r>
              <w:rPr>
                <w:color w:val="000000"/>
              </w:rPr>
              <w:t>diversité biologique</w:t>
            </w:r>
            <w:r w:rsidR="00111EA5">
              <w:rPr>
                <w:color w:val="000000"/>
              </w:rPr>
              <w:t> </w:t>
            </w:r>
            <w:r>
              <w:rPr>
                <w:color w:val="000000"/>
              </w:rPr>
              <w:t>» qui contribuent à la mise en œuvre du KMGBF. Voir l</w:t>
            </w:r>
            <w:r w:rsidR="00947AB9">
              <w:rPr>
                <w:color w:val="000000"/>
              </w:rPr>
              <w:t>es</w:t>
            </w:r>
            <w:r>
              <w:rPr>
                <w:color w:val="000000"/>
              </w:rPr>
              <w:t xml:space="preserve"> section</w:t>
            </w:r>
            <w:r w:rsidR="00947AB9">
              <w:rPr>
                <w:color w:val="000000"/>
              </w:rPr>
              <w:t>s</w:t>
            </w:r>
            <w:r w:rsidR="00111EA5">
              <w:rPr>
                <w:color w:val="000000"/>
              </w:rPr>
              <w:t> </w:t>
            </w:r>
            <w:r>
              <w:rPr>
                <w:color w:val="000000"/>
              </w:rPr>
              <w:t>I.3 et III.</w:t>
            </w:r>
          </w:p>
          <w:p w14:paraId="291BB3B1" w14:textId="2E58BFC9" w:rsidR="008F0116" w:rsidRPr="00C67737" w:rsidRDefault="00FF5ADB" w:rsidP="00495437">
            <w:pPr>
              <w:snapToGrid/>
              <w:spacing w:before="100" w:after="100"/>
              <w:rPr>
                <w:rFonts w:eastAsia="SimSun" w:cstheme="minorHAnsi"/>
                <w:color w:val="000000"/>
              </w:rPr>
            </w:pPr>
            <w:r>
              <w:rPr>
                <w:color w:val="000000"/>
              </w:rPr>
              <w:t xml:space="preserve">Lancé par le Conseil du GEF en décembre 2024, le processus de reconstitution des ressources de </w:t>
            </w:r>
            <w:r w:rsidR="00376C22">
              <w:rPr>
                <w:color w:val="000000"/>
              </w:rPr>
              <w:lastRenderedPageBreak/>
              <w:t>GEF</w:t>
            </w:r>
            <w:r w:rsidR="00376C22">
              <w:rPr>
                <w:color w:val="000000"/>
              </w:rPr>
              <w:noBreakHyphen/>
            </w:r>
            <w:r>
              <w:rPr>
                <w:color w:val="000000"/>
              </w:rPr>
              <w:t xml:space="preserve">9 s’est achevé </w:t>
            </w:r>
            <w:r w:rsidR="00D40CD0">
              <w:rPr>
                <w:color w:val="000000"/>
              </w:rPr>
              <w:t>par l’approbation</w:t>
            </w:r>
            <w:r w:rsidR="008E3E30">
              <w:rPr>
                <w:color w:val="000000"/>
              </w:rPr>
              <w:t>, par</w:t>
            </w:r>
            <w:r>
              <w:rPr>
                <w:color w:val="000000"/>
              </w:rPr>
              <w:t xml:space="preserve"> le Conseil du GEF</w:t>
            </w:r>
            <w:r w:rsidR="008E3E30">
              <w:rPr>
                <w:color w:val="000000"/>
              </w:rPr>
              <w:t>, de</w:t>
            </w:r>
            <w:r>
              <w:rPr>
                <w:color w:val="000000"/>
              </w:rPr>
              <w:t xml:space="preserve"> l’ensemble de </w:t>
            </w:r>
            <w:r w:rsidR="008E3E30">
              <w:rPr>
                <w:color w:val="000000"/>
              </w:rPr>
              <w:t xml:space="preserve">documents </w:t>
            </w:r>
            <w:r>
              <w:rPr>
                <w:color w:val="000000"/>
              </w:rPr>
              <w:t xml:space="preserve">relatifs à la reconstitution à sa réunion de juin 2026. Le secrétariat de la Convention sur la diversité biologique a participé au processus en qualité d’observateur et a communiqué les résultats de l’évaluation des besoins aux participants à la reconstitution. L’ensemble de mesures </w:t>
            </w:r>
            <w:r w:rsidR="00476BE3">
              <w:rPr>
                <w:color w:val="000000"/>
              </w:rPr>
              <w:t>approuvé au titre de GEF-9</w:t>
            </w:r>
            <w:r w:rsidR="00212C5B">
              <w:rPr>
                <w:color w:val="000000"/>
              </w:rPr>
              <w:t xml:space="preserve"> </w:t>
            </w:r>
            <w:r>
              <w:rPr>
                <w:color w:val="000000"/>
              </w:rPr>
              <w:t xml:space="preserve">constitue la réponse du GEF à cette évaluation des besoins. </w:t>
            </w:r>
          </w:p>
        </w:tc>
      </w:tr>
      <w:tr w:rsidR="00C004A0" w:rsidRPr="00C67737" w14:paraId="3E84051E" w14:textId="77777777" w:rsidTr="00A769A6">
        <w:tc>
          <w:tcPr>
            <w:tcW w:w="2500" w:type="pct"/>
          </w:tcPr>
          <w:p w14:paraId="178F415D" w14:textId="22F89B0E"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lastRenderedPageBreak/>
              <w:t>c) De veiller à ce que les rapports présentés à la Conférence des Parties contiennent des données relatives aux peuples autochtones et communautés locales, en particulier des données ventilées, lorsqu’elles sont disponibles</w:t>
            </w:r>
            <w:r w:rsidR="00111EA5">
              <w:rPr>
                <w:color w:val="000000"/>
              </w:rPr>
              <w:t> </w:t>
            </w:r>
            <w:r>
              <w:rPr>
                <w:color w:val="000000"/>
              </w:rPr>
              <w:t>;</w:t>
            </w:r>
          </w:p>
          <w:p w14:paraId="6DCB59CF"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p>
        </w:tc>
        <w:tc>
          <w:tcPr>
            <w:tcW w:w="2500" w:type="pct"/>
          </w:tcPr>
          <w:p w14:paraId="3486E160" w14:textId="0CCB0682" w:rsidR="003871A1" w:rsidRPr="00C67737" w:rsidRDefault="003871A1" w:rsidP="00495437">
            <w:pPr>
              <w:snapToGrid/>
              <w:spacing w:before="100" w:after="100"/>
              <w:rPr>
                <w:rFonts w:eastAsia="SimSun" w:cstheme="minorHAnsi"/>
                <w:color w:val="000000"/>
              </w:rPr>
            </w:pPr>
            <w:r>
              <w:rPr>
                <w:color w:val="000000"/>
              </w:rPr>
              <w:t>Ce rapport comprend une section consacrée à l’appui apporté aux peuples autochtones et communautés locales. Voir la section</w:t>
            </w:r>
            <w:r w:rsidR="00111EA5">
              <w:rPr>
                <w:color w:val="000000"/>
              </w:rPr>
              <w:t> </w:t>
            </w:r>
            <w:r>
              <w:rPr>
                <w:color w:val="000000"/>
              </w:rPr>
              <w:t>I.4.</w:t>
            </w:r>
          </w:p>
          <w:p w14:paraId="3DA38545" w14:textId="74FC1CC3" w:rsidR="00C004A0" w:rsidRPr="00C67737" w:rsidRDefault="00C004A0" w:rsidP="00495437">
            <w:pPr>
              <w:snapToGrid/>
              <w:spacing w:before="100" w:after="100"/>
              <w:rPr>
                <w:rFonts w:eastAsia="SimSun" w:cstheme="minorHAnsi"/>
                <w:color w:val="000000"/>
              </w:rPr>
            </w:pPr>
            <w:r>
              <w:rPr>
                <w:color w:val="000000"/>
              </w:rPr>
              <w:t xml:space="preserve">Le Cadre de résultats renforcé du GBFF, adopté par </w:t>
            </w:r>
            <w:r w:rsidR="00C30EF8">
              <w:rPr>
                <w:color w:val="000000"/>
              </w:rPr>
              <w:t>le</w:t>
            </w:r>
            <w:r>
              <w:rPr>
                <w:color w:val="000000"/>
              </w:rPr>
              <w:t xml:space="preserve"> Conseil </w:t>
            </w:r>
            <w:r w:rsidR="00C30EF8">
              <w:rPr>
                <w:color w:val="000000"/>
              </w:rPr>
              <w:t xml:space="preserve">du GBFF </w:t>
            </w:r>
            <w:r>
              <w:rPr>
                <w:color w:val="000000"/>
              </w:rPr>
              <w:t xml:space="preserve">en décembre 2025, </w:t>
            </w:r>
            <w:r w:rsidR="00436A0F">
              <w:rPr>
                <w:color w:val="000000"/>
              </w:rPr>
              <w:t>et le</w:t>
            </w:r>
            <w:r>
              <w:rPr>
                <w:color w:val="000000"/>
              </w:rPr>
              <w:t xml:space="preserve"> Cadre de gestion des résultats de </w:t>
            </w:r>
            <w:r w:rsidR="00376C22">
              <w:rPr>
                <w:color w:val="000000"/>
              </w:rPr>
              <w:t>GEF</w:t>
            </w:r>
            <w:r w:rsidR="00376C22">
              <w:rPr>
                <w:color w:val="000000"/>
              </w:rPr>
              <w:noBreakHyphen/>
            </w:r>
            <w:r>
              <w:rPr>
                <w:color w:val="000000"/>
              </w:rPr>
              <w:t>9</w:t>
            </w:r>
            <w:r w:rsidR="00436A0F">
              <w:rPr>
                <w:color w:val="000000"/>
              </w:rPr>
              <w:t xml:space="preserve"> comprennent</w:t>
            </w:r>
            <w:r>
              <w:rPr>
                <w:color w:val="000000"/>
              </w:rPr>
              <w:t xml:space="preserve"> de nouveaux indicateurs relatifs aux peuples autochtones et communautés locales, notamment des données ventilées</w:t>
            </w:r>
            <w:r w:rsidR="00EF627E">
              <w:rPr>
                <w:color w:val="000000"/>
              </w:rPr>
              <w:t>. Ces indicateurs</w:t>
            </w:r>
            <w:r>
              <w:rPr>
                <w:color w:val="000000"/>
              </w:rPr>
              <w:t xml:space="preserve"> permettront de satisfaire aux exigences en matière d’établissement de rapports </w:t>
            </w:r>
            <w:r w:rsidR="00EF627E">
              <w:rPr>
                <w:color w:val="000000"/>
              </w:rPr>
              <w:t>durant</w:t>
            </w:r>
            <w:r>
              <w:rPr>
                <w:color w:val="000000"/>
              </w:rPr>
              <w:t xml:space="preserve"> </w:t>
            </w:r>
            <w:r w:rsidR="00376C22">
              <w:rPr>
                <w:color w:val="000000"/>
              </w:rPr>
              <w:t>GEF</w:t>
            </w:r>
            <w:r w:rsidR="00376C22">
              <w:rPr>
                <w:color w:val="000000"/>
              </w:rPr>
              <w:noBreakHyphen/>
            </w:r>
            <w:r>
              <w:rPr>
                <w:color w:val="000000"/>
              </w:rPr>
              <w:t xml:space="preserve">9. </w:t>
            </w:r>
          </w:p>
          <w:p w14:paraId="453C89EC" w14:textId="6FDF1930" w:rsidR="00C004A0" w:rsidRPr="00C67737" w:rsidRDefault="00947BF9" w:rsidP="00495437">
            <w:pPr>
              <w:snapToGrid/>
              <w:spacing w:before="100" w:after="100"/>
              <w:rPr>
                <w:rFonts w:eastAsia="SimSun" w:cstheme="minorHAnsi"/>
                <w:color w:val="000000"/>
              </w:rPr>
            </w:pPr>
            <w:r>
              <w:rPr>
                <w:color w:val="000000"/>
              </w:rPr>
              <w:t xml:space="preserve">En outre, </w:t>
            </w:r>
            <w:r w:rsidR="00722659">
              <w:rPr>
                <w:color w:val="000000"/>
              </w:rPr>
              <w:t>le Fonds fiduciaire du F</w:t>
            </w:r>
            <w:r w:rsidR="005F75B4">
              <w:rPr>
                <w:color w:val="000000"/>
              </w:rPr>
              <w:t>onds pour l’</w:t>
            </w:r>
            <w:r w:rsidR="00722659">
              <w:rPr>
                <w:color w:val="000000"/>
              </w:rPr>
              <w:t>E</w:t>
            </w:r>
            <w:r w:rsidR="005F75B4">
              <w:rPr>
                <w:color w:val="000000"/>
              </w:rPr>
              <w:t xml:space="preserve">nvironnement </w:t>
            </w:r>
            <w:r w:rsidR="00722659">
              <w:rPr>
                <w:color w:val="000000"/>
              </w:rPr>
              <w:t>M</w:t>
            </w:r>
            <w:r w:rsidR="005F75B4">
              <w:rPr>
                <w:color w:val="000000"/>
              </w:rPr>
              <w:t>ondial</w:t>
            </w:r>
            <w:r>
              <w:rPr>
                <w:color w:val="000000"/>
              </w:rPr>
              <w:t xml:space="preserve">, le </w:t>
            </w:r>
            <w:r w:rsidR="00E64BB9">
              <w:rPr>
                <w:color w:val="000000"/>
              </w:rPr>
              <w:t>FPMA</w:t>
            </w:r>
            <w:r>
              <w:rPr>
                <w:color w:val="000000"/>
              </w:rPr>
              <w:t xml:space="preserve">, le </w:t>
            </w:r>
            <w:r w:rsidR="00E64BB9">
              <w:rPr>
                <w:color w:val="000000"/>
              </w:rPr>
              <w:t>FSCC</w:t>
            </w:r>
            <w:r>
              <w:rPr>
                <w:color w:val="000000"/>
              </w:rPr>
              <w:t xml:space="preserve"> et le GBFF se sont </w:t>
            </w:r>
            <w:r w:rsidR="00EF627E">
              <w:rPr>
                <w:color w:val="000000"/>
              </w:rPr>
              <w:t>fixer l’objectif d’orienter</w:t>
            </w:r>
            <w:r>
              <w:rPr>
                <w:color w:val="000000"/>
              </w:rPr>
              <w:t xml:space="preserve"> 20</w:t>
            </w:r>
            <w:r w:rsidR="00966C17">
              <w:rPr>
                <w:color w:val="000000"/>
              </w:rPr>
              <w:t> %</w:t>
            </w:r>
            <w:r>
              <w:rPr>
                <w:color w:val="000000"/>
              </w:rPr>
              <w:t xml:space="preserve"> de leurs financements</w:t>
            </w:r>
            <w:r w:rsidR="001416EA">
              <w:rPr>
                <w:color w:val="000000"/>
              </w:rPr>
              <w:t xml:space="preserve"> vers des actions menées par les peuples autochtones et communautés locales au cours de la période de</w:t>
            </w:r>
            <w:r>
              <w:rPr>
                <w:color w:val="000000"/>
              </w:rPr>
              <w:t xml:space="preserve"> </w:t>
            </w:r>
            <w:r w:rsidR="00376C22">
              <w:rPr>
                <w:color w:val="000000"/>
              </w:rPr>
              <w:t>GEF</w:t>
            </w:r>
            <w:r w:rsidR="00376C22">
              <w:rPr>
                <w:color w:val="000000"/>
              </w:rPr>
              <w:noBreakHyphen/>
            </w:r>
            <w:r w:rsidR="001416EA">
              <w:rPr>
                <w:color w:val="000000"/>
              </w:rPr>
              <w:t>9</w:t>
            </w:r>
            <w:r>
              <w:rPr>
                <w:color w:val="000000"/>
              </w:rPr>
              <w:t>.</w:t>
            </w:r>
          </w:p>
        </w:tc>
      </w:tr>
      <w:tr w:rsidR="00C004A0" w:rsidRPr="00C67737" w14:paraId="3538B996" w14:textId="77777777" w:rsidTr="00A769A6">
        <w:tc>
          <w:tcPr>
            <w:tcW w:w="2500" w:type="pct"/>
          </w:tcPr>
          <w:p w14:paraId="69C51654" w14:textId="1553FD0C"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t>d) D’étudier d’autres modalités, procédures et processus de programmation afin de faciliter et d’accélérer l’accès à des ressources financières accrues pour les activités habilitantes</w:t>
            </w:r>
            <w:r w:rsidR="00111EA5">
              <w:rPr>
                <w:color w:val="000000"/>
              </w:rPr>
              <w:t> </w:t>
            </w:r>
            <w:r>
              <w:rPr>
                <w:color w:val="000000"/>
              </w:rPr>
              <w:t>;</w:t>
            </w:r>
          </w:p>
        </w:tc>
        <w:tc>
          <w:tcPr>
            <w:tcW w:w="2500" w:type="pct"/>
          </w:tcPr>
          <w:p w14:paraId="23572C05" w14:textId="64C8C879" w:rsidR="00E70F77" w:rsidRPr="00C67737" w:rsidRDefault="00AF4E8D" w:rsidP="00495437">
            <w:pPr>
              <w:snapToGrid/>
              <w:spacing w:before="100" w:after="100"/>
              <w:rPr>
                <w:rFonts w:eastAsia="SimSun" w:cstheme="minorHAnsi"/>
                <w:color w:val="000000"/>
              </w:rPr>
            </w:pPr>
            <w:r w:rsidRPr="00AF4E8D">
              <w:rPr>
                <w:color w:val="000000"/>
              </w:rPr>
              <w:t xml:space="preserve">Étant donné que les activités habilitantes visent à préparer les plans, stratégies ou rapports nécessaires au respect des engagements pris au titre des conventions, une procédure spécifique et simplifiée, adaptée à ces activités, sera instaurée dans le cadre de GEF-9. Elle remplacera l’examen, projet par projet, du respect des normes minimales applicables à chaque activité habilitante — notamment en matière d’égalité des </w:t>
            </w:r>
            <w:r w:rsidR="0086707A">
              <w:rPr>
                <w:color w:val="000000"/>
              </w:rPr>
              <w:t>genres</w:t>
            </w:r>
            <w:r w:rsidRPr="00AF4E8D">
              <w:rPr>
                <w:color w:val="000000"/>
              </w:rPr>
              <w:t xml:space="preserve">, de participation des parties prenantes et de </w:t>
            </w:r>
            <w:r w:rsidR="00D5323F">
              <w:rPr>
                <w:color w:val="000000"/>
              </w:rPr>
              <w:t>normes</w:t>
            </w:r>
            <w:r w:rsidRPr="00AF4E8D">
              <w:rPr>
                <w:color w:val="000000"/>
              </w:rPr>
              <w:t xml:space="preserve"> environnementales et sociales — par des évaluations des Agences au niveau institutionnel, réalisées une fois par cycle de reconstitution des ressources</w:t>
            </w:r>
            <w:r w:rsidR="00947DBF">
              <w:rPr>
                <w:color w:val="000000"/>
              </w:rPr>
              <w:t xml:space="preserve">. </w:t>
            </w:r>
            <w:r w:rsidR="007E7C4D" w:rsidRPr="007E7C4D">
              <w:t xml:space="preserve">D’autres options susceptibles d’accélérer davantage le traitement des activités habilitantes sont recensées dans les orientations de politique générale de GEF-9. Elles comprennent </w:t>
            </w:r>
            <w:r w:rsidR="007E7C4D" w:rsidRPr="007E7C4D">
              <w:lastRenderedPageBreak/>
              <w:t xml:space="preserve">notamment une procédure accélérée pour le traitement des lettres </w:t>
            </w:r>
            <w:r w:rsidR="000F5A54">
              <w:t>d’</w:t>
            </w:r>
            <w:r w:rsidR="0082406C">
              <w:t>approbation</w:t>
            </w:r>
            <w:r w:rsidR="007E7C4D" w:rsidRPr="007E7C4D">
              <w:t xml:space="preserve"> relatives aux activités habilitantes</w:t>
            </w:r>
            <w:r w:rsidR="003533E8" w:rsidRPr="00C67737">
              <w:rPr>
                <w:rStyle w:val="FootnoteReference"/>
                <w:rFonts w:eastAsia="SimSun" w:cstheme="minorHAnsi"/>
                <w:color w:val="000000"/>
              </w:rPr>
              <w:footnoteReference w:id="77"/>
            </w:r>
            <w:r w:rsidR="00947DBF">
              <w:t>.</w:t>
            </w:r>
          </w:p>
          <w:p w14:paraId="48F68AD4" w14:textId="4405D718" w:rsidR="00C004A0" w:rsidRPr="00C67737" w:rsidRDefault="007E7C4D" w:rsidP="00495437">
            <w:pPr>
              <w:snapToGrid/>
              <w:spacing w:before="100" w:after="100"/>
              <w:rPr>
                <w:rFonts w:eastAsia="SimSun" w:cstheme="minorHAnsi"/>
                <w:color w:val="000000"/>
              </w:rPr>
            </w:pPr>
            <w:r w:rsidRPr="007E7C4D">
              <w:rPr>
                <w:color w:val="000000"/>
              </w:rPr>
              <w:t>Un budget initial de 125</w:t>
            </w:r>
            <w:r w:rsidR="005B2E78">
              <w:rPr>
                <w:color w:val="000000"/>
              </w:rPr>
              <w:t> </w:t>
            </w:r>
            <w:r w:rsidRPr="007E7C4D">
              <w:rPr>
                <w:color w:val="000000"/>
              </w:rPr>
              <w:t>millions de dollars a été approuvé, au titre de GEF-9, pour les activités habilitantes relatives à la CDB et à ses protocoles. Il couvre l’établissement de rapports, l’appui aux systèmes de suivi et, pour les pays n’ayant pas encore bénéficié de cet appui, l’élaboration de plans de financement de la biodiversité.</w:t>
            </w:r>
          </w:p>
        </w:tc>
      </w:tr>
      <w:tr w:rsidR="00C004A0" w:rsidRPr="00C67737" w14:paraId="053187DD" w14:textId="77777777" w:rsidTr="00A769A6">
        <w:tc>
          <w:tcPr>
            <w:tcW w:w="2500" w:type="pct"/>
          </w:tcPr>
          <w:p w14:paraId="5C348FC6" w14:textId="3857FC53"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lastRenderedPageBreak/>
              <w:t>36.</w:t>
            </w:r>
            <w:r>
              <w:rPr>
                <w:color w:val="000000"/>
              </w:rPr>
              <w:tab/>
            </w:r>
            <w:r w:rsidRPr="003C0978">
              <w:rPr>
                <w:i/>
                <w:iCs/>
                <w:color w:val="000000"/>
              </w:rPr>
              <w:t>Demande</w:t>
            </w:r>
            <w:r>
              <w:rPr>
                <w:color w:val="000000"/>
              </w:rPr>
              <w:t xml:space="preserve"> au Conseil du Fonds pour l’environnement mondial d’étudier les moyens d’améliorer la représentation géographique équitable au sein de ses mandants et entre eux, notamment en tenant dûment compte des éléments exposés dans le rapport sur le sixième examen de l’efficacité du mécanisme de financement</w:t>
            </w:r>
            <w:r w:rsidR="00111EA5">
              <w:rPr>
                <w:color w:val="000000"/>
              </w:rPr>
              <w:t> </w:t>
            </w:r>
            <w:r>
              <w:rPr>
                <w:color w:val="000000"/>
              </w:rPr>
              <w:t>;</w:t>
            </w:r>
          </w:p>
          <w:p w14:paraId="2F8AB436" w14:textId="7CE0516E"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p>
        </w:tc>
        <w:tc>
          <w:tcPr>
            <w:tcW w:w="2500" w:type="pct"/>
          </w:tcPr>
          <w:p w14:paraId="0344E49C" w14:textId="50FCD640" w:rsidR="00674D6A" w:rsidRPr="00C67737" w:rsidRDefault="00F24CE2" w:rsidP="00495437">
            <w:pPr>
              <w:snapToGrid/>
              <w:spacing w:before="100" w:after="100"/>
              <w:rPr>
                <w:rFonts w:eastAsia="SimSun" w:cstheme="minorHAnsi"/>
                <w:color w:val="000000" w:themeColor="text1"/>
              </w:rPr>
            </w:pPr>
            <w:r w:rsidRPr="00F24CE2">
              <w:rPr>
                <w:color w:val="000000" w:themeColor="text1"/>
              </w:rPr>
              <w:t>Conformément à ce qui a été convenu dans le cadre des Recommandations de politique générale du GEF-9, un groupe de travail ad hoc sur l’évolution de l’architecture du GEF, de ses mécanismes de supervision et de sa base de donateurs sera créé d’ici à 2027. Son mandat définira clairement les produits attendus, les jalons et le calendrier. Une première étape en vue de la création de ce groupe de travail ad hoc a été franchie le 6</w:t>
            </w:r>
            <w:r w:rsidR="005B2E78">
              <w:rPr>
                <w:color w:val="000000" w:themeColor="text1"/>
              </w:rPr>
              <w:t> </w:t>
            </w:r>
            <w:r w:rsidRPr="00F24CE2">
              <w:rPr>
                <w:color w:val="000000" w:themeColor="text1"/>
              </w:rPr>
              <w:t>juillet 2026, lorsque le Secrétariat du GEF a invité les membres du Conseil à faire connaître leur intérêt à y participer. L’architecture actualisée du GEF devra être finalisée et mise en place d’ici à 2028</w:t>
            </w:r>
            <w:r w:rsidR="00A8750A" w:rsidRPr="00C67737">
              <w:rPr>
                <w:rStyle w:val="FootnoteReference"/>
                <w:rFonts w:eastAsia="SimSun" w:cstheme="minorHAnsi"/>
                <w:color w:val="000000" w:themeColor="text1"/>
              </w:rPr>
              <w:footnoteReference w:id="78"/>
            </w:r>
            <w:r w:rsidR="00C004A0">
              <w:rPr>
                <w:rFonts w:ascii="ZWAdobeF" w:hAnsi="ZWAdobeF"/>
                <w:sz w:val="2"/>
              </w:rPr>
              <w:t>..</w:t>
            </w:r>
            <w:r w:rsidR="00C004A0">
              <w:rPr>
                <w:color w:val="000000" w:themeColor="text1"/>
              </w:rPr>
              <w:t xml:space="preserve"> </w:t>
            </w:r>
          </w:p>
          <w:p w14:paraId="64B47DB3" w14:textId="674157D9" w:rsidR="00C004A0" w:rsidRPr="00C67737" w:rsidRDefault="00DD1478" w:rsidP="00495437">
            <w:pPr>
              <w:snapToGrid/>
              <w:spacing w:before="100" w:after="100"/>
              <w:rPr>
                <w:rFonts w:eastAsia="SimSun" w:cstheme="minorHAnsi"/>
                <w:color w:val="000000"/>
              </w:rPr>
            </w:pPr>
            <w:r>
              <w:rPr>
                <w:color w:val="000000" w:themeColor="text1"/>
              </w:rPr>
              <w:t>Le GBFF a introduit plusieurs innovations dans ses modalités de gouvernance. Outre le Conseil du GBFF, dont la composition repose sur la représentation au sein du Conseil du GEF, la gouvernance du GBFF comprend</w:t>
            </w:r>
            <w:r w:rsidR="006E54C7">
              <w:rPr>
                <w:color w:val="000000" w:themeColor="text1"/>
              </w:rPr>
              <w:t> :</w:t>
            </w:r>
            <w:r>
              <w:rPr>
                <w:color w:val="000000" w:themeColor="text1"/>
              </w:rPr>
              <w:t xml:space="preserve"> i) un </w:t>
            </w:r>
            <w:r w:rsidR="00501360">
              <w:rPr>
                <w:color w:val="000000" w:themeColor="text1"/>
              </w:rPr>
              <w:t>O</w:t>
            </w:r>
            <w:r>
              <w:rPr>
                <w:color w:val="000000" w:themeColor="text1"/>
              </w:rPr>
              <w:t>rgane auxiliaire, composé d’experts représentant les participants au GBFF qui sont des pays en développement abritant des zones revêtant une importance particulière pour la diversité biologique ainsi que pour les fonctions et services écosystémiques</w:t>
            </w:r>
            <w:r w:rsidR="00111EA5">
              <w:rPr>
                <w:color w:val="000000" w:themeColor="text1"/>
              </w:rPr>
              <w:t> </w:t>
            </w:r>
            <w:r>
              <w:rPr>
                <w:color w:val="000000" w:themeColor="text1"/>
              </w:rPr>
              <w:t>; ii) un groupe consultatif des participants non souverains</w:t>
            </w:r>
            <w:r w:rsidR="00111EA5">
              <w:rPr>
                <w:color w:val="000000" w:themeColor="text1"/>
              </w:rPr>
              <w:t> </w:t>
            </w:r>
            <w:r>
              <w:rPr>
                <w:color w:val="000000" w:themeColor="text1"/>
              </w:rPr>
              <w:t xml:space="preserve">; iii) </w:t>
            </w:r>
            <w:r w:rsidR="00674D6A">
              <w:rPr>
                <w:color w:val="000000"/>
              </w:rPr>
              <w:t>une représentation élargie des observateurs, avec deux sièges attribués à chacune des catégories suivantes</w:t>
            </w:r>
            <w:r w:rsidR="006E54C7">
              <w:rPr>
                <w:color w:val="000000"/>
              </w:rPr>
              <w:t> :</w:t>
            </w:r>
            <w:r w:rsidR="00674D6A">
              <w:rPr>
                <w:color w:val="000000"/>
              </w:rPr>
              <w:t xml:space="preserve"> le secteur privé</w:t>
            </w:r>
            <w:r w:rsidR="00111EA5">
              <w:rPr>
                <w:color w:val="000000"/>
              </w:rPr>
              <w:t> </w:t>
            </w:r>
            <w:r w:rsidR="00674D6A">
              <w:rPr>
                <w:color w:val="000000"/>
              </w:rPr>
              <w:t>; les organisations philanthropiques et les organisations de conservation</w:t>
            </w:r>
            <w:r w:rsidR="00111EA5">
              <w:rPr>
                <w:color w:val="000000"/>
              </w:rPr>
              <w:t> </w:t>
            </w:r>
            <w:r w:rsidR="00674D6A">
              <w:rPr>
                <w:color w:val="000000"/>
              </w:rPr>
              <w:t>; les peuples autochtones et communautés locales</w:t>
            </w:r>
            <w:r w:rsidR="00111EA5">
              <w:rPr>
                <w:color w:val="000000"/>
              </w:rPr>
              <w:t> </w:t>
            </w:r>
            <w:r w:rsidR="00674D6A">
              <w:rPr>
                <w:color w:val="000000"/>
              </w:rPr>
              <w:t>; les femmes</w:t>
            </w:r>
            <w:r w:rsidR="00111EA5">
              <w:rPr>
                <w:color w:val="000000"/>
              </w:rPr>
              <w:t> </w:t>
            </w:r>
            <w:r w:rsidR="00674D6A">
              <w:rPr>
                <w:color w:val="000000"/>
              </w:rPr>
              <w:t>; et les jeunes.</w:t>
            </w:r>
          </w:p>
          <w:p w14:paraId="522C3672" w14:textId="111C29B6" w:rsidR="0002096E" w:rsidRPr="00C67737" w:rsidRDefault="0002096E" w:rsidP="00495437">
            <w:pPr>
              <w:snapToGrid/>
              <w:spacing w:before="100" w:after="100"/>
              <w:rPr>
                <w:rFonts w:eastAsia="SimSun" w:cstheme="minorHAnsi"/>
                <w:color w:val="000000"/>
              </w:rPr>
            </w:pPr>
            <w:r>
              <w:rPr>
                <w:color w:val="000000"/>
              </w:rPr>
              <w:lastRenderedPageBreak/>
              <w:t>La section</w:t>
            </w:r>
            <w:r w:rsidR="00111EA5">
              <w:rPr>
                <w:color w:val="000000"/>
              </w:rPr>
              <w:t> </w:t>
            </w:r>
            <w:r>
              <w:rPr>
                <w:color w:val="000000"/>
              </w:rPr>
              <w:t>II.1 du présent rapport présente en détail ces modalités de gouvernance élargies et décrit de quelle manière elles ont contribué aux décisions prises par le Conseil du GBFF.</w:t>
            </w:r>
          </w:p>
        </w:tc>
      </w:tr>
      <w:tr w:rsidR="00D81091" w:rsidRPr="00C67737" w14:paraId="5F523CE5" w14:textId="77777777" w:rsidTr="00A769A6">
        <w:tc>
          <w:tcPr>
            <w:tcW w:w="2500" w:type="pct"/>
          </w:tcPr>
          <w:p w14:paraId="565252FD" w14:textId="430E49C4" w:rsidR="00A06D02" w:rsidRPr="00C67737" w:rsidRDefault="00A06D02"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lastRenderedPageBreak/>
              <w:t>37.</w:t>
            </w:r>
            <w:r>
              <w:rPr>
                <w:color w:val="000000"/>
              </w:rPr>
              <w:tab/>
            </w:r>
            <w:r w:rsidRPr="003C0978">
              <w:rPr>
                <w:i/>
                <w:iCs/>
                <w:color w:val="000000"/>
              </w:rPr>
              <w:t>Demande</w:t>
            </w:r>
            <w:r>
              <w:rPr>
                <w:color w:val="000000"/>
              </w:rPr>
              <w:t xml:space="preserve"> également au Conseil du Fonds pour l’environnement mondial de veiller à ce que les peuples autochtones et communautés locales, les femmes et les jeunes participent effectivement à la prise de décisions, compte tenu de leur contribution à la conservation et à l’utilisation durable de la biodiversité</w:t>
            </w:r>
            <w:r w:rsidR="00111EA5">
              <w:rPr>
                <w:color w:val="000000"/>
              </w:rPr>
              <w:t> </w:t>
            </w:r>
            <w:r>
              <w:rPr>
                <w:color w:val="000000"/>
              </w:rPr>
              <w:t>;</w:t>
            </w:r>
          </w:p>
          <w:p w14:paraId="0A9EC72D" w14:textId="26DD9E60" w:rsidR="00D81091" w:rsidRPr="00C67737" w:rsidRDefault="00D81091" w:rsidP="00495437">
            <w:pPr>
              <w:tabs>
                <w:tab w:val="left" w:pos="567"/>
                <w:tab w:val="left" w:pos="1134"/>
                <w:tab w:val="left" w:pos="1701"/>
                <w:tab w:val="left" w:pos="2268"/>
                <w:tab w:val="left" w:pos="2835"/>
                <w:tab w:val="left" w:pos="3402"/>
              </w:tabs>
              <w:snapToGrid/>
              <w:spacing w:before="100" w:after="100"/>
              <w:rPr>
                <w:rFonts w:cstheme="minorHAnsi"/>
                <w:color w:val="000000"/>
              </w:rPr>
            </w:pPr>
          </w:p>
        </w:tc>
        <w:tc>
          <w:tcPr>
            <w:tcW w:w="2500" w:type="pct"/>
          </w:tcPr>
          <w:p w14:paraId="586E13D8" w14:textId="37039CA9" w:rsidR="00947BFB" w:rsidRPr="00C67737" w:rsidRDefault="00947BFB" w:rsidP="00495437">
            <w:pPr>
              <w:snapToGrid/>
              <w:spacing w:before="100" w:after="100"/>
              <w:rPr>
                <w:rFonts w:eastAsia="SimSun" w:cstheme="minorHAnsi"/>
                <w:color w:val="000000" w:themeColor="text1"/>
              </w:rPr>
            </w:pPr>
            <w:r>
              <w:rPr>
                <w:color w:val="000000" w:themeColor="text1"/>
              </w:rPr>
              <w:t>Voir la réponse au paragraphe</w:t>
            </w:r>
            <w:r w:rsidR="00111EA5">
              <w:rPr>
                <w:color w:val="000000" w:themeColor="text1"/>
              </w:rPr>
              <w:t> </w:t>
            </w:r>
            <w:r>
              <w:rPr>
                <w:color w:val="000000" w:themeColor="text1"/>
              </w:rPr>
              <w:t>36.</w:t>
            </w:r>
          </w:p>
          <w:p w14:paraId="084BCF09" w14:textId="592B9CB6" w:rsidR="00D81091" w:rsidRPr="00C67737" w:rsidRDefault="00D81091" w:rsidP="00495437">
            <w:pPr>
              <w:snapToGrid/>
              <w:spacing w:before="100" w:after="100"/>
              <w:rPr>
                <w:rFonts w:cstheme="minorHAnsi"/>
                <w:color w:val="000000" w:themeColor="text1"/>
              </w:rPr>
            </w:pPr>
          </w:p>
        </w:tc>
      </w:tr>
      <w:tr w:rsidR="00D81091" w:rsidRPr="00C67737" w14:paraId="053BB86E" w14:textId="77777777" w:rsidTr="00A769A6">
        <w:tc>
          <w:tcPr>
            <w:tcW w:w="2500" w:type="pct"/>
          </w:tcPr>
          <w:p w14:paraId="75AECAB3" w14:textId="7FC2F138" w:rsidR="00D81091" w:rsidRPr="00C67737" w:rsidRDefault="00A06D02" w:rsidP="00495437">
            <w:pPr>
              <w:tabs>
                <w:tab w:val="left" w:pos="567"/>
                <w:tab w:val="left" w:pos="1134"/>
                <w:tab w:val="left" w:pos="1701"/>
                <w:tab w:val="left" w:pos="2268"/>
                <w:tab w:val="left" w:pos="2835"/>
                <w:tab w:val="left" w:pos="3402"/>
              </w:tabs>
              <w:snapToGrid/>
              <w:spacing w:before="100" w:after="100"/>
              <w:rPr>
                <w:rFonts w:cstheme="minorHAnsi"/>
                <w:color w:val="000000"/>
              </w:rPr>
            </w:pPr>
            <w:r>
              <w:rPr>
                <w:color w:val="000000"/>
              </w:rPr>
              <w:t>38.</w:t>
            </w:r>
            <w:r>
              <w:rPr>
                <w:i/>
                <w:color w:val="000000"/>
              </w:rPr>
              <w:tab/>
            </w:r>
            <w:r w:rsidRPr="003C0978">
              <w:rPr>
                <w:i/>
                <w:iCs/>
                <w:color w:val="000000"/>
              </w:rPr>
              <w:t>Invite</w:t>
            </w:r>
            <w:r>
              <w:rPr>
                <w:color w:val="000000"/>
              </w:rPr>
              <w:t xml:space="preserve"> l’Assemblée du Fonds pour l’environnement mondial, dans le cadre de la neuvième reconstitution des ressources</w:t>
            </w:r>
            <w:r w:rsidR="004F3F14">
              <w:rPr>
                <w:color w:val="000000"/>
              </w:rPr>
              <w:t xml:space="preserve"> du</w:t>
            </w:r>
            <w:r>
              <w:rPr>
                <w:color w:val="000000"/>
              </w:rPr>
              <w:t xml:space="preserve"> </w:t>
            </w:r>
            <w:r w:rsidR="004F3F14">
              <w:t xml:space="preserve">Fonds fiduciaire </w:t>
            </w:r>
            <w:r>
              <w:rPr>
                <w:color w:val="000000"/>
              </w:rPr>
              <w:t>du Fonds</w:t>
            </w:r>
            <w:r w:rsidR="004F3F14">
              <w:rPr>
                <w:color w:val="000000"/>
              </w:rPr>
              <w:t xml:space="preserve"> pour</w:t>
            </w:r>
            <w:r w:rsidR="00D124A8">
              <w:rPr>
                <w:color w:val="000000"/>
              </w:rPr>
              <w:t xml:space="preserve"> l’Environnement Mondial</w:t>
            </w:r>
            <w:r>
              <w:rPr>
                <w:color w:val="000000"/>
              </w:rPr>
              <w:t>, à envisager des réformes de sa gouvernance sur la base des recommandations de son Conseil en ce qui concerne les paragraphes</w:t>
            </w:r>
            <w:r w:rsidR="00111EA5">
              <w:rPr>
                <w:color w:val="000000"/>
              </w:rPr>
              <w:t> </w:t>
            </w:r>
            <w:r>
              <w:rPr>
                <w:color w:val="000000"/>
              </w:rPr>
              <w:t>36 et 37 ci-dessus</w:t>
            </w:r>
            <w:r w:rsidR="00111EA5">
              <w:rPr>
                <w:color w:val="000000"/>
              </w:rPr>
              <w:t> </w:t>
            </w:r>
            <w:r>
              <w:rPr>
                <w:color w:val="000000"/>
              </w:rPr>
              <w:t>;</w:t>
            </w:r>
          </w:p>
        </w:tc>
        <w:tc>
          <w:tcPr>
            <w:tcW w:w="2500" w:type="pct"/>
          </w:tcPr>
          <w:p w14:paraId="4DA31A7B" w14:textId="5788E1C2" w:rsidR="00037C08" w:rsidRPr="00C67737" w:rsidRDefault="00037C08" w:rsidP="00495437">
            <w:pPr>
              <w:snapToGrid/>
              <w:spacing w:before="100" w:after="100"/>
              <w:rPr>
                <w:rFonts w:cstheme="minorHAnsi"/>
                <w:color w:val="000000" w:themeColor="text1"/>
              </w:rPr>
            </w:pPr>
            <w:r>
              <w:rPr>
                <w:color w:val="000000" w:themeColor="text1"/>
              </w:rPr>
              <w:t>Voir la réponse au paragraphe</w:t>
            </w:r>
            <w:r w:rsidR="00111EA5">
              <w:rPr>
                <w:color w:val="000000" w:themeColor="text1"/>
              </w:rPr>
              <w:t> </w:t>
            </w:r>
            <w:r>
              <w:rPr>
                <w:color w:val="000000" w:themeColor="text1"/>
              </w:rPr>
              <w:t>36.</w:t>
            </w:r>
          </w:p>
        </w:tc>
      </w:tr>
      <w:tr w:rsidR="00C004A0" w:rsidRPr="00C67737" w14:paraId="51013532" w14:textId="77777777" w:rsidTr="00A769A6">
        <w:tc>
          <w:tcPr>
            <w:tcW w:w="2500" w:type="pct"/>
          </w:tcPr>
          <w:p w14:paraId="5835D198" w14:textId="7360B86A"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color w:val="000000"/>
              </w:rPr>
              <w:t>39.</w:t>
            </w:r>
            <w:r>
              <w:rPr>
                <w:i/>
                <w:color w:val="000000"/>
              </w:rPr>
              <w:tab/>
            </w:r>
            <w:r>
              <w:rPr>
                <w:i/>
                <w:iCs/>
                <w:color w:val="000000"/>
              </w:rPr>
              <w:t>Prie</w:t>
            </w:r>
            <w:r>
              <w:rPr>
                <w:color w:val="000000"/>
              </w:rPr>
              <w:t xml:space="preserve"> le Fonds pour l’environnement mondial de continuer à se concerter avec le secrétariat du Fonds vert pour le climat, conformément à leurs mandats respectifs, en vue de renforcer la collaboration et l’appui à la Convention, notamment dans le cadre de la Vision à long terme sur la complémentarité, la cohérence et la collaboration entre le Fonds vert pour le climat et le Fonds pour l’environnement mondial</w:t>
            </w:r>
            <w:r w:rsidR="00111EA5">
              <w:rPr>
                <w:color w:val="000000"/>
              </w:rPr>
              <w:t> </w:t>
            </w:r>
            <w:r>
              <w:rPr>
                <w:color w:val="000000"/>
              </w:rPr>
              <w:t>;</w:t>
            </w:r>
          </w:p>
          <w:p w14:paraId="23B6A9C9" w14:textId="77777777" w:rsidR="00C004A0" w:rsidRPr="00C67737" w:rsidRDefault="00C004A0" w:rsidP="00495437">
            <w:pPr>
              <w:snapToGrid/>
              <w:spacing w:before="100" w:after="100"/>
              <w:rPr>
                <w:rFonts w:cstheme="minorHAnsi"/>
                <w:color w:val="000000"/>
              </w:rPr>
            </w:pPr>
          </w:p>
        </w:tc>
        <w:tc>
          <w:tcPr>
            <w:tcW w:w="2500" w:type="pct"/>
          </w:tcPr>
          <w:p w14:paraId="5886CBAF" w14:textId="5DAD236C" w:rsidR="00C004A0" w:rsidRPr="00C67737" w:rsidRDefault="1A7CA096" w:rsidP="00495437">
            <w:pPr>
              <w:snapToGrid/>
              <w:spacing w:before="0" w:after="160"/>
              <w:rPr>
                <w:rFonts w:eastAsia="Aptos" w:cstheme="minorHAnsi"/>
              </w:rPr>
            </w:pPr>
            <w:r>
              <w:t xml:space="preserve">Le GEF demeure fermement déterminé à approfondir la complémentarité, la cohérence et la collaboration avec les fonds multilatéraux pour le climat, notamment le Fonds vert pour le climat, le Fonds pour l’adaptation, les Fonds d’investissement climatique et, plus récemment, le Fonds pour la réponse aux pertes et aux dommages. Le GEF a joué un rôle moteur dans la mise en place d’un cadre de partenariat structuré, notamment </w:t>
            </w:r>
            <w:r w:rsidR="00817C89" w:rsidRPr="00817C89">
              <w:t>en élaborant un plan d’action conjoint détaillé qui a été présenté au Conseil du GEF en juin 2024</w:t>
            </w:r>
            <w:r>
              <w:t xml:space="preserve">. Ce plan d’action s’appuie sur la Vision à long terme sur la complémentarité et la collaboration établie entre le Fonds vert pour le climat et le GEF depuis 2021. Des rapports d’étape réguliers sur ces deux initiatives continuent d’être publiés avant les réunions du Conseil du GEF. Il s’agit notamment de rapports d’étape annuels </w:t>
            </w:r>
            <w:r w:rsidR="005C4169">
              <w:t>sur</w:t>
            </w:r>
            <w:r>
              <w:t xml:space="preserve"> la Vision à long terme</w:t>
            </w:r>
            <w:r w:rsidR="00156BB1" w:rsidRPr="00C67737">
              <w:rPr>
                <w:rStyle w:val="FootnoteReference"/>
                <w:rFonts w:eastAsia="Aptos" w:cstheme="minorHAnsi"/>
                <w:color w:val="0563C1" w:themeColor="hyperlink"/>
                <w:u w:val="single"/>
              </w:rPr>
              <w:footnoteReference w:id="79"/>
            </w:r>
            <w:r>
              <w:t xml:space="preserve">, ainsi que de mises à jour semestrielles sur la collaboration entre les fonds multilatéraux pour le climat, présentées au Conseil du GEF dans le cadre </w:t>
            </w:r>
            <w:r>
              <w:lastRenderedPageBreak/>
              <w:t>du rapport traitant des relations avec les conventions et les autres institutions internationales (</w:t>
            </w:r>
            <w:r w:rsidRPr="00B22E9F">
              <w:rPr>
                <w:i/>
                <w:iCs/>
              </w:rPr>
              <w:t xml:space="preserve">Relations </w:t>
            </w:r>
            <w:proofErr w:type="spellStart"/>
            <w:r w:rsidRPr="00B22E9F">
              <w:rPr>
                <w:i/>
                <w:iCs/>
              </w:rPr>
              <w:t>with</w:t>
            </w:r>
            <w:proofErr w:type="spellEnd"/>
            <w:r w:rsidRPr="00B22E9F">
              <w:rPr>
                <w:i/>
                <w:iCs/>
              </w:rPr>
              <w:t xml:space="preserve"> the Conventions and </w:t>
            </w:r>
            <w:proofErr w:type="spellStart"/>
            <w:r w:rsidRPr="00B22E9F">
              <w:rPr>
                <w:i/>
                <w:iCs/>
              </w:rPr>
              <w:t>other</w:t>
            </w:r>
            <w:proofErr w:type="spellEnd"/>
            <w:r w:rsidRPr="00B22E9F">
              <w:rPr>
                <w:i/>
                <w:iCs/>
              </w:rPr>
              <w:t xml:space="preserve"> International Institutions</w:t>
            </w:r>
            <w:r w:rsidR="00B27BF9" w:rsidRPr="00C67737">
              <w:rPr>
                <w:rStyle w:val="FootnoteReference"/>
                <w:rFonts w:eastAsia="Aptos" w:cstheme="minorHAnsi"/>
              </w:rPr>
              <w:footnoteReference w:id="80"/>
            </w:r>
            <w:r>
              <w:t>).</w:t>
            </w:r>
          </w:p>
          <w:p w14:paraId="2F2676EF" w14:textId="41C34C83" w:rsidR="00192AB5" w:rsidRPr="00C67737" w:rsidRDefault="00865C31" w:rsidP="00495437">
            <w:pPr>
              <w:snapToGrid/>
              <w:spacing w:before="0" w:after="160"/>
              <w:rPr>
                <w:rFonts w:eastAsia="Aptos" w:cstheme="minorHAnsi"/>
              </w:rPr>
            </w:pPr>
            <w:r>
              <w:t xml:space="preserve">Les modalités actualisées mises en place par l’intermédiaire du Comité des responsables des fonds multilatéraux pour le climat et du groupe de travail au niveau des secrétariats ont encore renforcé la coordination institutionnelle. </w:t>
            </w:r>
          </w:p>
          <w:p w14:paraId="1309B5E2" w14:textId="0FF9CEB6" w:rsidR="00587DC2" w:rsidRPr="00C67737" w:rsidRDefault="00192AB5" w:rsidP="00495437">
            <w:pPr>
              <w:snapToGrid/>
              <w:spacing w:before="0" w:after="160"/>
              <w:rPr>
                <w:rFonts w:eastAsia="Aptos" w:cstheme="minorHAnsi"/>
              </w:rPr>
            </w:pPr>
            <w:r>
              <w:t xml:space="preserve">Les </w:t>
            </w:r>
            <w:r w:rsidR="00B446BC">
              <w:t>activités</w:t>
            </w:r>
            <w:r>
              <w:t xml:space="preserve"> de collaboration portent notamment sur l’adoption de principes directeurs communs </w:t>
            </w:r>
            <w:r w:rsidR="00B207D8">
              <w:t>relatifs aux résultats et aux</w:t>
            </w:r>
            <w:r>
              <w:t xml:space="preserve"> indicateurs d’établissement de rapports, la définition de modalités conjointes pour la mise en œuvre d</w:t>
            </w:r>
            <w:r w:rsidR="002B5D89">
              <w:t xml:space="preserve">es </w:t>
            </w:r>
            <w:r>
              <w:t xml:space="preserve">activités de renforcement des capacités, ainsi que le recensement de possibilités d’appui conjoint aux plans d’investissement climatique des pays en développement. </w:t>
            </w:r>
          </w:p>
          <w:p w14:paraId="7693596E" w14:textId="608943E8" w:rsidR="00587DC2" w:rsidRPr="00C67737" w:rsidRDefault="00587DC2" w:rsidP="00495437">
            <w:pPr>
              <w:snapToGrid/>
              <w:spacing w:before="0" w:after="160"/>
              <w:rPr>
                <w:rFonts w:eastAsia="Aptos" w:cstheme="minorHAnsi"/>
              </w:rPr>
            </w:pPr>
            <w:r>
              <w:t xml:space="preserve">Les investissements du GEF viseront à renforcer </w:t>
            </w:r>
            <w:r w:rsidR="004163C1">
              <w:t>encore</w:t>
            </w:r>
            <w:r>
              <w:t xml:space="preserve"> les synergies et à </w:t>
            </w:r>
            <w:r w:rsidR="007449B7">
              <w:t>exploiter au mieux</w:t>
            </w:r>
            <w:r>
              <w:t xml:space="preserve"> </w:t>
            </w:r>
            <w:r w:rsidR="007449B7">
              <w:t>l</w:t>
            </w:r>
            <w:r>
              <w:t xml:space="preserve">es complémentarités avec la programmation des fonds multilatéraux pour le climat, en s’appuyant sur les avantages comparatifs </w:t>
            </w:r>
            <w:r w:rsidR="00D82AC0">
              <w:t>du</w:t>
            </w:r>
            <w:r>
              <w:t xml:space="preserve"> modèle</w:t>
            </w:r>
            <w:r w:rsidR="00D82AC0">
              <w:t xml:space="preserve"> du GEF</w:t>
            </w:r>
            <w:r>
              <w:t xml:space="preserve">, </w:t>
            </w:r>
            <w:r w:rsidR="00D82AC0" w:rsidRPr="00D82AC0">
              <w:t xml:space="preserve">notamment la prévisibilité et le degré élevé de </w:t>
            </w:r>
            <w:proofErr w:type="spellStart"/>
            <w:r w:rsidR="00D82AC0" w:rsidRPr="00D82AC0">
              <w:t>concessionnalité</w:t>
            </w:r>
            <w:proofErr w:type="spellEnd"/>
            <w:r w:rsidR="00D82AC0" w:rsidRPr="00D82AC0">
              <w:t xml:space="preserve"> de ses financements, ainsi que sa capacité unique à programmer des ressources générant de multiples avantages environnementaux.</w:t>
            </w:r>
            <w:r>
              <w:t xml:space="preserve"> </w:t>
            </w:r>
          </w:p>
          <w:p w14:paraId="0DDACD9C" w14:textId="473951DD" w:rsidR="00587DC2" w:rsidRPr="00C67737" w:rsidRDefault="00D82AC0" w:rsidP="00495437">
            <w:pPr>
              <w:snapToGrid/>
              <w:spacing w:before="0" w:after="160"/>
              <w:rPr>
                <w:rFonts w:eastAsia="Aptos" w:cstheme="minorHAnsi"/>
              </w:rPr>
            </w:pPr>
            <w:r w:rsidRPr="00D82AC0">
              <w:t xml:space="preserve">Les financements du GEF visent à compléter les ressources déployées par d’autres pourvoyeurs de financements liés au climat, y compris les </w:t>
            </w:r>
            <w:r>
              <w:t>fonds multilatéraux pour le climat</w:t>
            </w:r>
            <w:r w:rsidRPr="00D82AC0">
              <w:t>. Les investissements structurés dans le cadre de plans d’investissement communs et de plateformes d’investissement pilotées par les pays seront encouragés.</w:t>
            </w:r>
            <w:r w:rsidR="00587DC2">
              <w:t xml:space="preserve"> </w:t>
            </w:r>
          </w:p>
          <w:p w14:paraId="319C3746" w14:textId="7002F8D1" w:rsidR="00C004A0" w:rsidRPr="00C67737" w:rsidRDefault="00192AB5" w:rsidP="00495437">
            <w:pPr>
              <w:snapToGrid/>
              <w:spacing w:before="0" w:after="160"/>
              <w:rPr>
                <w:rFonts w:eastAsia="SimSun" w:cstheme="minorHAnsi"/>
                <w:color w:val="000000"/>
              </w:rPr>
            </w:pPr>
            <w:r>
              <w:t xml:space="preserve">La Stratégie de programmation </w:t>
            </w:r>
            <w:r w:rsidR="00E64BB9">
              <w:t>FPMA</w:t>
            </w:r>
            <w:r>
              <w:t>/</w:t>
            </w:r>
            <w:r w:rsidR="00E64BB9">
              <w:t>FSCC</w:t>
            </w:r>
            <w:r>
              <w:t xml:space="preserve"> pour </w:t>
            </w:r>
            <w:r w:rsidR="00376C22">
              <w:t>GEF</w:t>
            </w:r>
            <w:r w:rsidR="00376C22">
              <w:noBreakHyphen/>
            </w:r>
            <w:r>
              <w:t>9 fixe un objectif ambitieux consistant à consacrer 10</w:t>
            </w:r>
            <w:r w:rsidR="00966C17">
              <w:t> %</w:t>
            </w:r>
            <w:r>
              <w:t xml:space="preserve"> des ressources programmées à des investissements qui favorisent la complémentarité et la cohérence entre les fonds multilatéraux pour le climat, afin d’accroître l’impact et de promouvoir </w:t>
            </w:r>
            <w:r>
              <w:lastRenderedPageBreak/>
              <w:t xml:space="preserve">une coordination concrète entre les fonds. En outre, le GEF continue d’approfondir sa collaboration bilatérale structurée avec les fonds multilatéraux pour le climat et </w:t>
            </w:r>
            <w:r w:rsidR="008A6448" w:rsidRPr="008A6448">
              <w:t xml:space="preserve">examinera les possibilités de réaliser, avec les fonds partenaires, des </w:t>
            </w:r>
            <w:proofErr w:type="spellStart"/>
            <w:r w:rsidR="008A6448" w:rsidRPr="008A6448">
              <w:t>co</w:t>
            </w:r>
            <w:proofErr w:type="spellEnd"/>
            <w:r w:rsidR="008A6448" w:rsidRPr="008A6448">
              <w:t>-investissements coordonnés, une programmation séquentielle et des activités conjointes de renforcement des capacités, afin de maximiser l’impact et de réduire la fragmentation à l’échelle des pays.</w:t>
            </w:r>
          </w:p>
        </w:tc>
      </w:tr>
      <w:tr w:rsidR="00C004A0" w:rsidRPr="00C67737" w14:paraId="7EAF3045" w14:textId="77777777" w:rsidTr="00A769A6">
        <w:tc>
          <w:tcPr>
            <w:tcW w:w="2500" w:type="pct"/>
          </w:tcPr>
          <w:p w14:paraId="3662A4EB" w14:textId="1C2C6FFA"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lastRenderedPageBreak/>
              <w:t>40.</w:t>
            </w:r>
            <w:r>
              <w:rPr>
                <w:color w:val="000000"/>
              </w:rPr>
              <w:tab/>
            </w:r>
            <w:r>
              <w:rPr>
                <w:i/>
                <w:iCs/>
                <w:color w:val="000000"/>
              </w:rPr>
              <w:t>Prie</w:t>
            </w:r>
            <w:r>
              <w:rPr>
                <w:color w:val="000000"/>
              </w:rPr>
              <w:t xml:space="preserve"> la Secrétaire exécutive d’élaborer un projet de mandat pour le septième examen quadriennal de l’efficacité du mécanisme de financement, en tenant compte de la compilation de points de vue dont il est question dans l’annexe</w:t>
            </w:r>
            <w:r w:rsidR="00111EA5">
              <w:rPr>
                <w:color w:val="000000"/>
              </w:rPr>
              <w:t> </w:t>
            </w:r>
            <w:r>
              <w:rPr>
                <w:color w:val="000000"/>
              </w:rPr>
              <w:t>III à la présente décision, et en veillant à ce que l’examen tienne compte des vues des peuples autochtones et communautés locales, des femmes et des jeunes, ainsi que des incidences éventuelles sur leurs droits, pour examen par l’Organe subsidiaire chargé de l’application</w:t>
            </w:r>
            <w:r w:rsidR="007C57A4">
              <w:rPr>
                <w:color w:val="000000"/>
              </w:rPr>
              <w:t>,</w:t>
            </w:r>
            <w:r>
              <w:rPr>
                <w:color w:val="000000"/>
              </w:rPr>
              <w:t xml:space="preserve"> à une réunion devant se tenir avant la dix</w:t>
            </w:r>
            <w:r w:rsidR="00111EA5">
              <w:rPr>
                <w:color w:val="000000"/>
              </w:rPr>
              <w:t xml:space="preserve"> </w:t>
            </w:r>
            <w:r w:rsidR="008D579C">
              <w:rPr>
                <w:color w:val="000000"/>
              </w:rPr>
              <w:t>-</w:t>
            </w:r>
            <w:r>
              <w:rPr>
                <w:color w:val="000000"/>
              </w:rPr>
              <w:t>septième réunion de la Conférence des Parties et par la Conférence des Parties à sa dix</w:t>
            </w:r>
            <w:r w:rsidR="00111EA5">
              <w:rPr>
                <w:color w:val="000000"/>
              </w:rPr>
              <w:t xml:space="preserve"> </w:t>
            </w:r>
            <w:r w:rsidR="008D579C">
              <w:rPr>
                <w:color w:val="000000"/>
              </w:rPr>
              <w:t>-</w:t>
            </w:r>
            <w:r>
              <w:rPr>
                <w:color w:val="000000"/>
              </w:rPr>
              <w:t>septième réunion.</w:t>
            </w:r>
          </w:p>
        </w:tc>
        <w:tc>
          <w:tcPr>
            <w:tcW w:w="2500" w:type="pct"/>
          </w:tcPr>
          <w:p w14:paraId="015D987A" w14:textId="6D113EDD" w:rsidR="00C004A0" w:rsidRPr="00C67737" w:rsidRDefault="00D85177" w:rsidP="00495437">
            <w:pPr>
              <w:snapToGrid/>
              <w:spacing w:before="100" w:after="100"/>
              <w:rPr>
                <w:rFonts w:eastAsia="SimSun" w:cstheme="minorHAnsi"/>
                <w:color w:val="000000"/>
              </w:rPr>
            </w:pPr>
            <w:r>
              <w:rPr>
                <w:color w:val="000000"/>
              </w:rPr>
              <w:t>N’appelle pas de réponse.</w:t>
            </w:r>
          </w:p>
        </w:tc>
      </w:tr>
      <w:tr w:rsidR="00C004A0" w:rsidRPr="00C67737" w14:paraId="57EF7102" w14:textId="77777777" w:rsidTr="00A769A6">
        <w:tc>
          <w:tcPr>
            <w:tcW w:w="2500" w:type="pct"/>
          </w:tcPr>
          <w:p w14:paraId="21DBD0DD" w14:textId="77777777" w:rsidR="00C004A0" w:rsidRPr="00C67737" w:rsidRDefault="00C004A0" w:rsidP="00495437">
            <w:pPr>
              <w:snapToGrid/>
              <w:spacing w:before="100" w:after="100"/>
              <w:rPr>
                <w:rFonts w:cstheme="minorHAnsi"/>
                <w:color w:val="000000"/>
              </w:rPr>
            </w:pPr>
            <w:r>
              <w:rPr>
                <w:color w:val="000000"/>
              </w:rPr>
              <w:t>41.</w:t>
            </w:r>
            <w:r>
              <w:rPr>
                <w:color w:val="000000"/>
              </w:rPr>
              <w:tab/>
              <w:t>Prie également la Secrétaire exécutive de faire réaliser une étude comparant le Fonds pour l’environnement mondial avec les mécanismes financiers ou instruments similaires d’autres accords multilatéraux sur l’environnement pertinents, y compris en ce qui concerne les modalités de financement et le résultats financiers, les critères et le processus de financement, les modalités d’accès et de décaissement, le suivi et l’évaluation, la gouvernance, l’efficacité des coûts des opérations et leur nature juridique, afin d’éclairer les débats de l’Organe subsidiaire chargé de l’application avant la dix-huitième réunion de la Conférence des Parties.</w:t>
            </w:r>
          </w:p>
        </w:tc>
        <w:tc>
          <w:tcPr>
            <w:tcW w:w="2500" w:type="pct"/>
          </w:tcPr>
          <w:p w14:paraId="08E86ECD" w14:textId="4A279FFB" w:rsidR="00C004A0" w:rsidRPr="00C67737" w:rsidRDefault="00CD2191" w:rsidP="00495437">
            <w:pPr>
              <w:snapToGrid/>
              <w:spacing w:before="100" w:after="100"/>
              <w:rPr>
                <w:rFonts w:eastAsia="SimSun" w:cstheme="minorHAnsi"/>
                <w:color w:val="000000"/>
              </w:rPr>
            </w:pPr>
            <w:r>
              <w:rPr>
                <w:color w:val="000000"/>
              </w:rPr>
              <w:t>N’appelle pas de réponse</w:t>
            </w:r>
            <w:r w:rsidR="00C004A0">
              <w:rPr>
                <w:color w:val="000000"/>
              </w:rPr>
              <w:t>. Le GEF fournira, sur demande, les informations nécessaires à la réalisation de l’étude.</w:t>
            </w:r>
          </w:p>
        </w:tc>
      </w:tr>
      <w:tr w:rsidR="00C004A0" w:rsidRPr="00C67737" w14:paraId="70A97444" w14:textId="77777777" w:rsidTr="00A769A6">
        <w:tc>
          <w:tcPr>
            <w:tcW w:w="2500" w:type="pct"/>
          </w:tcPr>
          <w:p w14:paraId="17CF3EF5" w14:textId="405BBDBA" w:rsidR="00C004A0" w:rsidRPr="00C67737" w:rsidRDefault="00C004A0" w:rsidP="00495437">
            <w:pPr>
              <w:rPr>
                <w:rFonts w:cstheme="minorHAnsi"/>
                <w:b/>
                <w:bCs/>
              </w:rPr>
            </w:pPr>
            <w:bookmarkStart w:id="119" w:name="_Toc118354994"/>
            <w:r>
              <w:rPr>
                <w:b/>
              </w:rPr>
              <w:t>Annexe</w:t>
            </w:r>
            <w:bookmarkEnd w:id="119"/>
            <w:r w:rsidR="00111EA5">
              <w:rPr>
                <w:b/>
              </w:rPr>
              <w:t> </w:t>
            </w:r>
            <w:r>
              <w:rPr>
                <w:b/>
              </w:rPr>
              <w:t>I</w:t>
            </w:r>
            <w:bookmarkStart w:id="120" w:name="_Toc118354995"/>
            <w:r>
              <w:rPr>
                <w:b/>
              </w:rPr>
              <w:t xml:space="preserve">         </w:t>
            </w:r>
          </w:p>
          <w:p w14:paraId="04AEFFB2" w14:textId="3EA034D6" w:rsidR="00C004A0" w:rsidRPr="00C67737" w:rsidRDefault="00C004A0" w:rsidP="00D5243D">
            <w:pPr>
              <w:rPr>
                <w:rFonts w:cstheme="minorHAnsi"/>
                <w:b/>
                <w:bCs/>
              </w:rPr>
            </w:pPr>
            <w:r>
              <w:rPr>
                <w:b/>
                <w:bCs/>
              </w:rPr>
              <w:t xml:space="preserve">Cadre quadriennal axé sur les résultats des priorités du programme sur la biodiversité de la </w:t>
            </w:r>
            <w:r>
              <w:rPr>
                <w:b/>
                <w:bCs/>
              </w:rPr>
              <w:lastRenderedPageBreak/>
              <w:t xml:space="preserve">Convention sur la diversité biologique et de ses Protocoles pour la neuvième reconstitution des ressources </w:t>
            </w:r>
            <w:r w:rsidR="00D124A8">
              <w:rPr>
                <w:b/>
                <w:bCs/>
              </w:rPr>
              <w:t xml:space="preserve">du </w:t>
            </w:r>
            <w:r w:rsidR="00D124A8">
              <w:t xml:space="preserve">Fonds fiduciaire </w:t>
            </w:r>
            <w:r>
              <w:rPr>
                <w:b/>
                <w:bCs/>
              </w:rPr>
              <w:t xml:space="preserve">du Fonds pour l’environnement mondial </w:t>
            </w:r>
            <w:bookmarkEnd w:id="120"/>
            <w:r>
              <w:rPr>
                <w:b/>
                <w:bCs/>
              </w:rPr>
              <w:t>(2026-2030).</w:t>
            </w:r>
          </w:p>
          <w:p w14:paraId="4893F61A" w14:textId="77777777" w:rsidR="00C004A0" w:rsidRPr="00C67737" w:rsidRDefault="00C004A0" w:rsidP="00495437">
            <w:pPr>
              <w:keepNext/>
              <w:keepLines/>
              <w:tabs>
                <w:tab w:val="left" w:pos="60"/>
                <w:tab w:val="left" w:pos="1134"/>
                <w:tab w:val="left" w:pos="1701"/>
                <w:tab w:val="left" w:pos="2268"/>
                <w:tab w:val="left" w:pos="2835"/>
                <w:tab w:val="left" w:pos="3402"/>
              </w:tabs>
              <w:snapToGrid/>
              <w:spacing w:before="0" w:after="0"/>
              <w:ind w:hanging="30"/>
              <w:contextualSpacing/>
              <w:rPr>
                <w:rFonts w:eastAsia="SimSun" w:cstheme="minorHAnsi"/>
                <w:b/>
                <w:color w:val="000000"/>
              </w:rPr>
            </w:pPr>
            <w:r>
              <w:rPr>
                <w:b/>
                <w:color w:val="000000"/>
              </w:rPr>
              <w:t>I Objectif</w:t>
            </w:r>
          </w:p>
          <w:p w14:paraId="6F552440" w14:textId="1E181CC0" w:rsidR="00C004A0" w:rsidRPr="00C67737" w:rsidRDefault="00C004A0" w:rsidP="00495437">
            <w:pPr>
              <w:tabs>
                <w:tab w:val="left" w:pos="60"/>
                <w:tab w:val="left" w:pos="1134"/>
                <w:tab w:val="left" w:pos="1701"/>
                <w:tab w:val="left" w:pos="2268"/>
                <w:tab w:val="left" w:pos="2835"/>
                <w:tab w:val="left" w:pos="3402"/>
              </w:tabs>
              <w:snapToGrid/>
              <w:spacing w:before="0" w:after="0"/>
              <w:ind w:hanging="30"/>
              <w:contextualSpacing/>
              <w:rPr>
                <w:rFonts w:eastAsia="SimSun" w:cstheme="minorHAnsi"/>
                <w:color w:val="000000"/>
              </w:rPr>
            </w:pPr>
            <w:r>
              <w:rPr>
                <w:color w:val="000000"/>
              </w:rPr>
              <w:t>1.</w:t>
            </w:r>
            <w:r>
              <w:rPr>
                <w:color w:val="000000"/>
              </w:rPr>
              <w:tab/>
            </w:r>
            <w:r>
              <w:t>Le présent cadre quadriennal axé sur les résultats des priorités du programme sur la biodiversité sert d’orientation relative à la Convention sur la diversité biologique</w:t>
            </w:r>
            <w:r w:rsidRPr="00C67737">
              <w:rPr>
                <w:rFonts w:eastAsia="SimSun" w:cstheme="minorHAnsi"/>
                <w:color w:val="000000"/>
                <w:vertAlign w:val="superscript"/>
              </w:rPr>
              <w:footnoteReference w:id="81"/>
            </w:r>
            <w:r>
              <w:t xml:space="preserve"> et ses Protocoles à l’intention du Fonds pour l’environnement mondial pour la neuvième reconstitution de </w:t>
            </w:r>
            <w:r w:rsidR="00CD3559">
              <w:t xml:space="preserve">son fonds fiduciaire </w:t>
            </w:r>
            <w:r>
              <w:t>(2026-2030).</w:t>
            </w:r>
          </w:p>
          <w:p w14:paraId="305C9F2A" w14:textId="2E348E80" w:rsidR="00C004A0" w:rsidRPr="00C67737" w:rsidRDefault="00C004A0" w:rsidP="00495437">
            <w:pPr>
              <w:tabs>
                <w:tab w:val="left" w:pos="60"/>
                <w:tab w:val="left" w:pos="1134"/>
                <w:tab w:val="left" w:pos="1701"/>
                <w:tab w:val="left" w:pos="2268"/>
                <w:tab w:val="left" w:pos="2835"/>
                <w:tab w:val="left" w:pos="3402"/>
              </w:tabs>
              <w:snapToGrid/>
              <w:spacing w:before="0" w:after="0"/>
              <w:ind w:hanging="30"/>
              <w:contextualSpacing/>
              <w:rPr>
                <w:rFonts w:eastAsia="SimSun" w:cstheme="minorHAnsi"/>
                <w:color w:val="000000"/>
              </w:rPr>
            </w:pPr>
            <w:r>
              <w:rPr>
                <w:color w:val="000000"/>
              </w:rPr>
              <w:t>2.</w:t>
            </w:r>
            <w:r>
              <w:rPr>
                <w:color w:val="000000"/>
              </w:rPr>
              <w:tab/>
              <w:t xml:space="preserve">La Conférence des Parties à la Convention fournit ce cadre pour aider le secrétariat du Fonds pour l’environnement mondial et les participants aux négociations sur la reconstitution des ressources à déterminer les </w:t>
            </w:r>
            <w:r w:rsidR="00F02738">
              <w:rPr>
                <w:color w:val="000000"/>
              </w:rPr>
              <w:t>orientations programmatiques</w:t>
            </w:r>
            <w:r>
              <w:rPr>
                <w:color w:val="000000"/>
              </w:rPr>
              <w:t xml:space="preserve"> et les recommandations de politique générale pour la neuvième reconstitution des ressources </w:t>
            </w:r>
            <w:r w:rsidR="005F3057">
              <w:rPr>
                <w:color w:val="000000"/>
              </w:rPr>
              <w:t xml:space="preserve">du </w:t>
            </w:r>
            <w:r w:rsidR="005F3057">
              <w:t xml:space="preserve">Fonds fiduciaire du Fonds </w:t>
            </w:r>
            <w:r w:rsidR="005F3057">
              <w:rPr>
                <w:color w:val="000000"/>
              </w:rPr>
              <w:t>pour l’Environnement Mondial</w:t>
            </w:r>
            <w:r w:rsidR="00DB127B">
              <w:rPr>
                <w:color w:val="000000"/>
              </w:rPr>
              <w:t>.</w:t>
            </w:r>
          </w:p>
          <w:p w14:paraId="6C52E818" w14:textId="63B2E3EB" w:rsidR="00C004A0" w:rsidRPr="00C67737" w:rsidRDefault="00C004A0" w:rsidP="00495437">
            <w:pPr>
              <w:tabs>
                <w:tab w:val="left" w:pos="60"/>
                <w:tab w:val="left" w:pos="1134"/>
                <w:tab w:val="left" w:pos="1701"/>
                <w:tab w:val="left" w:pos="2268"/>
                <w:tab w:val="left" w:pos="2835"/>
                <w:tab w:val="left" w:pos="3402"/>
              </w:tabs>
              <w:snapToGrid/>
              <w:spacing w:before="0" w:after="0"/>
              <w:ind w:hanging="30"/>
              <w:contextualSpacing/>
              <w:rPr>
                <w:rFonts w:eastAsia="SimSun" w:cstheme="minorHAnsi"/>
                <w:color w:val="000000"/>
              </w:rPr>
            </w:pPr>
            <w:r>
              <w:rPr>
                <w:color w:val="000000"/>
              </w:rPr>
              <w:t>3.</w:t>
            </w:r>
            <w:r>
              <w:rPr>
                <w:color w:val="000000"/>
              </w:rPr>
              <w:tab/>
              <w:t>Le cadre est également fourni dans le contexte du mandat du Fonds pour l’environnement mondial, qui est de fournir des ressources aux fins de l’amélioration de l’environnement, et du mandat confié au Fonds par la Conférence des Parties dans son mémorandum d’accord avec le Conseil du Fonds pour l’environnement mondial</w:t>
            </w:r>
            <w:r w:rsidRPr="00C67737">
              <w:rPr>
                <w:rFonts w:eastAsia="SimSun" w:cstheme="minorHAnsi"/>
                <w:color w:val="000000"/>
                <w:vertAlign w:val="superscript"/>
              </w:rPr>
              <w:footnoteReference w:id="82"/>
            </w:r>
            <w:r>
              <w:rPr>
                <w:color w:val="000000"/>
              </w:rPr>
              <w:t>.</w:t>
            </w:r>
          </w:p>
          <w:p w14:paraId="439ED8C1" w14:textId="2C00651A" w:rsidR="00C004A0" w:rsidRPr="00C67737" w:rsidRDefault="00C004A0" w:rsidP="00495437">
            <w:pPr>
              <w:tabs>
                <w:tab w:val="left" w:pos="60"/>
                <w:tab w:val="left" w:pos="1134"/>
                <w:tab w:val="left" w:pos="1701"/>
                <w:tab w:val="left" w:pos="2268"/>
                <w:tab w:val="left" w:pos="2835"/>
                <w:tab w:val="left" w:pos="3402"/>
              </w:tabs>
              <w:snapToGrid/>
              <w:spacing w:before="0" w:after="0"/>
              <w:ind w:hanging="30"/>
              <w:contextualSpacing/>
              <w:rPr>
                <w:rFonts w:eastAsia="SimSun" w:cstheme="minorHAnsi"/>
                <w:color w:val="000000"/>
              </w:rPr>
            </w:pPr>
            <w:r>
              <w:rPr>
                <w:color w:val="000000"/>
              </w:rPr>
              <w:t>4.</w:t>
            </w:r>
            <w:r>
              <w:rPr>
                <w:color w:val="000000"/>
              </w:rPr>
              <w:tab/>
            </w:r>
            <w:r>
              <w:t xml:space="preserve">Ce cadre s’appuie sur la Convention et ses Protocoles ainsi que sur le </w:t>
            </w:r>
            <w:r>
              <w:rPr>
                <w:snapToGrid w:val="0"/>
              </w:rPr>
              <w:t>Cadre mondial de la biodiversité de Kunming-Montréal</w:t>
            </w:r>
            <w:r w:rsidRPr="00C67737">
              <w:rPr>
                <w:rFonts w:eastAsia="SimSun" w:cstheme="minorHAnsi"/>
                <w:snapToGrid w:val="0"/>
                <w:color w:val="000000"/>
                <w:kern w:val="22"/>
                <w:vertAlign w:val="superscript"/>
                <w:lang w:eastAsia="zh-CN"/>
              </w:rPr>
              <w:footnoteReference w:id="83"/>
            </w:r>
            <w:r>
              <w:rPr>
                <w:snapToGrid w:val="0"/>
              </w:rPr>
              <w:t xml:space="preserve"> </w:t>
            </w:r>
            <w:r>
              <w:rPr>
                <w:color w:val="000000"/>
              </w:rPr>
              <w:t xml:space="preserve">pour définir les priorités stratégiques du mécanisme de financement de la Convention, qui devraient être mises en œuvre par le Fonds pour l’environnement mondial grâce à ses </w:t>
            </w:r>
            <w:r w:rsidR="00F02738">
              <w:rPr>
                <w:color w:val="000000"/>
              </w:rPr>
              <w:t>orientations programmatiques</w:t>
            </w:r>
            <w:r>
              <w:rPr>
                <w:color w:val="000000"/>
              </w:rPr>
              <w:t xml:space="preserve"> pour la neuvième reconstitution des ressources.</w:t>
            </w:r>
          </w:p>
          <w:p w14:paraId="3FEE3DA7" w14:textId="77777777" w:rsidR="00C004A0" w:rsidRPr="00C67737" w:rsidRDefault="00C004A0" w:rsidP="00495437">
            <w:pPr>
              <w:tabs>
                <w:tab w:val="left" w:pos="60"/>
                <w:tab w:val="left" w:pos="1134"/>
                <w:tab w:val="left" w:pos="1701"/>
                <w:tab w:val="left" w:pos="2268"/>
                <w:tab w:val="left" w:pos="2835"/>
                <w:tab w:val="left" w:pos="3402"/>
              </w:tabs>
              <w:snapToGrid/>
              <w:spacing w:before="0" w:after="0"/>
              <w:ind w:hanging="30"/>
              <w:contextualSpacing/>
              <w:rPr>
                <w:rFonts w:eastAsia="SimSun" w:cstheme="minorHAnsi"/>
                <w:color w:val="000000"/>
              </w:rPr>
            </w:pPr>
            <w:r>
              <w:rPr>
                <w:color w:val="000000"/>
              </w:rPr>
              <w:t>5.</w:t>
            </w:r>
            <w:r>
              <w:rPr>
                <w:color w:val="000000"/>
              </w:rPr>
              <w:tab/>
              <w:t xml:space="preserve">Il est entendu que, dans le cadre actuel des priorités du programme, le Cadre mondial de la biodiversité de Kunming-Montréal devrait être utilisé comme plan stratégique pour la mise en </w:t>
            </w:r>
            <w:r>
              <w:rPr>
                <w:color w:val="000000"/>
              </w:rPr>
              <w:lastRenderedPageBreak/>
              <w:t>œuvre de la Convention et de ses Protocoles au cours de la période allant jusqu’à 2030.</w:t>
            </w:r>
          </w:p>
          <w:p w14:paraId="31C00BD5" w14:textId="4B38314B" w:rsidR="00C004A0" w:rsidRPr="00C67737" w:rsidRDefault="00C004A0" w:rsidP="00495437">
            <w:pPr>
              <w:tabs>
                <w:tab w:val="left" w:pos="60"/>
                <w:tab w:val="left" w:pos="1134"/>
                <w:tab w:val="left" w:pos="1701"/>
                <w:tab w:val="left" w:pos="2268"/>
                <w:tab w:val="left" w:pos="2835"/>
                <w:tab w:val="left" w:pos="3402"/>
              </w:tabs>
              <w:snapToGrid/>
              <w:spacing w:before="0" w:after="0"/>
              <w:ind w:hanging="30"/>
              <w:contextualSpacing/>
              <w:rPr>
                <w:rFonts w:eastAsia="SimSun" w:cstheme="minorHAnsi"/>
                <w:color w:val="000000"/>
              </w:rPr>
            </w:pPr>
            <w:r>
              <w:rPr>
                <w:color w:val="000000"/>
              </w:rPr>
              <w:t>6.</w:t>
            </w:r>
            <w:r>
              <w:rPr>
                <w:color w:val="000000"/>
              </w:rPr>
              <w:tab/>
              <w:t xml:space="preserve">En particulier, les objectifs et cibles du </w:t>
            </w:r>
            <w:r>
              <w:rPr>
                <w:snapToGrid w:val="0"/>
                <w:color w:val="000000"/>
              </w:rPr>
              <w:t>Cadre mondial de la biodiversité</w:t>
            </w:r>
            <w:r>
              <w:rPr>
                <w:color w:val="000000"/>
              </w:rPr>
              <w:t xml:space="preserve"> de Kunming-Montréal orientent les résultats du présent cadre quadriennal, étant entendu que la période de la neuvième reconstitution des ressources coïncide avec la période de quatre ans menant à l’échéance de 2030 pour la réalisation des cibles, tout en reconnaissant que chacun des trois objectifs de la Convention devrait être abordé par le Fonds </w:t>
            </w:r>
            <w:r w:rsidR="00DB127B">
              <w:rPr>
                <w:color w:val="000000"/>
              </w:rPr>
              <w:t>pour</w:t>
            </w:r>
            <w:r>
              <w:rPr>
                <w:color w:val="000000"/>
              </w:rPr>
              <w:t xml:space="preserve"> l’environnement </w:t>
            </w:r>
            <w:r w:rsidR="00DB127B">
              <w:rPr>
                <w:color w:val="000000"/>
              </w:rPr>
              <w:t>mondial</w:t>
            </w:r>
            <w:r w:rsidR="006C6ED2">
              <w:rPr>
                <w:color w:val="000000"/>
              </w:rPr>
              <w:t xml:space="preserve"> </w:t>
            </w:r>
            <w:r>
              <w:rPr>
                <w:color w:val="000000"/>
              </w:rPr>
              <w:t xml:space="preserve">de manière équilibrée lors de la conception et de la mise en œuvre de ses </w:t>
            </w:r>
            <w:r w:rsidR="00F02738">
              <w:rPr>
                <w:color w:val="000000"/>
              </w:rPr>
              <w:t>orientations programmatiques</w:t>
            </w:r>
            <w:r>
              <w:rPr>
                <w:color w:val="000000"/>
              </w:rPr>
              <w:t xml:space="preserve"> et de ses recommandations de politique générale pour la neuvième reconstitution des ressources.</w:t>
            </w:r>
          </w:p>
          <w:p w14:paraId="2F92ADE4" w14:textId="1E6B1D28" w:rsidR="00C004A0" w:rsidRPr="00C67737" w:rsidRDefault="00C004A0" w:rsidP="00495437">
            <w:pPr>
              <w:tabs>
                <w:tab w:val="left" w:pos="60"/>
                <w:tab w:val="left" w:pos="1134"/>
                <w:tab w:val="left" w:pos="1701"/>
                <w:tab w:val="left" w:pos="2268"/>
                <w:tab w:val="left" w:pos="2835"/>
                <w:tab w:val="left" w:pos="3402"/>
              </w:tabs>
              <w:snapToGrid/>
              <w:spacing w:before="0" w:after="0"/>
              <w:ind w:hanging="30"/>
              <w:contextualSpacing/>
              <w:rPr>
                <w:rFonts w:eastAsia="SimSun" w:cstheme="minorHAnsi"/>
                <w:color w:val="000000"/>
              </w:rPr>
            </w:pPr>
            <w:r>
              <w:rPr>
                <w:color w:val="000000"/>
              </w:rPr>
              <w:t>7.</w:t>
            </w:r>
            <w:r>
              <w:rPr>
                <w:color w:val="000000"/>
              </w:rPr>
              <w:tab/>
            </w:r>
            <w:r>
              <w:t xml:space="preserve">Le caractère intégré et indivisible des composantes du </w:t>
            </w:r>
            <w:bookmarkStart w:id="121" w:name="_Hlk167449839"/>
            <w:r>
              <w:rPr>
                <w:snapToGrid w:val="0"/>
                <w:color w:val="000000"/>
              </w:rPr>
              <w:t>Cadre mondial de la biodiversité de Kunming-Montréal</w:t>
            </w:r>
            <w:bookmarkEnd w:id="121"/>
            <w:r>
              <w:t>, qui comprennent les considérations relatives à sa mise en œuvre (sect. C du Cadre), le mécanisme de mise en œuvre et d’appui et les conditions propices (sect. I) ainsi que la responsabilité et la transparence (sect. J), est pris en compte dans le présent cadre, de même que l’opérationnalisation du Fonds du Cadre mondial de la biodiversité et l’appui complémentaire qu’il apporte au Fonds pour l’environnement mondial pour faciliter la mise en œuvre du Cadre mondial de la biodiversité de Kunming-Montréal.</w:t>
            </w:r>
          </w:p>
          <w:p w14:paraId="2925D08E" w14:textId="77777777" w:rsidR="00C004A0" w:rsidRPr="00C67737" w:rsidRDefault="00C004A0" w:rsidP="00495437">
            <w:pPr>
              <w:tabs>
                <w:tab w:val="left" w:pos="60"/>
                <w:tab w:val="left" w:pos="1134"/>
                <w:tab w:val="left" w:pos="1701"/>
                <w:tab w:val="left" w:pos="2268"/>
                <w:tab w:val="left" w:pos="2835"/>
                <w:tab w:val="left" w:pos="3402"/>
              </w:tabs>
              <w:snapToGrid/>
              <w:spacing w:before="0" w:after="0"/>
              <w:ind w:hanging="30"/>
              <w:contextualSpacing/>
              <w:rPr>
                <w:rFonts w:cstheme="minorHAnsi"/>
                <w:color w:val="000000"/>
              </w:rPr>
            </w:pPr>
            <w:r>
              <w:rPr>
                <w:color w:val="000000"/>
              </w:rPr>
              <w:t>8.</w:t>
            </w:r>
            <w:r>
              <w:rPr>
                <w:color w:val="000000"/>
              </w:rPr>
              <w:tab/>
              <w:t xml:space="preserve">Reconnaissant que le </w:t>
            </w:r>
            <w:r>
              <w:rPr>
                <w:snapToGrid w:val="0"/>
                <w:color w:val="000000"/>
              </w:rPr>
              <w:t>Cadre mondial de la biodiversité de Kunming-Montréal</w:t>
            </w:r>
            <w:r>
              <w:rPr>
                <w:color w:val="000000"/>
              </w:rPr>
              <w:t xml:space="preserve"> est pertinent pour toutes les conventions relatives à la biodiversité et autres accords multilatéraux sur l’environnement, le présent cadre vise à promouvoir la mise en œuvre de mesures complémentaires susceptibles de renforcer les synergies programmatiques et l’efficacité entre la Convention sur la diversité biologique et ses Protocoles et d’autres conventions relatives à la biodiversité, accords et cadres multilatéraux sur l’environnement, pertinents pour le </w:t>
            </w:r>
            <w:r>
              <w:rPr>
                <w:snapToGrid w:val="0"/>
                <w:color w:val="000000"/>
              </w:rPr>
              <w:t>Cadre mondial de la biodiversité de Kunming-Montréal</w:t>
            </w:r>
            <w:r>
              <w:rPr>
                <w:color w:val="000000"/>
              </w:rPr>
              <w:t xml:space="preserve"> et le mandat du Fonds pour l’environnement mondial, tout en reconnaissant la nécessité d’améliorer sensiblement la transparence et les rapports y afférents.</w:t>
            </w:r>
          </w:p>
        </w:tc>
        <w:tc>
          <w:tcPr>
            <w:tcW w:w="2500" w:type="pct"/>
          </w:tcPr>
          <w:p w14:paraId="2ABEB16D" w14:textId="79B7AAE2" w:rsidR="00C004A0" w:rsidRPr="00C67737" w:rsidRDefault="00C004A0" w:rsidP="00495437">
            <w:pPr>
              <w:snapToGrid/>
              <w:spacing w:before="0" w:after="0"/>
              <w:contextualSpacing/>
              <w:rPr>
                <w:rFonts w:eastAsia="SimSun" w:cstheme="minorHAnsi"/>
                <w:color w:val="000000"/>
              </w:rPr>
            </w:pPr>
            <w:r>
              <w:lastRenderedPageBreak/>
              <w:t xml:space="preserve">Les </w:t>
            </w:r>
            <w:r w:rsidR="00F02738">
              <w:t>orientations programmatiques</w:t>
            </w:r>
            <w:r>
              <w:t xml:space="preserve"> de </w:t>
            </w:r>
            <w:r w:rsidR="00376C22">
              <w:t>GEF</w:t>
            </w:r>
            <w:r w:rsidR="00376C22">
              <w:noBreakHyphen/>
            </w:r>
            <w:r>
              <w:t>9</w:t>
            </w:r>
            <w:r w:rsidRPr="00C67737">
              <w:rPr>
                <w:rFonts w:cstheme="minorHAnsi"/>
                <w:color w:val="000000"/>
                <w:vertAlign w:val="superscript"/>
              </w:rPr>
              <w:footnoteReference w:id="84"/>
            </w:r>
            <w:r>
              <w:t xml:space="preserve"> ont été conçues pour répondre au cadre quadriennal axé sur les résultats des priorités du programme sur </w:t>
            </w:r>
            <w:r>
              <w:lastRenderedPageBreak/>
              <w:t>la biodiversité.</w:t>
            </w:r>
            <w:r>
              <w:rPr>
                <w:color w:val="000000"/>
              </w:rPr>
              <w:t xml:space="preserve"> Les tableaux</w:t>
            </w:r>
            <w:r w:rsidR="00111EA5">
              <w:rPr>
                <w:color w:val="000000"/>
              </w:rPr>
              <w:t> </w:t>
            </w:r>
            <w:r>
              <w:rPr>
                <w:color w:val="000000"/>
              </w:rPr>
              <w:t xml:space="preserve">9 et 10 du présent rapport présentent une correspondance détaillée entre les points d’entrée de </w:t>
            </w:r>
            <w:r w:rsidR="00376C22">
              <w:rPr>
                <w:color w:val="000000"/>
              </w:rPr>
              <w:t>GEF</w:t>
            </w:r>
            <w:r w:rsidR="00376C22">
              <w:rPr>
                <w:color w:val="000000"/>
              </w:rPr>
              <w:noBreakHyphen/>
            </w:r>
            <w:r>
              <w:rPr>
                <w:color w:val="000000"/>
              </w:rPr>
              <w:t>9, d’une part, et les priorités du cadre de la Convention sur la diversité biologique ainsi que les cibles du KMGBF, d’autre part.</w:t>
            </w:r>
          </w:p>
        </w:tc>
      </w:tr>
      <w:tr w:rsidR="00C004A0" w:rsidRPr="00C67737" w14:paraId="42D2F034" w14:textId="77777777" w:rsidTr="00A769A6">
        <w:tc>
          <w:tcPr>
            <w:tcW w:w="2500" w:type="pct"/>
          </w:tcPr>
          <w:p w14:paraId="2FDE5475" w14:textId="1DCEBD6F" w:rsidR="00C004A0" w:rsidRPr="00C67737" w:rsidRDefault="00134B2E" w:rsidP="00495437">
            <w:pPr>
              <w:rPr>
                <w:rFonts w:cstheme="minorHAnsi"/>
                <w:b/>
                <w:bCs/>
              </w:rPr>
            </w:pPr>
            <w:r>
              <w:rPr>
                <w:b/>
              </w:rPr>
              <w:lastRenderedPageBreak/>
              <w:t>II</w:t>
            </w:r>
            <w:r w:rsidR="00BB31FA">
              <w:rPr>
                <w:b/>
              </w:rPr>
              <w:t xml:space="preserve">. </w:t>
            </w:r>
            <w:r w:rsidR="00C004A0">
              <w:rPr>
                <w:b/>
              </w:rPr>
              <w:t>Éléments</w:t>
            </w:r>
          </w:p>
          <w:p w14:paraId="7F5ADACD" w14:textId="703AA05A"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color w:val="000000"/>
              </w:rPr>
            </w:pPr>
            <w:r>
              <w:rPr>
                <w:color w:val="000000"/>
              </w:rPr>
              <w:t>9.</w:t>
            </w:r>
            <w:r>
              <w:rPr>
                <w:color w:val="000000"/>
              </w:rPr>
              <w:tab/>
              <w:t>Le cadre quadriennal axé sur les résultats des priorités du programme sur la biodiversité pour la période</w:t>
            </w:r>
            <w:r w:rsidR="00111EA5">
              <w:rPr>
                <w:color w:val="000000"/>
              </w:rPr>
              <w:t> </w:t>
            </w:r>
            <w:r>
              <w:rPr>
                <w:color w:val="000000"/>
              </w:rPr>
              <w:t>2026-2030 comprend les éléments suivants relevant de la Convention sur la diversité biologique et de ses Protocoles pour lesquels un appui efficace à la mise en œuvre doit être fourni</w:t>
            </w:r>
            <w:r w:rsidR="006E54C7">
              <w:rPr>
                <w:color w:val="000000"/>
              </w:rPr>
              <w:t> :</w:t>
            </w:r>
          </w:p>
          <w:p w14:paraId="5B88E38E" w14:textId="2EACFD80"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bookmarkStart w:id="122" w:name="_Hlk163904595"/>
            <w:r>
              <w:rPr>
                <w:color w:val="000000"/>
              </w:rPr>
              <w:t>a) La mise en œuvre équilibrée des trois objectifs de la Convention</w:t>
            </w:r>
            <w:r w:rsidR="00111EA5">
              <w:rPr>
                <w:color w:val="000000"/>
              </w:rPr>
              <w:t> </w:t>
            </w:r>
            <w:r>
              <w:rPr>
                <w:color w:val="000000"/>
              </w:rPr>
              <w:t>;</w:t>
            </w:r>
          </w:p>
          <w:p w14:paraId="2D8EACCF" w14:textId="4492AB5A"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rPr>
                <w:color w:val="000000"/>
              </w:rPr>
              <w:t>b) Le Cadre mondial de la biodiversité de Kunming-Montréal, y compris chacun de ses objectifs et cibles, qui définissent les résultats attendus</w:t>
            </w:r>
            <w:r w:rsidR="00111EA5">
              <w:rPr>
                <w:color w:val="000000"/>
              </w:rPr>
              <w:t> </w:t>
            </w:r>
            <w:r>
              <w:rPr>
                <w:color w:val="000000"/>
              </w:rPr>
              <w:t>;</w:t>
            </w:r>
          </w:p>
          <w:bookmarkEnd w:id="122"/>
          <w:p w14:paraId="55883C18" w14:textId="2DDD6E45"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rPr>
                <w:color w:val="000000"/>
              </w:rPr>
              <w:t>c) Les stratégies et plans d’action nationaux pour la biodiversité, y compris les cibles nationales en matière de biodiversité</w:t>
            </w:r>
            <w:r w:rsidR="00111EA5">
              <w:rPr>
                <w:color w:val="000000"/>
              </w:rPr>
              <w:t> </w:t>
            </w:r>
            <w:r>
              <w:rPr>
                <w:color w:val="000000"/>
              </w:rPr>
              <w:t>;</w:t>
            </w:r>
          </w:p>
          <w:p w14:paraId="667635B7" w14:textId="4FA9F4C0"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rPr>
                <w:color w:val="000000"/>
              </w:rPr>
              <w:t>d) Les plans nationaux de financement de la biodiversité ou instruments similaires</w:t>
            </w:r>
            <w:r w:rsidR="00111EA5">
              <w:rPr>
                <w:color w:val="000000"/>
              </w:rPr>
              <w:t> </w:t>
            </w:r>
            <w:r>
              <w:rPr>
                <w:color w:val="000000"/>
              </w:rPr>
              <w:t>;</w:t>
            </w:r>
          </w:p>
          <w:p w14:paraId="5FF794E1" w14:textId="24A68009"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bCs/>
                <w:iCs/>
                <w:color w:val="000000"/>
              </w:rPr>
            </w:pPr>
            <w:r>
              <w:rPr>
                <w:color w:val="000000"/>
              </w:rPr>
              <w:t>e) Les mécanismes et stratégies adoptés au titre de la Convention pour renforcer les moyens de mise en œuvre du Cadre mondial de la biodiversité de Kunming-Montréal, en particulier les activités admissibles dans le cadre des mécanismes suivants</w:t>
            </w:r>
            <w:r w:rsidR="006E54C7">
              <w:rPr>
                <w:color w:val="000000"/>
              </w:rPr>
              <w:t> :</w:t>
            </w:r>
          </w:p>
          <w:p w14:paraId="38176F0E" w14:textId="465536D3"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bCs/>
                <w:iCs/>
                <w:color w:val="000000"/>
              </w:rPr>
            </w:pPr>
            <w:r>
              <w:t>i</w:t>
            </w:r>
            <w:r>
              <w:rPr>
                <w:color w:val="000000"/>
              </w:rPr>
              <w:t>) Stratégie de mobilisation des ressources pour la période</w:t>
            </w:r>
            <w:r w:rsidR="00111EA5">
              <w:rPr>
                <w:color w:val="000000"/>
              </w:rPr>
              <w:t> </w:t>
            </w:r>
            <w:r>
              <w:rPr>
                <w:color w:val="000000"/>
              </w:rPr>
              <w:t>2025-2030</w:t>
            </w:r>
            <w:r w:rsidRPr="00C67737">
              <w:rPr>
                <w:rFonts w:eastAsia="SimSun" w:cstheme="minorHAnsi"/>
                <w:bCs/>
                <w:iCs/>
                <w:color w:val="000000"/>
                <w:vertAlign w:val="superscript"/>
              </w:rPr>
              <w:footnoteReference w:id="85"/>
            </w:r>
          </w:p>
          <w:p w14:paraId="760C3477" w14:textId="0BF72237"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bCs/>
                <w:iCs/>
                <w:color w:val="000000"/>
              </w:rPr>
            </w:pPr>
            <w:r>
              <w:t xml:space="preserve">ii) </w:t>
            </w:r>
            <w:r>
              <w:rPr>
                <w:color w:val="000000"/>
              </w:rPr>
              <w:t>Cadre stratégique à long terme pour le développement et le renforcement des capacités</w:t>
            </w:r>
            <w:r w:rsidRPr="00C67737">
              <w:rPr>
                <w:rFonts w:eastAsia="SimSun" w:cstheme="minorHAnsi"/>
                <w:bCs/>
                <w:iCs/>
                <w:color w:val="000000"/>
                <w:vertAlign w:val="superscript"/>
              </w:rPr>
              <w:footnoteReference w:id="86"/>
            </w:r>
            <w:r w:rsidR="00111EA5">
              <w:rPr>
                <w:color w:val="000000"/>
              </w:rPr>
              <w:t> </w:t>
            </w:r>
            <w:r>
              <w:rPr>
                <w:color w:val="000000"/>
              </w:rPr>
              <w:t>;</w:t>
            </w:r>
            <w:r>
              <w:t xml:space="preserve"> </w:t>
            </w:r>
          </w:p>
          <w:p w14:paraId="4D45A4E7" w14:textId="6B0EFC16"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color w:val="000000"/>
              </w:rPr>
            </w:pPr>
            <w:r>
              <w:t xml:space="preserve">iii) Stratégie de gestion des connaissances à l’appui de la mise en œuvre du </w:t>
            </w:r>
            <w:r>
              <w:rPr>
                <w:snapToGrid w:val="0"/>
              </w:rPr>
              <w:t xml:space="preserve">Cadre mondial de </w:t>
            </w:r>
            <w:r w:rsidR="00C93CD7">
              <w:rPr>
                <w:snapToGrid w:val="0"/>
              </w:rPr>
              <w:t xml:space="preserve">la </w:t>
            </w:r>
            <w:r>
              <w:rPr>
                <w:snapToGrid w:val="0"/>
              </w:rPr>
              <w:t>biodiversité de Kunming-Montréal</w:t>
            </w:r>
            <w:r w:rsidRPr="00C67737">
              <w:rPr>
                <w:rFonts w:eastAsia="SimSun" w:cstheme="minorHAnsi"/>
                <w:color w:val="000000"/>
                <w:vertAlign w:val="superscript"/>
              </w:rPr>
              <w:footnoteReference w:id="87"/>
            </w:r>
            <w:r w:rsidR="00034296">
              <w:t> </w:t>
            </w:r>
            <w:r>
              <w:t xml:space="preserve">; </w:t>
            </w:r>
          </w:p>
          <w:p w14:paraId="03D40C83" w14:textId="3B6848FA"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bCs/>
                <w:iCs/>
                <w:color w:val="000000"/>
              </w:rPr>
            </w:pPr>
            <w:r>
              <w:rPr>
                <w:color w:val="000000"/>
              </w:rPr>
              <w:t xml:space="preserve">f) Les activités admissibles au titre des plans d’action adoptés dans le cadre de la Convention pour appuyer la mise en œuvre efficace et inclusive du </w:t>
            </w:r>
            <w:r>
              <w:rPr>
                <w:snapToGrid w:val="0"/>
                <w:color w:val="000000"/>
              </w:rPr>
              <w:t>Cadre mondial de la biodiversité de Kunming-Montréal</w:t>
            </w:r>
            <w:r>
              <w:rPr>
                <w:color w:val="000000"/>
              </w:rPr>
              <w:t>, notamment</w:t>
            </w:r>
            <w:r w:rsidR="006E54C7">
              <w:rPr>
                <w:color w:val="000000"/>
              </w:rPr>
              <w:t> :</w:t>
            </w:r>
          </w:p>
          <w:p w14:paraId="78F0A1DA" w14:textId="325EDE00"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bCs/>
                <w:iCs/>
                <w:color w:val="000000"/>
              </w:rPr>
            </w:pPr>
            <w:r>
              <w:rPr>
                <w:color w:val="000000"/>
              </w:rPr>
              <w:t xml:space="preserve">i) Plan d’action relatif aux autorités infranationales, aux municipalités et aux </w:t>
            </w:r>
            <w:r>
              <w:rPr>
                <w:color w:val="000000"/>
              </w:rPr>
              <w:lastRenderedPageBreak/>
              <w:t>autres autorités locales en faveur de la biodiversité (2023-2030)</w:t>
            </w:r>
            <w:r w:rsidRPr="00C67737">
              <w:rPr>
                <w:rFonts w:eastAsia="SimSun" w:cstheme="minorHAnsi"/>
                <w:bCs/>
                <w:iCs/>
                <w:color w:val="000000"/>
                <w:vertAlign w:val="superscript"/>
              </w:rPr>
              <w:footnoteReference w:id="88"/>
            </w:r>
            <w:r w:rsidR="00034296">
              <w:rPr>
                <w:color w:val="000000"/>
              </w:rPr>
              <w:t> </w:t>
            </w:r>
            <w:r>
              <w:rPr>
                <w:color w:val="000000"/>
              </w:rPr>
              <w:t>;</w:t>
            </w:r>
          </w:p>
          <w:p w14:paraId="427E251A" w14:textId="5C1F5202"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bCs/>
                <w:iCs/>
                <w:color w:val="000000"/>
              </w:rPr>
            </w:pPr>
            <w:r>
              <w:rPr>
                <w:color w:val="000000"/>
              </w:rPr>
              <w:t>ii) Plan d’action pour l’égalité des sexes (2023–2030)</w:t>
            </w:r>
            <w:r w:rsidRPr="00C67737">
              <w:rPr>
                <w:rFonts w:eastAsia="SimSun" w:cstheme="minorHAnsi"/>
                <w:bCs/>
                <w:iCs/>
                <w:color w:val="000000"/>
                <w:vertAlign w:val="superscript"/>
              </w:rPr>
              <w:footnoteReference w:id="89"/>
            </w:r>
            <w:r w:rsidR="00034296">
              <w:rPr>
                <w:color w:val="000000"/>
              </w:rPr>
              <w:t> </w:t>
            </w:r>
            <w:r>
              <w:rPr>
                <w:color w:val="000000"/>
              </w:rPr>
              <w:t>;</w:t>
            </w:r>
          </w:p>
          <w:p w14:paraId="7C62287D" w14:textId="6EF0EDAE"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bCs/>
                <w:iCs/>
                <w:color w:val="000000"/>
              </w:rPr>
            </w:pPr>
            <w:r>
              <w:rPr>
                <w:color w:val="000000"/>
              </w:rPr>
              <w:t xml:space="preserve">iii) Plan d’action mondial sur la biodiversité et la santé </w:t>
            </w:r>
            <w:r w:rsidRPr="00C67737">
              <w:rPr>
                <w:rFonts w:eastAsia="SimSun" w:cstheme="minorHAnsi"/>
                <w:bCs/>
                <w:iCs/>
                <w:color w:val="000000"/>
                <w:vertAlign w:val="superscript"/>
              </w:rPr>
              <w:footnoteReference w:id="90"/>
            </w:r>
          </w:p>
          <w:p w14:paraId="5CB83FA4" w14:textId="52CEED7B" w:rsidR="00C004A0" w:rsidRPr="00C67737" w:rsidRDefault="00394E71"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bCs/>
                <w:iCs/>
                <w:color w:val="000000"/>
              </w:rPr>
            </w:pPr>
            <w:r>
              <w:t>g</w:t>
            </w:r>
            <w:r w:rsidR="00C004A0">
              <w:t xml:space="preserve">) Le cadre de suivi du </w:t>
            </w:r>
            <w:r w:rsidR="00C004A0">
              <w:rPr>
                <w:snapToGrid w:val="0"/>
              </w:rPr>
              <w:t xml:space="preserve">Cadre mondial </w:t>
            </w:r>
            <w:r w:rsidR="00A8184B">
              <w:rPr>
                <w:snapToGrid w:val="0"/>
              </w:rPr>
              <w:t xml:space="preserve">de la </w:t>
            </w:r>
            <w:r w:rsidR="00C004A0">
              <w:rPr>
                <w:snapToGrid w:val="0"/>
              </w:rPr>
              <w:t>biodiversité de Kunming-Montréal</w:t>
            </w:r>
            <w:r w:rsidR="00C004A0" w:rsidRPr="00C67737">
              <w:rPr>
                <w:rFonts w:eastAsia="SimSun" w:cstheme="minorHAnsi"/>
                <w:bCs/>
                <w:iCs/>
                <w:color w:val="000000"/>
                <w:vertAlign w:val="superscript"/>
              </w:rPr>
              <w:footnoteReference w:id="91"/>
            </w:r>
            <w:r w:rsidR="00C004A0">
              <w:t xml:space="preserve"> et l’approche multidimensionnelle renforcée de la planification, du suivi, de l’établissement de rapports et de l’examen</w:t>
            </w:r>
            <w:r w:rsidR="00C004A0" w:rsidRPr="00C67737">
              <w:rPr>
                <w:rFonts w:eastAsia="SimSun" w:cstheme="minorHAnsi"/>
                <w:bCs/>
                <w:iCs/>
                <w:color w:val="000000"/>
                <w:vertAlign w:val="superscript"/>
              </w:rPr>
              <w:footnoteReference w:id="92"/>
            </w:r>
            <w:r w:rsidR="00034296">
              <w:t> </w:t>
            </w:r>
            <w:r w:rsidR="00C004A0">
              <w:t xml:space="preserve">; </w:t>
            </w:r>
          </w:p>
          <w:p w14:paraId="236E56B7" w14:textId="441C25C6"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t xml:space="preserve">h) Le Plan de mise en œuvre </w:t>
            </w:r>
            <w:r w:rsidRPr="00C67737">
              <w:rPr>
                <w:rFonts w:eastAsia="SimSun" w:cstheme="minorHAnsi"/>
                <w:iCs/>
                <w:color w:val="000000"/>
                <w:vertAlign w:val="superscript"/>
              </w:rPr>
              <w:footnoteReference w:id="93"/>
            </w:r>
            <w:r>
              <w:t xml:space="preserve"> et le Plan d’action pour le renforcement des capacités</w:t>
            </w:r>
            <w:r w:rsidRPr="00C67737">
              <w:rPr>
                <w:rFonts w:eastAsia="SimSun" w:cstheme="minorHAnsi"/>
                <w:iCs/>
                <w:color w:val="000000"/>
                <w:vertAlign w:val="superscript"/>
              </w:rPr>
              <w:footnoteReference w:id="94"/>
            </w:r>
            <w:r>
              <w:t xml:space="preserve"> du Protocole de</w:t>
            </w:r>
            <w:r w:rsidR="003C203B">
              <w:t xml:space="preserve"> Carthagène</w:t>
            </w:r>
            <w:r>
              <w:t xml:space="preserve"> sur la prévention des risques biotechnologiques </w:t>
            </w:r>
            <w:r w:rsidRPr="00C67737">
              <w:rPr>
                <w:rFonts w:eastAsia="SimSun" w:cstheme="minorHAnsi"/>
                <w:iCs/>
                <w:color w:val="000000"/>
                <w:vertAlign w:val="superscript"/>
              </w:rPr>
              <w:footnoteReference w:id="95"/>
            </w:r>
          </w:p>
          <w:p w14:paraId="5B015FAE" w14:textId="2B027061" w:rsidR="00C004A0" w:rsidRPr="00C67737" w:rsidRDefault="00394E71"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t>i</w:t>
            </w:r>
            <w:r w:rsidR="00C004A0">
              <w:t>) Le Plan d’action</w:t>
            </w:r>
            <w:r w:rsidR="00034296">
              <w:t> </w:t>
            </w:r>
            <w:r w:rsidR="00C004A0">
              <w:t>93F pour la création et le renforcement des capacités</w:t>
            </w:r>
            <w:r w:rsidR="00C004A0" w:rsidRPr="00C67737">
              <w:rPr>
                <w:rFonts w:eastAsia="SimSun" w:cstheme="minorHAnsi"/>
                <w:iCs/>
                <w:color w:val="000000"/>
                <w:vertAlign w:val="superscript"/>
              </w:rPr>
              <w:footnoteReference w:id="96"/>
            </w:r>
            <w:r w:rsidR="00C004A0">
              <w:t xml:space="preserve"> du Protocole de Nagoya sur l’accès aux ressources génétiques et le partage juste et équitable des avantages découlant de leur utilisation</w:t>
            </w:r>
            <w:r w:rsidR="00C004A0" w:rsidRPr="00C67737">
              <w:rPr>
                <w:rFonts w:eastAsia="SimSun" w:cstheme="minorHAnsi"/>
                <w:iCs/>
                <w:color w:val="000000"/>
                <w:vertAlign w:val="superscript"/>
              </w:rPr>
              <w:footnoteReference w:id="97"/>
            </w:r>
            <w:r w:rsidR="00034296">
              <w:t> </w:t>
            </w:r>
            <w:r w:rsidR="00C004A0">
              <w:t>;</w:t>
            </w:r>
          </w:p>
          <w:p w14:paraId="5EC06EB3" w14:textId="7C054621" w:rsidR="00C004A0" w:rsidRPr="00C67737" w:rsidRDefault="00394E71"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rPr>
                <w:color w:val="000000"/>
              </w:rPr>
              <w:t>j</w:t>
            </w:r>
            <w:r w:rsidR="00C004A0">
              <w:rPr>
                <w:color w:val="000000"/>
              </w:rPr>
              <w:t xml:space="preserve">) Les orientations sur les priorités du programme à l’appui de la mise en œuvre des Protocoles, adoptées par la Conférence des Parties siégeant en tant que réunion des Parties au Protocole de </w:t>
            </w:r>
            <w:r w:rsidR="003C203B">
              <w:t>Carthagène</w:t>
            </w:r>
            <w:r w:rsidR="00C004A0">
              <w:rPr>
                <w:color w:val="000000"/>
              </w:rPr>
              <w:t xml:space="preserve"> à sa onzième réunion et par la Conférence des Parties siégeant en tant que réunion des Parties au Protocole de Nagoya à sa cinquième réunion, qui figurent dans les pièces jointes</w:t>
            </w:r>
            <w:r w:rsidR="00034296">
              <w:rPr>
                <w:color w:val="000000"/>
              </w:rPr>
              <w:t> </w:t>
            </w:r>
            <w:r w:rsidR="00C004A0">
              <w:rPr>
                <w:color w:val="000000"/>
              </w:rPr>
              <w:t>I et II, respectivement</w:t>
            </w:r>
          </w:p>
        </w:tc>
        <w:tc>
          <w:tcPr>
            <w:tcW w:w="2500" w:type="pct"/>
          </w:tcPr>
          <w:p w14:paraId="6765AE0C" w14:textId="6F6DA638" w:rsidR="00C004A0" w:rsidRPr="00C67737" w:rsidRDefault="00C004A0" w:rsidP="00495437">
            <w:pPr>
              <w:snapToGrid/>
              <w:spacing w:before="0" w:after="0"/>
              <w:contextualSpacing/>
              <w:rPr>
                <w:rFonts w:eastAsia="SimSun" w:cstheme="minorHAnsi"/>
                <w:color w:val="000000"/>
              </w:rPr>
            </w:pPr>
            <w:r>
              <w:rPr>
                <w:color w:val="000000"/>
              </w:rPr>
              <w:lastRenderedPageBreak/>
              <w:t>Le tableau</w:t>
            </w:r>
            <w:r w:rsidR="00034296">
              <w:rPr>
                <w:color w:val="000000"/>
              </w:rPr>
              <w:t> </w:t>
            </w:r>
            <w:r>
              <w:rPr>
                <w:color w:val="000000"/>
              </w:rPr>
              <w:t xml:space="preserve">9 du présent rapport établit la correspondance entre ces éléments et les mécanismes prévus pour leur mise en œuvre dans les </w:t>
            </w:r>
            <w:r w:rsidR="00F02738">
              <w:rPr>
                <w:color w:val="000000"/>
              </w:rPr>
              <w:t>orientations programmatiques</w:t>
            </w:r>
            <w:r>
              <w:rPr>
                <w:color w:val="000000"/>
              </w:rPr>
              <w:t xml:space="preserve"> de </w:t>
            </w:r>
            <w:r w:rsidR="00376C22">
              <w:rPr>
                <w:color w:val="000000"/>
              </w:rPr>
              <w:t>GEF</w:t>
            </w:r>
            <w:r w:rsidR="00376C22">
              <w:rPr>
                <w:color w:val="000000"/>
              </w:rPr>
              <w:noBreakHyphen/>
            </w:r>
            <w:r>
              <w:rPr>
                <w:color w:val="000000"/>
              </w:rPr>
              <w:t>9.</w:t>
            </w:r>
          </w:p>
        </w:tc>
      </w:tr>
      <w:tr w:rsidR="00C004A0" w:rsidRPr="00C67737" w14:paraId="137D5DB0" w14:textId="77777777" w:rsidTr="00A769A6">
        <w:tc>
          <w:tcPr>
            <w:tcW w:w="2500" w:type="pct"/>
          </w:tcPr>
          <w:p w14:paraId="3155DFAC"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hanging="567"/>
              <w:contextualSpacing/>
              <w:rPr>
                <w:rFonts w:eastAsia="SimSun" w:cstheme="minorHAnsi"/>
                <w:b/>
                <w:color w:val="000000"/>
              </w:rPr>
            </w:pPr>
            <w:bookmarkStart w:id="124" w:name="_Hlk163319639"/>
            <w:r>
              <w:rPr>
                <w:b/>
                <w:color w:val="000000"/>
              </w:rPr>
              <w:t>III.</w:t>
            </w:r>
            <w:r>
              <w:rPr>
                <w:b/>
                <w:color w:val="000000"/>
              </w:rPr>
              <w:tab/>
              <w:t>Considérations stratégiques</w:t>
            </w:r>
          </w:p>
          <w:bookmarkEnd w:id="124"/>
          <w:p w14:paraId="467288B9" w14:textId="3A5E1BF1"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color w:val="000000"/>
              </w:rPr>
            </w:pPr>
            <w:r>
              <w:rPr>
                <w:color w:val="000000"/>
              </w:rPr>
              <w:t>10.</w:t>
            </w:r>
            <w:r>
              <w:rPr>
                <w:color w:val="000000"/>
              </w:rPr>
              <w:tab/>
            </w:r>
            <w:r>
              <w:t xml:space="preserve">Les </w:t>
            </w:r>
            <w:r w:rsidR="00F02738">
              <w:t>orientations programmatiques</w:t>
            </w:r>
            <w:r>
              <w:t xml:space="preserve"> et les recommandations de politique générale pour la neuvième reconstitution des ressources </w:t>
            </w:r>
            <w:r w:rsidR="001D161F">
              <w:rPr>
                <w:color w:val="000000"/>
              </w:rPr>
              <w:t xml:space="preserve">du </w:t>
            </w:r>
            <w:r w:rsidR="001D161F">
              <w:t xml:space="preserve">Fonds fiduciaire du Fonds </w:t>
            </w:r>
            <w:r w:rsidR="001D161F">
              <w:rPr>
                <w:color w:val="000000"/>
              </w:rPr>
              <w:t xml:space="preserve">pour l’Environnement Mondial </w:t>
            </w:r>
            <w:r>
              <w:t xml:space="preserve">, </w:t>
            </w:r>
            <w:r>
              <w:lastRenderedPageBreak/>
              <w:t>dans la mesure où elles se rapportent à la Convention et à ses Protocoles et à leur mécanisme de financement établi en vertu de l’article</w:t>
            </w:r>
            <w:r w:rsidR="00034296">
              <w:t> </w:t>
            </w:r>
            <w:hyperlink r:id="rId54" w:history="1">
              <w:r>
                <w:rPr>
                  <w:color w:val="000000"/>
                  <w:u w:val="single"/>
                </w:rPr>
                <w:t>21</w:t>
              </w:r>
            </w:hyperlink>
            <w:r>
              <w:t xml:space="preserve"> de la Convention, géré par le Fonds à titre provisoire et de manière continue, conformément à l’article</w:t>
            </w:r>
            <w:r w:rsidR="00034296">
              <w:t> </w:t>
            </w:r>
            <w:hyperlink r:id="rId55" w:history="1">
              <w:r>
                <w:rPr>
                  <w:color w:val="000000"/>
                  <w:u w:val="single"/>
                </w:rPr>
                <w:t>39</w:t>
              </w:r>
            </w:hyperlink>
            <w:r>
              <w:t xml:space="preserve"> </w:t>
            </w:r>
            <w:r>
              <w:rPr>
                <w:color w:val="000000"/>
              </w:rPr>
              <w:t>de la Convention, devraient</w:t>
            </w:r>
            <w:r w:rsidR="006E54C7">
              <w:rPr>
                <w:color w:val="000000"/>
              </w:rPr>
              <w:t> :</w:t>
            </w:r>
            <w:r>
              <w:rPr>
                <w:color w:val="000000"/>
              </w:rPr>
              <w:t xml:space="preserve"> </w:t>
            </w:r>
          </w:p>
          <w:p w14:paraId="32F406BC" w14:textId="56A25905"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 xml:space="preserve">A) Être élaborées de manière totalement transparente et inclusive, afin de garantir que les projets financés par le Fonds pour l’environnement mondial au cours de la neuvième reconstitution de </w:t>
            </w:r>
            <w:r w:rsidR="00CD3559">
              <w:rPr>
                <w:color w:val="000000"/>
              </w:rPr>
              <w:t xml:space="preserve">son fonds fiduciaire </w:t>
            </w:r>
            <w:r>
              <w:rPr>
                <w:color w:val="000000"/>
              </w:rPr>
              <w:t>pour appuyer les objectifs en matière de diversité biologique soient élaborés en fonction du contexte et des pays, et répondent aux besoins prioritaires recensés par les Parties admissibles</w:t>
            </w:r>
          </w:p>
          <w:p w14:paraId="56B338DB" w14:textId="2B2CBF12"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t xml:space="preserve">b) Soutenir la mise en œuvre rapide et efficace du Cadre mondial de la biodiversité de Kunming-Montréal, notamment en contribuant à une mobilisation sensiblement accrue des ressources, y compris des financements du Fonds pour l’environnement mondial qui soient adéquats, prévisibles, durables, opportuns et accessibles à tous les </w:t>
            </w:r>
            <w:bookmarkStart w:id="125" w:name="_Hlk187239430"/>
            <w:r>
              <w:t>pays en développement Parties, en particulier les pays les moins avancés et les petits États insulaires en développement</w:t>
            </w:r>
            <w:bookmarkEnd w:id="125"/>
            <w:r>
              <w:t>, ainsi qu’aux Parties à économie en transition remplissant les conditions requises pour bénéficier d’un appui par l’intermédiaire du mécanisme de financement de la Convention et de ses Protocoles, comme déterminé dans le cadre de la Convention elle-même et par la Conférence des Parties.</w:t>
            </w:r>
            <w:r>
              <w:rPr>
                <w:color w:val="000000"/>
              </w:rPr>
              <w:t xml:space="preserve"> Si ce financement peut être fourni aux Parties admissibles par le Fonds pour l’environnement mondial principalement au moyen d’allocations au titre des </w:t>
            </w:r>
            <w:r w:rsidR="00F02738">
              <w:rPr>
                <w:color w:val="000000"/>
              </w:rPr>
              <w:t>orientations programmatiques</w:t>
            </w:r>
            <w:r>
              <w:rPr>
                <w:color w:val="000000"/>
              </w:rPr>
              <w:t xml:space="preserve"> consacrées au domaine d’intervention «</w:t>
            </w:r>
            <w:r w:rsidR="00034296">
              <w:rPr>
                <w:color w:val="000000"/>
              </w:rPr>
              <w:t> </w:t>
            </w:r>
            <w:r>
              <w:rPr>
                <w:color w:val="000000"/>
              </w:rPr>
              <w:t>diversité biologique</w:t>
            </w:r>
            <w:r w:rsidR="00034296">
              <w:rPr>
                <w:color w:val="000000"/>
              </w:rPr>
              <w:t> </w:t>
            </w:r>
            <w:r>
              <w:rPr>
                <w:color w:val="000000"/>
              </w:rPr>
              <w:t>», il peut y avoir des avantages connexes pour la diversité biologique découlant d’autres domaines d’intervention et programmes mondiaux ainsi que des programmes intégrés, d’où la nécessité d’une programmation rationalisée et d’un processus d’approbation qui permette le décaissement des ressources en temps voulu</w:t>
            </w:r>
            <w:r w:rsidR="00034296">
              <w:rPr>
                <w:color w:val="000000"/>
              </w:rPr>
              <w:t> </w:t>
            </w:r>
            <w:r>
              <w:rPr>
                <w:color w:val="000000"/>
              </w:rPr>
              <w:t>;</w:t>
            </w:r>
          </w:p>
          <w:p w14:paraId="438C6B02" w14:textId="613AFD04" w:rsidR="00C0457F" w:rsidRPr="00C67737" w:rsidRDefault="00C004A0" w:rsidP="00C0457F">
            <w:pPr>
              <w:tabs>
                <w:tab w:val="left" w:pos="60"/>
                <w:tab w:val="left" w:pos="1134"/>
                <w:tab w:val="left" w:pos="1701"/>
                <w:tab w:val="left" w:pos="2268"/>
                <w:tab w:val="left" w:pos="2835"/>
                <w:tab w:val="left" w:pos="3402"/>
              </w:tabs>
              <w:snapToGrid/>
              <w:spacing w:before="0" w:after="0"/>
              <w:ind w:hanging="30"/>
              <w:contextualSpacing/>
              <w:rPr>
                <w:rFonts w:eastAsia="SimSun" w:cstheme="minorHAnsi"/>
                <w:color w:val="000000"/>
              </w:rPr>
            </w:pPr>
            <w:r>
              <w:rPr>
                <w:color w:val="000000"/>
              </w:rPr>
              <w:lastRenderedPageBreak/>
              <w:t xml:space="preserve">c) S’appuyer sur le soutien fourni au titre de la huitième reconstitution des ressources </w:t>
            </w:r>
            <w:r w:rsidR="00241A65">
              <w:rPr>
                <w:color w:val="000000"/>
              </w:rPr>
              <w:t xml:space="preserve">du </w:t>
            </w:r>
            <w:r w:rsidR="00241A65">
              <w:t xml:space="preserve">Fonds fiduciaire du Fonds </w:t>
            </w:r>
            <w:r w:rsidR="00241A65">
              <w:rPr>
                <w:color w:val="000000"/>
              </w:rPr>
              <w:t>pour l’Environnement Mondial</w:t>
            </w:r>
            <w:r w:rsidR="001D161F">
              <w:rPr>
                <w:color w:val="000000"/>
              </w:rPr>
              <w:t xml:space="preserve"> </w:t>
            </w:r>
          </w:p>
          <w:p w14:paraId="34990C3D" w14:textId="47AB6134"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 xml:space="preserve"> </w:t>
            </w:r>
            <w:proofErr w:type="gramStart"/>
            <w:r>
              <w:rPr>
                <w:color w:val="000000"/>
              </w:rPr>
              <w:t>et</w:t>
            </w:r>
            <w:proofErr w:type="gramEnd"/>
            <w:r>
              <w:rPr>
                <w:color w:val="000000"/>
              </w:rPr>
              <w:t xml:space="preserve"> du Fonds du Cadre mondial de la biodiversité</w:t>
            </w:r>
            <w:r w:rsidR="00034296">
              <w:rPr>
                <w:color w:val="000000"/>
              </w:rPr>
              <w:t> </w:t>
            </w:r>
            <w:r>
              <w:rPr>
                <w:color w:val="000000"/>
              </w:rPr>
              <w:t>;</w:t>
            </w:r>
          </w:p>
          <w:p w14:paraId="6E776277" w14:textId="4492EE60"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 xml:space="preserve">d) Prendre en compte la cohérence et les synergies entre les programmes et priorités des pays énoncés dans les stratégies et plans d’action nationaux pour la biodiversité afin d’appuyer la mise en œuvre du </w:t>
            </w:r>
            <w:r>
              <w:rPr>
                <w:snapToGrid w:val="0"/>
                <w:color w:val="000000"/>
              </w:rPr>
              <w:t>Cadre</w:t>
            </w:r>
            <w:r w:rsidR="00034296">
              <w:rPr>
                <w:color w:val="000000"/>
              </w:rPr>
              <w:t> </w:t>
            </w:r>
            <w:r>
              <w:rPr>
                <w:color w:val="000000"/>
              </w:rPr>
              <w:t>;</w:t>
            </w:r>
          </w:p>
          <w:p w14:paraId="7509550E" w14:textId="1502261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color w:val="000000"/>
              </w:rPr>
            </w:pPr>
            <w:r>
              <w:rPr>
                <w:color w:val="000000"/>
              </w:rPr>
              <w:t>e) Promouvoir la collaboration avec les Parties admissibles afin d’appuyer la mobilisation des ressources nationales ainsi que l’élaboration, la mise en œuvre et la mise à jour des plans de financement nationaux en faveur de la biodiversité</w:t>
            </w:r>
            <w:r w:rsidR="00034296">
              <w:rPr>
                <w:color w:val="000000"/>
              </w:rPr>
              <w:t> </w:t>
            </w:r>
            <w:r>
              <w:rPr>
                <w:color w:val="000000"/>
              </w:rPr>
              <w:t>;</w:t>
            </w:r>
          </w:p>
          <w:p w14:paraId="0210F499" w14:textId="76EC0026"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f) Promouvoir la réalisation d’avantages environnementaux au niveau mondial et de voies de développement durable qui garantissent la conservation et l’utilisation durable de la biodiversité et le partage juste et équitable des avantages découlant de l’utilisation des ressources génétiques et qui soient neutres en carbone et non polluants, notamment en encourageant la cohérence et la complémentarité entre les domaines d’intervention du Fonds pour l’environnement mondial que sont la biodiversité, la dégradation des terres, les eaux internationales, l’atténuation des changements climatiques et l’adaptation à ceux-ci, ainsi que les produits chimiques et les déchets, et ses programmes intégrés, dans le contexte des priorités et des programmes mis en œuvre par les pays</w:t>
            </w:r>
            <w:r w:rsidR="00034296">
              <w:rPr>
                <w:color w:val="000000"/>
              </w:rPr>
              <w:t> </w:t>
            </w:r>
            <w:r>
              <w:rPr>
                <w:color w:val="000000"/>
              </w:rPr>
              <w:t>;</w:t>
            </w:r>
          </w:p>
          <w:p w14:paraId="5F844475" w14:textId="77278EFF"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 xml:space="preserve">g) Tenir compte du fait que la mise en œuvre des conventions relatives à la diversité biologique et des accords multilatéraux sur l’environnement, dans le contexte des stratégies et plans d’action nationaux pour la biodiversité, peut contribuer à la réalisation des objectifs de la Convention sur la diversité biologique et de ses Protocoles, ainsi que des objectifs et cibles du </w:t>
            </w:r>
            <w:r>
              <w:rPr>
                <w:snapToGrid w:val="0"/>
                <w:color w:val="000000"/>
              </w:rPr>
              <w:t>Cadre</w:t>
            </w:r>
            <w:r w:rsidR="00034296">
              <w:rPr>
                <w:color w:val="000000"/>
              </w:rPr>
              <w:t> </w:t>
            </w:r>
            <w:r>
              <w:rPr>
                <w:color w:val="000000"/>
              </w:rPr>
              <w:t>;</w:t>
            </w:r>
          </w:p>
          <w:p w14:paraId="70432328" w14:textId="1BE136BA"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 xml:space="preserve">h) Promouvoir la coopération et la complémentarité dans la mise en œuvre des trois objectifs de la Convention sur la diversité biologique et des objectifs connexes des autres conventions pour lesquelles œuvre le Fonds pour l’environnement mondial, ainsi que ceux d’autres </w:t>
            </w:r>
            <w:r>
              <w:rPr>
                <w:color w:val="000000"/>
              </w:rPr>
              <w:lastRenderedPageBreak/>
              <w:t>conventions et accords multilatéraux sur l’environnement liés à la diversité biologique, tout en tenant compte des synergies et en reconnaissant les possibilités de contribution de ces instruments aux objectifs de la Convention et de ses Protocoles ainsi qu’au Cadre, et les contributions réciproques à leurs propres objectifs</w:t>
            </w:r>
            <w:r w:rsidR="00034296">
              <w:rPr>
                <w:color w:val="000000"/>
              </w:rPr>
              <w:t> </w:t>
            </w:r>
            <w:r>
              <w:rPr>
                <w:color w:val="000000"/>
              </w:rPr>
              <w:t>;</w:t>
            </w:r>
          </w:p>
          <w:p w14:paraId="5AA8A087"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i) Renforcer les efforts du Fonds pour l’environnement mondial en vue de mobiliser toutes les parties prenantes, y compris le secteur privé, les peuples autochtones et communautés locales, les femmes et les jeunes, et de s’assurer de leur participation</w:t>
            </w:r>
          </w:p>
          <w:p w14:paraId="12234392" w14:textId="22463D85"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 xml:space="preserve">j) Prendre en compte la contribution importante que peuvent apporter les projets transfrontaliers, multinationaux, régionaux et mondiaux à la mise en œuvre des objectifs de la Convention sur la diversité biologique et de ses Protocoles et du </w:t>
            </w:r>
            <w:r>
              <w:rPr>
                <w:snapToGrid w:val="0"/>
                <w:color w:val="000000"/>
              </w:rPr>
              <w:t>Cadre</w:t>
            </w:r>
            <w:r>
              <w:rPr>
                <w:color w:val="000000"/>
              </w:rPr>
              <w:t>, y compris à la mise en œuvre des initiatives mondiales adoptées au titre de la Convention et de ses Protocoles, et des initiatives transfrontalières, multinationales, régionales et mondiales qui tirent parti des contributions des conventions et des accords multilatéraux relatifs à la diversité biologique</w:t>
            </w:r>
            <w:r w:rsidR="00034296">
              <w:rPr>
                <w:color w:val="000000"/>
              </w:rPr>
              <w:t> </w:t>
            </w:r>
            <w:r>
              <w:rPr>
                <w:color w:val="000000"/>
              </w:rPr>
              <w:t>;</w:t>
            </w:r>
          </w:p>
          <w:p w14:paraId="6DE3FA6C" w14:textId="0226E868"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cstheme="minorHAnsi"/>
                <w:color w:val="000000"/>
              </w:rPr>
            </w:pPr>
            <w:r>
              <w:rPr>
                <w:color w:val="000000"/>
              </w:rPr>
              <w:t>k) Promouvoir et mettre en œuvre, le cas échéant, des solutions fondées sur la nature ou des approches fondées sur les écosystèmes</w:t>
            </w:r>
            <w:r w:rsidRPr="00C67737">
              <w:rPr>
                <w:rFonts w:cstheme="minorHAnsi"/>
                <w:color w:val="000000"/>
                <w:vertAlign w:val="superscript"/>
              </w:rPr>
              <w:footnoteReference w:id="98"/>
            </w:r>
            <w:r>
              <w:rPr>
                <w:color w:val="000000"/>
              </w:rPr>
              <w:t>.</w:t>
            </w:r>
            <w:r>
              <w:t xml:space="preserve"> </w:t>
            </w:r>
            <w:r>
              <w:rPr>
                <w:color w:val="000000"/>
              </w:rPr>
              <w:t xml:space="preserve"> </w:t>
            </w:r>
          </w:p>
          <w:p w14:paraId="5E0AFEE3" w14:textId="77777777" w:rsidR="00C004A0" w:rsidRPr="00C67737" w:rsidRDefault="00C004A0" w:rsidP="00495437">
            <w:pPr>
              <w:snapToGrid/>
              <w:spacing w:before="0" w:after="0"/>
              <w:contextualSpacing/>
              <w:rPr>
                <w:rFonts w:cstheme="minorHAnsi"/>
                <w:color w:val="000000"/>
              </w:rPr>
            </w:pPr>
          </w:p>
        </w:tc>
        <w:tc>
          <w:tcPr>
            <w:tcW w:w="2500" w:type="pct"/>
          </w:tcPr>
          <w:p w14:paraId="5CD440CA" w14:textId="274170BA" w:rsidR="00C004A0" w:rsidRPr="00C67737" w:rsidRDefault="00591ABE" w:rsidP="00495437">
            <w:pPr>
              <w:snapToGrid/>
              <w:spacing w:before="0" w:after="0"/>
              <w:contextualSpacing/>
              <w:rPr>
                <w:rFonts w:eastAsia="Aptos" w:cstheme="minorHAnsi"/>
                <w:color w:val="000000"/>
              </w:rPr>
            </w:pPr>
            <w:r>
              <w:rPr>
                <w:color w:val="000000" w:themeColor="text1"/>
              </w:rPr>
              <w:lastRenderedPageBreak/>
              <w:t xml:space="preserve">a) Tous les projets de documents relatifs au processus de reconstitution des ressources de </w:t>
            </w:r>
            <w:r w:rsidR="00376C22">
              <w:rPr>
                <w:color w:val="000000" w:themeColor="text1"/>
              </w:rPr>
              <w:t>GEF</w:t>
            </w:r>
            <w:r w:rsidR="00376C22">
              <w:rPr>
                <w:color w:val="000000" w:themeColor="text1"/>
              </w:rPr>
              <w:noBreakHyphen/>
            </w:r>
            <w:r>
              <w:rPr>
                <w:color w:val="000000" w:themeColor="text1"/>
              </w:rPr>
              <w:t>9 ont été mis à la disposition du public en ligne. Ce processus a réuni 28</w:t>
            </w:r>
            <w:r w:rsidR="00034296">
              <w:rPr>
                <w:color w:val="000000" w:themeColor="text1"/>
              </w:rPr>
              <w:t> </w:t>
            </w:r>
            <w:r>
              <w:rPr>
                <w:color w:val="000000" w:themeColor="text1"/>
              </w:rPr>
              <w:t xml:space="preserve">pays participants </w:t>
            </w:r>
            <w:r w:rsidR="00A24B62">
              <w:rPr>
                <w:color w:val="000000" w:themeColor="text1"/>
              </w:rPr>
              <w:t>et</w:t>
            </w:r>
            <w:r>
              <w:rPr>
                <w:color w:val="000000" w:themeColor="text1"/>
              </w:rPr>
              <w:t xml:space="preserve"> les observateurs suivants</w:t>
            </w:r>
            <w:r w:rsidR="006E54C7">
              <w:rPr>
                <w:color w:val="000000" w:themeColor="text1"/>
              </w:rPr>
              <w:t> :</w:t>
            </w:r>
            <w:r>
              <w:rPr>
                <w:color w:val="000000" w:themeColor="text1"/>
              </w:rPr>
              <w:t xml:space="preserve"> </w:t>
            </w:r>
          </w:p>
          <w:p w14:paraId="55C67E3E" w14:textId="20695956" w:rsidR="00C004A0" w:rsidRPr="00C67737" w:rsidRDefault="00034296" w:rsidP="00495437">
            <w:pPr>
              <w:snapToGrid/>
              <w:spacing w:before="0" w:after="0"/>
              <w:ind w:left="360"/>
              <w:contextualSpacing/>
              <w:rPr>
                <w:rFonts w:eastAsia="SimSun" w:cstheme="minorHAnsi"/>
                <w:color w:val="000000"/>
              </w:rPr>
            </w:pPr>
            <w:r>
              <w:rPr>
                <w:color w:val="000000"/>
              </w:rPr>
              <w:lastRenderedPageBreak/>
              <w:t>— </w:t>
            </w:r>
            <w:r w:rsidR="00C004A0">
              <w:rPr>
                <w:color w:val="000000"/>
              </w:rPr>
              <w:t xml:space="preserve">Cinq représentants de pays bénéficiaires </w:t>
            </w:r>
            <w:proofErr w:type="gramStart"/>
            <w:r w:rsidR="00C004A0">
              <w:rPr>
                <w:color w:val="000000"/>
              </w:rPr>
              <w:t>non contributeurs</w:t>
            </w:r>
            <w:proofErr w:type="gramEnd"/>
            <w:r w:rsidR="00C004A0">
              <w:rPr>
                <w:color w:val="000000"/>
              </w:rPr>
              <w:t>, représentant l’Afrique, l’Asie, l’Europe de l’Est et l’Asie centrale, l’Amérique latine et les PEID</w:t>
            </w:r>
            <w:r>
              <w:rPr>
                <w:color w:val="000000"/>
              </w:rPr>
              <w:t> </w:t>
            </w:r>
            <w:r w:rsidR="00C004A0">
              <w:rPr>
                <w:color w:val="000000"/>
              </w:rPr>
              <w:t xml:space="preserve">; </w:t>
            </w:r>
          </w:p>
          <w:p w14:paraId="2148A45D" w14:textId="35521F9F" w:rsidR="00C004A0" w:rsidRPr="00C67737" w:rsidRDefault="00034296" w:rsidP="00495437">
            <w:pPr>
              <w:snapToGrid/>
              <w:spacing w:before="0" w:after="0"/>
              <w:ind w:left="360"/>
              <w:contextualSpacing/>
              <w:rPr>
                <w:rFonts w:eastAsia="SimSun" w:cstheme="minorHAnsi"/>
                <w:color w:val="000000"/>
              </w:rPr>
            </w:pPr>
            <w:r>
              <w:rPr>
                <w:color w:val="000000"/>
              </w:rPr>
              <w:t>— </w:t>
            </w:r>
            <w:r w:rsidR="00C004A0">
              <w:rPr>
                <w:color w:val="000000"/>
              </w:rPr>
              <w:t>Deux représentants d’organisations non gouvernementales et d’organisations de la société civile (ONG/OSC)</w:t>
            </w:r>
            <w:r w:rsidR="006E54C7">
              <w:rPr>
                <w:color w:val="000000"/>
              </w:rPr>
              <w:t> :</w:t>
            </w:r>
            <w:r w:rsidR="00C004A0">
              <w:rPr>
                <w:color w:val="000000"/>
              </w:rPr>
              <w:t xml:space="preserve"> l’un représentant une ONG/OSC établie dans un pays contributeur, l’autre une ONG/OSC établie dans un pays bénéficiaire</w:t>
            </w:r>
            <w:r>
              <w:rPr>
                <w:color w:val="000000"/>
              </w:rPr>
              <w:t> </w:t>
            </w:r>
            <w:r w:rsidR="00C004A0">
              <w:rPr>
                <w:color w:val="000000"/>
              </w:rPr>
              <w:t>; ainsi qu’un représentant du Groupe consultatif des peuples autochtones (IPAG)</w:t>
            </w:r>
            <w:r>
              <w:rPr>
                <w:color w:val="000000"/>
              </w:rPr>
              <w:t> </w:t>
            </w:r>
            <w:r w:rsidR="00C004A0">
              <w:rPr>
                <w:color w:val="000000"/>
              </w:rPr>
              <w:t xml:space="preserve">; </w:t>
            </w:r>
          </w:p>
          <w:p w14:paraId="0B544600" w14:textId="0E7B6626" w:rsidR="00C004A0" w:rsidRPr="00C67737" w:rsidRDefault="00034296" w:rsidP="00495437">
            <w:pPr>
              <w:snapToGrid/>
              <w:spacing w:before="0" w:after="0"/>
              <w:ind w:left="360"/>
              <w:contextualSpacing/>
              <w:rPr>
                <w:rFonts w:eastAsia="SimSun" w:cstheme="minorHAnsi"/>
                <w:color w:val="000000"/>
              </w:rPr>
            </w:pPr>
            <w:r>
              <w:rPr>
                <w:color w:val="000000"/>
              </w:rPr>
              <w:t>— </w:t>
            </w:r>
            <w:r w:rsidR="00C004A0">
              <w:rPr>
                <w:color w:val="000000"/>
              </w:rPr>
              <w:t>Un représentant du secteur privé,</w:t>
            </w:r>
          </w:p>
          <w:p w14:paraId="3B0E2C1E" w14:textId="244C431B" w:rsidR="00C004A0" w:rsidRPr="00C67737" w:rsidRDefault="00034296" w:rsidP="00495437">
            <w:pPr>
              <w:snapToGrid/>
              <w:spacing w:before="0" w:after="0"/>
              <w:ind w:left="360"/>
              <w:contextualSpacing/>
              <w:rPr>
                <w:rFonts w:eastAsia="SimSun" w:cstheme="minorHAnsi"/>
                <w:color w:val="000000"/>
              </w:rPr>
            </w:pPr>
            <w:r>
              <w:rPr>
                <w:color w:val="000000"/>
              </w:rPr>
              <w:t>— </w:t>
            </w:r>
            <w:r w:rsidR="00C004A0">
              <w:rPr>
                <w:color w:val="000000"/>
              </w:rPr>
              <w:t>Un représentant de chacun des secrétariats du Fonds vert pour le climat, du Fonds pour l’adaptation et des Fonds d’investissement climatique</w:t>
            </w:r>
            <w:r>
              <w:rPr>
                <w:color w:val="000000"/>
              </w:rPr>
              <w:t> </w:t>
            </w:r>
            <w:r w:rsidR="00C004A0">
              <w:rPr>
                <w:color w:val="000000"/>
              </w:rPr>
              <w:t xml:space="preserve">; </w:t>
            </w:r>
            <w:r w:rsidR="007C4A83">
              <w:rPr>
                <w:color w:val="000000"/>
              </w:rPr>
              <w:t>et</w:t>
            </w:r>
          </w:p>
          <w:p w14:paraId="29B8A424" w14:textId="1D52D322" w:rsidR="00C004A0" w:rsidRPr="00C67737" w:rsidRDefault="00034296" w:rsidP="00495437">
            <w:pPr>
              <w:snapToGrid/>
              <w:spacing w:before="0" w:after="0"/>
              <w:ind w:left="360"/>
              <w:contextualSpacing/>
              <w:rPr>
                <w:rFonts w:eastAsia="SimSun" w:cstheme="minorHAnsi"/>
                <w:color w:val="000000"/>
              </w:rPr>
            </w:pPr>
            <w:r>
              <w:rPr>
                <w:color w:val="000000"/>
              </w:rPr>
              <w:t>— </w:t>
            </w:r>
            <w:r w:rsidR="00C004A0">
              <w:rPr>
                <w:color w:val="000000"/>
              </w:rPr>
              <w:t xml:space="preserve">Des représentants des </w:t>
            </w:r>
            <w:r w:rsidR="00F52D3D">
              <w:rPr>
                <w:color w:val="000000"/>
              </w:rPr>
              <w:t>Agences</w:t>
            </w:r>
            <w:r w:rsidR="00C004A0">
              <w:rPr>
                <w:color w:val="000000"/>
              </w:rPr>
              <w:t xml:space="preserve"> du GEF et des conventions pour lesquelles le GEF fait office de mécanisme financier, y compris la </w:t>
            </w:r>
            <w:r w:rsidR="00FE6956">
              <w:rPr>
                <w:color w:val="000000"/>
              </w:rPr>
              <w:t>CDB</w:t>
            </w:r>
            <w:r w:rsidR="00C004A0" w:rsidRPr="00C67737">
              <w:rPr>
                <w:rFonts w:cstheme="minorHAnsi"/>
                <w:iCs/>
                <w:color w:val="000000"/>
                <w:vertAlign w:val="superscript"/>
              </w:rPr>
              <w:footnoteReference w:id="99"/>
            </w:r>
            <w:r w:rsidR="007C4A83">
              <w:rPr>
                <w:color w:val="000000"/>
              </w:rPr>
              <w:t>.</w:t>
            </w:r>
            <w:r w:rsidR="00C004A0">
              <w:rPr>
                <w:rFonts w:ascii="ZWAdobeF" w:hAnsi="ZWAdobeF"/>
                <w:sz w:val="2"/>
              </w:rPr>
              <w:t>.</w:t>
            </w:r>
            <w:r w:rsidR="00C004A0">
              <w:rPr>
                <w:color w:val="000000"/>
              </w:rPr>
              <w:t xml:space="preserve"> </w:t>
            </w:r>
          </w:p>
          <w:p w14:paraId="2B7DAFC7" w14:textId="58C85508" w:rsidR="00C004A0" w:rsidRPr="00C67737" w:rsidRDefault="00C004A0" w:rsidP="00495437">
            <w:pPr>
              <w:snapToGrid/>
              <w:spacing w:before="0" w:after="120"/>
              <w:rPr>
                <w:rFonts w:eastAsia="SimSun" w:cstheme="minorHAnsi"/>
                <w:color w:val="000000"/>
              </w:rPr>
            </w:pPr>
            <w:r>
              <w:rPr>
                <w:color w:val="000000"/>
              </w:rPr>
              <w:t xml:space="preserve">Conformément à l’Instrument du GEF, le GEF continue de financer des programmes et des projets pilotés par les pays et fondés sur les priorités nationales. Tous les projets devant être </w:t>
            </w:r>
            <w:r w:rsidR="00CE7635">
              <w:rPr>
                <w:color w:val="000000"/>
              </w:rPr>
              <w:t>exécuté</w:t>
            </w:r>
            <w:r>
              <w:rPr>
                <w:color w:val="000000"/>
              </w:rPr>
              <w:t xml:space="preserve"> dans un pays doivent recevoir l’agrément du point focal opérationnel de ce pays. Les critères d’examen comprennent la cohérence avec les priorités nationales, telles que celles définies, par exemple, dans les stratégies et plans d’action nationaux pour la biodiversité (SPANB).</w:t>
            </w:r>
          </w:p>
          <w:p w14:paraId="1BEDE9BE" w14:textId="355A98A3" w:rsidR="009E2936" w:rsidRPr="00C67737" w:rsidRDefault="00591ABE" w:rsidP="00495437">
            <w:pPr>
              <w:ind w:hanging="36"/>
              <w:rPr>
                <w:rFonts w:cstheme="minorHAnsi"/>
              </w:rPr>
            </w:pPr>
            <w:r>
              <w:t xml:space="preserve">b) </w:t>
            </w:r>
            <w:r w:rsidR="00B95C25" w:rsidRPr="00B95C25">
              <w:t xml:space="preserve">S’appuyant sur l’approche amorcée dans le cadre du GEF-8, le GEF-9 reconnaît pleinement et favorise, dans l’ensemble de ses </w:t>
            </w:r>
            <w:r w:rsidR="00B95C25">
              <w:t>volets</w:t>
            </w:r>
            <w:r w:rsidR="00B95C25" w:rsidRPr="00B95C25">
              <w:t xml:space="preserve"> de programmation — au-delà du domaine d’intervention «</w:t>
            </w:r>
            <w:r w:rsidR="007950A2">
              <w:t> </w:t>
            </w:r>
            <w:r w:rsidR="00B95C25" w:rsidRPr="00B95C25">
              <w:t>diversité biologique</w:t>
            </w:r>
            <w:r w:rsidR="007950A2">
              <w:t> </w:t>
            </w:r>
            <w:r w:rsidR="00B95C25" w:rsidRPr="00B95C25">
              <w:t>» — la production d’avantages connexes pour la diversité biologique et les contributions au KMGBF. Le GEF-9 vise à ce que 70</w:t>
            </w:r>
            <w:r w:rsidR="00966C17">
              <w:t> %</w:t>
            </w:r>
            <w:r w:rsidR="00B95C25" w:rsidRPr="00B95C25">
              <w:t xml:space="preserve"> de l’ensemble de sa programmation soit pertinent pour la diversité biologique.</w:t>
            </w:r>
          </w:p>
          <w:p w14:paraId="781F7D7E" w14:textId="6456D47B" w:rsidR="00C004A0" w:rsidRPr="00C67737" w:rsidRDefault="00C004A0" w:rsidP="00495437">
            <w:pPr>
              <w:snapToGrid/>
              <w:spacing w:before="0" w:after="120"/>
              <w:rPr>
                <w:rFonts w:eastAsia="SimSun" w:cstheme="minorHAnsi"/>
                <w:color w:val="000000"/>
              </w:rPr>
            </w:pPr>
            <w:r>
              <w:rPr>
                <w:color w:val="000000"/>
              </w:rPr>
              <w:t xml:space="preserve">c) Les </w:t>
            </w:r>
            <w:r w:rsidR="00F02738">
              <w:rPr>
                <w:color w:val="000000"/>
              </w:rPr>
              <w:t>orientations programmatiques</w:t>
            </w:r>
            <w:r>
              <w:rPr>
                <w:color w:val="000000"/>
              </w:rPr>
              <w:t xml:space="preserve"> de </w:t>
            </w:r>
            <w:r w:rsidR="00376C22">
              <w:rPr>
                <w:color w:val="000000"/>
              </w:rPr>
              <w:t>GEF</w:t>
            </w:r>
            <w:r w:rsidR="00376C22">
              <w:rPr>
                <w:color w:val="000000"/>
              </w:rPr>
              <w:noBreakHyphen/>
            </w:r>
            <w:r>
              <w:rPr>
                <w:color w:val="000000"/>
              </w:rPr>
              <w:t xml:space="preserve">9 précisent le renforcement de la complémentarité </w:t>
            </w:r>
            <w:r>
              <w:rPr>
                <w:color w:val="000000"/>
              </w:rPr>
              <w:lastRenderedPageBreak/>
              <w:t xml:space="preserve">entre </w:t>
            </w:r>
            <w:r w:rsidR="00CD3559">
              <w:rPr>
                <w:color w:val="000000"/>
              </w:rPr>
              <w:t xml:space="preserve">le fonds fiduciaire </w:t>
            </w:r>
            <w:r>
              <w:rPr>
                <w:color w:val="000000"/>
              </w:rPr>
              <w:t xml:space="preserve">du GEF et le </w:t>
            </w:r>
            <w:r w:rsidR="00BA5516">
              <w:rPr>
                <w:color w:val="000000"/>
              </w:rPr>
              <w:t>Fonds du Cadre</w:t>
            </w:r>
            <w:r>
              <w:rPr>
                <w:color w:val="000000"/>
              </w:rPr>
              <w:t xml:space="preserve"> mondial de la biodiversité (GBFF). Elles s’appuient sur les programmes intégrés de </w:t>
            </w:r>
            <w:r w:rsidR="00376C22">
              <w:rPr>
                <w:color w:val="000000"/>
              </w:rPr>
              <w:t>GEF</w:t>
            </w:r>
            <w:r w:rsidR="00376C22">
              <w:rPr>
                <w:color w:val="000000"/>
              </w:rPr>
              <w:noBreakHyphen/>
            </w:r>
            <w:r>
              <w:rPr>
                <w:color w:val="000000"/>
              </w:rPr>
              <w:t xml:space="preserve">8 et approfondissent les approches intégrées à l’échelle des paysages terrestres et marins ainsi que les efforts de mobilisation des ressources intérieures qui ont été mis en œuvre à titre pilote dans le cadre de la Stratégie de </w:t>
            </w:r>
            <w:r w:rsidR="00376C22">
              <w:rPr>
                <w:color w:val="000000"/>
              </w:rPr>
              <w:t>GEF</w:t>
            </w:r>
            <w:r w:rsidR="00376C22">
              <w:rPr>
                <w:color w:val="000000"/>
              </w:rPr>
              <w:noBreakHyphen/>
            </w:r>
            <w:r>
              <w:rPr>
                <w:color w:val="000000"/>
              </w:rPr>
              <w:t>8 pour la diversité biologique.</w:t>
            </w:r>
          </w:p>
          <w:p w14:paraId="018E88D5" w14:textId="7D5E4FDF" w:rsidR="00C004A0" w:rsidRPr="00C67737" w:rsidRDefault="00C004A0" w:rsidP="00495437">
            <w:pPr>
              <w:snapToGrid/>
              <w:spacing w:before="0" w:after="0"/>
              <w:contextualSpacing/>
              <w:rPr>
                <w:rFonts w:eastAsia="SimSun" w:cstheme="minorHAnsi"/>
                <w:color w:val="000000"/>
              </w:rPr>
            </w:pPr>
            <w:r>
              <w:rPr>
                <w:color w:val="000000"/>
              </w:rPr>
              <w:t>d) Les projets relatifs à la diversité biologique continueront d’être tenus de démontrer comment ils contribuent aux SPANB et appuient la mise en œuvre du Cadre. La programmation continuera d’être pilotée par les pays afin d</w:t>
            </w:r>
            <w:r w:rsidR="000C771C">
              <w:rPr>
                <w:color w:val="000000"/>
              </w:rPr>
              <w:t>’</w:t>
            </w:r>
            <w:r>
              <w:rPr>
                <w:color w:val="000000"/>
              </w:rPr>
              <w:t>e</w:t>
            </w:r>
            <w:r w:rsidR="000C771C">
              <w:rPr>
                <w:color w:val="000000"/>
              </w:rPr>
              <w:t>n</w:t>
            </w:r>
            <w:r>
              <w:rPr>
                <w:color w:val="000000"/>
              </w:rPr>
              <w:t xml:space="preserve"> garantir </w:t>
            </w:r>
            <w:r w:rsidR="000C771C">
              <w:rPr>
                <w:color w:val="000000"/>
              </w:rPr>
              <w:t>l</w:t>
            </w:r>
            <w:r>
              <w:rPr>
                <w:color w:val="000000"/>
              </w:rPr>
              <w:t xml:space="preserve">a cohérence avec les priorités nationales. En outre, parmi les mesures convenues dans les </w:t>
            </w:r>
            <w:r w:rsidR="00C57670">
              <w:rPr>
                <w:color w:val="000000"/>
              </w:rPr>
              <w:t xml:space="preserve">orientations </w:t>
            </w:r>
            <w:r w:rsidR="000C771C">
              <w:rPr>
                <w:color w:val="000000"/>
              </w:rPr>
              <w:t>de politique générale</w:t>
            </w:r>
            <w:r>
              <w:rPr>
                <w:color w:val="000000"/>
              </w:rPr>
              <w:t xml:space="preserve"> de </w:t>
            </w:r>
            <w:r w:rsidR="00376C22">
              <w:rPr>
                <w:color w:val="000000"/>
              </w:rPr>
              <w:t>GEF</w:t>
            </w:r>
            <w:r w:rsidR="00376C22">
              <w:rPr>
                <w:color w:val="000000"/>
              </w:rPr>
              <w:noBreakHyphen/>
            </w:r>
            <w:r>
              <w:rPr>
                <w:color w:val="000000"/>
              </w:rPr>
              <w:t xml:space="preserve">9, le GEF </w:t>
            </w:r>
            <w:r w:rsidR="002B18DE">
              <w:rPr>
                <w:color w:val="000000"/>
              </w:rPr>
              <w:t>promouvra</w:t>
            </w:r>
            <w:r>
              <w:rPr>
                <w:color w:val="000000"/>
              </w:rPr>
              <w:t xml:space="preserve"> et appuiera les plateformes nationales en tant que cadres nationaux </w:t>
            </w:r>
            <w:r w:rsidR="00754739">
              <w:rPr>
                <w:color w:val="000000"/>
              </w:rPr>
              <w:t>coordonnés</w:t>
            </w:r>
            <w:r>
              <w:rPr>
                <w:color w:val="000000"/>
              </w:rPr>
              <w:t xml:space="preserve"> </w:t>
            </w:r>
            <w:r w:rsidR="006164F0">
              <w:rPr>
                <w:color w:val="000000"/>
              </w:rPr>
              <w:t>visant</w:t>
            </w:r>
            <w:r>
              <w:rPr>
                <w:color w:val="000000"/>
              </w:rPr>
              <w:t xml:space="preserve"> à renforcer la collaboration entre les banques multilatérales de développement, le secteur privé, les autres bailleurs de fonds et l’ensemble de la société</w:t>
            </w:r>
            <w:r w:rsidR="003B50A9">
              <w:rPr>
                <w:color w:val="000000"/>
              </w:rPr>
              <w:t>, afin de</w:t>
            </w:r>
            <w:r w:rsidR="002B18DE">
              <w:rPr>
                <w:color w:val="000000"/>
              </w:rPr>
              <w:t xml:space="preserve"> </w:t>
            </w:r>
            <w:r>
              <w:rPr>
                <w:color w:val="000000"/>
              </w:rPr>
              <w:t xml:space="preserve">favoriser des réformes à l’échelle de l’ensemble de l’administration et de mobiliser des investissements de grande ampleur conformes aux priorités nationales. Le GEF </w:t>
            </w:r>
            <w:r w:rsidR="003B4876">
              <w:rPr>
                <w:color w:val="000000"/>
              </w:rPr>
              <w:t>facilitera</w:t>
            </w:r>
            <w:r>
              <w:rPr>
                <w:color w:val="000000"/>
              </w:rPr>
              <w:t xml:space="preserve"> également la création de comités directeurs nationaux réunissant plusieurs ministères et parties prenantes afin de coordonner les activités du GEF.</w:t>
            </w:r>
          </w:p>
          <w:p w14:paraId="06EDFCCD" w14:textId="713F33E4" w:rsidR="00C004A0" w:rsidRPr="00C67737" w:rsidRDefault="00C004A0" w:rsidP="00495437">
            <w:pPr>
              <w:snapToGrid/>
              <w:spacing w:before="0" w:after="0"/>
              <w:contextualSpacing/>
              <w:rPr>
                <w:rFonts w:eastAsia="SimSun" w:cstheme="minorHAnsi"/>
                <w:color w:val="000000"/>
              </w:rPr>
            </w:pPr>
            <w:r>
              <w:rPr>
                <w:color w:val="000000"/>
              </w:rPr>
              <w:t xml:space="preserve">e) L’élaboration de plans de financement de la biodiversité a été soutenue </w:t>
            </w:r>
            <w:r w:rsidR="003B50A9">
              <w:rPr>
                <w:color w:val="000000"/>
              </w:rPr>
              <w:t>pendant</w:t>
            </w:r>
            <w:r>
              <w:rPr>
                <w:color w:val="000000"/>
              </w:rPr>
              <w:t xml:space="preserve"> </w:t>
            </w:r>
            <w:r w:rsidR="00376C22">
              <w:rPr>
                <w:color w:val="000000"/>
              </w:rPr>
              <w:t>GEF</w:t>
            </w:r>
            <w:r w:rsidR="00376C22">
              <w:rPr>
                <w:color w:val="000000"/>
              </w:rPr>
              <w:noBreakHyphen/>
            </w:r>
            <w:r>
              <w:rPr>
                <w:color w:val="000000"/>
              </w:rPr>
              <w:t>8 par un programme consacré à cette fin. Leur mise en œuvre peut être financée au titre du domaine d’action</w:t>
            </w:r>
            <w:r w:rsidR="00034296">
              <w:rPr>
                <w:color w:val="000000"/>
              </w:rPr>
              <w:t> </w:t>
            </w:r>
            <w:r>
              <w:rPr>
                <w:color w:val="000000"/>
              </w:rPr>
              <w:t>4 du GBFF et par l’intermédiaire du point d’entrée «</w:t>
            </w:r>
            <w:r w:rsidR="00034296">
              <w:rPr>
                <w:color w:val="000000"/>
              </w:rPr>
              <w:t> </w:t>
            </w:r>
            <w:r>
              <w:rPr>
                <w:color w:val="000000"/>
              </w:rPr>
              <w:t>Réaligner les flux financiers et mobiliser des ressources pour la diversité biologique</w:t>
            </w:r>
            <w:r w:rsidR="00034296">
              <w:rPr>
                <w:color w:val="000000"/>
              </w:rPr>
              <w:t> </w:t>
            </w:r>
            <w:r>
              <w:rPr>
                <w:color w:val="000000"/>
              </w:rPr>
              <w:t xml:space="preserve">» de la Stratégie de </w:t>
            </w:r>
            <w:r w:rsidR="00376C22">
              <w:rPr>
                <w:color w:val="000000"/>
              </w:rPr>
              <w:t>GEF</w:t>
            </w:r>
            <w:r w:rsidR="00376C22">
              <w:rPr>
                <w:color w:val="000000"/>
              </w:rPr>
              <w:noBreakHyphen/>
            </w:r>
            <w:r>
              <w:rPr>
                <w:color w:val="000000"/>
              </w:rPr>
              <w:t xml:space="preserve">9 pour la diversité biologique relevant </w:t>
            </w:r>
            <w:r w:rsidR="00CD3559">
              <w:rPr>
                <w:color w:val="000000"/>
              </w:rPr>
              <w:t xml:space="preserve">du fonds fiduciaire </w:t>
            </w:r>
            <w:r>
              <w:rPr>
                <w:color w:val="000000"/>
              </w:rPr>
              <w:t xml:space="preserve">du GEF. </w:t>
            </w:r>
          </w:p>
          <w:p w14:paraId="158EC221" w14:textId="6B5E8ADD" w:rsidR="00C004A0" w:rsidRPr="00C67737" w:rsidRDefault="00C004A0" w:rsidP="00495437">
            <w:pPr>
              <w:snapToGrid/>
              <w:spacing w:before="0" w:after="0"/>
              <w:contextualSpacing/>
              <w:rPr>
                <w:rFonts w:eastAsia="SimSun" w:cstheme="minorHAnsi"/>
                <w:color w:val="000000"/>
              </w:rPr>
            </w:pPr>
            <w:r>
              <w:rPr>
                <w:color w:val="000000"/>
              </w:rPr>
              <w:t>f) Voir les réponses aux alinéas b) et d).</w:t>
            </w:r>
          </w:p>
          <w:p w14:paraId="23553BDD" w14:textId="1994ABB0" w:rsidR="00C004A0" w:rsidRPr="00C67737" w:rsidRDefault="00C004A0" w:rsidP="00495437">
            <w:pPr>
              <w:snapToGrid/>
              <w:spacing w:before="0" w:after="0"/>
              <w:contextualSpacing/>
              <w:rPr>
                <w:rFonts w:eastAsia="SimSun" w:cstheme="minorHAnsi"/>
                <w:color w:val="000000"/>
              </w:rPr>
            </w:pPr>
            <w:r>
              <w:rPr>
                <w:color w:val="000000"/>
              </w:rPr>
              <w:t xml:space="preserve">g) et h) Voir les réponses aux alinéas b) et d). En outre, les programmes intégrés de </w:t>
            </w:r>
            <w:r w:rsidR="00376C22">
              <w:rPr>
                <w:color w:val="000000"/>
              </w:rPr>
              <w:t>GEF</w:t>
            </w:r>
            <w:r w:rsidR="00376C22">
              <w:rPr>
                <w:color w:val="000000"/>
              </w:rPr>
              <w:noBreakHyphen/>
            </w:r>
            <w:r>
              <w:rPr>
                <w:color w:val="000000"/>
              </w:rPr>
              <w:t xml:space="preserve">9 sont conçus pour tirer parti des synergies entre les accords multilatéraux sur l’environnement auxquels le GEF apporte </w:t>
            </w:r>
            <w:r w:rsidR="00391B87">
              <w:rPr>
                <w:color w:val="000000"/>
              </w:rPr>
              <w:t>son concours</w:t>
            </w:r>
            <w:r>
              <w:rPr>
                <w:color w:val="000000"/>
              </w:rPr>
              <w:t xml:space="preserve">. La Stratégie de </w:t>
            </w:r>
            <w:r w:rsidR="00376C22">
              <w:rPr>
                <w:color w:val="000000"/>
              </w:rPr>
              <w:t>GEF</w:t>
            </w:r>
            <w:r w:rsidR="00376C22">
              <w:rPr>
                <w:color w:val="000000"/>
              </w:rPr>
              <w:noBreakHyphen/>
            </w:r>
            <w:r>
              <w:rPr>
                <w:color w:val="000000"/>
              </w:rPr>
              <w:t xml:space="preserve">9 pour la diversité biologique encourage également le </w:t>
            </w:r>
            <w:r>
              <w:rPr>
                <w:color w:val="000000"/>
              </w:rPr>
              <w:lastRenderedPageBreak/>
              <w:t xml:space="preserve">recours au cadre cohérent et souple offert par les approches intégrées à l’échelle des paysages terrestres et marins, afin d’élaborer des projets relevant de plusieurs domaines d’intervention et de plusieurs fonds fiduciaires. Ces projets associeront des interventions admissibles au titre de la Stratégie pour la diversité biologique à des activités relevant d’autres stratégies du GEF, afin de </w:t>
            </w:r>
            <w:r w:rsidR="00460B0B">
              <w:rPr>
                <w:color w:val="000000"/>
              </w:rPr>
              <w:t>maximiser l</w:t>
            </w:r>
            <w:r>
              <w:rPr>
                <w:color w:val="000000"/>
              </w:rPr>
              <w:t xml:space="preserve">es synergies entre plusieurs accords multilatéraux sur l’environnement. </w:t>
            </w:r>
            <w:r w:rsidR="00391B87">
              <w:rPr>
                <w:color w:val="000000"/>
              </w:rPr>
              <w:t>La Stratég</w:t>
            </w:r>
            <w:r w:rsidR="00B6797E">
              <w:rPr>
                <w:color w:val="000000"/>
              </w:rPr>
              <w:t>ie</w:t>
            </w:r>
            <w:r>
              <w:rPr>
                <w:color w:val="000000"/>
              </w:rPr>
              <w:t xml:space="preserve"> reconnaît que de tels projets favoriseront la coopération et la complémentarité dans la mise en œuvre de la </w:t>
            </w:r>
            <w:r w:rsidR="00B6797E">
              <w:rPr>
                <w:color w:val="000000"/>
              </w:rPr>
              <w:t>CDB</w:t>
            </w:r>
            <w:r>
              <w:rPr>
                <w:color w:val="000000"/>
              </w:rPr>
              <w:t xml:space="preserve"> et des objectifs connexes des autres conventions pour lesquelles le GEF fait office de mécanisme financier, ainsi que des autres conventions relatives à la diversité biologique. Elle </w:t>
            </w:r>
            <w:r w:rsidR="006F671C">
              <w:rPr>
                <w:color w:val="000000"/>
              </w:rPr>
              <w:t>reconnaît également l</w:t>
            </w:r>
            <w:r>
              <w:rPr>
                <w:color w:val="000000"/>
              </w:rPr>
              <w:t xml:space="preserve">es contributions </w:t>
            </w:r>
            <w:r w:rsidR="006F671C">
              <w:rPr>
                <w:color w:val="000000"/>
              </w:rPr>
              <w:t>potentie</w:t>
            </w:r>
            <w:r w:rsidR="004B7AEC">
              <w:rPr>
                <w:color w:val="000000"/>
              </w:rPr>
              <w:t>lles de</w:t>
            </w:r>
            <w:r>
              <w:rPr>
                <w:color w:val="000000"/>
              </w:rPr>
              <w:t xml:space="preserve"> ces instruments aux objectifs de la </w:t>
            </w:r>
            <w:r w:rsidR="004B7AEC">
              <w:rPr>
                <w:color w:val="000000"/>
              </w:rPr>
              <w:t>CDB</w:t>
            </w:r>
            <w:r>
              <w:rPr>
                <w:color w:val="000000"/>
              </w:rPr>
              <w:t xml:space="preserve"> et de ses Protocoles, ainsi qu’au KMGBF.</w:t>
            </w:r>
          </w:p>
          <w:p w14:paraId="394A4D6E" w14:textId="06B6F253" w:rsidR="00603357" w:rsidRPr="00C67737" w:rsidRDefault="00C004A0" w:rsidP="00495437">
            <w:pPr>
              <w:snapToGrid/>
              <w:spacing w:before="0" w:after="0"/>
              <w:ind w:hanging="16"/>
              <w:contextualSpacing/>
              <w:rPr>
                <w:rFonts w:eastAsia="Aptos" w:cstheme="minorHAnsi"/>
                <w:color w:val="000000"/>
              </w:rPr>
            </w:pPr>
            <w:r>
              <w:rPr>
                <w:color w:val="000000"/>
              </w:rPr>
              <w:t xml:space="preserve">L’approche </w:t>
            </w:r>
            <w:proofErr w:type="spellStart"/>
            <w:r>
              <w:rPr>
                <w:color w:val="000000"/>
              </w:rPr>
              <w:t>pansociétale</w:t>
            </w:r>
            <w:proofErr w:type="spellEnd"/>
            <w:r>
              <w:rPr>
                <w:color w:val="000000"/>
              </w:rPr>
              <w:t xml:space="preserve"> a été approuvée comme une composante essentielle de </w:t>
            </w:r>
            <w:r w:rsidR="00376C22">
              <w:rPr>
                <w:color w:val="000000"/>
              </w:rPr>
              <w:t>GEF</w:t>
            </w:r>
            <w:r w:rsidR="00376C22">
              <w:rPr>
                <w:color w:val="000000"/>
              </w:rPr>
              <w:noBreakHyphen/>
            </w:r>
            <w:r>
              <w:rPr>
                <w:color w:val="000000"/>
              </w:rPr>
              <w:t xml:space="preserve">9. Comme le précisent les </w:t>
            </w:r>
            <w:r w:rsidR="00F02738">
              <w:rPr>
                <w:color w:val="000000"/>
              </w:rPr>
              <w:t>orientations programmatiques</w:t>
            </w:r>
            <w:r w:rsidR="00083519">
              <w:rPr>
                <w:color w:val="000000"/>
              </w:rPr>
              <w:t xml:space="preserve"> </w:t>
            </w:r>
            <w:r>
              <w:rPr>
                <w:color w:val="000000"/>
              </w:rPr>
              <w:t xml:space="preserve">de </w:t>
            </w:r>
            <w:r w:rsidR="00376C22">
              <w:rPr>
                <w:color w:val="000000"/>
              </w:rPr>
              <w:t>GEF</w:t>
            </w:r>
            <w:r w:rsidR="00376C22">
              <w:rPr>
                <w:color w:val="000000"/>
              </w:rPr>
              <w:noBreakHyphen/>
            </w:r>
            <w:r>
              <w:rPr>
                <w:color w:val="000000"/>
              </w:rPr>
              <w:t>9, elle se décline en un ensemble de mesures allant de la promotion des comités directeurs nationaux aux programmes spécialisés décrits dans la réponse au paragraphe</w:t>
            </w:r>
            <w:r w:rsidR="00034296">
              <w:rPr>
                <w:color w:val="000000"/>
              </w:rPr>
              <w:t> </w:t>
            </w:r>
            <w:r>
              <w:rPr>
                <w:color w:val="000000"/>
              </w:rPr>
              <w:t>34 f) ci-dessus.</w:t>
            </w:r>
          </w:p>
          <w:p w14:paraId="20DD84F1" w14:textId="55939A3D" w:rsidR="00C004A0" w:rsidRPr="00C67737" w:rsidRDefault="00C004A0" w:rsidP="00495437">
            <w:pPr>
              <w:snapToGrid/>
              <w:spacing w:before="0" w:after="0"/>
              <w:contextualSpacing/>
              <w:rPr>
                <w:rFonts w:eastAsia="SimSun" w:cstheme="minorHAnsi"/>
                <w:color w:val="000000"/>
              </w:rPr>
            </w:pPr>
            <w:r>
              <w:rPr>
                <w:color w:val="000000"/>
              </w:rPr>
              <w:t xml:space="preserve">j) Les projets plurinationaux et transfrontaliers sont admissibles au titre du GBFF et </w:t>
            </w:r>
            <w:r w:rsidR="00CD3559">
              <w:rPr>
                <w:color w:val="000000"/>
              </w:rPr>
              <w:t xml:space="preserve">du fonds fiduciaire </w:t>
            </w:r>
            <w:r>
              <w:rPr>
                <w:color w:val="000000"/>
              </w:rPr>
              <w:t xml:space="preserve">du GEF. Comme lors du cycle précédent, tous les programmes intégrés de </w:t>
            </w:r>
            <w:r w:rsidR="00376C22">
              <w:rPr>
                <w:color w:val="000000"/>
              </w:rPr>
              <w:t>GEF</w:t>
            </w:r>
            <w:r w:rsidR="00376C22">
              <w:rPr>
                <w:color w:val="000000"/>
              </w:rPr>
              <w:noBreakHyphen/>
            </w:r>
            <w:r>
              <w:rPr>
                <w:color w:val="000000"/>
              </w:rPr>
              <w:t xml:space="preserve">9 comprendront des projets régionaux ou mondiaux venant compléter les activités menées au niveau national, </w:t>
            </w:r>
            <w:r w:rsidR="009A06A4">
              <w:rPr>
                <w:color w:val="000000"/>
              </w:rPr>
              <w:t>reconnaissant</w:t>
            </w:r>
            <w:r w:rsidR="00434A2E">
              <w:rPr>
                <w:color w:val="000000"/>
              </w:rPr>
              <w:t xml:space="preserve"> pleinement</w:t>
            </w:r>
            <w:r>
              <w:rPr>
                <w:color w:val="000000"/>
              </w:rPr>
              <w:t xml:space="preserve"> la contribution que cette échelle d’intervention peut apporter à la </w:t>
            </w:r>
            <w:r w:rsidR="00434A2E">
              <w:rPr>
                <w:color w:val="000000"/>
              </w:rPr>
              <w:t>CDB</w:t>
            </w:r>
            <w:r>
              <w:rPr>
                <w:color w:val="000000"/>
              </w:rPr>
              <w:t xml:space="preserve"> et au KMGBF. </w:t>
            </w:r>
            <w:r w:rsidR="00376C22">
              <w:rPr>
                <w:color w:val="000000"/>
              </w:rPr>
              <w:t>GEF</w:t>
            </w:r>
            <w:r w:rsidR="00376C22">
              <w:rPr>
                <w:color w:val="000000"/>
              </w:rPr>
              <w:noBreakHyphen/>
            </w:r>
            <w:r>
              <w:rPr>
                <w:color w:val="000000"/>
              </w:rPr>
              <w:t>9 prévoira également, sous réserve d’une demande suffisante de la part des pays, une approche programmatique consacrée aux voies de migration, afin d’appuyer de manière cohérente et coordonnée les approches intégrées à l’échelle des paysages terrestres et marins dans plusieurs zones géographiques.</w:t>
            </w:r>
          </w:p>
          <w:p w14:paraId="6D41E1B9" w14:textId="62A68247" w:rsidR="00C004A0" w:rsidRPr="00C67737" w:rsidRDefault="00C004A0" w:rsidP="00495437">
            <w:pPr>
              <w:snapToGrid/>
              <w:spacing w:before="0" w:after="0"/>
              <w:contextualSpacing/>
              <w:rPr>
                <w:rFonts w:eastAsia="SimSun" w:cstheme="minorHAnsi"/>
                <w:color w:val="000000"/>
              </w:rPr>
            </w:pPr>
            <w:r>
              <w:t xml:space="preserve">k) Les solutions fondées sur la nature et les approches fondées sur les écosystèmes constituent un thème transversal de la programmation du GEF, </w:t>
            </w:r>
            <w:r>
              <w:lastRenderedPageBreak/>
              <w:t xml:space="preserve">comme </w:t>
            </w:r>
            <w:r w:rsidR="00DF07A8">
              <w:t xml:space="preserve">le souligne </w:t>
            </w:r>
            <w:r>
              <w:t xml:space="preserve">la récente </w:t>
            </w:r>
            <w:r w:rsidR="00DF07A8">
              <w:t>évaluation du Bureau indépendant d’évaluation du GEF</w:t>
            </w:r>
            <w:r w:rsidR="0068529C">
              <w:t xml:space="preserve"> dans ce domaine</w:t>
            </w:r>
            <w:r w:rsidRPr="00C67737">
              <w:rPr>
                <w:rFonts w:eastAsia="SimSun" w:cstheme="minorHAnsi"/>
                <w:color w:val="000000"/>
                <w:vertAlign w:val="superscript"/>
              </w:rPr>
              <w:footnoteReference w:id="100"/>
            </w:r>
            <w:r>
              <w:t xml:space="preserve">. Le GEF a élaboré des lignes directrices relatives aux solutions fondées sur la nature dans les projets du GEF. Celles-ci comprennent une cartographie des points d’entrée pertinents de </w:t>
            </w:r>
            <w:r w:rsidR="00376C22">
              <w:t>GEF</w:t>
            </w:r>
            <w:r w:rsidR="00376C22">
              <w:noBreakHyphen/>
            </w:r>
            <w:r>
              <w:t>9 dans l’ensemble de la famille de fonds du GEF</w:t>
            </w:r>
            <w:r w:rsidR="004902D0" w:rsidRPr="00C67737">
              <w:rPr>
                <w:rStyle w:val="FootnoteReference"/>
                <w:rFonts w:eastAsia="SimSun" w:cstheme="minorHAnsi"/>
                <w:color w:val="000000"/>
              </w:rPr>
              <w:footnoteReference w:id="101"/>
            </w:r>
            <w:r>
              <w:t>.</w:t>
            </w:r>
          </w:p>
        </w:tc>
      </w:tr>
      <w:tr w:rsidR="00C004A0" w:rsidRPr="00C67737" w14:paraId="15DC88E0" w14:textId="77777777" w:rsidTr="00A769A6">
        <w:tc>
          <w:tcPr>
            <w:tcW w:w="2500" w:type="pct"/>
          </w:tcPr>
          <w:p w14:paraId="6AF5F14C" w14:textId="71FBAF8C" w:rsidR="00C0457F" w:rsidRPr="00C67737" w:rsidRDefault="00C004A0" w:rsidP="00C0457F">
            <w:pPr>
              <w:tabs>
                <w:tab w:val="left" w:pos="60"/>
                <w:tab w:val="left" w:pos="1134"/>
                <w:tab w:val="left" w:pos="1701"/>
                <w:tab w:val="left" w:pos="2268"/>
                <w:tab w:val="left" w:pos="2835"/>
                <w:tab w:val="left" w:pos="3402"/>
              </w:tabs>
              <w:snapToGrid/>
              <w:spacing w:before="0" w:after="0"/>
              <w:ind w:hanging="30"/>
              <w:contextualSpacing/>
              <w:rPr>
                <w:rFonts w:eastAsia="SimSun" w:cstheme="minorHAnsi"/>
                <w:color w:val="000000"/>
              </w:rPr>
            </w:pPr>
            <w:r>
              <w:rPr>
                <w:color w:val="000000"/>
              </w:rPr>
              <w:lastRenderedPageBreak/>
              <w:t>11.</w:t>
            </w:r>
            <w:r>
              <w:rPr>
                <w:color w:val="000000"/>
              </w:rPr>
              <w:tab/>
              <w:t xml:space="preserve">Les résultats et les indicateurs de la neuvième reconstitution des ressources </w:t>
            </w:r>
            <w:r w:rsidR="00241A65">
              <w:rPr>
                <w:color w:val="000000"/>
              </w:rPr>
              <w:t xml:space="preserve">du </w:t>
            </w:r>
            <w:r w:rsidR="00241A65">
              <w:t xml:space="preserve">Fonds fiduciaire du Fonds </w:t>
            </w:r>
            <w:r w:rsidR="00241A65">
              <w:rPr>
                <w:color w:val="000000"/>
              </w:rPr>
              <w:t>pour l’Environnement Mondial</w:t>
            </w:r>
          </w:p>
          <w:p w14:paraId="02576A45" w14:textId="0389338A" w:rsidR="00C004A0" w:rsidRPr="00C67737" w:rsidRDefault="00C004A0" w:rsidP="009E1838">
            <w:pPr>
              <w:tabs>
                <w:tab w:val="left" w:pos="567"/>
                <w:tab w:val="left" w:pos="1134"/>
                <w:tab w:val="left" w:pos="1701"/>
                <w:tab w:val="left" w:pos="2268"/>
                <w:tab w:val="left" w:pos="2835"/>
                <w:tab w:val="left" w:pos="3402"/>
              </w:tabs>
              <w:snapToGrid/>
              <w:spacing w:before="0" w:after="0"/>
              <w:contextualSpacing/>
              <w:rPr>
                <w:rFonts w:cstheme="minorHAnsi"/>
                <w:color w:val="000000"/>
              </w:rPr>
            </w:pPr>
            <w:proofErr w:type="gramStart"/>
            <w:r>
              <w:rPr>
                <w:color w:val="000000"/>
              </w:rPr>
              <w:t>et</w:t>
            </w:r>
            <w:proofErr w:type="gramEnd"/>
            <w:r>
              <w:rPr>
                <w:color w:val="000000"/>
              </w:rPr>
              <w:t xml:space="preserve"> les processus de suivi associés devraient permettre d’évaluer efficacement la contribution de la programmation à la réalisation des trois objectifs de la Convention, à la mise en œuvre de ses Protocoles et à la mise en œuvre du Cadre, notamment en mesurant les avantages connexes pour la biodiversité dans l’ensemble des activités pertinentes du Fonds.</w:t>
            </w:r>
          </w:p>
        </w:tc>
        <w:tc>
          <w:tcPr>
            <w:tcW w:w="2500" w:type="pct"/>
          </w:tcPr>
          <w:p w14:paraId="62A45F88" w14:textId="2D060623" w:rsidR="00C004A0" w:rsidRPr="00C67737" w:rsidRDefault="00AB68C7" w:rsidP="00495437">
            <w:pPr>
              <w:snapToGrid/>
              <w:spacing w:before="0" w:after="0"/>
              <w:contextualSpacing/>
              <w:rPr>
                <w:rFonts w:cstheme="minorHAnsi"/>
                <w:color w:val="000000"/>
              </w:rPr>
            </w:pPr>
            <w:r>
              <w:rPr>
                <w:color w:val="000000"/>
              </w:rPr>
              <w:t>Voir la réponse au paragraphe</w:t>
            </w:r>
            <w:r w:rsidR="00034296">
              <w:rPr>
                <w:color w:val="000000"/>
              </w:rPr>
              <w:t> </w:t>
            </w:r>
            <w:r>
              <w:rPr>
                <w:color w:val="000000"/>
              </w:rPr>
              <w:t>35 plus haut.</w:t>
            </w:r>
          </w:p>
          <w:p w14:paraId="56F1D09A" w14:textId="579141CC" w:rsidR="00C004A0" w:rsidRPr="00C67737" w:rsidRDefault="00C004A0" w:rsidP="00495437">
            <w:pPr>
              <w:snapToGrid/>
              <w:spacing w:before="0" w:after="0"/>
              <w:contextualSpacing/>
              <w:rPr>
                <w:rFonts w:eastAsia="SimSun" w:cstheme="minorHAnsi"/>
                <w:color w:val="000000"/>
              </w:rPr>
            </w:pPr>
            <w:r>
              <w:rPr>
                <w:color w:val="000000"/>
              </w:rPr>
              <w:t xml:space="preserve">Les </w:t>
            </w:r>
            <w:r w:rsidR="0068529C">
              <w:rPr>
                <w:color w:val="000000"/>
              </w:rPr>
              <w:t>avantages annexes</w:t>
            </w:r>
            <w:r>
              <w:rPr>
                <w:color w:val="000000"/>
              </w:rPr>
              <w:t xml:space="preserve"> pour la diversité biologique continueront d’être mesurés</w:t>
            </w:r>
            <w:r w:rsidR="009E1838">
              <w:rPr>
                <w:color w:val="000000"/>
              </w:rPr>
              <w:t>,</w:t>
            </w:r>
            <w:r>
              <w:rPr>
                <w:color w:val="000000"/>
              </w:rPr>
              <w:t xml:space="preserve"> dans le cadre de </w:t>
            </w:r>
            <w:r w:rsidR="00376C22">
              <w:rPr>
                <w:color w:val="000000"/>
              </w:rPr>
              <w:t>GEF</w:t>
            </w:r>
            <w:r w:rsidR="00376C22">
              <w:rPr>
                <w:color w:val="000000"/>
              </w:rPr>
              <w:noBreakHyphen/>
            </w:r>
            <w:r>
              <w:rPr>
                <w:color w:val="000000"/>
              </w:rPr>
              <w:t>9</w:t>
            </w:r>
            <w:r w:rsidR="009E1838">
              <w:rPr>
                <w:color w:val="000000"/>
              </w:rPr>
              <w:t>,</w:t>
            </w:r>
            <w:r>
              <w:rPr>
                <w:color w:val="000000"/>
              </w:rPr>
              <w:t xml:space="preserve"> au moyen des </w:t>
            </w:r>
            <w:r w:rsidR="0068529C">
              <w:rPr>
                <w:color w:val="000000"/>
              </w:rPr>
              <w:t>i</w:t>
            </w:r>
            <w:r>
              <w:rPr>
                <w:color w:val="000000"/>
              </w:rPr>
              <w:t>ndicateurs de base du GEF et des marqueurs de Rio relatifs à la diversité biologique.</w:t>
            </w:r>
          </w:p>
        </w:tc>
      </w:tr>
      <w:tr w:rsidR="00C004A0" w:rsidRPr="00C67737" w14:paraId="06DEBA93" w14:textId="77777777" w:rsidTr="00A769A6">
        <w:tc>
          <w:tcPr>
            <w:tcW w:w="2500" w:type="pct"/>
          </w:tcPr>
          <w:p w14:paraId="487BC68D" w14:textId="06574E95"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color w:val="000000"/>
              </w:rPr>
            </w:pPr>
            <w:r>
              <w:rPr>
                <w:color w:val="000000"/>
              </w:rPr>
              <w:t>12. Au cours de la neuvième période de reconstitution de sa Caisse, le Fonds pour l’environnement mondial devrait</w:t>
            </w:r>
            <w:r w:rsidR="006E54C7">
              <w:rPr>
                <w:color w:val="000000"/>
              </w:rPr>
              <w:t> :</w:t>
            </w:r>
          </w:p>
          <w:p w14:paraId="4F7CEC82" w14:textId="6DAD642D"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a) Veiller à ce que le niveau de financement accordé aux Parties admissibles soit à la hauteur de l’ambition du cadre et des besoins et difficultés de ces Parties</w:t>
            </w:r>
            <w:r w:rsidR="00034296">
              <w:rPr>
                <w:color w:val="000000"/>
              </w:rPr>
              <w:t> </w:t>
            </w:r>
            <w:r>
              <w:rPr>
                <w:color w:val="000000"/>
              </w:rPr>
              <w:t>;</w:t>
            </w:r>
          </w:p>
          <w:p w14:paraId="068A168A"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b) Étudier les moyens de continuer à améliorer l’accès des Parties admissibles au financement</w:t>
            </w:r>
          </w:p>
          <w:p w14:paraId="7A8F6167" w14:textId="10377EE5"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c) Étudier les moyens de continuer à soutenir le renforcement des capacités et d’améliorer l’accès direct au financement des peuples autochtones et communautés locales qui incarnent des modes de vie traditionnels et détiennent des connaissances, innovations et pratiques traditionnelles présentant un intérêt pour la conservation de la diversité biologique et l’utilisation durable de ses éléments, et d’appuyer les activités et initiatives des femmes et des jeunes qui renforcent la diversité biologique</w:t>
            </w:r>
            <w:r w:rsidR="00034296">
              <w:rPr>
                <w:color w:val="000000"/>
              </w:rPr>
              <w:t> </w:t>
            </w:r>
            <w:r>
              <w:rPr>
                <w:color w:val="000000"/>
              </w:rPr>
              <w:t>;</w:t>
            </w:r>
          </w:p>
          <w:p w14:paraId="6998B23D" w14:textId="6505436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bookmarkStart w:id="126" w:name="_Hlk163335590"/>
            <w:r>
              <w:rPr>
                <w:color w:val="000000"/>
              </w:rPr>
              <w:t xml:space="preserve">d) Renforcer les capacités et apporter un appui aux Parties admissibles afin d’améliorer la représentation et la participation pleines et effectives des peuples autochtones et </w:t>
            </w:r>
            <w:r>
              <w:rPr>
                <w:color w:val="000000"/>
              </w:rPr>
              <w:lastRenderedPageBreak/>
              <w:t>communautés locales, des femmes et des jeunes à la mise en œuvre du Cadre</w:t>
            </w:r>
            <w:r w:rsidR="00034296">
              <w:rPr>
                <w:color w:val="000000"/>
              </w:rPr>
              <w:t> </w:t>
            </w:r>
            <w:r>
              <w:rPr>
                <w:color w:val="000000"/>
              </w:rPr>
              <w:t>;</w:t>
            </w:r>
          </w:p>
          <w:p w14:paraId="21FAB7E3" w14:textId="037D2D5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Pr>
                <w:color w:val="000000"/>
              </w:rPr>
              <w:t xml:space="preserve">e) Continuer à interagir et à coopérer avec les banques multilatérales de développement et d’autres institutions financières publiques et privées afin de faciliter l’intégration dans leurs activités des objectifs de la Convention et de ses Protocoles, des objectifs et cibles du </w:t>
            </w:r>
            <w:r>
              <w:rPr>
                <w:snapToGrid w:val="0"/>
                <w:color w:val="000000"/>
              </w:rPr>
              <w:t>Cadre</w:t>
            </w:r>
            <w:r>
              <w:rPr>
                <w:color w:val="000000"/>
              </w:rPr>
              <w:t xml:space="preserve"> et des contributions d’autres conventions et accords multilatéraux sur l’environnement liés à la biodiversité, et encourager ces institutions à rendre compte des financements contribuant à la mise en œuvre de ces objectifs</w:t>
            </w:r>
            <w:r w:rsidR="00034296">
              <w:rPr>
                <w:color w:val="000000"/>
              </w:rPr>
              <w:t> </w:t>
            </w:r>
            <w:r>
              <w:rPr>
                <w:color w:val="000000"/>
              </w:rPr>
              <w:t>;</w:t>
            </w:r>
          </w:p>
          <w:bookmarkEnd w:id="126"/>
          <w:p w14:paraId="3BFA25B2" w14:textId="3DE7F1F5" w:rsidR="00C004A0" w:rsidRPr="00C67737" w:rsidRDefault="00C004A0" w:rsidP="00785E90">
            <w:pPr>
              <w:tabs>
                <w:tab w:val="left" w:pos="567"/>
                <w:tab w:val="left" w:pos="1134"/>
                <w:tab w:val="left" w:pos="1701"/>
                <w:tab w:val="left" w:pos="2268"/>
                <w:tab w:val="left" w:pos="2835"/>
                <w:tab w:val="left" w:pos="3402"/>
              </w:tabs>
              <w:snapToGrid/>
              <w:spacing w:before="0" w:after="0"/>
              <w:contextualSpacing/>
              <w:rPr>
                <w:rFonts w:cstheme="minorHAnsi"/>
                <w:color w:val="000000"/>
              </w:rPr>
            </w:pPr>
            <w:r>
              <w:rPr>
                <w:color w:val="000000"/>
              </w:rPr>
              <w:t>f) Continuer à renforcer ses politiques en matière de gouvernance et les normes auxquelles sont soumis ses partenaires de mise en œuvre afin d’améliorer son efficacité et son efficience en vue d’obtenir des résultats durables.</w:t>
            </w:r>
          </w:p>
        </w:tc>
        <w:tc>
          <w:tcPr>
            <w:tcW w:w="2500" w:type="pct"/>
          </w:tcPr>
          <w:p w14:paraId="0A78E52C" w14:textId="2D74AB4F" w:rsidR="00C004A0" w:rsidRPr="00C67737" w:rsidRDefault="00735584" w:rsidP="00495437">
            <w:pPr>
              <w:spacing w:before="0" w:after="0"/>
              <w:contextualSpacing/>
              <w:rPr>
                <w:rFonts w:cstheme="minorHAnsi"/>
                <w:color w:val="000000"/>
              </w:rPr>
            </w:pPr>
            <w:r>
              <w:lastRenderedPageBreak/>
              <w:t xml:space="preserve">a) Les participants à la neuvième reconstitution des ressources du GEF ont décidé de maintenir, comme lors de </w:t>
            </w:r>
            <w:r w:rsidR="00376C22">
              <w:t>GEF</w:t>
            </w:r>
            <w:r w:rsidR="00376C22">
              <w:noBreakHyphen/>
            </w:r>
            <w:r>
              <w:t>8, une</w:t>
            </w:r>
            <w:r w:rsidR="008D6308">
              <w:t xml:space="preserve"> très forte</w:t>
            </w:r>
            <w:r>
              <w:t xml:space="preserve"> part de</w:t>
            </w:r>
            <w:r w:rsidR="00686944">
              <w:t>s</w:t>
            </w:r>
            <w:r>
              <w:t xml:space="preserve"> ressources en faveur du domaine d’intervention «</w:t>
            </w:r>
            <w:r w:rsidR="00034296">
              <w:t> </w:t>
            </w:r>
            <w:r>
              <w:t>diversité biologique</w:t>
            </w:r>
            <w:r w:rsidR="00034296">
              <w:t> </w:t>
            </w:r>
            <w:r>
              <w:t>». Avec 35</w:t>
            </w:r>
            <w:r w:rsidR="00966C17">
              <w:t> %</w:t>
            </w:r>
            <w:r>
              <w:t xml:space="preserve"> des ressources, ce domaine demeure de loin le plus important </w:t>
            </w:r>
            <w:r w:rsidR="00CD3559">
              <w:t xml:space="preserve">du fonds fiduciaire </w:t>
            </w:r>
            <w:r>
              <w:t>du GEF. En outre, 70</w:t>
            </w:r>
            <w:r w:rsidR="00966C17">
              <w:t> %</w:t>
            </w:r>
            <w:r>
              <w:t xml:space="preserve"> des financements de </w:t>
            </w:r>
            <w:r w:rsidR="00376C22">
              <w:t>GEF</w:t>
            </w:r>
            <w:r w:rsidR="00376C22">
              <w:noBreakHyphen/>
            </w:r>
            <w:r>
              <w:t xml:space="preserve">9 devront être pertinents pour la diversité biologique, afin de garantir que l’ensemble des </w:t>
            </w:r>
            <w:r w:rsidR="00686944">
              <w:t>volets</w:t>
            </w:r>
            <w:r>
              <w:t xml:space="preserve"> de programmation du GEF contribue à la mise en œuvre du KMGBF. Enfin, </w:t>
            </w:r>
            <w:r w:rsidR="00376C22">
              <w:t>GEF</w:t>
            </w:r>
            <w:r w:rsidR="00376C22">
              <w:noBreakHyphen/>
            </w:r>
            <w:r>
              <w:t xml:space="preserve">9 élargira son guichet de financement mixte et intégrera le financement mixte dans l’ensemble de ses </w:t>
            </w:r>
            <w:r w:rsidR="00686944">
              <w:t>volets</w:t>
            </w:r>
            <w:r>
              <w:t xml:space="preserve"> de programmation afin d’accroître la mobilisation de ressources auprès du secteur privé, y compris en faveur de la diversité biologique. </w:t>
            </w:r>
          </w:p>
          <w:p w14:paraId="2653291B" w14:textId="4CECDD72" w:rsidR="00C004A0" w:rsidRPr="00C67737" w:rsidRDefault="00683B63" w:rsidP="00495437">
            <w:pPr>
              <w:snapToGrid/>
              <w:spacing w:before="0" w:after="0"/>
              <w:contextualSpacing/>
              <w:rPr>
                <w:rFonts w:eastAsia="SimSun" w:cstheme="minorHAnsi"/>
                <w:color w:val="000000"/>
              </w:rPr>
            </w:pPr>
            <w:r>
              <w:rPr>
                <w:color w:val="000000"/>
              </w:rPr>
              <w:t xml:space="preserve">b) </w:t>
            </w:r>
            <w:r w:rsidR="00153242" w:rsidRPr="00153242">
              <w:rPr>
                <w:color w:val="000000"/>
              </w:rPr>
              <w:t>Le Conseil a adopté, en décembre 2024, un ensemble complet de 35</w:t>
            </w:r>
            <w:r w:rsidR="007950A2">
              <w:rPr>
                <w:color w:val="000000"/>
              </w:rPr>
              <w:t> </w:t>
            </w:r>
            <w:r w:rsidR="00153242" w:rsidRPr="00153242">
              <w:rPr>
                <w:color w:val="000000"/>
              </w:rPr>
              <w:t xml:space="preserve">mesures de rationalisation. Les modifications de politique correspondantes ont été approuvées à la soixante-neuvième réunion du Conseil et mises en application au moyen de lignes directrices. D’autres réformes destinées à rationaliser les procédures et à améliorer l’accès ont été approuvées dans le </w:t>
            </w:r>
            <w:r w:rsidR="00153242" w:rsidRPr="00153242">
              <w:rPr>
                <w:color w:val="000000"/>
              </w:rPr>
              <w:lastRenderedPageBreak/>
              <w:t>cadre des négociations relatives à la reconstitution des ressources d</w:t>
            </w:r>
            <w:r w:rsidR="00F11051">
              <w:rPr>
                <w:color w:val="000000"/>
              </w:rPr>
              <w:t>e</w:t>
            </w:r>
            <w:r w:rsidR="00153242" w:rsidRPr="00153242">
              <w:rPr>
                <w:color w:val="000000"/>
              </w:rPr>
              <w:t xml:space="preserve"> GEF-9.</w:t>
            </w:r>
            <w:r>
              <w:rPr>
                <w:color w:val="000000"/>
              </w:rPr>
              <w:t xml:space="preserve"> Au titre de l’objectif </w:t>
            </w:r>
            <w:r w:rsidR="00304E21">
              <w:rPr>
                <w:color w:val="000000"/>
              </w:rPr>
              <w:t>«</w:t>
            </w:r>
            <w:r w:rsidR="007950A2">
              <w:rPr>
                <w:color w:val="000000"/>
              </w:rPr>
              <w:t> </w:t>
            </w:r>
            <w:r w:rsidR="00304E21" w:rsidRPr="00304E21">
              <w:t>amélioration de l’accès et autonomisation des pays</w:t>
            </w:r>
            <w:r w:rsidR="007950A2">
              <w:t> </w:t>
            </w:r>
            <w:r w:rsidR="00304E21">
              <w:t xml:space="preserve">» </w:t>
            </w:r>
            <w:r>
              <w:rPr>
                <w:color w:val="000000"/>
              </w:rPr>
              <w:t xml:space="preserve">des </w:t>
            </w:r>
            <w:r w:rsidR="00C57670">
              <w:rPr>
                <w:color w:val="000000"/>
              </w:rPr>
              <w:t xml:space="preserve">orientations </w:t>
            </w:r>
            <w:r w:rsidR="00DA0A37">
              <w:rPr>
                <w:color w:val="000000"/>
              </w:rPr>
              <w:t>de politique</w:t>
            </w:r>
            <w:r w:rsidR="00E51F63">
              <w:rPr>
                <w:color w:val="000000"/>
              </w:rPr>
              <w:t xml:space="preserve"> générale</w:t>
            </w:r>
            <w:r>
              <w:rPr>
                <w:color w:val="000000"/>
              </w:rPr>
              <w:t xml:space="preserve"> de </w:t>
            </w:r>
            <w:r w:rsidR="00376C22">
              <w:rPr>
                <w:color w:val="000000"/>
              </w:rPr>
              <w:t>GEF</w:t>
            </w:r>
            <w:r w:rsidR="00376C22">
              <w:rPr>
                <w:color w:val="000000"/>
              </w:rPr>
              <w:noBreakHyphen/>
            </w:r>
            <w:r>
              <w:rPr>
                <w:color w:val="000000"/>
              </w:rPr>
              <w:t xml:space="preserve">9, un ensemble </w:t>
            </w:r>
            <w:r w:rsidR="00E51F63">
              <w:rPr>
                <w:color w:val="000000"/>
              </w:rPr>
              <w:t xml:space="preserve">convenu </w:t>
            </w:r>
            <w:r>
              <w:rPr>
                <w:color w:val="000000"/>
              </w:rPr>
              <w:t xml:space="preserve">de mesures vise à renforcer l’appropriation par les pays et à élargir l’accès aux ressources du GEF. </w:t>
            </w:r>
            <w:r w:rsidR="008C4098">
              <w:rPr>
                <w:color w:val="000000"/>
              </w:rPr>
              <w:t>Elles prévoient</w:t>
            </w:r>
            <w:r w:rsidR="0097198E" w:rsidRPr="0097198E">
              <w:rPr>
                <w:color w:val="000000"/>
              </w:rPr>
              <w:t xml:space="preserve"> notamment d’élargir le réseau des Agences du GEF grâce à une procédure accélérée d’accréditation inter-fonds pour les entités déjà accréditées par le Fonds vert pour le climat ou le Fonds pour l’adaptation, et de diversifier le partenariat afin de mieux répondre aux besoins des régions et des domaines thématiques sous-représentés. </w:t>
            </w:r>
            <w:r>
              <w:t>Le Conseil du GEF a lancé le processus d’élargissement du réseau des Agences en juin 2026</w:t>
            </w:r>
            <w:r w:rsidR="00DF46C8" w:rsidRPr="00C67737">
              <w:rPr>
                <w:rStyle w:val="FootnoteReference"/>
                <w:rFonts w:eastAsia="Aptos" w:cstheme="minorHAnsi"/>
                <w:color w:val="000000"/>
                <w:lang w:eastAsia="de-DE"/>
              </w:rPr>
              <w:footnoteReference w:id="102"/>
            </w:r>
            <w:r>
              <w:t xml:space="preserve">. </w:t>
            </w:r>
            <w:r w:rsidR="00FD4DB4">
              <w:t>C</w:t>
            </w:r>
            <w:r>
              <w:t xml:space="preserve">es mesures comprennent également la promotion de comités directeurs nationaux </w:t>
            </w:r>
            <w:r w:rsidR="00D829A2">
              <w:t>afin de</w:t>
            </w:r>
            <w:r>
              <w:t xml:space="preserve"> renforcer la coordination pangouvernementale, l’appui aux plateformes nationales </w:t>
            </w:r>
            <w:r w:rsidR="00D829A2">
              <w:t xml:space="preserve">visant à </w:t>
            </w:r>
            <w:r>
              <w:t>catalyser les investissements publics et privés, ainsi que le renforcement des capacités des points focaux opérationnels au moyen de formations spécialisées, d’une assistance technique et de ressources</w:t>
            </w:r>
            <w:r w:rsidR="009E15EA">
              <w:t xml:space="preserve"> destinées</w:t>
            </w:r>
            <w:r>
              <w:t xml:space="preserve"> à renforcer la continuité et la participation au niveau national tout au long du cycle des projets.</w:t>
            </w:r>
          </w:p>
          <w:p w14:paraId="5F5CB990" w14:textId="318C66E1" w:rsidR="00C004A0" w:rsidRPr="00C67737" w:rsidRDefault="00C004A0" w:rsidP="00495437">
            <w:pPr>
              <w:snapToGrid/>
              <w:spacing w:before="0" w:after="0"/>
              <w:contextualSpacing/>
              <w:rPr>
                <w:rFonts w:eastAsia="SimSun" w:cstheme="minorHAnsi"/>
                <w:color w:val="000000"/>
              </w:rPr>
            </w:pPr>
            <w:r>
              <w:t xml:space="preserve">c) Le </w:t>
            </w:r>
            <w:r w:rsidR="009E15EA">
              <w:t>budget</w:t>
            </w:r>
            <w:r>
              <w:t xml:space="preserve"> consacré par le GEF à l’</w:t>
            </w:r>
            <w:hyperlink r:id="rId56" w:history="1">
              <w:r>
                <w:rPr>
                  <w:color w:val="000000"/>
                  <w:u w:val="single"/>
                </w:rPr>
                <w:t xml:space="preserve">Initiative de conservation inclusive </w:t>
              </w:r>
            </w:hyperlink>
            <w:r>
              <w:t>a été considérablement accru, passant de 25</w:t>
            </w:r>
            <w:r w:rsidR="00034296">
              <w:t> </w:t>
            </w:r>
            <w:r>
              <w:t xml:space="preserve">millions de dollars dans le cadre de </w:t>
            </w:r>
            <w:r w:rsidR="00376C22">
              <w:t>GEF</w:t>
            </w:r>
            <w:r w:rsidR="00376C22">
              <w:noBreakHyphen/>
            </w:r>
            <w:r>
              <w:t xml:space="preserve">7 et de </w:t>
            </w:r>
            <w:r w:rsidR="00376C22">
              <w:t>GEF</w:t>
            </w:r>
            <w:r w:rsidR="00376C22">
              <w:noBreakHyphen/>
            </w:r>
            <w:r>
              <w:t>8 à 100</w:t>
            </w:r>
            <w:r w:rsidR="00034296">
              <w:t> </w:t>
            </w:r>
            <w:r>
              <w:t xml:space="preserve">millions de dollars </w:t>
            </w:r>
            <w:r w:rsidR="00565BF9">
              <w:t>au titre</w:t>
            </w:r>
            <w:r>
              <w:t xml:space="preserve"> de </w:t>
            </w:r>
            <w:r w:rsidR="00376C22">
              <w:t>GEF</w:t>
            </w:r>
            <w:r w:rsidR="00376C22">
              <w:noBreakHyphen/>
            </w:r>
            <w:r>
              <w:t>9.</w:t>
            </w:r>
            <w:r>
              <w:rPr>
                <w:color w:val="000000"/>
              </w:rPr>
              <w:t xml:space="preserve"> Ce</w:t>
            </w:r>
            <w:r w:rsidR="00B071A3">
              <w:rPr>
                <w:color w:val="000000"/>
              </w:rPr>
              <w:t xml:space="preserve">tte initiative </w:t>
            </w:r>
            <w:r>
              <w:rPr>
                <w:color w:val="000000"/>
              </w:rPr>
              <w:t xml:space="preserve">fournit des financements directs aux organisations de peuples autochtones et communautés locales et contribue </w:t>
            </w:r>
            <w:r w:rsidR="00AE7719" w:rsidRPr="00AE7719">
              <w:rPr>
                <w:color w:val="000000"/>
              </w:rPr>
              <w:t>au renforcement de leurs capacités</w:t>
            </w:r>
            <w:r>
              <w:rPr>
                <w:color w:val="000000"/>
              </w:rPr>
              <w:t xml:space="preserve"> afin de leur permettre de participer aux projets du GEF en tant qu’</w:t>
            </w:r>
            <w:r w:rsidR="00565BF9">
              <w:rPr>
                <w:color w:val="000000"/>
              </w:rPr>
              <w:t>Agence</w:t>
            </w:r>
            <w:r>
              <w:rPr>
                <w:color w:val="000000"/>
              </w:rPr>
              <w:t xml:space="preserve"> d’exécution et intermédiaires financiers.</w:t>
            </w:r>
          </w:p>
          <w:p w14:paraId="419CE27D" w14:textId="7E46ADCD" w:rsidR="00735584" w:rsidRPr="00C67737" w:rsidRDefault="00C004A0" w:rsidP="00495437">
            <w:pPr>
              <w:snapToGrid/>
              <w:spacing w:before="0" w:after="0"/>
              <w:contextualSpacing/>
              <w:rPr>
                <w:rFonts w:eastAsia="Aptos" w:cstheme="minorHAnsi"/>
                <w:color w:val="000000"/>
              </w:rPr>
            </w:pPr>
            <w:r>
              <w:rPr>
                <w:color w:val="000000"/>
              </w:rPr>
              <w:t xml:space="preserve">d) L’approche </w:t>
            </w:r>
            <w:proofErr w:type="spellStart"/>
            <w:r>
              <w:rPr>
                <w:color w:val="000000"/>
              </w:rPr>
              <w:t>pansociétale</w:t>
            </w:r>
            <w:proofErr w:type="spellEnd"/>
            <w:r>
              <w:rPr>
                <w:color w:val="000000"/>
              </w:rPr>
              <w:t xml:space="preserve"> a été approuvée comme une </w:t>
            </w:r>
            <w:r w:rsidR="00AE7719">
              <w:rPr>
                <w:color w:val="000000"/>
              </w:rPr>
              <w:t>caractéristique</w:t>
            </w:r>
            <w:r>
              <w:rPr>
                <w:color w:val="000000"/>
              </w:rPr>
              <w:t xml:space="preserve"> essentielle de </w:t>
            </w:r>
            <w:r w:rsidR="00376C22">
              <w:rPr>
                <w:color w:val="000000"/>
              </w:rPr>
              <w:t>GEF</w:t>
            </w:r>
            <w:r w:rsidR="00376C22">
              <w:rPr>
                <w:color w:val="000000"/>
              </w:rPr>
              <w:noBreakHyphen/>
            </w:r>
            <w:r>
              <w:rPr>
                <w:color w:val="000000"/>
              </w:rPr>
              <w:t xml:space="preserve">9, comme le précisent les </w:t>
            </w:r>
            <w:r w:rsidR="00F02738">
              <w:rPr>
                <w:color w:val="000000"/>
              </w:rPr>
              <w:t>orientations programmatiques</w:t>
            </w:r>
            <w:r w:rsidR="00083519">
              <w:rPr>
                <w:color w:val="000000"/>
              </w:rPr>
              <w:t xml:space="preserve"> </w:t>
            </w:r>
            <w:r>
              <w:rPr>
                <w:color w:val="000000"/>
              </w:rPr>
              <w:t xml:space="preserve">de </w:t>
            </w:r>
            <w:r w:rsidR="00376C22">
              <w:rPr>
                <w:color w:val="000000"/>
              </w:rPr>
              <w:t>GEF</w:t>
            </w:r>
            <w:r w:rsidR="00376C22">
              <w:rPr>
                <w:color w:val="000000"/>
              </w:rPr>
              <w:noBreakHyphen/>
            </w:r>
            <w:r>
              <w:rPr>
                <w:color w:val="000000"/>
              </w:rPr>
              <w:t>9. En conséquence, un ensemb</w:t>
            </w:r>
            <w:r w:rsidR="00DE4A98">
              <w:rPr>
                <w:color w:val="000000"/>
              </w:rPr>
              <w:t>le de mesures pertinentes a été convenu au titre de l’objectif «</w:t>
            </w:r>
            <w:r w:rsidR="007950A2">
              <w:rPr>
                <w:color w:val="000000"/>
              </w:rPr>
              <w:t> </w:t>
            </w:r>
            <w:r w:rsidR="00B01DA8">
              <w:rPr>
                <w:color w:val="000000"/>
              </w:rPr>
              <w:t>Amélioration</w:t>
            </w:r>
            <w:r>
              <w:rPr>
                <w:color w:val="000000"/>
              </w:rPr>
              <w:t xml:space="preserve"> de l’accès et autonomisation des pays</w:t>
            </w:r>
            <w:r w:rsidR="007950A2">
              <w:rPr>
                <w:color w:val="000000"/>
              </w:rPr>
              <w:t> </w:t>
            </w:r>
            <w:r w:rsidR="00DE4A98">
              <w:rPr>
                <w:color w:val="000000"/>
              </w:rPr>
              <w:t>»</w:t>
            </w:r>
            <w:r w:rsidR="00B01DA8">
              <w:rPr>
                <w:color w:val="000000"/>
              </w:rPr>
              <w:t xml:space="preserve"> des </w:t>
            </w:r>
            <w:r w:rsidR="00C57670">
              <w:rPr>
                <w:color w:val="000000"/>
              </w:rPr>
              <w:t xml:space="preserve">orientations </w:t>
            </w:r>
            <w:r w:rsidR="00B01DA8">
              <w:rPr>
                <w:color w:val="000000"/>
              </w:rPr>
              <w:t>de politique générale</w:t>
            </w:r>
            <w:r>
              <w:rPr>
                <w:color w:val="000000"/>
              </w:rPr>
              <w:t xml:space="preserve"> de </w:t>
            </w:r>
            <w:r w:rsidR="00376C22">
              <w:rPr>
                <w:color w:val="000000"/>
              </w:rPr>
              <w:lastRenderedPageBreak/>
              <w:t>GEF</w:t>
            </w:r>
            <w:r w:rsidR="00376C22">
              <w:rPr>
                <w:color w:val="000000"/>
              </w:rPr>
              <w:noBreakHyphen/>
            </w:r>
            <w:r>
              <w:rPr>
                <w:color w:val="000000"/>
              </w:rPr>
              <w:t xml:space="preserve">9. Ces mesures prévoient notamment de promouvoir et d’appuyer les plateformes nationales en tant que cadres nationaux </w:t>
            </w:r>
            <w:r w:rsidR="000F34FE">
              <w:rPr>
                <w:color w:val="000000"/>
              </w:rPr>
              <w:t>coordonnés visant à</w:t>
            </w:r>
            <w:r>
              <w:rPr>
                <w:color w:val="000000"/>
              </w:rPr>
              <w:t xml:space="preserve"> renforcer la collaboration entre les banques multilatérales de développement, le secteur privé, les autres bailleurs de fonds et l’ensemble de la société</w:t>
            </w:r>
            <w:r w:rsidR="00F51B49">
              <w:rPr>
                <w:color w:val="000000"/>
              </w:rPr>
              <w:t xml:space="preserve">, afin de </w:t>
            </w:r>
            <w:r>
              <w:rPr>
                <w:color w:val="000000"/>
              </w:rPr>
              <w:t xml:space="preserve">favoriser des réformes à l’échelle de l’ensemble de l’administration et </w:t>
            </w:r>
            <w:r w:rsidR="00701046">
              <w:rPr>
                <w:color w:val="000000"/>
              </w:rPr>
              <w:t>de</w:t>
            </w:r>
            <w:r>
              <w:rPr>
                <w:color w:val="000000"/>
              </w:rPr>
              <w:t xml:space="preserve"> mobiliser des investissements de grande ampleur conformes aux priorités nationales. Elles </w:t>
            </w:r>
            <w:r w:rsidR="00351E5A">
              <w:rPr>
                <w:color w:val="000000"/>
              </w:rPr>
              <w:t>prévoient</w:t>
            </w:r>
            <w:r>
              <w:rPr>
                <w:color w:val="000000"/>
              </w:rPr>
              <w:t xml:space="preserve"> également </w:t>
            </w:r>
            <w:r w:rsidR="00351E5A">
              <w:rPr>
                <w:color w:val="000000"/>
              </w:rPr>
              <w:t>de favoriser</w:t>
            </w:r>
            <w:r>
              <w:rPr>
                <w:color w:val="000000"/>
              </w:rPr>
              <w:t xml:space="preserve"> la création de comités directeurs nationaux réunissant plusieurs ministères et parties prenantes, chargés de coordonner les activités du GEF afin de favoriser une approche pangouvernementale et </w:t>
            </w:r>
            <w:proofErr w:type="spellStart"/>
            <w:r>
              <w:rPr>
                <w:color w:val="000000"/>
              </w:rPr>
              <w:t>pansociétale</w:t>
            </w:r>
            <w:proofErr w:type="spellEnd"/>
            <w:r>
              <w:rPr>
                <w:color w:val="000000"/>
              </w:rPr>
              <w:t xml:space="preserve">. </w:t>
            </w:r>
          </w:p>
          <w:p w14:paraId="211ED12C" w14:textId="1E5EFECA" w:rsidR="00C004A0" w:rsidRPr="00C67737" w:rsidRDefault="00C004A0" w:rsidP="00495437">
            <w:pPr>
              <w:snapToGrid/>
              <w:spacing w:before="0" w:after="0"/>
              <w:ind w:hanging="20"/>
              <w:contextualSpacing/>
              <w:rPr>
                <w:rFonts w:eastAsia="SimSun" w:cstheme="minorHAnsi"/>
                <w:color w:val="000000"/>
              </w:rPr>
            </w:pPr>
            <w:r>
              <w:rPr>
                <w:color w:val="000000"/>
              </w:rPr>
              <w:t>e) Le GBFF a fixé au niveau du portefeuille un objectif selon lequel 25</w:t>
            </w:r>
            <w:r w:rsidR="00966C17">
              <w:rPr>
                <w:color w:val="000000"/>
              </w:rPr>
              <w:t> %</w:t>
            </w:r>
            <w:r>
              <w:rPr>
                <w:color w:val="000000"/>
              </w:rPr>
              <w:t xml:space="preserve"> de ses financements doivent être programmés par l’intermédiaire d’institutions financières internationales (IFI) qui sont des </w:t>
            </w:r>
            <w:r w:rsidR="00F52D3D">
              <w:rPr>
                <w:color w:val="000000"/>
              </w:rPr>
              <w:t>Agences</w:t>
            </w:r>
            <w:r>
              <w:rPr>
                <w:color w:val="000000"/>
              </w:rPr>
              <w:t xml:space="preserve"> du GEF. Au 31</w:t>
            </w:r>
            <w:r w:rsidR="00034296">
              <w:rPr>
                <w:color w:val="000000"/>
              </w:rPr>
              <w:t> </w:t>
            </w:r>
            <w:r>
              <w:rPr>
                <w:color w:val="000000"/>
              </w:rPr>
              <w:t>mars 2026, cet objectif était dépassé, puisque cette proportion s’établissait à 30,4</w:t>
            </w:r>
            <w:r w:rsidR="00966C17">
              <w:rPr>
                <w:color w:val="000000"/>
              </w:rPr>
              <w:t> %</w:t>
            </w:r>
            <w:r>
              <w:rPr>
                <w:color w:val="000000"/>
              </w:rPr>
              <w:t xml:space="preserve">. Dans le cadre de </w:t>
            </w:r>
            <w:r w:rsidR="00376C22">
              <w:rPr>
                <w:color w:val="000000"/>
              </w:rPr>
              <w:t>GEF</w:t>
            </w:r>
            <w:r w:rsidR="00376C22">
              <w:rPr>
                <w:color w:val="000000"/>
              </w:rPr>
              <w:noBreakHyphen/>
            </w:r>
            <w:r>
              <w:rPr>
                <w:color w:val="000000"/>
              </w:rPr>
              <w:t>9, un objectif de 25</w:t>
            </w:r>
            <w:r w:rsidR="00966C17">
              <w:rPr>
                <w:color w:val="000000"/>
              </w:rPr>
              <w:t> %</w:t>
            </w:r>
            <w:r>
              <w:rPr>
                <w:color w:val="000000"/>
              </w:rPr>
              <w:t xml:space="preserve"> a été fixé pour la programmation </w:t>
            </w:r>
            <w:r w:rsidR="00CD3559">
              <w:rPr>
                <w:color w:val="000000"/>
              </w:rPr>
              <w:t xml:space="preserve">du fonds fiduciaire </w:t>
            </w:r>
            <w:r>
              <w:rPr>
                <w:color w:val="000000"/>
              </w:rPr>
              <w:t xml:space="preserve">du GEF par l’intermédiaire des IFI. L’élargissement du financement mixte </w:t>
            </w:r>
            <w:r w:rsidR="00310375">
              <w:rPr>
                <w:color w:val="000000"/>
              </w:rPr>
              <w:t>au titre de</w:t>
            </w:r>
            <w:r>
              <w:rPr>
                <w:color w:val="000000"/>
              </w:rPr>
              <w:t xml:space="preserve"> </w:t>
            </w:r>
            <w:r w:rsidR="00376C22">
              <w:rPr>
                <w:color w:val="000000"/>
              </w:rPr>
              <w:t>GEF</w:t>
            </w:r>
            <w:r w:rsidR="00376C22">
              <w:rPr>
                <w:color w:val="000000"/>
              </w:rPr>
              <w:noBreakHyphen/>
            </w:r>
            <w:r>
              <w:rPr>
                <w:color w:val="000000"/>
              </w:rPr>
              <w:t>9 devrait favoriser une participation accrue des IFI.</w:t>
            </w:r>
          </w:p>
          <w:p w14:paraId="55F08302" w14:textId="16E5394F" w:rsidR="00C004A0" w:rsidRPr="00C67737" w:rsidRDefault="00C004A0" w:rsidP="00495437">
            <w:pPr>
              <w:snapToGrid/>
              <w:spacing w:before="0" w:after="0"/>
              <w:contextualSpacing/>
              <w:rPr>
                <w:rFonts w:eastAsia="Aptos" w:cstheme="minorHAnsi"/>
                <w:color w:val="000000"/>
              </w:rPr>
            </w:pPr>
            <w:r>
              <w:t>f) Au titre des objectifs «</w:t>
            </w:r>
            <w:r w:rsidR="002518C2">
              <w:t> </w:t>
            </w:r>
            <w:r w:rsidR="0093528C">
              <w:rPr>
                <w:i/>
                <w:iCs/>
              </w:rPr>
              <w:t>amélioration de l’accès et autonomisation des pays</w:t>
            </w:r>
            <w:r w:rsidR="002518C2">
              <w:t> </w:t>
            </w:r>
            <w:r>
              <w:t>» et «</w:t>
            </w:r>
            <w:r w:rsidR="002518C2">
              <w:t> </w:t>
            </w:r>
            <w:r w:rsidR="00AE1AF3">
              <w:rPr>
                <w:i/>
                <w:iCs/>
              </w:rPr>
              <w:t>Accélération et simplification de l’exécution</w:t>
            </w:r>
            <w:r w:rsidR="002518C2">
              <w:t> </w:t>
            </w:r>
            <w:r>
              <w:t xml:space="preserve">» des </w:t>
            </w:r>
            <w:r w:rsidR="00546400">
              <w:t>r</w:t>
            </w:r>
            <w:r>
              <w:t xml:space="preserve">ecommandations de politique </w:t>
            </w:r>
            <w:r w:rsidR="00AE1AF3">
              <w:t xml:space="preserve">générale </w:t>
            </w:r>
            <w:r>
              <w:t xml:space="preserve">de </w:t>
            </w:r>
            <w:r w:rsidR="00376C22">
              <w:t>GEF</w:t>
            </w:r>
            <w:r w:rsidR="00376C22">
              <w:noBreakHyphen/>
            </w:r>
            <w:r>
              <w:t>9, un ensemble convenu de mesures de politique générale contribuera à renforcer l’efficience et l’efficacité des</w:t>
            </w:r>
            <w:r w:rsidR="00E87BC5">
              <w:t xml:space="preserve"> </w:t>
            </w:r>
            <w:r w:rsidR="00887A21">
              <w:t>Agences d’exécution</w:t>
            </w:r>
            <w:r>
              <w:t xml:space="preserve">. Ces mesures comprennent l’élargissement du réseau des </w:t>
            </w:r>
            <w:r w:rsidR="00F52D3D">
              <w:t>Agences</w:t>
            </w:r>
            <w:r>
              <w:t xml:space="preserve"> du GEF et le maintien d’un partenariat actif et diversifié, grâce au plafonnement de la part du portefeuille de chaque Agence à 25</w:t>
            </w:r>
            <w:r w:rsidR="00966C17">
              <w:t> %</w:t>
            </w:r>
            <w:r>
              <w:t xml:space="preserve"> au maximum de l’ensemble de la programmation de </w:t>
            </w:r>
            <w:r w:rsidR="00376C22">
              <w:t>GEF</w:t>
            </w:r>
            <w:r w:rsidR="00376C22">
              <w:noBreakHyphen/>
            </w:r>
            <w:r>
              <w:t>9. Elles prévoient également l’harmonisation des frais d’Agence à 9</w:t>
            </w:r>
            <w:r w:rsidR="00966C17">
              <w:t> %</w:t>
            </w:r>
            <w:r>
              <w:t>, contre 9,5</w:t>
            </w:r>
            <w:r w:rsidR="00966C17">
              <w:t> %</w:t>
            </w:r>
            <w:r>
              <w:t xml:space="preserve"> pour certaines Agences. Des délais de référence seront aussi instaurés </w:t>
            </w:r>
            <w:r w:rsidR="00515852" w:rsidRPr="00515852">
              <w:t xml:space="preserve">pour la présentation, par les Agences, de versions révisées des projets à la suite des observations du Secrétariat du GEF. Des </w:t>
            </w:r>
            <w:r w:rsidR="00515852" w:rsidRPr="00515852">
              <w:lastRenderedPageBreak/>
              <w:t xml:space="preserve">incitations seront en outre prévues afin que les Agences rationalisent leurs procédures internes, de même qu’un </w:t>
            </w:r>
            <w:r w:rsidR="000E6FA9">
              <w:t>décaissement</w:t>
            </w:r>
            <w:r w:rsidR="008C4AD6">
              <w:t xml:space="preserve"> plus échelonné</w:t>
            </w:r>
            <w:r w:rsidR="00515852" w:rsidRPr="00515852">
              <w:t xml:space="preserve"> des frais d’Agence. Les capacités des points focaux opérationnels seront renforcées au moyen de formations spécialisées, d’une assistance technique, d’un appui financier à la coordination nationale et de possibilités de participation directe à la supervision des projets.</w:t>
            </w:r>
          </w:p>
        </w:tc>
      </w:tr>
      <w:tr w:rsidR="00C004A0" w:rsidRPr="00C67737" w14:paraId="63F0C251" w14:textId="77777777" w:rsidTr="00A769A6">
        <w:tc>
          <w:tcPr>
            <w:tcW w:w="2500" w:type="pct"/>
          </w:tcPr>
          <w:p w14:paraId="29A83A86" w14:textId="4955C65C"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bCs/>
                <w:color w:val="000000"/>
              </w:rPr>
            </w:pPr>
            <w:r>
              <w:rPr>
                <w:b/>
                <w:color w:val="000000"/>
              </w:rPr>
              <w:lastRenderedPageBreak/>
              <w:t>IV.</w:t>
            </w:r>
            <w:r>
              <w:rPr>
                <w:b/>
                <w:color w:val="000000"/>
              </w:rPr>
              <w:tab/>
            </w:r>
            <w:r w:rsidR="00694BB2">
              <w:rPr>
                <w:b/>
                <w:color w:val="000000"/>
              </w:rPr>
              <w:t>Compte-rendu</w:t>
            </w:r>
          </w:p>
          <w:p w14:paraId="35D9E519" w14:textId="2D8C7511"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b/>
                <w:bCs/>
                <w:color w:val="000000"/>
              </w:rPr>
            </w:pPr>
            <w:r>
              <w:rPr>
                <w:color w:val="000000"/>
              </w:rPr>
              <w:t>13.</w:t>
            </w:r>
            <w:r>
              <w:rPr>
                <w:color w:val="000000"/>
              </w:rPr>
              <w:tab/>
            </w:r>
            <w:r>
              <w:t xml:space="preserve">À l’issue de la neuvième reconstitution des ressources de sa Caisse, le Conseil du Fonds pour l’environnement mondial inclura dans ses rapports à la Conférence des Parties une description de la manière dont la neuvième reconstitution a tenu compte du cadre quadriennal axé sur les résultats des priorités du programme sur la biodiversité et, grâce aux éléments de ses </w:t>
            </w:r>
            <w:r w:rsidR="00F02738">
              <w:t>orientations programmatiques</w:t>
            </w:r>
            <w:r>
              <w:t>, contribue à la mise en œuvre de la Convention et de ses Protocoles ainsi que de chaque objectif et cible du Cadre mondial de la biodiversité de Kunming-Montréal et de son cadre de suivi</w:t>
            </w:r>
            <w:r w:rsidRPr="00C67737">
              <w:rPr>
                <w:rFonts w:eastAsia="SimSun" w:cstheme="minorHAnsi"/>
                <w:color w:val="000000"/>
                <w:vertAlign w:val="superscript"/>
              </w:rPr>
              <w:footnoteReference w:id="103"/>
            </w:r>
            <w:r>
              <w:t>.</w:t>
            </w:r>
          </w:p>
        </w:tc>
        <w:tc>
          <w:tcPr>
            <w:tcW w:w="2500" w:type="pct"/>
          </w:tcPr>
          <w:p w14:paraId="0336AF53" w14:textId="65F6E6DC" w:rsidR="00C004A0" w:rsidRPr="00C67737" w:rsidRDefault="00B63DCF" w:rsidP="00495437">
            <w:pPr>
              <w:snapToGrid/>
              <w:spacing w:before="0" w:after="0"/>
              <w:contextualSpacing/>
              <w:rPr>
                <w:rFonts w:cstheme="minorHAnsi"/>
                <w:iCs/>
                <w:color w:val="000000"/>
              </w:rPr>
            </w:pPr>
            <w:r>
              <w:rPr>
                <w:color w:val="000000"/>
              </w:rPr>
              <w:t xml:space="preserve">Le présent rapport répond à cette demande, notamment par le présent tableau et </w:t>
            </w:r>
            <w:r w:rsidR="003425EA">
              <w:rPr>
                <w:color w:val="000000"/>
              </w:rPr>
              <w:t>l</w:t>
            </w:r>
            <w:r w:rsidR="00E351F8">
              <w:rPr>
                <w:color w:val="000000"/>
              </w:rPr>
              <w:t>e</w:t>
            </w:r>
            <w:r>
              <w:rPr>
                <w:color w:val="000000"/>
              </w:rPr>
              <w:t>s tableaux</w:t>
            </w:r>
            <w:r w:rsidR="002518C2">
              <w:rPr>
                <w:color w:val="000000"/>
              </w:rPr>
              <w:t> </w:t>
            </w:r>
            <w:r>
              <w:rPr>
                <w:color w:val="000000"/>
              </w:rPr>
              <w:t>9 et 10.</w:t>
            </w:r>
          </w:p>
        </w:tc>
      </w:tr>
      <w:tr w:rsidR="00C004A0" w:rsidRPr="00C67737" w14:paraId="344464FB" w14:textId="77777777" w:rsidTr="00A769A6">
        <w:tc>
          <w:tcPr>
            <w:tcW w:w="2500" w:type="pct"/>
          </w:tcPr>
          <w:p w14:paraId="265B7BFD" w14:textId="77777777" w:rsidR="00C004A0" w:rsidRPr="00C67737" w:rsidRDefault="00C004A0" w:rsidP="00495437">
            <w:pPr>
              <w:rPr>
                <w:rFonts w:cstheme="minorHAnsi"/>
                <w:b/>
                <w:bCs/>
              </w:rPr>
            </w:pPr>
            <w:r>
              <w:rPr>
                <w:b/>
                <w:snapToGrid w:val="0"/>
              </w:rPr>
              <w:t>Pièce jointe I</w:t>
            </w:r>
          </w:p>
          <w:p w14:paraId="1EB06C3C" w14:textId="294BF739" w:rsidR="00C004A0" w:rsidRPr="00C67737" w:rsidRDefault="00C004A0" w:rsidP="00A2398D">
            <w:pPr>
              <w:tabs>
                <w:tab w:val="left" w:pos="60"/>
                <w:tab w:val="left" w:pos="1134"/>
                <w:tab w:val="left" w:pos="1701"/>
                <w:tab w:val="left" w:pos="2268"/>
                <w:tab w:val="left" w:pos="2835"/>
                <w:tab w:val="left" w:pos="3402"/>
              </w:tabs>
              <w:snapToGrid/>
              <w:spacing w:before="0" w:after="0"/>
              <w:ind w:hanging="30"/>
              <w:contextualSpacing/>
              <w:rPr>
                <w:rFonts w:cstheme="minorHAnsi"/>
                <w:b/>
                <w:bCs/>
                <w:i/>
                <w:caps/>
              </w:rPr>
            </w:pPr>
            <w:r>
              <w:rPr>
                <w:b/>
                <w:snapToGrid w:val="0"/>
              </w:rPr>
              <w:t xml:space="preserve">Éléments supplémentaires du cadre quadriennal axé sur les résultats des priorités du programme sur la biodiversité de la Convention sur la diversité biologique pour la neuvième reconstitution des </w:t>
            </w:r>
            <w:r w:rsidRPr="00A2398D">
              <w:rPr>
                <w:b/>
                <w:snapToGrid w:val="0"/>
              </w:rPr>
              <w:t xml:space="preserve">ressources </w:t>
            </w:r>
            <w:r w:rsidR="00241A65" w:rsidRPr="00A2398D">
              <w:rPr>
                <w:b/>
                <w:color w:val="000000"/>
              </w:rPr>
              <w:t xml:space="preserve">du </w:t>
            </w:r>
            <w:r w:rsidR="00241A65" w:rsidRPr="00A2398D">
              <w:rPr>
                <w:b/>
              </w:rPr>
              <w:t xml:space="preserve">Fonds fiduciaire du Fonds </w:t>
            </w:r>
            <w:r w:rsidR="00241A65" w:rsidRPr="00A2398D">
              <w:rPr>
                <w:b/>
                <w:color w:val="000000"/>
              </w:rPr>
              <w:t>pour l’Environnement Mondial</w:t>
            </w:r>
            <w:r w:rsidR="00241A65" w:rsidRPr="00A2398D">
              <w:rPr>
                <w:bCs/>
                <w:color w:val="000000"/>
              </w:rPr>
              <w:t xml:space="preserve"> </w:t>
            </w:r>
            <w:r w:rsidRPr="00A2398D">
              <w:rPr>
                <w:bCs/>
                <w:snapToGrid w:val="0"/>
              </w:rPr>
              <w:t>(</w:t>
            </w:r>
            <w:r>
              <w:rPr>
                <w:b/>
                <w:snapToGrid w:val="0"/>
              </w:rPr>
              <w:t>2026</w:t>
            </w:r>
            <w:r>
              <w:rPr>
                <w:b/>
              </w:rPr>
              <w:t>-</w:t>
            </w:r>
            <w:r>
              <w:rPr>
                <w:b/>
                <w:snapToGrid w:val="0"/>
              </w:rPr>
              <w:t>2030)</w:t>
            </w:r>
            <w:r>
              <w:rPr>
                <w:b/>
              </w:rPr>
              <w:t xml:space="preserve"> </w:t>
            </w:r>
            <w:r>
              <w:rPr>
                <w:b/>
                <w:snapToGrid w:val="0"/>
              </w:rPr>
              <w:t xml:space="preserve">afin d’appuyer la mise en œuvre du Protocole de </w:t>
            </w:r>
            <w:r w:rsidR="003C203B">
              <w:t>Carthagène</w:t>
            </w:r>
            <w:r>
              <w:rPr>
                <w:b/>
                <w:snapToGrid w:val="0"/>
              </w:rPr>
              <w:t xml:space="preserve"> sur la prévention des risques biotechnologiques</w:t>
            </w:r>
          </w:p>
          <w:p w14:paraId="5F6BA0C7" w14:textId="444FFC58" w:rsidR="00C0457F" w:rsidRPr="00C67737" w:rsidRDefault="00C004A0" w:rsidP="00C0457F">
            <w:pPr>
              <w:tabs>
                <w:tab w:val="left" w:pos="60"/>
                <w:tab w:val="left" w:pos="1134"/>
                <w:tab w:val="left" w:pos="1701"/>
                <w:tab w:val="left" w:pos="2268"/>
                <w:tab w:val="left" w:pos="2835"/>
                <w:tab w:val="left" w:pos="3402"/>
              </w:tabs>
              <w:snapToGrid/>
              <w:spacing w:before="0" w:after="0"/>
              <w:ind w:hanging="30"/>
              <w:contextualSpacing/>
              <w:rPr>
                <w:rFonts w:eastAsia="SimSun" w:cstheme="minorHAnsi"/>
                <w:color w:val="000000"/>
              </w:rPr>
            </w:pPr>
            <w:r>
              <w:rPr>
                <w:snapToGrid w:val="0"/>
              </w:rPr>
              <w:t xml:space="preserve">Les éléments du cadre quadriennal axé sur les résultats des priorités du programme en vue de la neuvième reconstitution des ressources </w:t>
            </w:r>
            <w:r w:rsidR="00241A65">
              <w:rPr>
                <w:color w:val="000000"/>
              </w:rPr>
              <w:t xml:space="preserve">du </w:t>
            </w:r>
            <w:r w:rsidR="00241A65">
              <w:t xml:space="preserve">Fonds fiduciaire du Fonds </w:t>
            </w:r>
            <w:r w:rsidR="00241A65">
              <w:rPr>
                <w:color w:val="000000"/>
              </w:rPr>
              <w:t>pour l’Environnement Mondial</w:t>
            </w:r>
          </w:p>
          <w:p w14:paraId="7134ECAC" w14:textId="1B778C78" w:rsidR="00C004A0" w:rsidRPr="00C67737" w:rsidRDefault="00C004A0" w:rsidP="00495437">
            <w:pPr>
              <w:keepLines/>
              <w:tabs>
                <w:tab w:val="left" w:pos="567"/>
                <w:tab w:val="left" w:pos="1134"/>
                <w:tab w:val="left" w:pos="1701"/>
                <w:tab w:val="left" w:pos="2268"/>
                <w:tab w:val="left" w:pos="2835"/>
                <w:tab w:val="left" w:pos="3402"/>
              </w:tabs>
              <w:snapToGrid/>
              <w:spacing w:before="100" w:after="100"/>
              <w:rPr>
                <w:rFonts w:eastAsia="SimSun" w:cstheme="minorHAnsi"/>
                <w:snapToGrid w:val="0"/>
                <w:color w:val="000000"/>
                <w:kern w:val="22"/>
              </w:rPr>
            </w:pPr>
            <w:r>
              <w:rPr>
                <w:snapToGrid w:val="0"/>
              </w:rPr>
              <w:lastRenderedPageBreak/>
              <w:t>(2026</w:t>
            </w:r>
            <w:r>
              <w:t>-</w:t>
            </w:r>
            <w:r>
              <w:rPr>
                <w:color w:val="000000"/>
              </w:rPr>
              <w:t xml:space="preserve">2030) à l’appui de la mise en œuvre du Protocole de </w:t>
            </w:r>
            <w:r w:rsidR="003C203B">
              <w:t>Carthagène</w:t>
            </w:r>
            <w:r>
              <w:rPr>
                <w:color w:val="000000"/>
              </w:rPr>
              <w:t xml:space="preserve"> sur la prévention des risques</w:t>
            </w:r>
            <w:r w:rsidR="002518C2">
              <w:rPr>
                <w:color w:val="000000"/>
              </w:rPr>
              <w:t> </w:t>
            </w:r>
            <w:r>
              <w:rPr>
                <w:color w:val="000000"/>
              </w:rPr>
              <w:t>biotechnologiques</w:t>
            </w:r>
            <w:r>
              <w:rPr>
                <w:rFonts w:ascii="ZWAdobeF" w:hAnsi="ZWAdobeF"/>
                <w:snapToGrid w:val="0"/>
                <w:color w:val="000000"/>
                <w:sz w:val="2"/>
              </w:rPr>
              <w:t>10</w:t>
            </w:r>
            <w:r w:rsidRPr="00C67737">
              <w:rPr>
                <w:rFonts w:eastAsia="SimSun" w:cstheme="minorHAnsi"/>
                <w:iCs/>
                <w:snapToGrid w:val="0"/>
                <w:color w:val="000000"/>
                <w:kern w:val="22"/>
                <w:vertAlign w:val="superscript"/>
              </w:rPr>
              <w:footnoteReference w:id="104"/>
            </w:r>
            <w:r>
              <w:rPr>
                <w:snapToGrid w:val="0"/>
                <w:color w:val="000000"/>
              </w:rPr>
              <w:t>, tels qu’adoptés par la Conférence des Parties siégeant en tant que réunion des Parties au Protoc</w:t>
            </w:r>
            <w:r w:rsidR="00700666">
              <w:rPr>
                <w:snapToGrid w:val="0"/>
                <w:color w:val="000000"/>
              </w:rPr>
              <w:t>o</w:t>
            </w:r>
            <w:r>
              <w:rPr>
                <w:snapToGrid w:val="0"/>
                <w:color w:val="000000"/>
              </w:rPr>
              <w:t>le à sa onzième réunion, visent notamment à</w:t>
            </w:r>
            <w:r w:rsidR="006E54C7">
              <w:rPr>
                <w:snapToGrid w:val="0"/>
                <w:color w:val="000000"/>
              </w:rPr>
              <w:t> :</w:t>
            </w:r>
            <w:r>
              <w:rPr>
                <w:color w:val="000000"/>
              </w:rPr>
              <w:t xml:space="preserve"> </w:t>
            </w:r>
            <w:r>
              <w:rPr>
                <w:snapToGrid w:val="0"/>
                <w:color w:val="000000"/>
              </w:rPr>
              <w:t xml:space="preserve"> </w:t>
            </w:r>
            <w:bookmarkStart w:id="127" w:name="_Hlk164480057"/>
          </w:p>
          <w:bookmarkEnd w:id="127"/>
          <w:p w14:paraId="16686924" w14:textId="54548C0B"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rPr>
                <w:rFonts w:eastAsia="SimSun" w:cstheme="minorHAnsi"/>
                <w:iCs/>
                <w:snapToGrid w:val="0"/>
                <w:color w:val="000000"/>
                <w:kern w:val="22"/>
              </w:rPr>
            </w:pPr>
            <w:r>
              <w:rPr>
                <w:snapToGrid w:val="0"/>
              </w:rPr>
              <w:t xml:space="preserve">a) Renforcer son financement affecté au Protocole de </w:t>
            </w:r>
            <w:r w:rsidR="003C203B">
              <w:t>Carthagène</w:t>
            </w:r>
            <w:r>
              <w:rPr>
                <w:snapToGrid w:val="0"/>
              </w:rPr>
              <w:t xml:space="preserve"> afin d’appuyer les Parties admissibles dans la mise en œuvre du Protocole, y compris son plan de mise en œuvre</w:t>
            </w:r>
            <w:r w:rsidRPr="00C67737">
              <w:rPr>
                <w:rFonts w:eastAsia="SimSun" w:cstheme="minorHAnsi"/>
                <w:snapToGrid w:val="0"/>
                <w:color w:val="000000"/>
                <w:vertAlign w:val="superscript"/>
              </w:rPr>
              <w:footnoteReference w:id="105"/>
            </w:r>
            <w:r>
              <w:rPr>
                <w:snapToGrid w:val="0"/>
              </w:rPr>
              <w:t xml:space="preserve"> et son plan d’action pour le renforcement des capacités</w:t>
            </w:r>
            <w:r w:rsidRPr="00C67737">
              <w:rPr>
                <w:rFonts w:eastAsia="SimSun" w:cstheme="minorHAnsi"/>
                <w:snapToGrid w:val="0"/>
                <w:color w:val="000000"/>
                <w:vertAlign w:val="superscript"/>
              </w:rPr>
              <w:footnoteReference w:id="106"/>
            </w:r>
            <w:r w:rsidR="002518C2">
              <w:rPr>
                <w:snapToGrid w:val="0"/>
              </w:rPr>
              <w:t> </w:t>
            </w:r>
            <w:r>
              <w:rPr>
                <w:snapToGrid w:val="0"/>
              </w:rPr>
              <w:t>;</w:t>
            </w:r>
            <w:r>
              <w:rPr>
                <w:snapToGrid w:val="0"/>
                <w:color w:val="000000"/>
              </w:rPr>
              <w:t xml:space="preserve"> </w:t>
            </w:r>
          </w:p>
          <w:p w14:paraId="3E9637DC" w14:textId="7A965AA1"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rPr>
                <w:rFonts w:eastAsia="SimSun" w:cstheme="minorHAnsi"/>
                <w:snapToGrid w:val="0"/>
                <w:color w:val="000000"/>
              </w:rPr>
            </w:pPr>
            <w:r>
              <w:rPr>
                <w:snapToGrid w:val="0"/>
                <w:color w:val="000000"/>
              </w:rPr>
              <w:t>b) Continuer à fournir un appui aux Parties admissibles pour la réalisation d’activités dans les domaines suivants, sur la base des besoins qu’elles ont exprimés</w:t>
            </w:r>
            <w:r w:rsidR="006E54C7">
              <w:rPr>
                <w:snapToGrid w:val="0"/>
                <w:color w:val="000000"/>
              </w:rPr>
              <w:t> :</w:t>
            </w:r>
            <w:r>
              <w:rPr>
                <w:snapToGrid w:val="0"/>
                <w:color w:val="000000"/>
              </w:rPr>
              <w:t xml:space="preserve"> </w:t>
            </w:r>
          </w:p>
          <w:p w14:paraId="23E9CC17" w14:textId="10AB631E"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Pr>
                <w:snapToGrid w:val="0"/>
                <w:color w:val="000000"/>
              </w:rPr>
              <w:t>i) Élaboration et mise en œuvre de mesures juridiques, administratives et autres pour mettre en œuvre le Protocole de Cartagena</w:t>
            </w:r>
            <w:r w:rsidR="002518C2">
              <w:rPr>
                <w:snapToGrid w:val="0"/>
                <w:color w:val="000000"/>
              </w:rPr>
              <w:t> </w:t>
            </w:r>
            <w:r>
              <w:rPr>
                <w:snapToGrid w:val="0"/>
                <w:color w:val="000000"/>
              </w:rPr>
              <w:t xml:space="preserve">; </w:t>
            </w:r>
          </w:p>
          <w:p w14:paraId="5B4747AD" w14:textId="50094F0B"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Pr>
                <w:snapToGrid w:val="0"/>
                <w:color w:val="000000"/>
              </w:rPr>
              <w:t>ii) Évaluation et gestion des risques</w:t>
            </w:r>
            <w:r w:rsidR="002518C2">
              <w:rPr>
                <w:snapToGrid w:val="0"/>
                <w:color w:val="000000"/>
              </w:rPr>
              <w:t> </w:t>
            </w:r>
            <w:r>
              <w:rPr>
                <w:snapToGrid w:val="0"/>
                <w:color w:val="000000"/>
              </w:rPr>
              <w:t xml:space="preserve">; </w:t>
            </w:r>
          </w:p>
          <w:p w14:paraId="58958FF6" w14:textId="11A03F72"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Pr>
                <w:snapToGrid w:val="0"/>
                <w:color w:val="000000"/>
              </w:rPr>
              <w:t>iii) Détection et identification des organismes vivants modifiés</w:t>
            </w:r>
            <w:r w:rsidR="002518C2">
              <w:rPr>
                <w:snapToGrid w:val="0"/>
                <w:color w:val="000000"/>
              </w:rPr>
              <w:t> </w:t>
            </w:r>
            <w:r>
              <w:rPr>
                <w:snapToGrid w:val="0"/>
                <w:color w:val="000000"/>
              </w:rPr>
              <w:t xml:space="preserve">; </w:t>
            </w:r>
          </w:p>
          <w:p w14:paraId="7CC0C195" w14:textId="72F2329D"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Pr>
                <w:snapToGrid w:val="0"/>
                <w:color w:val="000000"/>
              </w:rPr>
              <w:t>iv) Sensibilisation, éducation et participation du public</w:t>
            </w:r>
            <w:r w:rsidR="002518C2">
              <w:rPr>
                <w:snapToGrid w:val="0"/>
                <w:color w:val="000000"/>
              </w:rPr>
              <w:t> </w:t>
            </w:r>
            <w:r>
              <w:rPr>
                <w:snapToGrid w:val="0"/>
                <w:color w:val="000000"/>
              </w:rPr>
              <w:t xml:space="preserve">; </w:t>
            </w:r>
          </w:p>
          <w:p w14:paraId="09CF5C94" w14:textId="2F224594"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Pr>
                <w:snapToGrid w:val="0"/>
                <w:color w:val="000000"/>
              </w:rPr>
              <w:t>v) Considération socioéconomiques</w:t>
            </w:r>
            <w:r w:rsidR="002518C2">
              <w:rPr>
                <w:snapToGrid w:val="0"/>
                <w:color w:val="000000"/>
              </w:rPr>
              <w:t> </w:t>
            </w:r>
            <w:r>
              <w:rPr>
                <w:snapToGrid w:val="0"/>
                <w:color w:val="000000"/>
              </w:rPr>
              <w:t>;</w:t>
            </w:r>
          </w:p>
          <w:p w14:paraId="731F5F85" w14:textId="639ACF3E"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Pr>
                <w:snapToGrid w:val="0"/>
                <w:color w:val="000000"/>
              </w:rPr>
              <w:t>vi) Responsabilité et réparation</w:t>
            </w:r>
            <w:r w:rsidR="002518C2">
              <w:rPr>
                <w:snapToGrid w:val="0"/>
                <w:color w:val="000000"/>
              </w:rPr>
              <w:t> </w:t>
            </w:r>
            <w:r>
              <w:rPr>
                <w:snapToGrid w:val="0"/>
                <w:color w:val="000000"/>
              </w:rPr>
              <w:t xml:space="preserve">; </w:t>
            </w:r>
          </w:p>
          <w:p w14:paraId="15A075A5" w14:textId="5FDC6139"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Pr>
                <w:snapToGrid w:val="0"/>
                <w:color w:val="000000"/>
              </w:rPr>
              <w:t>vii) Rapports nationaux, partage de l’information et centre d’échange sur la prévention des risques biotechnologiques</w:t>
            </w:r>
            <w:r w:rsidR="002518C2">
              <w:rPr>
                <w:snapToGrid w:val="0"/>
                <w:color w:val="000000"/>
              </w:rPr>
              <w:t> </w:t>
            </w:r>
            <w:r>
              <w:rPr>
                <w:snapToGrid w:val="0"/>
                <w:color w:val="000000"/>
              </w:rPr>
              <w:t xml:space="preserve">; </w:t>
            </w:r>
          </w:p>
          <w:p w14:paraId="47CDE606" w14:textId="59097D24"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Pr>
                <w:snapToGrid w:val="0"/>
                <w:color w:val="000000"/>
              </w:rPr>
              <w:t>viii) Partage des connaissances et transfert de technologies</w:t>
            </w:r>
            <w:r w:rsidR="002518C2">
              <w:rPr>
                <w:snapToGrid w:val="0"/>
                <w:color w:val="000000"/>
              </w:rPr>
              <w:t> </w:t>
            </w:r>
            <w:r>
              <w:rPr>
                <w:snapToGrid w:val="0"/>
                <w:color w:val="000000"/>
              </w:rPr>
              <w:t>;</w:t>
            </w:r>
          </w:p>
          <w:p w14:paraId="40FE5F07"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cstheme="minorHAnsi"/>
                <w:color w:val="000000"/>
              </w:rPr>
            </w:pPr>
            <w:r>
              <w:rPr>
                <w:snapToGrid w:val="0"/>
                <w:color w:val="000000"/>
              </w:rPr>
              <w:t>ix) Mise en œuvre de plans d’action pour respecter le Protocole de Cartagena.</w:t>
            </w:r>
          </w:p>
        </w:tc>
        <w:tc>
          <w:tcPr>
            <w:tcW w:w="2500" w:type="pct"/>
          </w:tcPr>
          <w:p w14:paraId="3466A518" w14:textId="549BB6F4" w:rsidR="00CE278B" w:rsidRPr="00C67737" w:rsidRDefault="0045430B" w:rsidP="000B33CF">
            <w:pPr>
              <w:pStyle w:val="ListParagraph"/>
              <w:numPr>
                <w:ilvl w:val="0"/>
                <w:numId w:val="32"/>
              </w:numPr>
            </w:pPr>
            <w:r w:rsidRPr="0045430B">
              <w:lastRenderedPageBreak/>
              <w:t>Afin de garantir un niveau de financement adéquat à l’appui de la mise en œuvre des Protocoles au cours de GEF</w:t>
            </w:r>
            <w:r w:rsidRPr="0045430B">
              <w:noBreakHyphen/>
              <w:t>9, une part des ressources du domaine d’intervention «</w:t>
            </w:r>
            <w:r w:rsidR="007950A2">
              <w:t> </w:t>
            </w:r>
            <w:r w:rsidRPr="0045430B">
              <w:t>diversité biologique</w:t>
            </w:r>
            <w:r w:rsidR="007950A2">
              <w:t> </w:t>
            </w:r>
            <w:r w:rsidRPr="0045430B">
              <w:t>» a été réservée au financement de projets régionaux ou mondiaux qui leur sont consacrés. La priorité sera accordée aux pays qui n’ont pas bénéficié de financements du GEF à cette fin au cours des derniers cycles. Cette réserve complétera les ressources du STAR, que les pays admissibles sont encouragés à mobiliser pour mettre en œuvre les Protocoles, grâce au point d’entrée spécifiquement consacré à l’objectif suivant</w:t>
            </w:r>
            <w:r w:rsidR="006E54C7">
              <w:t> :</w:t>
            </w:r>
            <w:r w:rsidRPr="0045430B">
              <w:t xml:space="preserve"> «</w:t>
            </w:r>
            <w:r w:rsidR="007950A2">
              <w:t> </w:t>
            </w:r>
            <w:r w:rsidR="00601D83">
              <w:t xml:space="preserve">Renforcer la prévention des risques biotechnologiques et garantir le partage juste et équitable des avantages </w:t>
            </w:r>
            <w:r w:rsidR="00601D83">
              <w:lastRenderedPageBreak/>
              <w:t xml:space="preserve">découlant de l’utilisation des ressources génétiques, notamment par la mise en œuvre des Protocoles de </w:t>
            </w:r>
            <w:r w:rsidR="003C203B">
              <w:t>Carthagène</w:t>
            </w:r>
            <w:r w:rsidR="00601D83">
              <w:t xml:space="preserve"> et de Nagoya</w:t>
            </w:r>
            <w:r w:rsidRPr="0045430B">
              <w:t>.</w:t>
            </w:r>
            <w:r w:rsidR="007950A2">
              <w:t> </w:t>
            </w:r>
            <w:r w:rsidRPr="0045430B">
              <w:t>»</w:t>
            </w:r>
          </w:p>
          <w:p w14:paraId="79906A21" w14:textId="74C69092" w:rsidR="00C004A0" w:rsidRPr="00C67737" w:rsidRDefault="00C004A0" w:rsidP="000B33CF">
            <w:pPr>
              <w:pStyle w:val="ListParagraph"/>
              <w:numPr>
                <w:ilvl w:val="0"/>
                <w:numId w:val="32"/>
              </w:numPr>
            </w:pPr>
            <w:r>
              <w:t xml:space="preserve">Ces éléments sont repris dans les </w:t>
            </w:r>
            <w:r w:rsidR="00F02738">
              <w:t>orientations programmatiques</w:t>
            </w:r>
            <w:r w:rsidR="00083519">
              <w:t xml:space="preserve"> </w:t>
            </w:r>
            <w:r>
              <w:t xml:space="preserve">de </w:t>
            </w:r>
            <w:r w:rsidR="00376C22">
              <w:t>GEF</w:t>
            </w:r>
            <w:r w:rsidR="00376C22">
              <w:noBreakHyphen/>
            </w:r>
            <w:r>
              <w:t>9</w:t>
            </w:r>
            <w:r w:rsidRPr="00C67737">
              <w:rPr>
                <w:vertAlign w:val="superscript"/>
              </w:rPr>
              <w:footnoteReference w:id="107"/>
            </w:r>
            <w:r>
              <w:t>, au titre de l’objectif de la Stratégie du domaine d’intervention «</w:t>
            </w:r>
            <w:r w:rsidR="002518C2">
              <w:t> </w:t>
            </w:r>
            <w:r>
              <w:t>diversité biologique</w:t>
            </w:r>
            <w:r w:rsidR="002518C2">
              <w:t> </w:t>
            </w:r>
            <w:r>
              <w:t>»</w:t>
            </w:r>
            <w:r w:rsidR="002518C2">
              <w:t> </w:t>
            </w:r>
            <w:r w:rsidR="00371391">
              <w:t xml:space="preserve">visant à </w:t>
            </w:r>
            <w:r w:rsidR="002A49A3">
              <w:t>«</w:t>
            </w:r>
            <w:r w:rsidR="007950A2">
              <w:t> </w:t>
            </w:r>
            <w:r w:rsidR="00371391">
              <w:t>r</w:t>
            </w:r>
            <w:r w:rsidR="003D1682">
              <w:t xml:space="preserve">enforcer la prévention des risques biotechnologiques et garantir le partage juste et équitable des avantages découlant de l’utilisation des ressources génétiques, notamment par la mise en œuvre des Protocoles de </w:t>
            </w:r>
            <w:r w:rsidR="003C203B">
              <w:t>Carthagène</w:t>
            </w:r>
            <w:r w:rsidR="003D1682">
              <w:t xml:space="preserve"> et de Nagoya.</w:t>
            </w:r>
            <w:r w:rsidR="007950A2">
              <w:t> </w:t>
            </w:r>
            <w:r w:rsidR="002A49A3">
              <w:t>»</w:t>
            </w:r>
            <w:r w:rsidR="002518C2">
              <w:t> </w:t>
            </w:r>
            <w:r>
              <w:t xml:space="preserve"> </w:t>
            </w:r>
          </w:p>
        </w:tc>
      </w:tr>
      <w:tr w:rsidR="00C004A0" w:rsidRPr="00C67737" w14:paraId="071BF62E" w14:textId="77777777" w:rsidTr="00A769A6">
        <w:tc>
          <w:tcPr>
            <w:tcW w:w="2500" w:type="pct"/>
          </w:tcPr>
          <w:p w14:paraId="3EE2C7BA" w14:textId="1167A554" w:rsidR="00C004A0" w:rsidRPr="00C67737" w:rsidRDefault="00C004A0" w:rsidP="00495437">
            <w:pPr>
              <w:rPr>
                <w:rFonts w:cstheme="minorHAnsi"/>
                <w:b/>
                <w:bCs/>
              </w:rPr>
            </w:pPr>
            <w:r>
              <w:rPr>
                <w:b/>
                <w:snapToGrid w:val="0"/>
              </w:rPr>
              <w:lastRenderedPageBreak/>
              <w:t>Pièce jointe</w:t>
            </w:r>
            <w:r w:rsidR="002518C2">
              <w:rPr>
                <w:b/>
                <w:snapToGrid w:val="0"/>
              </w:rPr>
              <w:t> </w:t>
            </w:r>
            <w:r>
              <w:rPr>
                <w:b/>
              </w:rPr>
              <w:t>II</w:t>
            </w:r>
          </w:p>
          <w:p w14:paraId="1D14FC8B" w14:textId="34A4B6D1" w:rsidR="00C004A0" w:rsidRPr="00C67737" w:rsidRDefault="00C004A0" w:rsidP="00A2398D">
            <w:pPr>
              <w:tabs>
                <w:tab w:val="left" w:pos="60"/>
                <w:tab w:val="left" w:pos="1134"/>
                <w:tab w:val="left" w:pos="1701"/>
                <w:tab w:val="left" w:pos="2268"/>
                <w:tab w:val="left" w:pos="2835"/>
                <w:tab w:val="left" w:pos="3402"/>
              </w:tabs>
              <w:snapToGrid/>
              <w:spacing w:before="0" w:after="0"/>
              <w:ind w:hanging="30"/>
              <w:contextualSpacing/>
              <w:rPr>
                <w:rFonts w:cstheme="minorHAnsi"/>
                <w:b/>
                <w:bCs/>
                <w:snapToGrid w:val="0"/>
              </w:rPr>
            </w:pPr>
            <w:r>
              <w:rPr>
                <w:b/>
                <w:snapToGrid w:val="0"/>
              </w:rPr>
              <w:lastRenderedPageBreak/>
              <w:t xml:space="preserve">Éléments supplémentaires du cadre quadriennal axé sur les résultats des priorités du programme sur la biodiversité de la Convention sur la diversité biologique pour la neuvième reconstitution des ressources </w:t>
            </w:r>
            <w:r w:rsidR="00241A65" w:rsidRPr="00A2398D">
              <w:rPr>
                <w:b/>
                <w:bCs/>
                <w:color w:val="000000"/>
              </w:rPr>
              <w:t xml:space="preserve">du </w:t>
            </w:r>
            <w:r w:rsidR="00241A65" w:rsidRPr="00A2398D">
              <w:rPr>
                <w:b/>
                <w:bCs/>
              </w:rPr>
              <w:t xml:space="preserve">Fonds fiduciaire du Fonds </w:t>
            </w:r>
            <w:r w:rsidR="00241A65" w:rsidRPr="00A2398D">
              <w:rPr>
                <w:b/>
                <w:bCs/>
                <w:color w:val="000000"/>
              </w:rPr>
              <w:t>pour l’Environnement Mondial</w:t>
            </w:r>
            <w:r w:rsidR="00C0457F">
              <w:rPr>
                <w:b/>
                <w:snapToGrid w:val="0"/>
              </w:rPr>
              <w:t xml:space="preserve"> </w:t>
            </w:r>
            <w:r>
              <w:rPr>
                <w:b/>
                <w:snapToGrid w:val="0"/>
              </w:rPr>
              <w:t>(2026</w:t>
            </w:r>
            <w:r>
              <w:rPr>
                <w:b/>
              </w:rPr>
              <w:t>-</w:t>
            </w:r>
            <w:r>
              <w:rPr>
                <w:b/>
                <w:snapToGrid w:val="0"/>
              </w:rPr>
              <w:t>2030)</w:t>
            </w:r>
            <w:r>
              <w:rPr>
                <w:b/>
              </w:rPr>
              <w:t xml:space="preserve"> </w:t>
            </w:r>
            <w:r>
              <w:rPr>
                <w:b/>
                <w:snapToGrid w:val="0"/>
              </w:rPr>
              <w:t>afin d’appuyer la mise en œuvre du Protocole de Nagoya sur l’accès aux ressources génétiques et le partage juste et équitable des avantages découlant de leur utilisation</w:t>
            </w:r>
          </w:p>
          <w:p w14:paraId="49292F65" w14:textId="17D99E4E" w:rsidR="00C004A0" w:rsidRPr="00C67737" w:rsidRDefault="00C004A0" w:rsidP="00A2398D">
            <w:pPr>
              <w:tabs>
                <w:tab w:val="left" w:pos="60"/>
                <w:tab w:val="left" w:pos="1134"/>
                <w:tab w:val="left" w:pos="1701"/>
                <w:tab w:val="left" w:pos="2268"/>
                <w:tab w:val="left" w:pos="2835"/>
                <w:tab w:val="left" w:pos="3402"/>
              </w:tabs>
              <w:snapToGrid/>
              <w:spacing w:before="0" w:after="0"/>
              <w:ind w:hanging="30"/>
              <w:contextualSpacing/>
              <w:rPr>
                <w:rFonts w:eastAsia="SimSun" w:cstheme="minorHAnsi"/>
                <w:snapToGrid w:val="0"/>
                <w:color w:val="000000"/>
                <w:kern w:val="22"/>
              </w:rPr>
            </w:pPr>
            <w:r>
              <w:rPr>
                <w:snapToGrid w:val="0"/>
              </w:rPr>
              <w:t xml:space="preserve">Les éléments du cadre quadriennal axé sur les résultats des priorités du programme en vue de la neuvième reconstitution </w:t>
            </w:r>
            <w:r w:rsidR="00241A65">
              <w:rPr>
                <w:color w:val="000000"/>
              </w:rPr>
              <w:t xml:space="preserve">du </w:t>
            </w:r>
            <w:r w:rsidR="00241A65">
              <w:t xml:space="preserve">Fonds fiduciaire du Fonds </w:t>
            </w:r>
            <w:r w:rsidR="00241A65">
              <w:rPr>
                <w:color w:val="000000"/>
              </w:rPr>
              <w:t>pour l’Environnement Mondial</w:t>
            </w:r>
            <w:r>
              <w:rPr>
                <w:snapToGrid w:val="0"/>
              </w:rPr>
              <w:t>(2026</w:t>
            </w:r>
            <w:r>
              <w:t>-</w:t>
            </w:r>
            <w:r>
              <w:rPr>
                <w:color w:val="000000"/>
              </w:rPr>
              <w:t>2030) visant à appuyer la mise en œuvre du Protocole de Nagoya sur l’accès aux ressources génétiques et le partage juste et équitable des avantages découlant de leur utilisation</w:t>
            </w:r>
            <w:r w:rsidRPr="00C67737">
              <w:rPr>
                <w:rFonts w:eastAsia="SimSun" w:cstheme="minorHAnsi"/>
                <w:iCs/>
                <w:snapToGrid w:val="0"/>
                <w:color w:val="000000"/>
                <w:kern w:val="22"/>
                <w:vertAlign w:val="superscript"/>
              </w:rPr>
              <w:footnoteReference w:id="108"/>
            </w:r>
            <w:r>
              <w:rPr>
                <w:color w:val="000000"/>
              </w:rPr>
              <w:t>, tel qu’il a été adopté par la Conférence des Parties en tant que réunion des Parties au Protocole lors de sa cinquième réunion, visent notamment à</w:t>
            </w:r>
            <w:r w:rsidR="006E54C7">
              <w:rPr>
                <w:color w:val="000000"/>
              </w:rPr>
              <w:t> :</w:t>
            </w:r>
            <w:r>
              <w:rPr>
                <w:color w:val="000000"/>
              </w:rPr>
              <w:t xml:space="preserve"> </w:t>
            </w:r>
            <w:r>
              <w:rPr>
                <w:snapToGrid w:val="0"/>
                <w:color w:val="000000"/>
              </w:rPr>
              <w:t xml:space="preserve"> </w:t>
            </w:r>
          </w:p>
          <w:p w14:paraId="4C0C19CC" w14:textId="0623A060"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rPr>
                <w:rFonts w:eastAsia="SimSun" w:cstheme="minorHAnsi"/>
                <w:snapToGrid w:val="0"/>
                <w:color w:val="000000"/>
                <w:kern w:val="22"/>
              </w:rPr>
            </w:pPr>
            <w:r>
              <w:rPr>
                <w:color w:val="000000"/>
              </w:rPr>
              <w:t>a) Appuyer les Parties admissibles et fournir des ressources financières adéquates pour la mise en œuvre du Plan d’action pour la création et le renforcement des capacités du Protocole de Nagoya</w:t>
            </w:r>
            <w:r w:rsidRPr="00C67737">
              <w:rPr>
                <w:rFonts w:eastAsia="SimSun" w:cstheme="minorHAnsi"/>
                <w:color w:val="000000"/>
                <w:vertAlign w:val="superscript"/>
              </w:rPr>
              <w:footnoteReference w:id="109"/>
            </w:r>
            <w:r w:rsidR="002518C2">
              <w:rPr>
                <w:color w:val="000000"/>
              </w:rPr>
              <w:t> </w:t>
            </w:r>
            <w:r>
              <w:rPr>
                <w:color w:val="000000"/>
              </w:rPr>
              <w:t>;</w:t>
            </w:r>
            <w:r>
              <w:t xml:space="preserve"> </w:t>
            </w:r>
            <w:r>
              <w:rPr>
                <w:color w:val="000000"/>
              </w:rPr>
              <w:t xml:space="preserve"> </w:t>
            </w:r>
          </w:p>
          <w:p w14:paraId="0746745D" w14:textId="0A09E953"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rPr>
                <w:rFonts w:eastAsia="SimSun" w:cstheme="minorHAnsi"/>
                <w:color w:val="000000"/>
              </w:rPr>
            </w:pPr>
            <w:r>
              <w:rPr>
                <w:color w:val="000000"/>
              </w:rPr>
              <w:t>b) Continuer à fournir un appui aux Parties admissibles pour entreprendre des activités dans les domaines suivants</w:t>
            </w:r>
            <w:r w:rsidR="006E54C7">
              <w:rPr>
                <w:color w:val="000000"/>
              </w:rPr>
              <w:t> :</w:t>
            </w:r>
          </w:p>
          <w:p w14:paraId="34EAD1AD" w14:textId="534FC23E"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color w:val="000000"/>
              </w:rPr>
            </w:pPr>
            <w:r>
              <w:rPr>
                <w:color w:val="000000"/>
              </w:rPr>
              <w:t>i) Priorités particulières concernant la poursuite des activités de création et de renforcement des capacités afin d’appuyer la mise en œuvre du Protocole de Nagoya</w:t>
            </w:r>
            <w:r w:rsidR="002518C2">
              <w:rPr>
                <w:color w:val="000000"/>
              </w:rPr>
              <w:t> </w:t>
            </w:r>
            <w:r>
              <w:rPr>
                <w:color w:val="000000"/>
              </w:rPr>
              <w:t>;</w:t>
            </w:r>
          </w:p>
          <w:p w14:paraId="2F7AB509" w14:textId="10C4DB2F"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color w:val="000000"/>
              </w:rPr>
            </w:pPr>
            <w:r>
              <w:rPr>
                <w:snapToGrid w:val="0"/>
                <w:color w:val="000000"/>
              </w:rPr>
              <w:t>ii) Intégration</w:t>
            </w:r>
            <w:r>
              <w:rPr>
                <w:color w:val="000000"/>
              </w:rPr>
              <w:t xml:space="preserve"> de l’accès et du partage des avantages découlant de l’utilisation des ressources génétiques et des connaissances traditionnelles associées aux ressources génétiques dans les politiques et les activités liées à la biodiversité et au développement durable</w:t>
            </w:r>
            <w:r w:rsidR="002518C2">
              <w:rPr>
                <w:color w:val="000000"/>
              </w:rPr>
              <w:t> </w:t>
            </w:r>
            <w:r>
              <w:rPr>
                <w:color w:val="000000"/>
              </w:rPr>
              <w:t>;</w:t>
            </w:r>
          </w:p>
          <w:p w14:paraId="117FF649"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color w:val="000000"/>
              </w:rPr>
            </w:pPr>
            <w:r>
              <w:rPr>
                <w:color w:val="000000"/>
              </w:rPr>
              <w:lastRenderedPageBreak/>
              <w:t>iii) Développement de capacités institutionnelles à long terme pour la gestion, le suivi et l’évaluation des cadres nationaux d’accès et de partage des avantages.</w:t>
            </w:r>
          </w:p>
        </w:tc>
        <w:tc>
          <w:tcPr>
            <w:tcW w:w="2500" w:type="pct"/>
          </w:tcPr>
          <w:p w14:paraId="66CD51CA" w14:textId="60E41428" w:rsidR="002A1742" w:rsidRPr="00C67737" w:rsidRDefault="000D5285" w:rsidP="00495437">
            <w:pPr>
              <w:rPr>
                <w:rFonts w:cstheme="minorHAnsi"/>
              </w:rPr>
            </w:pPr>
            <w:r>
              <w:lastRenderedPageBreak/>
              <w:t xml:space="preserve">a) </w:t>
            </w:r>
            <w:r w:rsidR="002A49A3" w:rsidRPr="002A49A3">
              <w:t xml:space="preserve">Afin de garantir un niveau de financement adéquat à l’appui de la mise en œuvre des </w:t>
            </w:r>
            <w:r w:rsidR="002A49A3" w:rsidRPr="002A49A3">
              <w:lastRenderedPageBreak/>
              <w:t>Protocoles au cours de GEF</w:t>
            </w:r>
            <w:r w:rsidR="002A49A3" w:rsidRPr="002A49A3">
              <w:noBreakHyphen/>
              <w:t>9, une part des ressources du domaine d’intervention «</w:t>
            </w:r>
            <w:r w:rsidR="007950A2">
              <w:t> </w:t>
            </w:r>
            <w:r w:rsidR="002A49A3" w:rsidRPr="002A49A3">
              <w:t>diversité biologique</w:t>
            </w:r>
            <w:r w:rsidR="007950A2">
              <w:t> </w:t>
            </w:r>
            <w:r w:rsidR="002A49A3" w:rsidRPr="002A49A3">
              <w:t>» a été réservée au financement de projets régionaux ou mondiaux qui leur sont consacrés. La priorité sera accordée aux pays qui n’ont pas bénéficié de financements du GEF à cette fin au cours des derniers cycles. Cette réserve complétera les ressources du STAR, que les pays admissibles sont encouragés à mobiliser pour mettre en œuvre les Protocoles, grâce au point d’entrée spécifiquement consacré à l’objectif suivant</w:t>
            </w:r>
            <w:r w:rsidR="006E54C7">
              <w:t> :</w:t>
            </w:r>
            <w:r w:rsidR="002A49A3" w:rsidRPr="002A49A3">
              <w:t xml:space="preserve"> «</w:t>
            </w:r>
            <w:r w:rsidR="007950A2">
              <w:t> </w:t>
            </w:r>
            <w:r w:rsidR="00601D83">
              <w:t xml:space="preserve">Renforcer la prévention des risques biotechnologiques et garantir le partage juste et équitable des avantages découlant de l’utilisation des ressources génétiques, notamment par la mise en œuvre des Protocoles de </w:t>
            </w:r>
            <w:r w:rsidR="003C203B">
              <w:t>Carthagène</w:t>
            </w:r>
            <w:r w:rsidR="00601D83">
              <w:t xml:space="preserve"> et de Nagoya.</w:t>
            </w:r>
            <w:r w:rsidR="007950A2">
              <w:t> </w:t>
            </w:r>
            <w:r w:rsidR="002A49A3" w:rsidRPr="002A49A3">
              <w:t>»</w:t>
            </w:r>
          </w:p>
          <w:p w14:paraId="3561E1B0" w14:textId="28E62909" w:rsidR="00C004A0" w:rsidRPr="00C67737" w:rsidRDefault="000D5285" w:rsidP="00495437">
            <w:pPr>
              <w:snapToGrid/>
              <w:spacing w:before="100" w:after="100"/>
              <w:rPr>
                <w:rFonts w:eastAsia="SimSun" w:cstheme="minorHAnsi"/>
                <w:color w:val="000000"/>
              </w:rPr>
            </w:pPr>
            <w:r>
              <w:t xml:space="preserve">b) Ces éléments sont repris dans les </w:t>
            </w:r>
            <w:r w:rsidR="00F02738">
              <w:t>orientations programmatiques</w:t>
            </w:r>
            <w:r w:rsidR="00083519">
              <w:t xml:space="preserve"> </w:t>
            </w:r>
            <w:r>
              <w:t xml:space="preserve">de </w:t>
            </w:r>
            <w:r w:rsidR="00376C22">
              <w:t>GEF</w:t>
            </w:r>
            <w:r w:rsidR="00376C22">
              <w:noBreakHyphen/>
            </w:r>
            <w:r>
              <w:t>9</w:t>
            </w:r>
            <w:r w:rsidR="002A1742" w:rsidRPr="00C67737">
              <w:rPr>
                <w:rFonts w:cstheme="minorHAnsi"/>
                <w:vertAlign w:val="superscript"/>
              </w:rPr>
              <w:footnoteReference w:id="110"/>
            </w:r>
            <w:r>
              <w:rPr>
                <w:color w:val="000000"/>
              </w:rPr>
              <w:t>, au titre de l’objectif de la Stratégie du domaine d’intervention «</w:t>
            </w:r>
            <w:r w:rsidR="002518C2">
              <w:rPr>
                <w:color w:val="000000"/>
              </w:rPr>
              <w:t> </w:t>
            </w:r>
            <w:r>
              <w:rPr>
                <w:color w:val="000000"/>
              </w:rPr>
              <w:t>diversité biologique</w:t>
            </w:r>
            <w:r w:rsidR="002518C2">
              <w:rPr>
                <w:color w:val="000000"/>
              </w:rPr>
              <w:t> </w:t>
            </w:r>
            <w:r>
              <w:rPr>
                <w:color w:val="000000"/>
              </w:rPr>
              <w:t>»</w:t>
            </w:r>
            <w:r w:rsidR="00371391">
              <w:rPr>
                <w:color w:val="000000"/>
              </w:rPr>
              <w:t xml:space="preserve"> </w:t>
            </w:r>
            <w:r w:rsidR="00601D83">
              <w:rPr>
                <w:color w:val="000000"/>
              </w:rPr>
              <w:t>suivant :</w:t>
            </w:r>
            <w:r w:rsidR="002A49A3">
              <w:rPr>
                <w:color w:val="000000"/>
              </w:rPr>
              <w:t xml:space="preserve"> «</w:t>
            </w:r>
            <w:r w:rsidR="007950A2">
              <w:rPr>
                <w:color w:val="000000"/>
              </w:rPr>
              <w:t> </w:t>
            </w:r>
            <w:r w:rsidR="00601D83">
              <w:t xml:space="preserve">Renforcer la prévention des risques biotechnologiques et garantir le partage juste et équitable des avantages découlant de l’utilisation des ressources génétiques, notamment par la mise en œuvre des Protocoles de </w:t>
            </w:r>
            <w:r w:rsidR="003C203B">
              <w:t>Carthagène</w:t>
            </w:r>
            <w:r w:rsidR="00601D83">
              <w:t xml:space="preserve"> et de Nagoya</w:t>
            </w:r>
            <w:r w:rsidR="003D1682">
              <w:rPr>
                <w:color w:val="000000"/>
              </w:rPr>
              <w:t>.</w:t>
            </w:r>
            <w:r w:rsidR="002518C2">
              <w:rPr>
                <w:color w:val="000000"/>
              </w:rPr>
              <w:t> </w:t>
            </w:r>
            <w:r w:rsidR="002A49A3">
              <w:rPr>
                <w:color w:val="000000"/>
              </w:rPr>
              <w:t>»</w:t>
            </w:r>
          </w:p>
        </w:tc>
      </w:tr>
      <w:tr w:rsidR="00C004A0" w:rsidRPr="00C67737" w14:paraId="4F4B00E8" w14:textId="77777777" w:rsidTr="00A769A6">
        <w:tc>
          <w:tcPr>
            <w:tcW w:w="2500" w:type="pct"/>
          </w:tcPr>
          <w:p w14:paraId="56C00300" w14:textId="03CF9267" w:rsidR="00C004A0" w:rsidRPr="00C67737" w:rsidRDefault="00C004A0" w:rsidP="00495437">
            <w:pPr>
              <w:rPr>
                <w:rFonts w:cstheme="minorHAnsi"/>
                <w:b/>
                <w:bCs/>
              </w:rPr>
            </w:pPr>
            <w:r>
              <w:rPr>
                <w:b/>
              </w:rPr>
              <w:lastRenderedPageBreak/>
              <w:t>Annexe</w:t>
            </w:r>
            <w:r w:rsidR="002518C2">
              <w:rPr>
                <w:b/>
              </w:rPr>
              <w:t> </w:t>
            </w:r>
            <w:r>
              <w:rPr>
                <w:b/>
              </w:rPr>
              <w:t xml:space="preserve">II </w:t>
            </w:r>
          </w:p>
          <w:p w14:paraId="1F3FEAFF" w14:textId="2A84CA09" w:rsidR="00C004A0" w:rsidRPr="00C67737" w:rsidRDefault="00C004A0" w:rsidP="00495437">
            <w:pPr>
              <w:rPr>
                <w:rFonts w:cstheme="minorHAnsi"/>
                <w:b/>
                <w:bCs/>
              </w:rPr>
            </w:pPr>
            <w:r>
              <w:rPr>
                <w:b/>
              </w:rPr>
              <w:t>Orientations supplémentaire</w:t>
            </w:r>
            <w:r w:rsidR="00400F9D">
              <w:rPr>
                <w:b/>
              </w:rPr>
              <w:t>s</w:t>
            </w:r>
            <w:r>
              <w:rPr>
                <w:b/>
              </w:rPr>
              <w:t xml:space="preserve"> à </w:t>
            </w:r>
            <w:r w:rsidR="001E6169">
              <w:rPr>
                <w:b/>
              </w:rPr>
              <w:t>l’</w:t>
            </w:r>
            <w:r>
              <w:rPr>
                <w:b/>
              </w:rPr>
              <w:t>intention du Fonds pour l’environnement mondial</w:t>
            </w:r>
          </w:p>
          <w:p w14:paraId="722703DD" w14:textId="605D415C" w:rsidR="00C004A0" w:rsidRPr="00C67737" w:rsidRDefault="00C004A0" w:rsidP="00495437">
            <w:pPr>
              <w:tabs>
                <w:tab w:val="left" w:pos="330"/>
                <w:tab w:val="left" w:pos="1134"/>
                <w:tab w:val="left" w:pos="1701"/>
                <w:tab w:val="left" w:pos="2268"/>
                <w:tab w:val="left" w:pos="2835"/>
                <w:tab w:val="left" w:pos="3402"/>
              </w:tabs>
              <w:snapToGrid/>
              <w:spacing w:before="100" w:after="100"/>
              <w:ind w:left="60"/>
              <w:rPr>
                <w:rFonts w:eastAsia="SimSun" w:cstheme="minorHAnsi"/>
                <w:color w:val="000000"/>
              </w:rPr>
            </w:pPr>
            <w:r>
              <w:rPr>
                <w:color w:val="000000"/>
              </w:rPr>
              <w:t>La Conférence des Parties</w:t>
            </w:r>
            <w:r w:rsidR="006E54C7">
              <w:rPr>
                <w:color w:val="000000"/>
              </w:rPr>
              <w:t> :</w:t>
            </w:r>
          </w:p>
          <w:p w14:paraId="5DCC1D36" w14:textId="77777777" w:rsidR="00C004A0" w:rsidRPr="00C67737" w:rsidRDefault="00C004A0" w:rsidP="00495437">
            <w:pPr>
              <w:keepNext/>
              <w:keepLines/>
              <w:tabs>
                <w:tab w:val="left" w:pos="330"/>
                <w:tab w:val="left" w:pos="1134"/>
                <w:tab w:val="left" w:pos="1701"/>
                <w:tab w:val="left" w:pos="2268"/>
                <w:tab w:val="left" w:pos="2835"/>
                <w:tab w:val="left" w:pos="3402"/>
              </w:tabs>
              <w:snapToGrid/>
              <w:spacing w:before="0" w:after="100"/>
              <w:ind w:left="60"/>
              <w:rPr>
                <w:rFonts w:eastAsia="SimSun" w:cstheme="minorHAnsi"/>
                <w:bCs/>
                <w:i/>
                <w:iCs/>
                <w:color w:val="000000"/>
              </w:rPr>
            </w:pPr>
            <w:r>
              <w:rPr>
                <w:i/>
                <w:color w:val="000000"/>
              </w:rPr>
              <w:t>Biodiversité et santé</w:t>
            </w:r>
          </w:p>
          <w:p w14:paraId="7A89780E" w14:textId="3DC8E4A7" w:rsidR="00C004A0" w:rsidRPr="00C67737" w:rsidRDefault="00C004A0" w:rsidP="00495437">
            <w:pPr>
              <w:tabs>
                <w:tab w:val="left" w:pos="330"/>
                <w:tab w:val="left" w:pos="1134"/>
                <w:tab w:val="left" w:pos="1701"/>
                <w:tab w:val="left" w:pos="2268"/>
                <w:tab w:val="left" w:pos="2835"/>
                <w:tab w:val="left" w:pos="3402"/>
              </w:tabs>
              <w:snapToGrid/>
              <w:spacing w:before="100" w:after="100"/>
              <w:ind w:left="60"/>
              <w:rPr>
                <w:rFonts w:eastAsia="SimSun" w:cstheme="minorHAnsi"/>
                <w:color w:val="000000"/>
              </w:rPr>
            </w:pPr>
            <w:r>
              <w:rPr>
                <w:color w:val="000000"/>
              </w:rPr>
              <w:t>1.</w:t>
            </w:r>
            <w:r>
              <w:rPr>
                <w:color w:val="000000"/>
              </w:rPr>
              <w:tab/>
              <w:t>Demande au Fonds pour l’environnement mondial de fournir une assistance financière, sur demande, à toutes les Parties admissibles, y compris pour des activités admissibles de création et de renforcement des capacités, dans le cadre de projets infranationaux, nationaux et régionaux visant à mettre en œuvre le Plan d’action mondial relatif à la biodiversité et à la santé</w:t>
            </w:r>
            <w:r w:rsidRPr="00C67737">
              <w:rPr>
                <w:rFonts w:eastAsia="SimSun" w:cstheme="minorHAnsi"/>
                <w:color w:val="000000"/>
                <w:vertAlign w:val="superscript"/>
              </w:rPr>
              <w:footnoteReference w:id="111"/>
            </w:r>
            <w:r w:rsidR="002518C2">
              <w:rPr>
                <w:color w:val="000000"/>
              </w:rPr>
              <w:t> </w:t>
            </w:r>
            <w:r>
              <w:rPr>
                <w:color w:val="000000"/>
              </w:rPr>
              <w:t>;</w:t>
            </w:r>
            <w:r>
              <w:t xml:space="preserve"> </w:t>
            </w:r>
          </w:p>
          <w:p w14:paraId="06CFB051" w14:textId="77777777" w:rsidR="00C004A0" w:rsidRPr="00C67737" w:rsidRDefault="00C004A0" w:rsidP="00495437">
            <w:pPr>
              <w:snapToGrid/>
              <w:spacing w:before="100" w:after="100"/>
              <w:rPr>
                <w:rFonts w:cstheme="minorHAnsi"/>
                <w:color w:val="000000"/>
              </w:rPr>
            </w:pPr>
          </w:p>
        </w:tc>
        <w:tc>
          <w:tcPr>
            <w:tcW w:w="2500" w:type="pct"/>
          </w:tcPr>
          <w:p w14:paraId="260D46C9" w14:textId="6D2A6DF8" w:rsidR="00C004A0" w:rsidRPr="00C67737" w:rsidRDefault="00C004A0" w:rsidP="00495437">
            <w:pPr>
              <w:snapToGrid/>
              <w:spacing w:before="100" w:after="100"/>
              <w:rPr>
                <w:rFonts w:eastAsia="SimSun" w:cstheme="minorHAnsi"/>
                <w:color w:val="000000"/>
              </w:rPr>
            </w:pPr>
            <w:r>
              <w:t xml:space="preserve">L’appui au Plan d’action mondial sur la biodiversité et la santé est repris dans les </w:t>
            </w:r>
            <w:r w:rsidR="00F02738">
              <w:t>orientations programmatiques</w:t>
            </w:r>
            <w:r w:rsidR="00083519">
              <w:t xml:space="preserve"> </w:t>
            </w:r>
            <w:r>
              <w:t xml:space="preserve">de </w:t>
            </w:r>
            <w:r w:rsidR="00376C22">
              <w:t>GEF</w:t>
            </w:r>
            <w:r w:rsidR="00376C22">
              <w:noBreakHyphen/>
            </w:r>
            <w:r>
              <w:t>9</w:t>
            </w:r>
            <w:r w:rsidRPr="00C67737">
              <w:rPr>
                <w:rFonts w:cstheme="minorHAnsi"/>
                <w:color w:val="000000"/>
                <w:vertAlign w:val="superscript"/>
              </w:rPr>
              <w:footnoteReference w:id="112"/>
            </w:r>
            <w:r>
              <w:t>, au titre de l’objectif</w:t>
            </w:r>
            <w:r w:rsidR="002518C2">
              <w:t> </w:t>
            </w:r>
            <w:r>
              <w:t>1 de la Stratégie du domaine d’intervention «</w:t>
            </w:r>
            <w:r w:rsidR="002518C2">
              <w:t> </w:t>
            </w:r>
            <w:r>
              <w:t>diversité biologique</w:t>
            </w:r>
            <w:r w:rsidR="002518C2">
              <w:t> </w:t>
            </w:r>
            <w:r>
              <w:t>»</w:t>
            </w:r>
            <w:r w:rsidR="006E54C7">
              <w:t> :</w:t>
            </w:r>
            <w:r>
              <w:t xml:space="preserve"> «</w:t>
            </w:r>
            <w:r w:rsidR="002518C2">
              <w:t> </w:t>
            </w:r>
            <w:r w:rsidR="00AF4ED9">
              <w:rPr>
                <w:color w:val="000000"/>
              </w:rPr>
              <w:t>Améliorer la conservation, l’utilisation durable et la restauration des écosystèmes naturels au moyen d’approches intégrées à l’échelle des paysages terrestres et marins</w:t>
            </w:r>
            <w:r w:rsidR="002518C2">
              <w:t> </w:t>
            </w:r>
            <w:r>
              <w:t>». Cet objectif comprend le point d’entrée «</w:t>
            </w:r>
            <w:r w:rsidR="002518C2">
              <w:t> </w:t>
            </w:r>
            <w:r>
              <w:t>Synergies avec d’autres conventions et objectifs, y compris la santé</w:t>
            </w:r>
            <w:r w:rsidR="002518C2">
              <w:t> </w:t>
            </w:r>
            <w:r>
              <w:t>».</w:t>
            </w:r>
            <w:r>
              <w:rPr>
                <w:color w:val="000000"/>
              </w:rPr>
              <w:t xml:space="preserve"> Le domaine d’intervention «</w:t>
            </w:r>
            <w:r w:rsidR="002518C2">
              <w:rPr>
                <w:color w:val="000000"/>
              </w:rPr>
              <w:t> </w:t>
            </w:r>
            <w:r>
              <w:rPr>
                <w:color w:val="000000"/>
              </w:rPr>
              <w:t>produits chimiques et déchets</w:t>
            </w:r>
            <w:r w:rsidR="002518C2">
              <w:rPr>
                <w:color w:val="000000"/>
              </w:rPr>
              <w:t> </w:t>
            </w:r>
            <w:r>
              <w:rPr>
                <w:color w:val="000000"/>
              </w:rPr>
              <w:t xml:space="preserve">» et la plupart des programmes intégrés — Conservation des espèces sauvages pour le développement, Systèmes alimentaires, Chaines d’approvisionnement sans </w:t>
            </w:r>
            <w:r w:rsidR="00173141">
              <w:rPr>
                <w:color w:val="000000"/>
              </w:rPr>
              <w:t>pollution</w:t>
            </w:r>
            <w:r>
              <w:rPr>
                <w:color w:val="000000"/>
              </w:rPr>
              <w:t>, Solutions circulaires à la pollution par les plastiques, Villes durables, et gestion des zones arides et de la sécheresse</w:t>
            </w:r>
            <w:r w:rsidR="00512742">
              <w:rPr>
                <w:color w:val="000000"/>
              </w:rPr>
              <w:t>,</w:t>
            </w:r>
            <w:r w:rsidR="007950A2">
              <w:rPr>
                <w:color w:val="000000"/>
              </w:rPr>
              <w:t xml:space="preserve"> </w:t>
            </w:r>
            <w:r>
              <w:rPr>
                <w:color w:val="000000"/>
              </w:rPr>
              <w:t>— contribueront également à la mise en œuvre d’éléments du Plan d’action mondial sur la biodiversité et la santé.</w:t>
            </w:r>
          </w:p>
          <w:p w14:paraId="66616283" w14:textId="48E61CE9" w:rsidR="00C004A0" w:rsidRPr="00C67737" w:rsidRDefault="00C004A0" w:rsidP="00495437">
            <w:pPr>
              <w:snapToGrid/>
              <w:spacing w:before="100" w:after="100"/>
              <w:rPr>
                <w:rFonts w:eastAsia="SimSun" w:cstheme="minorHAnsi"/>
                <w:color w:val="000000"/>
              </w:rPr>
            </w:pPr>
            <w:r>
              <w:rPr>
                <w:color w:val="000000"/>
              </w:rPr>
              <w:t xml:space="preserve">De nombreux projets du GEF et points d’entrée de </w:t>
            </w:r>
            <w:r w:rsidR="00376C22">
              <w:rPr>
                <w:color w:val="000000"/>
              </w:rPr>
              <w:t>GEF</w:t>
            </w:r>
            <w:r w:rsidR="00376C22">
              <w:rPr>
                <w:color w:val="000000"/>
              </w:rPr>
              <w:noBreakHyphen/>
            </w:r>
            <w:r>
              <w:rPr>
                <w:color w:val="000000"/>
              </w:rPr>
              <w:t xml:space="preserve">8 </w:t>
            </w:r>
            <w:r w:rsidR="0087419A" w:rsidRPr="0087419A">
              <w:rPr>
                <w:color w:val="000000"/>
              </w:rPr>
              <w:t>contribuent déjà au Plan d’action mondial et traitent de l’interface entre la diversité biologique et la santé. Il s’agit notamment de plusieurs programmes intégrés, dont</w:t>
            </w:r>
            <w:r w:rsidR="006E54C7">
              <w:rPr>
                <w:color w:val="000000"/>
              </w:rPr>
              <w:t> :</w:t>
            </w:r>
          </w:p>
          <w:p w14:paraId="410D1F18" w14:textId="2F3B79D5" w:rsidR="00C004A0" w:rsidRPr="00C67737" w:rsidRDefault="002518C2" w:rsidP="00495437">
            <w:pPr>
              <w:snapToGrid/>
              <w:spacing w:before="100" w:after="100"/>
              <w:rPr>
                <w:rFonts w:eastAsia="SimSun" w:cstheme="minorHAnsi"/>
                <w:color w:val="000000"/>
              </w:rPr>
            </w:pPr>
            <w:r>
              <w:rPr>
                <w:color w:val="000000"/>
              </w:rPr>
              <w:t>— </w:t>
            </w:r>
            <w:r w:rsidR="00C004A0">
              <w:rPr>
                <w:color w:val="000000"/>
              </w:rPr>
              <w:t xml:space="preserve">le Programme mondial </w:t>
            </w:r>
            <w:r w:rsidR="00090AE7">
              <w:rPr>
                <w:color w:val="000000"/>
              </w:rPr>
              <w:t>pour l</w:t>
            </w:r>
            <w:r w:rsidR="00F44EDF">
              <w:rPr>
                <w:color w:val="000000"/>
              </w:rPr>
              <w:t>a conservation des espèces sauvages pour le développement</w:t>
            </w:r>
            <w:r w:rsidR="00C004A0">
              <w:rPr>
                <w:color w:val="000000"/>
              </w:rPr>
              <w:t>, qui traite des risques de transmission zoonotique et appuie les approches «</w:t>
            </w:r>
            <w:r>
              <w:rPr>
                <w:color w:val="000000"/>
              </w:rPr>
              <w:t> </w:t>
            </w:r>
            <w:r w:rsidR="00C004A0">
              <w:rPr>
                <w:color w:val="000000"/>
              </w:rPr>
              <w:t>Une seule santé</w:t>
            </w:r>
            <w:r>
              <w:rPr>
                <w:color w:val="000000"/>
              </w:rPr>
              <w:t> </w:t>
            </w:r>
            <w:r w:rsidR="00C004A0">
              <w:rPr>
                <w:color w:val="000000"/>
              </w:rPr>
              <w:t>»</w:t>
            </w:r>
            <w:r>
              <w:rPr>
                <w:color w:val="000000"/>
              </w:rPr>
              <w:t> </w:t>
            </w:r>
            <w:r w:rsidR="00C004A0">
              <w:rPr>
                <w:color w:val="000000"/>
              </w:rPr>
              <w:t>;</w:t>
            </w:r>
          </w:p>
          <w:p w14:paraId="2F6EBDF3" w14:textId="5CD2D8C7" w:rsidR="00C004A0" w:rsidRPr="00C67737" w:rsidRDefault="002518C2" w:rsidP="00495437">
            <w:pPr>
              <w:snapToGrid/>
              <w:spacing w:before="100" w:after="100"/>
              <w:rPr>
                <w:rFonts w:eastAsia="SimSun" w:cstheme="minorHAnsi"/>
                <w:color w:val="000000"/>
              </w:rPr>
            </w:pPr>
            <w:r>
              <w:rPr>
                <w:color w:val="000000"/>
              </w:rPr>
              <w:t>— </w:t>
            </w:r>
            <w:r w:rsidR="00C004A0">
              <w:rPr>
                <w:color w:val="000000"/>
              </w:rPr>
              <w:t>Le programme intégré «</w:t>
            </w:r>
            <w:r>
              <w:rPr>
                <w:color w:val="000000"/>
              </w:rPr>
              <w:t> </w:t>
            </w:r>
            <w:r w:rsidR="00C004A0">
              <w:rPr>
                <w:color w:val="000000"/>
              </w:rPr>
              <w:t>Solutions circulaires à la pollution par les plastiques</w:t>
            </w:r>
            <w:r>
              <w:rPr>
                <w:color w:val="000000"/>
              </w:rPr>
              <w:t> </w:t>
            </w:r>
            <w:r w:rsidR="00C004A0">
              <w:rPr>
                <w:color w:val="000000"/>
              </w:rPr>
              <w:t xml:space="preserve">», qui traite des effets de la pollution plastique sur la diversité biologique, ainsi que des effets sur la santé de l’exposition aux substances chimiques toxiques contenues dans les </w:t>
            </w:r>
            <w:r w:rsidR="00C004A0">
              <w:rPr>
                <w:color w:val="000000"/>
              </w:rPr>
              <w:lastRenderedPageBreak/>
              <w:t xml:space="preserve">plastiques ou </w:t>
            </w:r>
            <w:r w:rsidR="00514D86">
              <w:rPr>
                <w:color w:val="000000"/>
              </w:rPr>
              <w:t>collectées</w:t>
            </w:r>
            <w:r w:rsidR="00C004A0">
              <w:rPr>
                <w:color w:val="000000"/>
              </w:rPr>
              <w:t xml:space="preserve"> par ceux-ci, ou de leur ingestion</w:t>
            </w:r>
            <w:r>
              <w:rPr>
                <w:color w:val="000000"/>
              </w:rPr>
              <w:t> </w:t>
            </w:r>
            <w:r w:rsidR="00C004A0">
              <w:rPr>
                <w:color w:val="000000"/>
              </w:rPr>
              <w:t>;</w:t>
            </w:r>
          </w:p>
          <w:p w14:paraId="4679F223" w14:textId="1BC5A5E8" w:rsidR="00C004A0" w:rsidRPr="00C67737" w:rsidRDefault="002518C2" w:rsidP="00495437">
            <w:pPr>
              <w:snapToGrid/>
              <w:spacing w:before="100" w:after="100"/>
              <w:rPr>
                <w:rFonts w:eastAsia="SimSun" w:cstheme="minorHAnsi"/>
                <w:color w:val="000000"/>
              </w:rPr>
            </w:pPr>
            <w:r>
              <w:rPr>
                <w:color w:val="000000"/>
              </w:rPr>
              <w:t>— </w:t>
            </w:r>
            <w:r w:rsidR="00C004A0">
              <w:rPr>
                <w:color w:val="000000"/>
              </w:rPr>
              <w:t>Le programme intégré «</w:t>
            </w:r>
            <w:r>
              <w:rPr>
                <w:color w:val="000000"/>
              </w:rPr>
              <w:t> </w:t>
            </w:r>
            <w:r w:rsidR="00C004A0">
              <w:rPr>
                <w:color w:val="000000"/>
              </w:rPr>
              <w:t>Villes durables</w:t>
            </w:r>
            <w:r>
              <w:rPr>
                <w:color w:val="000000"/>
              </w:rPr>
              <w:t> </w:t>
            </w:r>
            <w:r w:rsidR="00C004A0">
              <w:rPr>
                <w:color w:val="000000"/>
              </w:rPr>
              <w:t>», qui contribue notamment à la réalisation de la cible</w:t>
            </w:r>
            <w:r>
              <w:rPr>
                <w:color w:val="000000"/>
              </w:rPr>
              <w:t> </w:t>
            </w:r>
            <w:r w:rsidR="00C004A0">
              <w:rPr>
                <w:color w:val="000000"/>
              </w:rPr>
              <w:t xml:space="preserve">12 du KMGBF et aux avantages </w:t>
            </w:r>
            <w:r w:rsidR="005F3AC0">
              <w:rPr>
                <w:color w:val="000000"/>
              </w:rPr>
              <w:t>qui en découlent</w:t>
            </w:r>
            <w:r w:rsidR="00C004A0">
              <w:rPr>
                <w:color w:val="000000"/>
              </w:rPr>
              <w:t xml:space="preserve"> pour la santé.</w:t>
            </w:r>
          </w:p>
        </w:tc>
      </w:tr>
      <w:tr w:rsidR="00C004A0" w:rsidRPr="00C67737" w14:paraId="170DC062" w14:textId="77777777" w:rsidTr="00A769A6">
        <w:tc>
          <w:tcPr>
            <w:tcW w:w="2500" w:type="pct"/>
          </w:tcPr>
          <w:p w14:paraId="0B6E961B" w14:textId="77777777" w:rsidR="00C004A0" w:rsidRPr="00C67737" w:rsidRDefault="00C004A0" w:rsidP="00495437">
            <w:pPr>
              <w:rPr>
                <w:rFonts w:cstheme="minorHAnsi"/>
                <w:i/>
                <w:iCs/>
              </w:rPr>
            </w:pPr>
            <w:r>
              <w:rPr>
                <w:i/>
              </w:rPr>
              <w:lastRenderedPageBreak/>
              <w:t>Stratégies et plans d’action nationaux pour la biodiversité</w:t>
            </w:r>
          </w:p>
          <w:p w14:paraId="2C814AC6" w14:textId="25FCC209"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2.</w:t>
            </w:r>
            <w:r>
              <w:rPr>
                <w:color w:val="000000"/>
              </w:rPr>
              <w:tab/>
              <w:t xml:space="preserve">Demande au Fonds pour l’environnement mondial et à ses </w:t>
            </w:r>
            <w:r w:rsidR="00F52D3D">
              <w:rPr>
                <w:color w:val="000000"/>
              </w:rPr>
              <w:t>Agences</w:t>
            </w:r>
            <w:r>
              <w:rPr>
                <w:color w:val="000000"/>
              </w:rPr>
              <w:t xml:space="preserve"> </w:t>
            </w:r>
            <w:r w:rsidR="0067481E">
              <w:rPr>
                <w:color w:val="000000"/>
              </w:rPr>
              <w:t xml:space="preserve">d’exécution </w:t>
            </w:r>
            <w:r>
              <w:rPr>
                <w:color w:val="000000"/>
              </w:rPr>
              <w:t>d’apporter en temps voulu à toutes les Parties admissibles un appui adapté à la situation et aux besoins nationaux, sur demande, pour leur permettre de réviser ou d’actualiser leurs stratégies et plans d’action nationaux pour la biodiversité</w:t>
            </w:r>
            <w:r w:rsidR="002518C2">
              <w:rPr>
                <w:color w:val="000000"/>
              </w:rPr>
              <w:t> </w:t>
            </w:r>
            <w:r>
              <w:rPr>
                <w:color w:val="000000"/>
              </w:rPr>
              <w:t>;</w:t>
            </w:r>
          </w:p>
          <w:p w14:paraId="771E53E9" w14:textId="77777777" w:rsidR="00C004A0" w:rsidRPr="00C67737" w:rsidRDefault="00C004A0" w:rsidP="00495437">
            <w:pPr>
              <w:snapToGrid/>
              <w:spacing w:before="100" w:after="100"/>
              <w:rPr>
                <w:rFonts w:cstheme="minorHAnsi"/>
                <w:color w:val="000000"/>
              </w:rPr>
            </w:pPr>
          </w:p>
        </w:tc>
        <w:tc>
          <w:tcPr>
            <w:tcW w:w="2500" w:type="pct"/>
          </w:tcPr>
          <w:p w14:paraId="61860482" w14:textId="1573BC06" w:rsidR="00C004A0" w:rsidRPr="00C67737" w:rsidRDefault="00300777" w:rsidP="00495437">
            <w:pPr>
              <w:snapToGrid/>
              <w:spacing w:before="100" w:after="100"/>
              <w:rPr>
                <w:rFonts w:eastAsia="SimSun" w:cstheme="minorHAnsi"/>
                <w:color w:val="000000"/>
              </w:rPr>
            </w:pPr>
            <w:r w:rsidRPr="00300777">
              <w:rPr>
                <w:color w:val="000000"/>
              </w:rPr>
              <w:t>Pendant le GEF-7 et le GEF-8, des ressources ont été réservées, hors du STAR, au titre de la Stratégie du domaine d’intervention «</w:t>
            </w:r>
            <w:r w:rsidR="007950A2">
              <w:rPr>
                <w:color w:val="000000"/>
              </w:rPr>
              <w:t> </w:t>
            </w:r>
            <w:r w:rsidRPr="00300777">
              <w:rPr>
                <w:color w:val="000000"/>
              </w:rPr>
              <w:t>diversité biologique</w:t>
            </w:r>
            <w:r w:rsidR="007950A2">
              <w:rPr>
                <w:color w:val="000000"/>
              </w:rPr>
              <w:t> </w:t>
            </w:r>
            <w:r w:rsidRPr="00300777">
              <w:rPr>
                <w:color w:val="000000"/>
              </w:rPr>
              <w:t>» afin de soutenir ces activités</w:t>
            </w:r>
            <w:r w:rsidR="006E54C7">
              <w:rPr>
                <w:color w:val="000000"/>
              </w:rPr>
              <w:t> :</w:t>
            </w:r>
          </w:p>
          <w:p w14:paraId="6D67DA99" w14:textId="184F6045" w:rsidR="00C004A0" w:rsidRPr="0065259D" w:rsidRDefault="0023645A">
            <w:pPr>
              <w:numPr>
                <w:ilvl w:val="0"/>
                <w:numId w:val="30"/>
              </w:numPr>
              <w:snapToGrid/>
              <w:spacing w:before="240" w:after="0"/>
              <w:rPr>
                <w:color w:val="000000"/>
              </w:rPr>
            </w:pPr>
            <w:r>
              <w:rPr>
                <w:color w:val="000000"/>
              </w:rPr>
              <w:t>L</w:t>
            </w:r>
            <w:r w:rsidR="00300777">
              <w:rPr>
                <w:color w:val="000000"/>
              </w:rPr>
              <w:t>e</w:t>
            </w:r>
            <w:r w:rsidR="00C004A0">
              <w:rPr>
                <w:color w:val="000000"/>
              </w:rPr>
              <w:t xml:space="preserve"> projet d’appui aux interventions précoces en faveur du Cadre mondial de la biodiversité de </w:t>
            </w:r>
            <w:r w:rsidR="00376C22">
              <w:rPr>
                <w:color w:val="000000"/>
              </w:rPr>
              <w:t>GEF</w:t>
            </w:r>
            <w:r w:rsidR="00376C22">
              <w:rPr>
                <w:color w:val="000000"/>
              </w:rPr>
              <w:noBreakHyphen/>
            </w:r>
            <w:r w:rsidR="00C004A0">
              <w:rPr>
                <w:color w:val="000000"/>
              </w:rPr>
              <w:t>7</w:t>
            </w:r>
            <w:r w:rsidR="0065259D" w:rsidRPr="0065259D">
              <w:rPr>
                <w:color w:val="000000"/>
              </w:rPr>
              <w:t xml:space="preserve"> </w:t>
            </w:r>
            <w:proofErr w:type="gramStart"/>
            <w:r w:rsidR="0065259D" w:rsidRPr="0065259D">
              <w:rPr>
                <w:color w:val="000000"/>
              </w:rPr>
              <w:t>approuvé</w:t>
            </w:r>
            <w:proofErr w:type="gramEnd"/>
            <w:r w:rsidR="0065259D" w:rsidRPr="0065259D">
              <w:rPr>
                <w:color w:val="000000"/>
              </w:rPr>
              <w:t xml:space="preserve"> sous la forme d’un ensemble de projets de moyenne envergure en une seule étape, pour un financement total du GEF de 44,7</w:t>
            </w:r>
            <w:r w:rsidR="007950A2">
              <w:rPr>
                <w:color w:val="000000"/>
              </w:rPr>
              <w:t> </w:t>
            </w:r>
            <w:r w:rsidR="0065259D" w:rsidRPr="0065259D">
              <w:rPr>
                <w:color w:val="000000"/>
              </w:rPr>
              <w:t>millions de dollars.</w:t>
            </w:r>
            <w:r w:rsidR="00C004A0" w:rsidRPr="0065259D">
              <w:rPr>
                <w:color w:val="000000"/>
              </w:rPr>
              <w:t xml:space="preserve"> Tous ces projets </w:t>
            </w:r>
            <w:r w:rsidR="00300777" w:rsidRPr="0065259D">
              <w:rPr>
                <w:color w:val="000000"/>
              </w:rPr>
              <w:t>ont</w:t>
            </w:r>
            <w:r w:rsidR="00C004A0" w:rsidRPr="0065259D">
              <w:rPr>
                <w:color w:val="000000"/>
              </w:rPr>
              <w:t xml:space="preserve"> été approuvés pour démarrer leur mise en œuvre </w:t>
            </w:r>
            <w:r w:rsidR="004E46BE" w:rsidRPr="0065259D">
              <w:rPr>
                <w:color w:val="000000"/>
              </w:rPr>
              <w:t>d’ici</w:t>
            </w:r>
            <w:r w:rsidR="00C004A0" w:rsidRPr="0065259D">
              <w:rPr>
                <w:color w:val="000000"/>
              </w:rPr>
              <w:t xml:space="preserve"> juin 2022. Il comprenait environ 270</w:t>
            </w:r>
            <w:r w:rsidR="004E1E1A" w:rsidRPr="0065259D">
              <w:rPr>
                <w:color w:val="000000"/>
              </w:rPr>
              <w:t> 000 </w:t>
            </w:r>
            <w:r w:rsidR="00C004A0" w:rsidRPr="0065259D">
              <w:rPr>
                <w:color w:val="000000"/>
              </w:rPr>
              <w:t>dollars par pays pour les activités nationales et 3</w:t>
            </w:r>
            <w:r w:rsidR="004E1E1A" w:rsidRPr="0065259D">
              <w:rPr>
                <w:color w:val="000000"/>
              </w:rPr>
              <w:t> </w:t>
            </w:r>
            <w:r w:rsidR="00C004A0" w:rsidRPr="0065259D">
              <w:rPr>
                <w:color w:val="000000"/>
              </w:rPr>
              <w:t>millions de dollars d’assistance technique mondiale fournie par le PNUD et le PNUE, au bénéfice de 138</w:t>
            </w:r>
            <w:r w:rsidR="004E1E1A" w:rsidRPr="0065259D">
              <w:rPr>
                <w:color w:val="000000"/>
              </w:rPr>
              <w:t> </w:t>
            </w:r>
            <w:r w:rsidR="00C004A0" w:rsidRPr="0065259D">
              <w:rPr>
                <w:color w:val="000000"/>
              </w:rPr>
              <w:t>pays au total.</w:t>
            </w:r>
          </w:p>
          <w:p w14:paraId="443A0496" w14:textId="6E05E29D" w:rsidR="00C004A0" w:rsidRPr="00C67737" w:rsidRDefault="00C004A0">
            <w:pPr>
              <w:numPr>
                <w:ilvl w:val="0"/>
                <w:numId w:val="30"/>
              </w:numPr>
              <w:snapToGrid/>
              <w:spacing w:before="240" w:after="0"/>
              <w:rPr>
                <w:rFonts w:eastAsia="Aptos" w:cstheme="minorHAnsi"/>
                <w:color w:val="000000"/>
              </w:rPr>
            </w:pPr>
            <w:r>
              <w:rPr>
                <w:color w:val="000000"/>
              </w:rPr>
              <w:t xml:space="preserve">Le programme-cadre de </w:t>
            </w:r>
            <w:r w:rsidR="00376C22">
              <w:rPr>
                <w:color w:val="000000"/>
              </w:rPr>
              <w:t>GEF</w:t>
            </w:r>
            <w:r w:rsidR="00376C22">
              <w:rPr>
                <w:color w:val="000000"/>
              </w:rPr>
              <w:noBreakHyphen/>
            </w:r>
            <w:r>
              <w:rPr>
                <w:color w:val="000000"/>
              </w:rPr>
              <w:t xml:space="preserve">8 d’appui </w:t>
            </w:r>
            <w:r w:rsidR="00C43470" w:rsidRPr="00C43470">
              <w:rPr>
                <w:color w:val="000000"/>
              </w:rPr>
              <w:t>à la révision et à la mise à jour des stratégies et plans d’action nationaux pour la biodiversité et à l’établissement des septièmes rapports nationaux</w:t>
            </w:r>
            <w:r w:rsidR="00C43470">
              <w:rPr>
                <w:color w:val="000000"/>
              </w:rPr>
              <w:t>,</w:t>
            </w:r>
            <w:r>
              <w:rPr>
                <w:color w:val="000000"/>
              </w:rPr>
              <w:t xml:space="preserve"> approuvé par le Conseil en juin 2023, </w:t>
            </w:r>
            <w:r w:rsidR="001E0100" w:rsidRPr="001E0100">
              <w:rPr>
                <w:color w:val="000000"/>
              </w:rPr>
              <w:t>et ayant reçu l’agrément du Directeur général en janvier 2024 pour le PNUD, et en mars 2024 pour le PNUE, pour un financement total du GEF de 78,5</w:t>
            </w:r>
            <w:r w:rsidR="007950A2">
              <w:rPr>
                <w:color w:val="000000"/>
              </w:rPr>
              <w:t> </w:t>
            </w:r>
            <w:r w:rsidR="001E0100" w:rsidRPr="001E0100">
              <w:rPr>
                <w:color w:val="000000"/>
              </w:rPr>
              <w:t>millions de dollars. Il comprend 450</w:t>
            </w:r>
            <w:r w:rsidR="007950A2">
              <w:rPr>
                <w:color w:val="000000"/>
              </w:rPr>
              <w:t> 000 </w:t>
            </w:r>
            <w:r w:rsidR="001E0100" w:rsidRPr="001E0100">
              <w:rPr>
                <w:color w:val="000000"/>
              </w:rPr>
              <w:t>dollars par pays au titre des activités nationales liées aux SPANB et à l’établissement des rapports nationaux, ainsi que 6</w:t>
            </w:r>
            <w:r w:rsidR="007950A2">
              <w:rPr>
                <w:color w:val="000000"/>
              </w:rPr>
              <w:t> </w:t>
            </w:r>
            <w:r w:rsidR="001E0100" w:rsidRPr="001E0100">
              <w:rPr>
                <w:color w:val="000000"/>
              </w:rPr>
              <w:t>millions de dollars au titre d’une assistance technique mondiale devant être assurée par le PNUD et le PNUE, au bénéfice de 139</w:t>
            </w:r>
            <w:r w:rsidR="007950A2">
              <w:rPr>
                <w:color w:val="000000"/>
              </w:rPr>
              <w:t> </w:t>
            </w:r>
            <w:r w:rsidR="001E0100" w:rsidRPr="001E0100">
              <w:rPr>
                <w:color w:val="000000"/>
              </w:rPr>
              <w:t>pays.</w:t>
            </w:r>
          </w:p>
          <w:p w14:paraId="00CEC2A4" w14:textId="083968E8" w:rsidR="00C004A0" w:rsidRPr="00C67737" w:rsidRDefault="001E312F" w:rsidP="00495437">
            <w:pPr>
              <w:snapToGrid/>
              <w:spacing w:before="100" w:after="100"/>
              <w:rPr>
                <w:rFonts w:eastAsia="SimSun" w:cstheme="minorHAnsi"/>
                <w:color w:val="000000"/>
              </w:rPr>
            </w:pPr>
            <w:r w:rsidRPr="001E312F">
              <w:rPr>
                <w:color w:val="000000"/>
              </w:rPr>
              <w:t xml:space="preserve">Le GEF reconnaît pleinement que, dans certains pays, les retards de décaissement des fonds par les </w:t>
            </w:r>
            <w:r w:rsidRPr="001E312F">
              <w:rPr>
                <w:color w:val="000000"/>
              </w:rPr>
              <w:lastRenderedPageBreak/>
              <w:t>Agences ont été aggravés par des problèmes de passation des marchés et par la difficulté à recruter des consultants dotés de l’expertise nécessaire pour appuyer l’élaboration ou la révision des SPANB et l’établissement des rapports. Depuis la seizième réunion de la Conférence des Parties à la CDB, le Secrétariat du GEF et les Agences ont examiné à plusieurs reprises, à tous les niveaux hiérarchiques, ces obstacles ainsi que les moyens d’accélérer la mise en œuvre.</w:t>
            </w:r>
            <w:r w:rsidR="007D6990">
              <w:rPr>
                <w:color w:val="000000"/>
              </w:rPr>
              <w:t xml:space="preserve"> </w:t>
            </w:r>
            <w:r w:rsidR="006D6B42" w:rsidRPr="006D6B42">
              <w:rPr>
                <w:color w:val="000000"/>
              </w:rPr>
              <w:t>En septembre 2025, le comité directeur des projets du GEF-8 relatifs aux SPANB et aux rapports nationaux a adopté un plan d’accélération. Ce comité réunissait le PNUE, le PNUD, le Secrétariat de la CDB, le Secrétariat du GEF, ainsi que des représentants de la Bosnie-Herzégovine, du Mexique, de la République démocratique populaire lao, du Sénégal, de Trinité-et-Tobago et de Vanuatu. Le Secrétariat du GEF continue de collaborer avec les Agences et les pays et d’assurer le suivi de ces échanges. Les annexes</w:t>
            </w:r>
            <w:r w:rsidR="007950A2">
              <w:rPr>
                <w:color w:val="000000"/>
              </w:rPr>
              <w:t> </w:t>
            </w:r>
            <w:r w:rsidR="006D6B42" w:rsidRPr="006D6B42">
              <w:rPr>
                <w:color w:val="000000"/>
              </w:rPr>
              <w:t>5 et 6 fournissent des informations détaillées sur l’état d’avancement de cet appui dans chaque pays participant.</w:t>
            </w:r>
          </w:p>
        </w:tc>
      </w:tr>
      <w:tr w:rsidR="00C004A0" w:rsidRPr="00C67737" w14:paraId="578C7906" w14:textId="77777777" w:rsidTr="00A769A6">
        <w:tc>
          <w:tcPr>
            <w:tcW w:w="2500" w:type="pct"/>
          </w:tcPr>
          <w:p w14:paraId="059A28ED" w14:textId="77777777" w:rsidR="00C004A0" w:rsidRPr="00C67737" w:rsidRDefault="00C004A0" w:rsidP="00495437">
            <w:pPr>
              <w:rPr>
                <w:rFonts w:cstheme="minorHAnsi"/>
                <w:i/>
                <w:iCs/>
              </w:rPr>
            </w:pPr>
            <w:r>
              <w:rPr>
                <w:i/>
              </w:rPr>
              <w:lastRenderedPageBreak/>
              <w:t>Centre d’échange</w:t>
            </w:r>
          </w:p>
          <w:p w14:paraId="0620C95B" w14:textId="321A1468"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cstheme="minorHAnsi"/>
                <w:snapToGrid w:val="0"/>
                <w:color w:val="000000"/>
                <w:kern w:val="22"/>
              </w:rPr>
            </w:pPr>
            <w:r>
              <w:rPr>
                <w:color w:val="000000"/>
              </w:rPr>
              <w:t>3.</w:t>
            </w:r>
            <w:r>
              <w:rPr>
                <w:color w:val="000000"/>
              </w:rPr>
              <w:tab/>
              <w:t>Prie le Fonds pour l’environnement mondial, conformément à son mandat, d’examiner les demandes de financement des pays en développement Parties, en particulier des pays les moins avancés et des petits États insulaires en développement, ainsi que des Parties à économie en transition, pour leur permettre de mettre en œuvre le programme de travail du centre d’échange pour la période</w:t>
            </w:r>
            <w:r w:rsidR="004E1E1A">
              <w:rPr>
                <w:color w:val="000000"/>
              </w:rPr>
              <w:t> </w:t>
            </w:r>
            <w:r>
              <w:rPr>
                <w:color w:val="000000"/>
              </w:rPr>
              <w:t>2024-2030</w:t>
            </w:r>
            <w:r w:rsidR="004E1E1A">
              <w:rPr>
                <w:color w:val="000000"/>
              </w:rPr>
              <w:t> </w:t>
            </w:r>
            <w:r>
              <w:rPr>
                <w:color w:val="000000"/>
              </w:rPr>
              <w:t>;</w:t>
            </w:r>
          </w:p>
        </w:tc>
        <w:tc>
          <w:tcPr>
            <w:tcW w:w="2500" w:type="pct"/>
          </w:tcPr>
          <w:p w14:paraId="32D95B33" w14:textId="646C876A" w:rsidR="00C004A0" w:rsidRPr="00C67737" w:rsidRDefault="00C004A0" w:rsidP="00495437">
            <w:pPr>
              <w:snapToGrid/>
              <w:spacing w:before="100" w:after="100"/>
              <w:rPr>
                <w:rFonts w:eastAsia="SimSun" w:cstheme="minorHAnsi"/>
                <w:color w:val="000000"/>
              </w:rPr>
            </w:pPr>
            <w:r>
              <w:rPr>
                <w:color w:val="000000"/>
              </w:rPr>
              <w:t xml:space="preserve">Conformément à son mandat, le GEF examinera ces demandes de financement dans le cadre de projets pilotés par les pays, lorsque les activités devant être appuyées contribuent également à la production d’avantages environnementaux mondiaux. </w:t>
            </w:r>
          </w:p>
        </w:tc>
      </w:tr>
      <w:tr w:rsidR="00C004A0" w:rsidRPr="00C67737" w14:paraId="0F621009" w14:textId="77777777" w:rsidTr="00A769A6">
        <w:tc>
          <w:tcPr>
            <w:tcW w:w="2500" w:type="pct"/>
          </w:tcPr>
          <w:p w14:paraId="430BB3EF" w14:textId="77777777" w:rsidR="00C004A0" w:rsidRPr="00C67737" w:rsidRDefault="00C004A0" w:rsidP="00495437">
            <w:pPr>
              <w:rPr>
                <w:rFonts w:cstheme="minorHAnsi"/>
                <w:i/>
                <w:iCs/>
              </w:rPr>
            </w:pPr>
            <w:r>
              <w:rPr>
                <w:i/>
              </w:rPr>
              <w:t>Gestion des connaissances</w:t>
            </w:r>
          </w:p>
          <w:p w14:paraId="0769CF53" w14:textId="12C77FE9" w:rsidR="00C004A0" w:rsidRPr="00C67737" w:rsidRDefault="00C004A0" w:rsidP="00A81355">
            <w:pPr>
              <w:tabs>
                <w:tab w:val="left" w:pos="567"/>
                <w:tab w:val="left" w:pos="1134"/>
                <w:tab w:val="left" w:pos="1701"/>
                <w:tab w:val="left" w:pos="2268"/>
                <w:tab w:val="left" w:pos="2835"/>
                <w:tab w:val="left" w:pos="3402"/>
              </w:tabs>
              <w:snapToGrid/>
              <w:spacing w:before="100" w:after="100"/>
              <w:rPr>
                <w:rFonts w:cstheme="minorHAnsi"/>
                <w:color w:val="000000"/>
              </w:rPr>
            </w:pPr>
            <w:r>
              <w:rPr>
                <w:color w:val="000000"/>
              </w:rPr>
              <w:t>4.</w:t>
            </w:r>
            <w:r>
              <w:rPr>
                <w:color w:val="000000"/>
              </w:rPr>
              <w:tab/>
              <w:t>Demande au Fonds pour l’environnement mondial, conformément à son mandat, d’apporter son appui à la gestion des connaissances dans le cadre de projets menés par les pays concernés</w:t>
            </w:r>
            <w:r w:rsidR="004E1E1A">
              <w:rPr>
                <w:color w:val="000000"/>
              </w:rPr>
              <w:t> </w:t>
            </w:r>
            <w:r>
              <w:rPr>
                <w:color w:val="000000"/>
              </w:rPr>
              <w:t>;</w:t>
            </w:r>
          </w:p>
        </w:tc>
        <w:tc>
          <w:tcPr>
            <w:tcW w:w="2500" w:type="pct"/>
          </w:tcPr>
          <w:p w14:paraId="014356B5" w14:textId="6BFC9DDA" w:rsidR="00C004A0" w:rsidRPr="00C67737" w:rsidRDefault="00C004A0" w:rsidP="00495437">
            <w:pPr>
              <w:snapToGrid/>
              <w:spacing w:before="100" w:after="100"/>
              <w:rPr>
                <w:rFonts w:eastAsia="SimSun" w:cstheme="minorHAnsi"/>
                <w:color w:val="000000"/>
              </w:rPr>
            </w:pPr>
            <w:r>
              <w:t>La gestion des connaissances constitue une composante essentielle de l’ensemble des projets et programmes appuyés par le GEF, comme le précise l’annexe</w:t>
            </w:r>
            <w:r w:rsidR="004E1E1A">
              <w:t> </w:t>
            </w:r>
            <w:r>
              <w:t>16 des lignes directrices relatives à la politique concernant le cycle des projets et programmes (</w:t>
            </w:r>
            <w:r w:rsidRPr="008A66C5">
              <w:rPr>
                <w:i/>
                <w:iCs/>
              </w:rPr>
              <w:t>Guidelines on the Project and Program Cycle Policy</w:t>
            </w:r>
            <w:r w:rsidRPr="00C67737">
              <w:rPr>
                <w:rFonts w:cstheme="minorHAnsi"/>
                <w:color w:val="000000"/>
                <w:vertAlign w:val="superscript"/>
              </w:rPr>
              <w:footnoteReference w:id="113"/>
            </w:r>
            <w:r>
              <w:t xml:space="preserve">). </w:t>
            </w:r>
            <w:r w:rsidR="00A318E2" w:rsidRPr="00A318E2">
              <w:t xml:space="preserve">Le GEF poursuivra son appui à la gestion des connaissances, en tant qu’élément transversal des projets pilotés par les </w:t>
            </w:r>
            <w:r w:rsidR="00A318E2" w:rsidRPr="00A318E2">
              <w:lastRenderedPageBreak/>
              <w:t>pays, afin de contribuer à la réalisation d’objectifs de niveau supérieur et de générer des avantages environnementaux mondiaux</w:t>
            </w:r>
          </w:p>
        </w:tc>
      </w:tr>
      <w:tr w:rsidR="00C004A0" w:rsidRPr="00C67737" w14:paraId="3BE85A31" w14:textId="77777777" w:rsidTr="00A769A6">
        <w:tc>
          <w:tcPr>
            <w:tcW w:w="2500" w:type="pct"/>
          </w:tcPr>
          <w:p w14:paraId="400DD82D" w14:textId="77777777" w:rsidR="00C004A0" w:rsidRPr="00C67737" w:rsidRDefault="00C004A0" w:rsidP="00495437">
            <w:pPr>
              <w:rPr>
                <w:rFonts w:cstheme="minorHAnsi"/>
                <w:i/>
                <w:iCs/>
              </w:rPr>
            </w:pPr>
            <w:r>
              <w:rPr>
                <w:i/>
              </w:rPr>
              <w:lastRenderedPageBreak/>
              <w:t>Création et renforcement des capacités, coopération technique et scientifique et transfert de technologies</w:t>
            </w:r>
          </w:p>
          <w:p w14:paraId="6E2B1072" w14:textId="7F8D06BE"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5.</w:t>
            </w:r>
            <w:r>
              <w:rPr>
                <w:color w:val="000000"/>
              </w:rPr>
              <w:tab/>
              <w:t>Demande au Fonds pour l’environnement mondial, notamment par l’intermédiaire du Fonds du Cadre mondial de la biodiversité, conformément à leurs mandats, de continuer à appuyer dans toutes les Parties admissibles des projets menés par les pays, comprenant la coopération technique et scientifique, le transfert de technologies et le renforcement des capacités pour la mise en œuvre du Cadre mondial de la biodiversité de Kunming-Montréal</w:t>
            </w:r>
            <w:r w:rsidRPr="00C67737">
              <w:rPr>
                <w:rFonts w:eastAsia="SimSun" w:cstheme="minorHAnsi"/>
                <w:color w:val="000000"/>
                <w:vertAlign w:val="superscript"/>
              </w:rPr>
              <w:footnoteReference w:id="114"/>
            </w:r>
            <w:r>
              <w:rPr>
                <w:color w:val="000000"/>
              </w:rPr>
              <w:t xml:space="preserve"> </w:t>
            </w:r>
            <w:r w:rsidR="006E54C7">
              <w:rPr>
                <w:color w:val="000000"/>
              </w:rPr>
              <w:t> ;</w:t>
            </w:r>
            <w:r>
              <w:t xml:space="preserve"> </w:t>
            </w:r>
          </w:p>
        </w:tc>
        <w:tc>
          <w:tcPr>
            <w:tcW w:w="2500" w:type="pct"/>
          </w:tcPr>
          <w:p w14:paraId="265F951E" w14:textId="0202F2D1" w:rsidR="00C004A0" w:rsidRPr="00C67737" w:rsidRDefault="00E662EC" w:rsidP="00495437">
            <w:pPr>
              <w:keepNext/>
              <w:keepLines/>
              <w:tabs>
                <w:tab w:val="left" w:pos="567"/>
                <w:tab w:val="left" w:pos="1134"/>
                <w:tab w:val="left" w:pos="1701"/>
                <w:tab w:val="left" w:pos="2268"/>
                <w:tab w:val="left" w:pos="2835"/>
                <w:tab w:val="left" w:pos="3402"/>
              </w:tabs>
              <w:snapToGrid/>
              <w:spacing w:before="0" w:after="100"/>
              <w:rPr>
                <w:rFonts w:eastAsia="SimSun" w:cstheme="minorHAnsi"/>
                <w:color w:val="000000"/>
              </w:rPr>
            </w:pPr>
            <w:r w:rsidRPr="00E662EC">
              <w:rPr>
                <w:color w:val="000000"/>
              </w:rPr>
              <w:t>Tous les investissements du GEF apportent un appui important au renforcement des capacités et peuvent comprendre, dans le cadre de projets pilotés par les pays visant à atteindre des objectifs de niveau supérieur et à générer des avantages environnementaux mondiaux, des activités de coopération technique et scientifique ainsi que de transfert de technologies.</w:t>
            </w:r>
            <w:r>
              <w:rPr>
                <w:color w:val="000000"/>
              </w:rPr>
              <w:t xml:space="preserve"> </w:t>
            </w:r>
            <w:r w:rsidR="00FA2726" w:rsidRPr="00FA2726">
              <w:rPr>
                <w:color w:val="000000"/>
              </w:rPr>
              <w:t>Dans le cadre de ces projets, les activités de coopération technique et scientifique, de transfert de technologies et de renforcement des capacités nécessaires à la mise en œuvre du KMGBF sont admissibles. Les pays peuvent choisir de mobiliser l’appui du GEF en fonction de leurs priorités nationales.</w:t>
            </w:r>
          </w:p>
        </w:tc>
      </w:tr>
      <w:tr w:rsidR="00C004A0" w:rsidRPr="00C67737" w14:paraId="79B88EA6" w14:textId="77777777" w:rsidTr="00A769A6">
        <w:tc>
          <w:tcPr>
            <w:tcW w:w="2500" w:type="pct"/>
          </w:tcPr>
          <w:p w14:paraId="5BD8EFC7" w14:textId="6D160D8A"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6.</w:t>
            </w:r>
            <w:r>
              <w:rPr>
                <w:color w:val="000000"/>
              </w:rPr>
              <w:tab/>
              <w:t>Demande également au Fonds pour l’environnement mondial, notamment par l’intermédiaire du Fonds du Cadre mondial de la biodiversité, et conformément à leurs mandats, ainsi qu’au Fonds de Kunming pour la biodiversité et à d’autres fonds, d’appuyer, le cas échéant, l’opérationnalisation et les activités admissibles des centres régionaux et sous-régionaux d’appui à la coopération technique et scientifique dans les pays en développement Parties, en particulier les pays les moins avancés et les petits États insulaires en développement, ainsi que dans les Parties à économie en transition, dans le cadre de projets menés à l’initiative des pays</w:t>
            </w:r>
            <w:r w:rsidR="004E1E1A">
              <w:rPr>
                <w:color w:val="000000"/>
              </w:rPr>
              <w:t> </w:t>
            </w:r>
            <w:r>
              <w:rPr>
                <w:color w:val="000000"/>
              </w:rPr>
              <w:t>;</w:t>
            </w:r>
          </w:p>
        </w:tc>
        <w:tc>
          <w:tcPr>
            <w:tcW w:w="2500" w:type="pct"/>
          </w:tcPr>
          <w:p w14:paraId="671A5EED" w14:textId="204D4804" w:rsidR="00C004A0" w:rsidRPr="00C67737" w:rsidRDefault="003F56C6" w:rsidP="00A81355">
            <w:pPr>
              <w:keepNext/>
              <w:keepLines/>
              <w:tabs>
                <w:tab w:val="left" w:pos="567"/>
                <w:tab w:val="left" w:pos="1134"/>
                <w:tab w:val="left" w:pos="1701"/>
                <w:tab w:val="left" w:pos="2268"/>
                <w:tab w:val="left" w:pos="2835"/>
                <w:tab w:val="left" w:pos="3402"/>
              </w:tabs>
              <w:snapToGrid/>
              <w:spacing w:before="0" w:after="100"/>
              <w:rPr>
                <w:rFonts w:eastAsia="SimSun" w:cstheme="minorHAnsi"/>
                <w:color w:val="000000"/>
              </w:rPr>
            </w:pPr>
            <w:r w:rsidRPr="003F56C6">
              <w:rPr>
                <w:color w:val="000000"/>
              </w:rPr>
              <w:t>Dans le cadre de projets admissibles menés à l’initiative des pays, les pays peuvent utiliser et affecter des ressources du STAR ou du GBFF à des centres régionaux et sous-régionaux d’appui à la coopération technique et scientifique afin de contribuer à la réalisation des objectifs de niveau supérieur de ces projets et de générer des avantages environnementaux mondiaux.</w:t>
            </w:r>
          </w:p>
        </w:tc>
      </w:tr>
      <w:tr w:rsidR="00C004A0" w:rsidRPr="00C67737" w14:paraId="0CF31825" w14:textId="77777777" w:rsidTr="00A769A6">
        <w:tc>
          <w:tcPr>
            <w:tcW w:w="2500" w:type="pct"/>
          </w:tcPr>
          <w:p w14:paraId="38456D5E" w14:textId="77777777" w:rsidR="00C004A0" w:rsidRPr="00C67737" w:rsidRDefault="00C004A0" w:rsidP="00495437">
            <w:pPr>
              <w:rPr>
                <w:rFonts w:cstheme="minorHAnsi"/>
                <w:i/>
                <w:iCs/>
              </w:rPr>
            </w:pPr>
            <w:r>
              <w:rPr>
                <w:i/>
              </w:rPr>
              <w:t>Cadre de suivi du Cadre mondial de la biodiversité de Kunming-Montréal</w:t>
            </w:r>
          </w:p>
          <w:p w14:paraId="5A817AC0" w14:textId="4B7FB4AC"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7.</w:t>
            </w:r>
            <w:r>
              <w:rPr>
                <w:color w:val="000000"/>
              </w:rPr>
              <w:tab/>
              <w:t xml:space="preserve">Demande au Fonds pour l’environnement mondial de fournir en temps voulu des ressources financières suffisantes et prévisibles pour contribuer à l’élaboration et à la mise en œuvre de systèmes nationaux de suivi de la diversité biologique, notamment grâce à la création et au renforcement des capacités afin d’appuyer les </w:t>
            </w:r>
            <w:r>
              <w:rPr>
                <w:color w:val="000000"/>
              </w:rPr>
              <w:lastRenderedPageBreak/>
              <w:t>activités de compte rendu des Parties, en réponse aux demandes de toutes les Parties admissibles, en particulier les pays les moins avancés et les petits États insulaires en développement, et conformément à son mandat</w:t>
            </w:r>
            <w:r w:rsidR="004E1E1A">
              <w:rPr>
                <w:color w:val="000000"/>
              </w:rPr>
              <w:t> </w:t>
            </w:r>
            <w:r>
              <w:rPr>
                <w:color w:val="000000"/>
              </w:rPr>
              <w:t>;</w:t>
            </w:r>
          </w:p>
          <w:p w14:paraId="344EFC28" w14:textId="77777777" w:rsidR="00C004A0" w:rsidRPr="00C67737" w:rsidRDefault="00C004A0" w:rsidP="00495437">
            <w:pPr>
              <w:snapToGrid/>
              <w:spacing w:before="100" w:after="100"/>
              <w:rPr>
                <w:rFonts w:cstheme="minorHAnsi"/>
                <w:color w:val="000000"/>
              </w:rPr>
            </w:pPr>
          </w:p>
        </w:tc>
        <w:tc>
          <w:tcPr>
            <w:tcW w:w="2500" w:type="pct"/>
          </w:tcPr>
          <w:p w14:paraId="552C4D4B" w14:textId="38AB3D8A" w:rsidR="00C004A0" w:rsidRPr="00C67737" w:rsidRDefault="00C004A0" w:rsidP="00495437">
            <w:pPr>
              <w:snapToGrid/>
              <w:spacing w:before="100" w:after="100"/>
              <w:rPr>
                <w:rFonts w:eastAsia="SimSun" w:cstheme="minorHAnsi"/>
                <w:color w:val="000000"/>
              </w:rPr>
            </w:pPr>
            <w:r>
              <w:lastRenderedPageBreak/>
              <w:t xml:space="preserve">L’appui aux systèmes nationaux de suivi de la </w:t>
            </w:r>
            <w:r w:rsidR="004B32A8">
              <w:t>diver</w:t>
            </w:r>
            <w:r w:rsidR="00796C73">
              <w:t>sité biologique</w:t>
            </w:r>
            <w:r>
              <w:t xml:space="preserve"> s’inscrit dans les activités habilitantes de </w:t>
            </w:r>
            <w:r w:rsidR="00376C22">
              <w:t>GEF</w:t>
            </w:r>
            <w:r w:rsidR="00376C22">
              <w:noBreakHyphen/>
            </w:r>
            <w:r>
              <w:t xml:space="preserve">9, comme l’indiquent les </w:t>
            </w:r>
            <w:r w:rsidR="00F02738">
              <w:t>orientations programmatiques</w:t>
            </w:r>
            <w:r>
              <w:t xml:space="preserve"> de </w:t>
            </w:r>
            <w:r w:rsidR="00376C22">
              <w:t>GEF</w:t>
            </w:r>
            <w:r w:rsidR="00376C22">
              <w:noBreakHyphen/>
            </w:r>
            <w:r>
              <w:t>9 (</w:t>
            </w:r>
            <w:r w:rsidR="00376C22" w:rsidRPr="00796C73">
              <w:rPr>
                <w:i/>
                <w:iCs/>
              </w:rPr>
              <w:t>GEF</w:t>
            </w:r>
            <w:r w:rsidR="00376C22" w:rsidRPr="00796C73">
              <w:rPr>
                <w:i/>
                <w:iCs/>
              </w:rPr>
              <w:noBreakHyphen/>
            </w:r>
            <w:r w:rsidRPr="00796C73">
              <w:rPr>
                <w:i/>
                <w:iCs/>
              </w:rPr>
              <w:t xml:space="preserve">9 </w:t>
            </w:r>
            <w:proofErr w:type="spellStart"/>
            <w:r w:rsidRPr="00796C73">
              <w:rPr>
                <w:i/>
                <w:iCs/>
              </w:rPr>
              <w:t>Programming</w:t>
            </w:r>
            <w:proofErr w:type="spellEnd"/>
            <w:r w:rsidRPr="00796C73">
              <w:rPr>
                <w:i/>
                <w:iCs/>
              </w:rPr>
              <w:t xml:space="preserve"> Directions</w:t>
            </w:r>
            <w:r w:rsidRPr="00C67737">
              <w:rPr>
                <w:rFonts w:cstheme="minorHAnsi"/>
                <w:color w:val="000000"/>
                <w:vertAlign w:val="superscript"/>
              </w:rPr>
              <w:footnoteReference w:id="115"/>
            </w:r>
            <w:r w:rsidR="00117E36">
              <w:t>).</w:t>
            </w:r>
            <w:r>
              <w:rPr>
                <w:rFonts w:ascii="ZWAdobeF" w:hAnsi="ZWAdobeF"/>
                <w:sz w:val="2"/>
              </w:rPr>
              <w:t>).</w:t>
            </w:r>
            <w:r>
              <w:rPr>
                <w:color w:val="000000"/>
              </w:rPr>
              <w:t xml:space="preserve"> </w:t>
            </w:r>
          </w:p>
          <w:p w14:paraId="1F9E0A05" w14:textId="6307DCA3" w:rsidR="00C004A0" w:rsidRPr="00C67737" w:rsidRDefault="00C004A0" w:rsidP="00495437">
            <w:pPr>
              <w:snapToGrid/>
              <w:spacing w:before="100" w:after="100"/>
              <w:rPr>
                <w:rFonts w:eastAsia="SimSun" w:cstheme="minorHAnsi"/>
                <w:color w:val="000000"/>
              </w:rPr>
            </w:pPr>
            <w:r>
              <w:rPr>
                <w:color w:val="000000"/>
              </w:rPr>
              <w:t xml:space="preserve">L’évaluation des systèmes de suivi et l’élaboration de plans d’action </w:t>
            </w:r>
            <w:r w:rsidR="00117E36">
              <w:rPr>
                <w:color w:val="000000"/>
              </w:rPr>
              <w:t>relatifs au</w:t>
            </w:r>
            <w:r>
              <w:rPr>
                <w:color w:val="000000"/>
              </w:rPr>
              <w:t xml:space="preserve"> suivi figuraient parmi les activités que les pays pouvaient </w:t>
            </w:r>
            <w:r w:rsidR="008E63A3">
              <w:rPr>
                <w:color w:val="000000"/>
              </w:rPr>
              <w:t>mener</w:t>
            </w:r>
            <w:r>
              <w:rPr>
                <w:color w:val="000000"/>
              </w:rPr>
              <w:t xml:space="preserve"> dans le cadre du projet d’appui aux interventions précoces </w:t>
            </w:r>
            <w:r>
              <w:rPr>
                <w:color w:val="000000"/>
              </w:rPr>
              <w:lastRenderedPageBreak/>
              <w:t xml:space="preserve">en faveur du Cadre mondial de la biodiversité de </w:t>
            </w:r>
            <w:r w:rsidR="00376C22">
              <w:rPr>
                <w:color w:val="000000"/>
              </w:rPr>
              <w:t>GEF</w:t>
            </w:r>
            <w:r w:rsidR="00376C22">
              <w:rPr>
                <w:color w:val="000000"/>
              </w:rPr>
              <w:noBreakHyphen/>
            </w:r>
            <w:r>
              <w:rPr>
                <w:color w:val="000000"/>
              </w:rPr>
              <w:t>7. Le renforcement des capacités nécessaires à l’utilisation des indicateurs phares et d’autres indicateurs du KMGBF est prévu dans le cadre du Programme-cadre d’appui à la révision et à la mise à jour des stratégies et plans d’action nationaux pour la biodiversité</w:t>
            </w:r>
            <w:r w:rsidR="00CD06EC">
              <w:rPr>
                <w:color w:val="000000"/>
              </w:rPr>
              <w:t xml:space="preserve"> et </w:t>
            </w:r>
            <w:r>
              <w:rPr>
                <w:color w:val="000000"/>
              </w:rPr>
              <w:t xml:space="preserve">à l’établissement des septièmes rapports nationaux de </w:t>
            </w:r>
            <w:r w:rsidR="00376C22">
              <w:rPr>
                <w:color w:val="000000"/>
              </w:rPr>
              <w:t>GEF</w:t>
            </w:r>
            <w:r w:rsidR="00376C22">
              <w:rPr>
                <w:color w:val="000000"/>
              </w:rPr>
              <w:noBreakHyphen/>
            </w:r>
            <w:r>
              <w:rPr>
                <w:color w:val="000000"/>
              </w:rPr>
              <w:t>8.</w:t>
            </w:r>
          </w:p>
        </w:tc>
      </w:tr>
      <w:tr w:rsidR="00C004A0" w:rsidRPr="00C67737" w14:paraId="3D8D9C5D" w14:textId="77777777" w:rsidTr="00A769A6">
        <w:tc>
          <w:tcPr>
            <w:tcW w:w="2500" w:type="pct"/>
          </w:tcPr>
          <w:p w14:paraId="64F1EB00" w14:textId="44752A5C" w:rsidR="00C004A0" w:rsidRPr="00C67737" w:rsidRDefault="00C004A0" w:rsidP="00495437">
            <w:pPr>
              <w:rPr>
                <w:rFonts w:cstheme="minorHAnsi"/>
                <w:i/>
                <w:iCs/>
              </w:rPr>
            </w:pPr>
            <w:r>
              <w:rPr>
                <w:i/>
              </w:rPr>
              <w:lastRenderedPageBreak/>
              <w:t xml:space="preserve">Protocole de </w:t>
            </w:r>
            <w:r w:rsidR="003C203B">
              <w:t>Carthagène</w:t>
            </w:r>
            <w:r>
              <w:rPr>
                <w:i/>
              </w:rPr>
              <w:t xml:space="preserve"> sur la prévention des risques biotechnologiques</w:t>
            </w:r>
          </w:p>
          <w:p w14:paraId="2FD15B9B" w14:textId="78FDB8F8"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8.</w:t>
            </w:r>
            <w:r>
              <w:rPr>
                <w:color w:val="000000"/>
              </w:rPr>
              <w:tab/>
              <w:t>Demande au Fonds pour l’environnement mondial, et invite les autres fonds concernés, de continuer à mettre des fonds à la disposition des Parties à l’appui d’activités liées au centre d’échange sur la prévention des risques biotechnologiques et aux sites web nationaux consacrés à la prévention des risques biotechnologiques</w:t>
            </w:r>
            <w:r w:rsidR="004E1E1A">
              <w:rPr>
                <w:color w:val="000000"/>
              </w:rPr>
              <w:t> </w:t>
            </w:r>
            <w:r>
              <w:rPr>
                <w:color w:val="000000"/>
              </w:rPr>
              <w:t>;</w:t>
            </w:r>
          </w:p>
          <w:p w14:paraId="5319D5F3" w14:textId="05ADA2B6" w:rsidR="00C004A0" w:rsidRPr="00C67737" w:rsidRDefault="00C004A0" w:rsidP="003454A8">
            <w:pPr>
              <w:tabs>
                <w:tab w:val="left" w:pos="567"/>
                <w:tab w:val="left" w:pos="1134"/>
                <w:tab w:val="left" w:pos="1701"/>
                <w:tab w:val="left" w:pos="2268"/>
                <w:tab w:val="left" w:pos="2835"/>
                <w:tab w:val="left" w:pos="3402"/>
              </w:tabs>
              <w:snapToGrid/>
              <w:spacing w:before="100" w:after="100"/>
              <w:rPr>
                <w:rFonts w:cstheme="minorHAnsi"/>
                <w:color w:val="000000"/>
              </w:rPr>
            </w:pPr>
            <w:r>
              <w:rPr>
                <w:color w:val="000000"/>
              </w:rPr>
              <w:t>9. Demande également au Fonds pour l’environnement mondial d’aider les Parties admissibles en leur donnant accès en temps voulu aux moyens de mise en œuvre à l’échelle requise pour couvrir la portée et la rapidité de l’assistance nécessaire, notamment pour renforcer l’infrastructure de détection et d’identification des organismes vivants modifiés, mettre en place des réseaux régionaux de laboratoires, entreprendre des activités de renforcement des capacités et élaborer ou acquérir des matériaux de référence certifiés, et invite instamment les Parties à soumettre des propositions appropriées dans ce contexte au Fonds pour l’environnement mondial afin d’obtenir l’appui nécessaire à ces activités</w:t>
            </w:r>
            <w:r w:rsidR="004E1E1A">
              <w:rPr>
                <w:color w:val="000000"/>
              </w:rPr>
              <w:t> </w:t>
            </w:r>
            <w:r>
              <w:rPr>
                <w:color w:val="000000"/>
              </w:rPr>
              <w:t>;</w:t>
            </w:r>
          </w:p>
        </w:tc>
        <w:tc>
          <w:tcPr>
            <w:tcW w:w="2500" w:type="pct"/>
          </w:tcPr>
          <w:p w14:paraId="46BF8CE9" w14:textId="4F933EE4" w:rsidR="00C004A0" w:rsidRPr="00C67737" w:rsidRDefault="00CF1DB7" w:rsidP="00A81355">
            <w:pPr>
              <w:snapToGrid/>
              <w:spacing w:before="100" w:after="100"/>
              <w:rPr>
                <w:rFonts w:eastAsia="SimSun" w:cstheme="minorHAnsi"/>
                <w:color w:val="000000"/>
              </w:rPr>
            </w:pPr>
            <w:r w:rsidRPr="00CF1DB7">
              <w:t xml:space="preserve">b) Ces éléments sont pris en compte dans les orientations </w:t>
            </w:r>
            <w:r w:rsidR="00742833">
              <w:t>programmatiques de</w:t>
            </w:r>
            <w:r w:rsidRPr="00CF1DB7">
              <w:t xml:space="preserve"> GEF-9</w:t>
            </w:r>
            <w:r w:rsidR="003B3BFA" w:rsidRPr="00C67737">
              <w:rPr>
                <w:rFonts w:cstheme="minorHAnsi"/>
                <w:color w:val="000000"/>
                <w:vertAlign w:val="superscript"/>
              </w:rPr>
              <w:footnoteReference w:id="116"/>
            </w:r>
            <w:r w:rsidRPr="00CF1DB7">
              <w:t xml:space="preserve">, au titre d’un objectif de la Stratégie du domaine d’intervention </w:t>
            </w:r>
            <w:r w:rsidR="0094079E">
              <w:t>« </w:t>
            </w:r>
            <w:r w:rsidRPr="00CF1DB7">
              <w:t>diversité biologique</w:t>
            </w:r>
            <w:r w:rsidR="0094079E">
              <w:t> »</w:t>
            </w:r>
            <w:r w:rsidRPr="00CF1DB7">
              <w:t xml:space="preserve"> visant à renforcer la prévention des risques biotechnologiques et à garantir le partage juste et équitable des avantages découlant de l’utilisation des ressources génétiques, notamment par la mise en œuvre des Protocoles de </w:t>
            </w:r>
            <w:r w:rsidR="003C203B">
              <w:t>Carthagène</w:t>
            </w:r>
            <w:r w:rsidRPr="00CF1DB7">
              <w:t xml:space="preserve"> et de Nagoya.</w:t>
            </w:r>
            <w:r w:rsidR="009A369B">
              <w:t xml:space="preserve"> </w:t>
            </w:r>
          </w:p>
        </w:tc>
      </w:tr>
      <w:tr w:rsidR="00C004A0" w:rsidRPr="00C67737" w14:paraId="1A43523A" w14:textId="77777777" w:rsidTr="00A769A6">
        <w:tc>
          <w:tcPr>
            <w:tcW w:w="2500" w:type="pct"/>
          </w:tcPr>
          <w:p w14:paraId="7CB46DD4" w14:textId="03B8F5B6"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10.</w:t>
            </w:r>
            <w:r>
              <w:rPr>
                <w:color w:val="000000"/>
              </w:rPr>
              <w:tab/>
              <w:t>Demande en outre au Fonds pour l’environnement mondial</w:t>
            </w:r>
            <w:r w:rsidRPr="00C67737">
              <w:rPr>
                <w:rFonts w:eastAsia="SimSun" w:cstheme="minorHAnsi"/>
                <w:color w:val="000000"/>
                <w:vertAlign w:val="superscript"/>
              </w:rPr>
              <w:footnoteReference w:id="117"/>
            </w:r>
            <w:r w:rsidR="006E54C7">
              <w:rPr>
                <w:color w:val="000000"/>
              </w:rPr>
              <w:t> :</w:t>
            </w:r>
            <w:r>
              <w:t xml:space="preserve"> </w:t>
            </w:r>
            <w:r>
              <w:rPr>
                <w:color w:val="000000"/>
              </w:rPr>
              <w:t xml:space="preserve"> </w:t>
            </w:r>
          </w:p>
          <w:p w14:paraId="30E65A3F" w14:textId="46A04CEC"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t xml:space="preserve">a) De fournir des fonds en temps utile pour aider les Parties admissibles à élaborer et à présenter leur cinquième rapport national en application du </w:t>
            </w:r>
            <w:r>
              <w:lastRenderedPageBreak/>
              <w:t xml:space="preserve">Protocole de </w:t>
            </w:r>
            <w:r w:rsidR="003C203B">
              <w:t>Carthagène</w:t>
            </w:r>
            <w:r>
              <w:t xml:space="preserve"> sur la prévention des risques</w:t>
            </w:r>
            <w:r w:rsidR="001E032E">
              <w:t xml:space="preserve"> </w:t>
            </w:r>
            <w:r>
              <w:rPr>
                <w:snapToGrid w:val="0"/>
              </w:rPr>
              <w:t>biotechnologiques</w:t>
            </w:r>
            <w:r w:rsidRPr="00C67737">
              <w:rPr>
                <w:rFonts w:eastAsia="SimSun" w:cstheme="minorHAnsi"/>
                <w:iCs/>
                <w:snapToGrid w:val="0"/>
                <w:color w:val="000000"/>
                <w:kern w:val="22"/>
                <w:vertAlign w:val="superscript"/>
              </w:rPr>
              <w:footnoteReference w:id="118"/>
            </w:r>
            <w:r w:rsidR="004E1E1A">
              <w:t> </w:t>
            </w:r>
            <w:r>
              <w:t>;</w:t>
            </w:r>
          </w:p>
          <w:p w14:paraId="10210306" w14:textId="3083756B"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 xml:space="preserve">b) De continuer à étudier les modalités de réforme de son fonctionnement, notamment en examinant comment augmenter les fonds consacrés à la mise en œuvre du Protocole de </w:t>
            </w:r>
            <w:r w:rsidR="003C203B">
              <w:t>Carthagène</w:t>
            </w:r>
            <w:r>
              <w:rPr>
                <w:color w:val="000000"/>
              </w:rPr>
              <w:t xml:space="preserve"> et en tirant parti des projets mondiaux et régionaux, de manière à lui permettre de s’acquitter efficacement de ses responsabilités en matière de fonctionnement du mécanisme de financement du Protocole à titre provisoire et de manière continue, et de rendre compte de ces questions à la dix-septième réunion de la Conférence des Parties à la Convention sur la diversité biologique</w:t>
            </w:r>
            <w:r w:rsidR="004E1E1A">
              <w:rPr>
                <w:color w:val="000000"/>
              </w:rPr>
              <w:t> </w:t>
            </w:r>
            <w:r>
              <w:rPr>
                <w:color w:val="000000"/>
              </w:rPr>
              <w:t>;</w:t>
            </w:r>
          </w:p>
          <w:p w14:paraId="5D7DB261" w14:textId="1D0F7D2B"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 xml:space="preserve">c) D’examiner le bien-fondé de la création d’un guichet de financement autonome pour la prévention des risques biotechnologiques, pour examen par la Conférence des Parties en tant que réunion des Parties au Protocole </w:t>
            </w:r>
            <w:r w:rsidR="003C203B">
              <w:t>Carthagène</w:t>
            </w:r>
            <w:r>
              <w:rPr>
                <w:color w:val="000000"/>
              </w:rPr>
              <w:t xml:space="preserve"> à sa douzième réunion</w:t>
            </w:r>
            <w:r w:rsidR="004E1E1A">
              <w:rPr>
                <w:color w:val="000000"/>
              </w:rPr>
              <w:t> </w:t>
            </w:r>
            <w:r>
              <w:rPr>
                <w:color w:val="000000"/>
              </w:rPr>
              <w:t>;</w:t>
            </w:r>
          </w:p>
          <w:p w14:paraId="3A310BBB" w14:textId="5F16044D"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d) De simplifier le processus de soumission des propositions de projets en matière de prévention des risques biotechnologiques</w:t>
            </w:r>
            <w:r w:rsidR="006E54C7">
              <w:rPr>
                <w:color w:val="000000"/>
              </w:rPr>
              <w:t> ;</w:t>
            </w:r>
          </w:p>
          <w:p w14:paraId="069BCC45" w14:textId="77CEAE88"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e) De faciliter les activités de renforcement des capacités, notamment au moyen de webinaires, pour la conception de projets relatifs à la prévention des risques biotechnologiques</w:t>
            </w:r>
            <w:r w:rsidR="006E54C7">
              <w:rPr>
                <w:color w:val="000000"/>
              </w:rPr>
              <w:t> ;</w:t>
            </w:r>
          </w:p>
          <w:p w14:paraId="21F8238C" w14:textId="77777777" w:rsidR="00C004A0" w:rsidRPr="00C67737" w:rsidRDefault="00C004A0" w:rsidP="00495437">
            <w:pPr>
              <w:keepNext/>
              <w:keepLines/>
              <w:tabs>
                <w:tab w:val="left" w:pos="567"/>
                <w:tab w:val="left" w:pos="1134"/>
                <w:tab w:val="left" w:pos="1701"/>
                <w:tab w:val="left" w:pos="2268"/>
                <w:tab w:val="left" w:pos="2835"/>
                <w:tab w:val="left" w:pos="3402"/>
              </w:tabs>
              <w:snapToGrid/>
              <w:spacing w:before="0" w:after="100"/>
              <w:ind w:left="567" w:hanging="567"/>
              <w:rPr>
                <w:rFonts w:eastAsia="SimSun" w:cstheme="minorHAnsi"/>
                <w:bCs/>
                <w:i/>
                <w:iCs/>
                <w:color w:val="000000"/>
              </w:rPr>
            </w:pPr>
          </w:p>
        </w:tc>
        <w:tc>
          <w:tcPr>
            <w:tcW w:w="2500" w:type="pct"/>
          </w:tcPr>
          <w:p w14:paraId="73D3E362" w14:textId="1997821D" w:rsidR="00C004A0" w:rsidRPr="00C67737" w:rsidRDefault="00376C22">
            <w:pPr>
              <w:numPr>
                <w:ilvl w:val="0"/>
                <w:numId w:val="31"/>
              </w:numPr>
              <w:snapToGrid/>
              <w:spacing w:before="100" w:after="100"/>
              <w:ind w:left="0" w:firstLine="0"/>
              <w:rPr>
                <w:rFonts w:eastAsia="SimSun" w:cstheme="minorHAnsi"/>
                <w:color w:val="000000"/>
              </w:rPr>
            </w:pPr>
            <w:r>
              <w:rPr>
                <w:color w:val="000000"/>
              </w:rPr>
              <w:lastRenderedPageBreak/>
              <w:t>GEF</w:t>
            </w:r>
            <w:r>
              <w:rPr>
                <w:color w:val="000000"/>
              </w:rPr>
              <w:noBreakHyphen/>
            </w:r>
            <w:r w:rsidR="00C004A0">
              <w:rPr>
                <w:color w:val="000000"/>
              </w:rPr>
              <w:t>8</w:t>
            </w:r>
            <w:r w:rsidR="006E54C7">
              <w:rPr>
                <w:color w:val="000000"/>
              </w:rPr>
              <w:t> :</w:t>
            </w:r>
            <w:r w:rsidR="00C004A0">
              <w:rPr>
                <w:color w:val="000000"/>
              </w:rPr>
              <w:t xml:space="preserve"> </w:t>
            </w:r>
            <w:r w:rsidR="00660390">
              <w:rPr>
                <w:color w:val="000000"/>
              </w:rPr>
              <w:t>L</w:t>
            </w:r>
            <w:r w:rsidR="00C004A0">
              <w:rPr>
                <w:color w:val="000000"/>
              </w:rPr>
              <w:t xml:space="preserve">e projet d’appui à l’élaboration des cinquièmes rapports nationaux sur la mise en œuvre du Protocole de </w:t>
            </w:r>
            <w:r w:rsidR="003C203B">
              <w:t>Carthagène</w:t>
            </w:r>
            <w:r w:rsidR="00C004A0">
              <w:rPr>
                <w:color w:val="000000"/>
              </w:rPr>
              <w:t xml:space="preserve"> sur la prévention des risques biotechnologiques (</w:t>
            </w:r>
            <w:r w:rsidR="00C004A0" w:rsidRPr="00EF7759">
              <w:rPr>
                <w:i/>
                <w:iCs/>
                <w:color w:val="000000"/>
              </w:rPr>
              <w:t xml:space="preserve">Support to </w:t>
            </w:r>
            <w:proofErr w:type="spellStart"/>
            <w:r w:rsidR="00C004A0" w:rsidRPr="00EF7759">
              <w:rPr>
                <w:i/>
                <w:iCs/>
                <w:color w:val="000000"/>
              </w:rPr>
              <w:t>Preparation</w:t>
            </w:r>
            <w:proofErr w:type="spellEnd"/>
            <w:r w:rsidR="00C004A0" w:rsidRPr="00EF7759">
              <w:rPr>
                <w:i/>
                <w:iCs/>
                <w:color w:val="000000"/>
              </w:rPr>
              <w:t xml:space="preserve"> of the </w:t>
            </w:r>
            <w:proofErr w:type="spellStart"/>
            <w:r w:rsidR="00C004A0" w:rsidRPr="00EF7759">
              <w:rPr>
                <w:i/>
                <w:iCs/>
                <w:color w:val="000000"/>
              </w:rPr>
              <w:t>Fifth</w:t>
            </w:r>
            <w:proofErr w:type="spellEnd"/>
            <w:r w:rsidR="00C004A0" w:rsidRPr="00EF7759">
              <w:rPr>
                <w:i/>
                <w:iCs/>
                <w:color w:val="000000"/>
              </w:rPr>
              <w:t xml:space="preserve"> National Reports on the </w:t>
            </w:r>
            <w:proofErr w:type="spellStart"/>
            <w:r w:rsidR="00C004A0" w:rsidRPr="00EF7759">
              <w:rPr>
                <w:i/>
                <w:iCs/>
                <w:color w:val="000000"/>
              </w:rPr>
              <w:t>Implementation</w:t>
            </w:r>
            <w:proofErr w:type="spellEnd"/>
            <w:r w:rsidR="00C004A0" w:rsidRPr="00EF7759">
              <w:rPr>
                <w:i/>
                <w:iCs/>
                <w:color w:val="000000"/>
              </w:rPr>
              <w:t xml:space="preserve"> of the </w:t>
            </w:r>
            <w:r w:rsidR="003C203B">
              <w:t>Carthagène</w:t>
            </w:r>
            <w:r w:rsidR="00C004A0" w:rsidRPr="00EF7759">
              <w:rPr>
                <w:i/>
                <w:iCs/>
                <w:color w:val="000000"/>
              </w:rPr>
              <w:t xml:space="preserve"> Protocol on </w:t>
            </w:r>
            <w:proofErr w:type="spellStart"/>
            <w:r w:rsidR="00C004A0" w:rsidRPr="00EF7759">
              <w:rPr>
                <w:i/>
                <w:iCs/>
                <w:color w:val="000000"/>
              </w:rPr>
              <w:lastRenderedPageBreak/>
              <w:t>Biosafety</w:t>
            </w:r>
            <w:proofErr w:type="spellEnd"/>
            <w:r w:rsidR="00C004A0">
              <w:rPr>
                <w:color w:val="000000"/>
              </w:rPr>
              <w:t>) approuvé par le directeur général en avril</w:t>
            </w:r>
            <w:r w:rsidR="00856328">
              <w:rPr>
                <w:color w:val="000000"/>
              </w:rPr>
              <w:t> </w:t>
            </w:r>
            <w:r w:rsidR="00C004A0">
              <w:rPr>
                <w:color w:val="000000"/>
              </w:rPr>
              <w:t>2025, puis modifié en octobre</w:t>
            </w:r>
            <w:r w:rsidR="00660390">
              <w:rPr>
                <w:color w:val="000000"/>
              </w:rPr>
              <w:t> </w:t>
            </w:r>
            <w:r w:rsidR="00C004A0">
              <w:rPr>
                <w:color w:val="000000"/>
              </w:rPr>
              <w:t xml:space="preserve">2025 afin d’y </w:t>
            </w:r>
            <w:r w:rsidR="007B629F">
              <w:rPr>
                <w:color w:val="000000"/>
              </w:rPr>
              <w:t>inclure</w:t>
            </w:r>
            <w:r w:rsidR="00C004A0">
              <w:rPr>
                <w:color w:val="000000"/>
              </w:rPr>
              <w:t xml:space="preserve"> des pays qui n’avaient pas transmis leur </w:t>
            </w:r>
            <w:r w:rsidR="004469FD">
              <w:rPr>
                <w:color w:val="000000"/>
              </w:rPr>
              <w:t>lettre d’</w:t>
            </w:r>
            <w:r w:rsidR="0082406C">
              <w:rPr>
                <w:color w:val="000000"/>
              </w:rPr>
              <w:t>approbation</w:t>
            </w:r>
            <w:r w:rsidR="00C004A0">
              <w:rPr>
                <w:color w:val="000000"/>
              </w:rPr>
              <w:t xml:space="preserve"> à temps </w:t>
            </w:r>
            <w:r w:rsidR="001479A7">
              <w:rPr>
                <w:color w:val="000000"/>
              </w:rPr>
              <w:t>pour</w:t>
            </w:r>
            <w:r w:rsidR="00C004A0">
              <w:rPr>
                <w:color w:val="000000"/>
              </w:rPr>
              <w:t xml:space="preserve"> l’approbation initiale. </w:t>
            </w:r>
            <w:r w:rsidR="00391700">
              <w:rPr>
                <w:color w:val="000000"/>
              </w:rPr>
              <w:t>L</w:t>
            </w:r>
            <w:r w:rsidR="00C004A0">
              <w:rPr>
                <w:color w:val="000000"/>
              </w:rPr>
              <w:t>e PNUE apporte un appui à 105</w:t>
            </w:r>
            <w:r w:rsidR="00660390">
              <w:rPr>
                <w:color w:val="000000"/>
              </w:rPr>
              <w:t> </w:t>
            </w:r>
            <w:r w:rsidR="00C004A0">
              <w:rPr>
                <w:color w:val="000000"/>
              </w:rPr>
              <w:t>pays, sous la forme d’un financement de 30</w:t>
            </w:r>
            <w:r w:rsidR="00660390">
              <w:rPr>
                <w:color w:val="000000"/>
              </w:rPr>
              <w:t> </w:t>
            </w:r>
            <w:r w:rsidR="00C004A0">
              <w:rPr>
                <w:color w:val="000000"/>
              </w:rPr>
              <w:t>000</w:t>
            </w:r>
            <w:r w:rsidR="00660390">
              <w:rPr>
                <w:color w:val="000000"/>
              </w:rPr>
              <w:t> </w:t>
            </w:r>
            <w:r w:rsidR="00C004A0">
              <w:rPr>
                <w:color w:val="000000"/>
              </w:rPr>
              <w:t>dollars destiné aux activités nationales et d’une assistance technique mondiale complémentaire (financement de projet du GEF total</w:t>
            </w:r>
            <w:r w:rsidR="006E54C7">
              <w:rPr>
                <w:color w:val="000000"/>
              </w:rPr>
              <w:t> :</w:t>
            </w:r>
            <w:r w:rsidR="00C004A0">
              <w:rPr>
                <w:color w:val="000000"/>
              </w:rPr>
              <w:t xml:space="preserve"> 4</w:t>
            </w:r>
            <w:r w:rsidR="00660390">
              <w:rPr>
                <w:color w:val="000000"/>
              </w:rPr>
              <w:t> </w:t>
            </w:r>
            <w:r w:rsidR="00C004A0">
              <w:rPr>
                <w:color w:val="000000"/>
              </w:rPr>
              <w:t>059</w:t>
            </w:r>
            <w:r w:rsidR="00660390">
              <w:rPr>
                <w:color w:val="000000"/>
              </w:rPr>
              <w:t> </w:t>
            </w:r>
            <w:r w:rsidR="00C004A0">
              <w:rPr>
                <w:color w:val="000000"/>
              </w:rPr>
              <w:t>825</w:t>
            </w:r>
            <w:r w:rsidR="00660390">
              <w:rPr>
                <w:color w:val="000000"/>
              </w:rPr>
              <w:t> </w:t>
            </w:r>
            <w:r w:rsidR="00C004A0">
              <w:rPr>
                <w:color w:val="000000"/>
              </w:rPr>
              <w:t xml:space="preserve">dollars). </w:t>
            </w:r>
          </w:p>
          <w:p w14:paraId="336D6E58" w14:textId="78407CC9" w:rsidR="00E30022"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proofErr w:type="gramStart"/>
            <w:r>
              <w:rPr>
                <w:color w:val="000000"/>
              </w:rPr>
              <w:t>b)-</w:t>
            </w:r>
            <w:proofErr w:type="gramEnd"/>
            <w:r>
              <w:rPr>
                <w:color w:val="000000"/>
              </w:rPr>
              <w:t>c)</w:t>
            </w:r>
            <w:r w:rsidR="006E54C7">
              <w:rPr>
                <w:color w:val="000000"/>
              </w:rPr>
              <w:t> :</w:t>
            </w:r>
            <w:r>
              <w:rPr>
                <w:color w:val="000000"/>
              </w:rPr>
              <w:t xml:space="preserve"> Au cours du cycle de </w:t>
            </w:r>
            <w:r w:rsidR="00376C22">
              <w:rPr>
                <w:color w:val="000000"/>
              </w:rPr>
              <w:t>GEF</w:t>
            </w:r>
            <w:r w:rsidR="00376C22">
              <w:rPr>
                <w:color w:val="000000"/>
              </w:rPr>
              <w:noBreakHyphen/>
            </w:r>
            <w:r>
              <w:rPr>
                <w:color w:val="000000"/>
              </w:rPr>
              <w:t xml:space="preserve">7, </w:t>
            </w:r>
            <w:r w:rsidR="00660390" w:rsidRPr="00660390">
              <w:rPr>
                <w:color w:val="000000"/>
              </w:rPr>
              <w:t xml:space="preserve">des projets consacrés à la mise en œuvre du Protocole de </w:t>
            </w:r>
            <w:r w:rsidR="003C203B">
              <w:t>Carthagène</w:t>
            </w:r>
            <w:r w:rsidR="00660390" w:rsidRPr="00660390">
              <w:rPr>
                <w:color w:val="000000"/>
              </w:rPr>
              <w:t xml:space="preserve"> sur la prévention des risques biotechnologiques ont reçu un financement de 13,1</w:t>
            </w:r>
            <w:r w:rsidR="00660390">
              <w:rPr>
                <w:color w:val="000000"/>
              </w:rPr>
              <w:t> </w:t>
            </w:r>
            <w:r w:rsidR="00660390" w:rsidRPr="00660390">
              <w:rPr>
                <w:color w:val="000000"/>
              </w:rPr>
              <w:t xml:space="preserve">millions de dollars, supérieur à l’allocation </w:t>
            </w:r>
            <w:r w:rsidR="00660390">
              <w:rPr>
                <w:color w:val="000000"/>
              </w:rPr>
              <w:t>théorique</w:t>
            </w:r>
            <w:r w:rsidR="00660390" w:rsidRPr="00660390">
              <w:rPr>
                <w:color w:val="000000"/>
              </w:rPr>
              <w:t xml:space="preserve"> convenue de 7 millions de dollars pour ce Protocole.</w:t>
            </w:r>
          </w:p>
          <w:p w14:paraId="2DEC3692" w14:textId="02E635B6" w:rsidR="00E30022" w:rsidRPr="00C67737" w:rsidRDefault="00E30022" w:rsidP="00495437">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Pr>
                <w:color w:val="000000" w:themeColor="text1"/>
              </w:rPr>
              <w:t xml:space="preserve">Comme l’indique le présent rapport, le soutien apporté aux projets de </w:t>
            </w:r>
            <w:r w:rsidR="00376C22">
              <w:rPr>
                <w:color w:val="000000" w:themeColor="text1"/>
              </w:rPr>
              <w:t>GEF</w:t>
            </w:r>
            <w:r w:rsidR="00376C22">
              <w:rPr>
                <w:color w:val="000000" w:themeColor="text1"/>
              </w:rPr>
              <w:noBreakHyphen/>
            </w:r>
            <w:r>
              <w:rPr>
                <w:color w:val="000000" w:themeColor="text1"/>
              </w:rPr>
              <w:t xml:space="preserve">8 et du GBFF relatifs au Protocole de </w:t>
            </w:r>
            <w:r w:rsidR="003C203B">
              <w:t>Carthagène</w:t>
            </w:r>
            <w:r>
              <w:rPr>
                <w:color w:val="000000" w:themeColor="text1"/>
              </w:rPr>
              <w:t xml:space="preserve"> s’élevait à 17,8 millions de dollars au titre du financement de projet du GEF. Ce montant </w:t>
            </w:r>
            <w:r w:rsidR="009379D6">
              <w:rPr>
                <w:color w:val="000000" w:themeColor="text1"/>
              </w:rPr>
              <w:t>dépasse le</w:t>
            </w:r>
            <w:r>
              <w:rPr>
                <w:color w:val="000000" w:themeColor="text1"/>
              </w:rPr>
              <w:t xml:space="preserve"> financement approuvé durant </w:t>
            </w:r>
            <w:r w:rsidR="00376C22">
              <w:rPr>
                <w:color w:val="000000" w:themeColor="text1"/>
              </w:rPr>
              <w:t>GEF</w:t>
            </w:r>
            <w:r w:rsidR="00376C22">
              <w:rPr>
                <w:color w:val="000000" w:themeColor="text1"/>
              </w:rPr>
              <w:noBreakHyphen/>
            </w:r>
            <w:r>
              <w:rPr>
                <w:color w:val="000000" w:themeColor="text1"/>
              </w:rPr>
              <w:t xml:space="preserve">7. Au total, </w:t>
            </w:r>
            <w:r w:rsidRPr="00E54F76">
              <w:rPr>
                <w:color w:val="000000" w:themeColor="text1"/>
                <w:u w:val="single"/>
              </w:rPr>
              <w:t>91</w:t>
            </w:r>
            <w:r w:rsidR="00966C17">
              <w:rPr>
                <w:color w:val="000000" w:themeColor="text1"/>
                <w:u w:val="single"/>
              </w:rPr>
              <w:t> %</w:t>
            </w:r>
            <w:r w:rsidRPr="00E54F76">
              <w:rPr>
                <w:color w:val="000000" w:themeColor="text1"/>
                <w:u w:val="single"/>
              </w:rPr>
              <w:t xml:space="preserve"> </w:t>
            </w:r>
            <w:r>
              <w:rPr>
                <w:color w:val="000000" w:themeColor="text1"/>
              </w:rPr>
              <w:t xml:space="preserve">de l’allocation </w:t>
            </w:r>
            <w:r w:rsidR="009379D6">
              <w:rPr>
                <w:color w:val="000000" w:themeColor="text1"/>
              </w:rPr>
              <w:t>théorique</w:t>
            </w:r>
            <w:r>
              <w:rPr>
                <w:color w:val="000000" w:themeColor="text1"/>
              </w:rPr>
              <w:t xml:space="preserve"> de </w:t>
            </w:r>
            <w:r w:rsidR="00376C22">
              <w:rPr>
                <w:color w:val="000000" w:themeColor="text1"/>
              </w:rPr>
              <w:t>GEF</w:t>
            </w:r>
            <w:r w:rsidR="00376C22">
              <w:rPr>
                <w:color w:val="000000" w:themeColor="text1"/>
              </w:rPr>
              <w:noBreakHyphen/>
            </w:r>
            <w:r>
              <w:rPr>
                <w:color w:val="000000" w:themeColor="text1"/>
              </w:rPr>
              <w:t xml:space="preserve">8 </w:t>
            </w:r>
            <w:proofErr w:type="gramStart"/>
            <w:r>
              <w:rPr>
                <w:color w:val="000000" w:themeColor="text1"/>
              </w:rPr>
              <w:t>destinée</w:t>
            </w:r>
            <w:proofErr w:type="gramEnd"/>
            <w:r>
              <w:rPr>
                <w:color w:val="000000" w:themeColor="text1"/>
              </w:rPr>
              <w:t xml:space="preserve"> aux Protocoles, </w:t>
            </w:r>
            <w:r w:rsidR="009379D6">
              <w:rPr>
                <w:color w:val="000000" w:themeColor="text1"/>
              </w:rPr>
              <w:t>fixée</w:t>
            </w:r>
            <w:r>
              <w:rPr>
                <w:color w:val="000000" w:themeColor="text1"/>
              </w:rPr>
              <w:t xml:space="preserve"> à 82</w:t>
            </w:r>
            <w:r w:rsidR="00E54F76">
              <w:rPr>
                <w:color w:val="000000" w:themeColor="text1"/>
              </w:rPr>
              <w:t> </w:t>
            </w:r>
            <w:r>
              <w:rPr>
                <w:color w:val="000000" w:themeColor="text1"/>
              </w:rPr>
              <w:t xml:space="preserve">millions de dollars pour les Protocoles de </w:t>
            </w:r>
            <w:r w:rsidR="003C203B">
              <w:t>Carthagène</w:t>
            </w:r>
            <w:r>
              <w:rPr>
                <w:color w:val="000000" w:themeColor="text1"/>
              </w:rPr>
              <w:t xml:space="preserve"> et de Nagoya réunis, avaient été programmés.</w:t>
            </w:r>
          </w:p>
          <w:p w14:paraId="59F64F70" w14:textId="60EC7867" w:rsidR="00E30022" w:rsidRPr="00C67737" w:rsidRDefault="002A49A3" w:rsidP="00495437">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2A49A3">
              <w:rPr>
                <w:color w:val="000000" w:themeColor="text1"/>
              </w:rPr>
              <w:t>Afin de garantir un niveau de financement adéquat à l’appui de la mise en œuvre des Protocoles au cours de GEF</w:t>
            </w:r>
            <w:r w:rsidRPr="002A49A3">
              <w:rPr>
                <w:color w:val="000000" w:themeColor="text1"/>
              </w:rPr>
              <w:noBreakHyphen/>
              <w:t xml:space="preserve">9, une part des ressources du domaine d’intervention </w:t>
            </w:r>
            <w:r w:rsidR="0094079E">
              <w:rPr>
                <w:color w:val="000000" w:themeColor="text1"/>
              </w:rPr>
              <w:t>« </w:t>
            </w:r>
            <w:r w:rsidRPr="002A49A3">
              <w:rPr>
                <w:color w:val="000000" w:themeColor="text1"/>
              </w:rPr>
              <w:t>diversité biologique</w:t>
            </w:r>
            <w:r w:rsidR="0094079E">
              <w:rPr>
                <w:color w:val="000000" w:themeColor="text1"/>
              </w:rPr>
              <w:t> »</w:t>
            </w:r>
            <w:r w:rsidRPr="002A49A3">
              <w:rPr>
                <w:color w:val="000000" w:themeColor="text1"/>
              </w:rPr>
              <w:t xml:space="preserve"> a été réservée au financement de projets régionaux ou mondiaux qui leur sont consacrés. La priorité sera accordée aux pays qui n’ont pas bénéficié de financements du GEF à cette fin au cours des derniers cycles. Cette réserve complétera les ressources du STAR, que les pays admissibles sont encouragés à mobiliser pour mettre en œuvre les Protocoles, grâce au point d’entrée spécifiquement consacré à l’objectif suivant</w:t>
            </w:r>
            <w:r w:rsidR="006E54C7">
              <w:rPr>
                <w:color w:val="000000" w:themeColor="text1"/>
              </w:rPr>
              <w:t> :</w:t>
            </w:r>
            <w:r w:rsidRPr="002A49A3">
              <w:rPr>
                <w:color w:val="000000" w:themeColor="text1"/>
              </w:rPr>
              <w:t xml:space="preserve"> </w:t>
            </w:r>
            <w:r w:rsidR="0094079E">
              <w:rPr>
                <w:color w:val="000000" w:themeColor="text1"/>
              </w:rPr>
              <w:t>« </w:t>
            </w:r>
            <w:r w:rsidR="00601D83">
              <w:t xml:space="preserve">Renforcer la prévention des risques biotechnologiques et garantir le partage juste et équitable des avantages découlant de l’utilisation des ressources </w:t>
            </w:r>
            <w:r w:rsidR="00601D83">
              <w:lastRenderedPageBreak/>
              <w:t xml:space="preserve">génétiques, notamment par la mise en œuvre des Protocoles de </w:t>
            </w:r>
            <w:r w:rsidR="003C203B">
              <w:t>Carthagène</w:t>
            </w:r>
            <w:r w:rsidR="00601D83">
              <w:t xml:space="preserve"> et de Nagoya</w:t>
            </w:r>
            <w:r w:rsidRPr="002A49A3">
              <w:rPr>
                <w:color w:val="000000" w:themeColor="text1"/>
              </w:rPr>
              <w:t>.</w:t>
            </w:r>
            <w:r w:rsidR="0094079E">
              <w:rPr>
                <w:color w:val="000000" w:themeColor="text1"/>
              </w:rPr>
              <w:t> »</w:t>
            </w:r>
          </w:p>
          <w:p w14:paraId="39E5436E" w14:textId="2B0E684F" w:rsidR="00C004A0" w:rsidRPr="00C67737" w:rsidRDefault="00C004A0" w:rsidP="00495437">
            <w:pPr>
              <w:snapToGrid/>
              <w:spacing w:before="100" w:after="100"/>
              <w:rPr>
                <w:rFonts w:eastAsia="SimSun" w:cstheme="minorHAnsi"/>
                <w:color w:val="000000"/>
              </w:rPr>
            </w:pPr>
            <w:r>
              <w:rPr>
                <w:color w:val="000000"/>
              </w:rPr>
              <w:t>Le Secrétariat du GEF a également mené les activités de sensibilisation ciblées</w:t>
            </w:r>
            <w:r w:rsidR="000F710F">
              <w:rPr>
                <w:color w:val="000000"/>
              </w:rPr>
              <w:t xml:space="preserve">, </w:t>
            </w:r>
            <w:r>
              <w:rPr>
                <w:color w:val="000000"/>
              </w:rPr>
              <w:t>décrites ailleurs dans la présente matrice</w:t>
            </w:r>
            <w:r w:rsidR="000F710F">
              <w:rPr>
                <w:color w:val="000000"/>
              </w:rPr>
              <w:t xml:space="preserve">, </w:t>
            </w:r>
            <w:r>
              <w:rPr>
                <w:color w:val="000000"/>
              </w:rPr>
              <w:t xml:space="preserve">afin de présenter les possibilités de financement offertes par </w:t>
            </w:r>
            <w:r w:rsidR="00CD3559">
              <w:rPr>
                <w:color w:val="000000"/>
              </w:rPr>
              <w:t xml:space="preserve">le fonds fiduciaire </w:t>
            </w:r>
            <w:r>
              <w:rPr>
                <w:color w:val="000000"/>
              </w:rPr>
              <w:t>du GEF et le GBFF, et d’encourager la soumission de propositions relatives aux Protocoles.</w:t>
            </w:r>
          </w:p>
          <w:p w14:paraId="053D36E3" w14:textId="6F141566" w:rsidR="00C004A0" w:rsidRPr="00C67737" w:rsidRDefault="00C004A0" w:rsidP="00495437">
            <w:pPr>
              <w:snapToGrid/>
              <w:spacing w:before="100" w:after="100"/>
              <w:rPr>
                <w:rFonts w:eastAsia="SimSun" w:cstheme="minorHAnsi"/>
                <w:color w:val="000000"/>
              </w:rPr>
            </w:pPr>
            <w:r>
              <w:rPr>
                <w:color w:val="000000"/>
              </w:rPr>
              <w:t>Au titre du point d)</w:t>
            </w:r>
            <w:r w:rsidR="006E54C7">
              <w:rPr>
                <w:color w:val="000000"/>
              </w:rPr>
              <w:t> :</w:t>
            </w:r>
          </w:p>
          <w:p w14:paraId="186F61EF" w14:textId="1F737EA6" w:rsidR="00C004A0" w:rsidRPr="00C67737" w:rsidRDefault="00C004A0" w:rsidP="00495437">
            <w:pPr>
              <w:snapToGrid/>
              <w:spacing w:before="100" w:after="100"/>
              <w:rPr>
                <w:rFonts w:eastAsia="SimSun" w:cstheme="minorHAnsi"/>
                <w:color w:val="000000"/>
              </w:rPr>
            </w:pPr>
            <w:r>
              <w:t xml:space="preserve">- En décembre 2024, le Conseil a examiné un </w:t>
            </w:r>
            <w:hyperlink r:id="rId57" w:history="1">
              <w:r>
                <w:rPr>
                  <w:color w:val="000000"/>
                  <w:u w:val="single"/>
                </w:rPr>
                <w:t>ensemble complet de 35 mesures de rationalisation</w:t>
              </w:r>
            </w:hyperlink>
            <w:r>
              <w:t>.</w:t>
            </w:r>
            <w:r>
              <w:rPr>
                <w:color w:val="000000"/>
              </w:rPr>
              <w:t xml:space="preserve"> Ces mesures </w:t>
            </w:r>
            <w:r w:rsidR="003D0698">
              <w:rPr>
                <w:color w:val="000000"/>
              </w:rPr>
              <w:t>prévoient</w:t>
            </w:r>
            <w:r>
              <w:rPr>
                <w:color w:val="000000"/>
              </w:rPr>
              <w:t xml:space="preserve"> notamment la simplification des modèles et de</w:t>
            </w:r>
            <w:r w:rsidR="00B821CE">
              <w:rPr>
                <w:color w:val="000000"/>
              </w:rPr>
              <w:t>s</w:t>
            </w:r>
            <w:r>
              <w:rPr>
                <w:color w:val="000000"/>
              </w:rPr>
              <w:t xml:space="preserve"> procédure</w:t>
            </w:r>
            <w:r w:rsidR="00B821CE">
              <w:rPr>
                <w:color w:val="000000"/>
              </w:rPr>
              <w:t>s</w:t>
            </w:r>
            <w:r>
              <w:rPr>
                <w:color w:val="000000"/>
              </w:rPr>
              <w:t xml:space="preserve"> d’approbation, la rationalisation de l’examen des projets, un meilleur suivi des normes de service </w:t>
            </w:r>
            <w:r w:rsidR="00327C34" w:rsidRPr="00327C34">
              <w:rPr>
                <w:color w:val="000000"/>
              </w:rPr>
              <w:t xml:space="preserve">afin de mieux faire connaître </w:t>
            </w:r>
            <w:r w:rsidR="00327C34">
              <w:rPr>
                <w:color w:val="000000"/>
              </w:rPr>
              <w:t>l</w:t>
            </w:r>
            <w:r>
              <w:rPr>
                <w:color w:val="000000"/>
              </w:rPr>
              <w:t xml:space="preserve">es échéances, une plus grande cohérence </w:t>
            </w:r>
            <w:r w:rsidR="00DC0949">
              <w:rPr>
                <w:color w:val="000000"/>
              </w:rPr>
              <w:t>et une meilleure planification du</w:t>
            </w:r>
            <w:r>
              <w:rPr>
                <w:color w:val="000000"/>
              </w:rPr>
              <w:t xml:space="preserve"> suivi des projets, ainsi que des orientations à l’intention des Agences visant à </w:t>
            </w:r>
            <w:r w:rsidR="00E91EBC">
              <w:rPr>
                <w:color w:val="000000"/>
              </w:rPr>
              <w:t>préciser</w:t>
            </w:r>
            <w:r>
              <w:rPr>
                <w:color w:val="000000"/>
              </w:rPr>
              <w:t xml:space="preserve"> les coûts liés aux projets et les </w:t>
            </w:r>
            <w:r w:rsidR="00E91EBC">
              <w:rPr>
                <w:color w:val="000000"/>
              </w:rPr>
              <w:t>seuils applicables</w:t>
            </w:r>
            <w:r>
              <w:rPr>
                <w:color w:val="000000"/>
              </w:rPr>
              <w:t xml:space="preserve">. </w:t>
            </w:r>
            <w:r>
              <w:t xml:space="preserve">Les modifications </w:t>
            </w:r>
            <w:r w:rsidR="00E91EBC">
              <w:t xml:space="preserve">de politique </w:t>
            </w:r>
            <w:r>
              <w:t xml:space="preserve">correspondantes ont été </w:t>
            </w:r>
            <w:hyperlink r:id="rId58" w:history="1">
              <w:r>
                <w:rPr>
                  <w:color w:val="0000FF"/>
                  <w:u w:val="single"/>
                </w:rPr>
                <w:t>approuvées</w:t>
              </w:r>
              <w:r w:rsidR="00E91EBC">
                <w:rPr>
                  <w:color w:val="0000FF"/>
                  <w:u w:val="single"/>
                </w:rPr>
                <w:t xml:space="preserve"> par le Conseil</w:t>
              </w:r>
              <w:r>
                <w:rPr>
                  <w:color w:val="0000FF"/>
                  <w:u w:val="single"/>
                </w:rPr>
                <w:t xml:space="preserve"> à </w:t>
              </w:r>
              <w:r w:rsidR="00E91EBC">
                <w:rPr>
                  <w:color w:val="0000FF"/>
                  <w:u w:val="single"/>
                </w:rPr>
                <w:t>s</w:t>
              </w:r>
              <w:r>
                <w:rPr>
                  <w:color w:val="0000FF"/>
                  <w:u w:val="single"/>
                </w:rPr>
                <w:t>a soixante-neuvième réunion</w:t>
              </w:r>
            </w:hyperlink>
            <w:r>
              <w:t xml:space="preserve">, puis mises en </w:t>
            </w:r>
            <w:r w:rsidR="00F357CB">
              <w:t>application</w:t>
            </w:r>
            <w:r>
              <w:t xml:space="preserve"> au moyen de </w:t>
            </w:r>
            <w:hyperlink r:id="rId59" w:history="1">
              <w:r>
                <w:rPr>
                  <w:color w:val="0000FF"/>
                  <w:u w:val="single"/>
                </w:rPr>
                <w:t>lignes directrices</w:t>
              </w:r>
            </w:hyperlink>
            <w:r>
              <w:t>.</w:t>
            </w:r>
          </w:p>
          <w:p w14:paraId="040CBB89" w14:textId="7BF725ED" w:rsidR="00C004A0" w:rsidRPr="00C67737" w:rsidRDefault="00C004A0" w:rsidP="00495437">
            <w:pPr>
              <w:snapToGrid/>
              <w:spacing w:before="100" w:after="100"/>
              <w:rPr>
                <w:rFonts w:eastAsia="SimSun" w:cstheme="minorHAnsi"/>
                <w:color w:val="000000"/>
              </w:rPr>
            </w:pPr>
            <w:r>
              <w:rPr>
                <w:color w:val="000000"/>
              </w:rPr>
              <w:t>- D’autres possibilités de simplification et d’amélioration de l’effic</w:t>
            </w:r>
            <w:r w:rsidR="00FB4C6B">
              <w:rPr>
                <w:color w:val="000000"/>
              </w:rPr>
              <w:t>ience</w:t>
            </w:r>
            <w:r>
              <w:rPr>
                <w:color w:val="000000"/>
              </w:rPr>
              <w:t xml:space="preserve"> ont été examinées dans le cadre des négociations relatives à la reconstitution de</w:t>
            </w:r>
            <w:r w:rsidR="00A664A0">
              <w:rPr>
                <w:color w:val="000000"/>
              </w:rPr>
              <w:t>s ressources de</w:t>
            </w:r>
            <w:r>
              <w:rPr>
                <w:color w:val="000000"/>
              </w:rPr>
              <w:t xml:space="preserve"> </w:t>
            </w:r>
            <w:r w:rsidR="00376C22">
              <w:rPr>
                <w:color w:val="000000"/>
              </w:rPr>
              <w:t>GEF</w:t>
            </w:r>
            <w:r w:rsidR="00376C22">
              <w:rPr>
                <w:color w:val="000000"/>
              </w:rPr>
              <w:noBreakHyphen/>
            </w:r>
            <w:r>
              <w:rPr>
                <w:color w:val="000000"/>
              </w:rPr>
              <w:t xml:space="preserve">9. Un ensemble de mesures a été convenu au titre des objectifs </w:t>
            </w:r>
            <w:r w:rsidR="0094079E">
              <w:rPr>
                <w:color w:val="000000"/>
              </w:rPr>
              <w:t>« </w:t>
            </w:r>
            <w:r w:rsidR="00FB4C6B">
              <w:rPr>
                <w:color w:val="000000"/>
              </w:rPr>
              <w:t>A</w:t>
            </w:r>
            <w:r>
              <w:rPr>
                <w:color w:val="000000"/>
              </w:rPr>
              <w:t xml:space="preserve">ccélération et simplification de </w:t>
            </w:r>
            <w:r w:rsidR="00720036">
              <w:rPr>
                <w:color w:val="000000"/>
              </w:rPr>
              <w:t>l’exécution</w:t>
            </w:r>
            <w:r w:rsidR="0094079E">
              <w:rPr>
                <w:color w:val="000000"/>
              </w:rPr>
              <w:t> »</w:t>
            </w:r>
            <w:r>
              <w:rPr>
                <w:color w:val="000000"/>
              </w:rPr>
              <w:t xml:space="preserve"> </w:t>
            </w:r>
            <w:r w:rsidR="00FB4C6B">
              <w:rPr>
                <w:color w:val="000000"/>
              </w:rPr>
              <w:t xml:space="preserve">et </w:t>
            </w:r>
            <w:r w:rsidR="0094079E">
              <w:rPr>
                <w:color w:val="000000"/>
              </w:rPr>
              <w:t>« </w:t>
            </w:r>
            <w:r w:rsidR="00FB4C6B">
              <w:rPr>
                <w:color w:val="000000"/>
              </w:rPr>
              <w:t>M</w:t>
            </w:r>
            <w:r>
              <w:rPr>
                <w:color w:val="000000"/>
              </w:rPr>
              <w:t xml:space="preserve">ise en œuvre </w:t>
            </w:r>
            <w:r w:rsidR="00E80847">
              <w:rPr>
                <w:color w:val="000000"/>
              </w:rPr>
              <w:t>souple</w:t>
            </w:r>
            <w:r>
              <w:rPr>
                <w:color w:val="000000"/>
              </w:rPr>
              <w:t xml:space="preserve"> et efficace</w:t>
            </w:r>
            <w:r w:rsidR="0094079E">
              <w:rPr>
                <w:color w:val="000000"/>
              </w:rPr>
              <w:t> »</w:t>
            </w:r>
            <w:r>
              <w:rPr>
                <w:color w:val="000000"/>
              </w:rPr>
              <w:t xml:space="preserve"> des orientations de politique </w:t>
            </w:r>
            <w:r w:rsidR="002D6922">
              <w:rPr>
                <w:color w:val="000000"/>
              </w:rPr>
              <w:t xml:space="preserve">générale </w:t>
            </w:r>
            <w:r>
              <w:rPr>
                <w:color w:val="000000"/>
              </w:rPr>
              <w:t xml:space="preserve">de </w:t>
            </w:r>
            <w:r w:rsidR="00376C22">
              <w:rPr>
                <w:color w:val="000000"/>
              </w:rPr>
              <w:t>GEF</w:t>
            </w:r>
            <w:r w:rsidR="00376C22">
              <w:rPr>
                <w:color w:val="000000"/>
              </w:rPr>
              <w:noBreakHyphen/>
            </w:r>
            <w:r>
              <w:rPr>
                <w:color w:val="000000"/>
              </w:rPr>
              <w:t>9. Elles prévoient notamment l’adoption, dans l’ensemble de la famille de fonds du GEF, d’une modalité unique et accélérée pour les projets, inspirée du cycle des projets du GBFF</w:t>
            </w:r>
            <w:r w:rsidR="006E54C7">
              <w:rPr>
                <w:color w:val="000000"/>
              </w:rPr>
              <w:t> ;</w:t>
            </w:r>
            <w:r>
              <w:rPr>
                <w:color w:val="000000"/>
              </w:rPr>
              <w:t xml:space="preserve"> le renforcement</w:t>
            </w:r>
            <w:r w:rsidR="00FB4C6B" w:rsidRPr="00FB4C6B">
              <w:rPr>
                <w:rFonts w:eastAsia="SimSun"/>
              </w:rPr>
              <w:t xml:space="preserve"> </w:t>
            </w:r>
            <w:r w:rsidR="00FB4C6B" w:rsidRPr="00FB4C6B">
              <w:rPr>
                <w:color w:val="000000"/>
              </w:rPr>
              <w:t>des capacités des entités d’exécution par l’intermédiaire des projets afin d’accélérer leur mise en œuvre</w:t>
            </w:r>
            <w:r w:rsidR="006E54C7">
              <w:rPr>
                <w:color w:val="000000"/>
              </w:rPr>
              <w:t> ;</w:t>
            </w:r>
            <w:r w:rsidR="00FB4C6B" w:rsidRPr="00FB4C6B">
              <w:rPr>
                <w:color w:val="000000"/>
              </w:rPr>
              <w:t xml:space="preserve"> une flexibilité accrue pour les projets menés dans des situations de fragilité et de conflit, grâce à l’adaptation des calendriers, des budgets et des modalités de mobilisation</w:t>
            </w:r>
            <w:r w:rsidR="006E54C7">
              <w:rPr>
                <w:color w:val="000000"/>
              </w:rPr>
              <w:t> ;</w:t>
            </w:r>
            <w:r w:rsidR="00FB4C6B" w:rsidRPr="00FB4C6B">
              <w:rPr>
                <w:color w:val="000000"/>
              </w:rPr>
              <w:t xml:space="preserve"> ainsi que l’application d’une approche fondée sur les risques </w:t>
            </w:r>
            <w:r w:rsidR="00FB4C6B" w:rsidRPr="00FB4C6B">
              <w:rPr>
                <w:color w:val="000000"/>
              </w:rPr>
              <w:lastRenderedPageBreak/>
              <w:t>afin d’accélérer le traitement des projets à faible risque au moyen de procédures simplifiées et accélérées.</w:t>
            </w:r>
          </w:p>
          <w:p w14:paraId="7CD351BF" w14:textId="5E40C950" w:rsidR="00C004A0" w:rsidRPr="00C67737" w:rsidRDefault="00C004A0" w:rsidP="00495437">
            <w:pPr>
              <w:snapToGrid/>
              <w:spacing w:before="100" w:after="100"/>
              <w:rPr>
                <w:rFonts w:eastAsia="SimSun" w:cstheme="minorHAnsi"/>
                <w:color w:val="000000"/>
              </w:rPr>
            </w:pPr>
            <w:r>
              <w:rPr>
                <w:color w:val="000000"/>
              </w:rPr>
              <w:t>Toutes ces mesures s’appliqueront aux projets relatifs à la prévention des risques biotechnologiques.</w:t>
            </w:r>
          </w:p>
          <w:p w14:paraId="51F40A7E" w14:textId="30B48157" w:rsidR="00C004A0" w:rsidRPr="00C67737" w:rsidRDefault="00FB4C6B" w:rsidP="00495437">
            <w:pPr>
              <w:snapToGrid/>
              <w:spacing w:before="100" w:after="100"/>
              <w:rPr>
                <w:rFonts w:eastAsia="SimSun" w:cstheme="minorHAnsi"/>
                <w:color w:val="000000"/>
              </w:rPr>
            </w:pPr>
            <w:r>
              <w:t>Au titre du</w:t>
            </w:r>
            <w:r w:rsidR="00C004A0">
              <w:t xml:space="preserve"> point e), le GEF a organisé, en marge de la seizième réunion de la Conférence des Parties à la CDB, une manifestation conjointe avec le Secrétariat de la CDB, le PNUE et le PNUD sur l’appui du GEF aux Protocoles de Nagoya et de </w:t>
            </w:r>
            <w:r w:rsidR="003C203B">
              <w:t>Carthagène</w:t>
            </w:r>
            <w:r w:rsidR="00C004A0">
              <w:t xml:space="preserve">, intitulée </w:t>
            </w:r>
            <w:r w:rsidR="0094079E">
              <w:t>« </w:t>
            </w:r>
            <w:hyperlink r:id="rId60" w:history="1">
              <w:r w:rsidR="00C004A0" w:rsidRPr="00222CD4">
                <w:rPr>
                  <w:i/>
                  <w:iCs/>
                  <w:color w:val="000000"/>
                  <w:u w:val="single"/>
                </w:rPr>
                <w:t xml:space="preserve">GEF support to the Nagoya and Cartagena </w:t>
              </w:r>
              <w:proofErr w:type="spellStart"/>
              <w:r w:rsidR="00C004A0" w:rsidRPr="00222CD4">
                <w:rPr>
                  <w:i/>
                  <w:iCs/>
                  <w:color w:val="000000"/>
                  <w:u w:val="single"/>
                </w:rPr>
                <w:t>Protocols</w:t>
              </w:r>
              <w:proofErr w:type="spellEnd"/>
            </w:hyperlink>
            <w:r w:rsidR="0094079E">
              <w:t> »</w:t>
            </w:r>
            <w:r w:rsidR="00C004A0">
              <w:t>. Cette manifestation a</w:t>
            </w:r>
            <w:r w:rsidR="00BB3419">
              <w:rPr>
                <w:color w:val="000000"/>
              </w:rPr>
              <w:t xml:space="preserve"> </w:t>
            </w:r>
            <w:r w:rsidR="00BB3419" w:rsidRPr="00646B6D">
              <w:rPr>
                <w:color w:val="000000"/>
              </w:rPr>
              <w:t xml:space="preserve">présenté des projets nationaux réussis </w:t>
            </w:r>
            <w:r w:rsidR="00BB3419">
              <w:rPr>
                <w:color w:val="000000"/>
              </w:rPr>
              <w:t xml:space="preserve">et communiqué des informations sur les possibilités d’appui à la mise en œuvre de la cible 17 du KMGBF et du Protocole de </w:t>
            </w:r>
            <w:r w:rsidR="003C203B">
              <w:t>Carthagène</w:t>
            </w:r>
            <w:r w:rsidR="00BB3419">
              <w:rPr>
                <w:color w:val="000000"/>
              </w:rPr>
              <w:t xml:space="preserve"> sur la prévention des risques biotechnologiques</w:t>
            </w:r>
            <w:r w:rsidR="00F35D21">
              <w:rPr>
                <w:color w:val="000000"/>
              </w:rPr>
              <w:t xml:space="preserve">. </w:t>
            </w:r>
            <w:r w:rsidR="00C004A0">
              <w:rPr>
                <w:color w:val="000000"/>
              </w:rPr>
              <w:t>Le Secrétariat du GEF a participé, à distance, à quatre ateliers régionaux organisés par le PNUE et le Secrétariat de la CDB grâce à un financement au titre des activités habilitantes du GEF</w:t>
            </w:r>
            <w:r w:rsidR="00CF3150">
              <w:rPr>
                <w:color w:val="000000"/>
              </w:rPr>
              <w:t xml:space="preserve">, </w:t>
            </w:r>
            <w:r w:rsidR="00CF3150" w:rsidRPr="000D630C">
              <w:rPr>
                <w:color w:val="000000"/>
              </w:rPr>
              <w:t>respectivement pour l’Amérique latine et les Caraïbes, en juin 2025</w:t>
            </w:r>
            <w:r w:rsidR="006E54C7">
              <w:rPr>
                <w:color w:val="000000"/>
              </w:rPr>
              <w:t> ;</w:t>
            </w:r>
            <w:r w:rsidR="00CF3150" w:rsidRPr="000D630C">
              <w:rPr>
                <w:color w:val="000000"/>
              </w:rPr>
              <w:t xml:space="preserve"> l’Afrique, en octobre 2025</w:t>
            </w:r>
            <w:r w:rsidR="006E54C7">
              <w:rPr>
                <w:color w:val="000000"/>
              </w:rPr>
              <w:t> ;</w:t>
            </w:r>
            <w:r w:rsidR="00CF3150" w:rsidRPr="000D630C">
              <w:rPr>
                <w:color w:val="000000"/>
              </w:rPr>
              <w:t xml:space="preserve"> l’Europe centrale et orientale, l’Asie occidentale et l’Asie centrale, en janvier 2026</w:t>
            </w:r>
            <w:r w:rsidR="006E54C7">
              <w:rPr>
                <w:color w:val="000000"/>
              </w:rPr>
              <w:t> ;</w:t>
            </w:r>
            <w:r w:rsidR="00CF3150" w:rsidRPr="000D630C">
              <w:rPr>
                <w:color w:val="000000"/>
              </w:rPr>
              <w:t xml:space="preserve"> et l’Asie-Pacifique, en janvier 2026. </w:t>
            </w:r>
            <w:r w:rsidR="00CF3150">
              <w:rPr>
                <w:color w:val="000000"/>
              </w:rPr>
              <w:t xml:space="preserve">Ces ateliers visaient à appuyer l’établissement des rapports nationaux prévus au titre des Protocoles de Nagoya et de </w:t>
            </w:r>
            <w:r w:rsidR="003C203B">
              <w:t>Carthagène</w:t>
            </w:r>
            <w:r w:rsidR="00CF3150">
              <w:rPr>
                <w:color w:val="000000"/>
              </w:rPr>
              <w:t xml:space="preserve">. </w:t>
            </w:r>
            <w:r w:rsidR="00C004A0">
              <w:rPr>
                <w:color w:val="000000"/>
              </w:rPr>
              <w:t xml:space="preserve">Le Secrétariat du GEF </w:t>
            </w:r>
            <w:r w:rsidR="00502D42">
              <w:rPr>
                <w:color w:val="000000"/>
              </w:rPr>
              <w:t xml:space="preserve">y </w:t>
            </w:r>
            <w:r w:rsidR="00C004A0">
              <w:rPr>
                <w:color w:val="000000"/>
              </w:rPr>
              <w:t xml:space="preserve">a présenté aux points focaux des Protocoles les possibilités de financement offertes </w:t>
            </w:r>
            <w:r w:rsidR="00502D42">
              <w:rPr>
                <w:color w:val="000000"/>
              </w:rPr>
              <w:t>à l’appui</w:t>
            </w:r>
            <w:r w:rsidR="00BF3CC7">
              <w:rPr>
                <w:color w:val="000000"/>
              </w:rPr>
              <w:t xml:space="preserve"> de</w:t>
            </w:r>
            <w:r w:rsidR="00C004A0">
              <w:rPr>
                <w:color w:val="000000"/>
              </w:rPr>
              <w:t xml:space="preserve"> la mise en œuvre de</w:t>
            </w:r>
            <w:r w:rsidR="00BF3CC7">
              <w:rPr>
                <w:color w:val="000000"/>
              </w:rPr>
              <w:t xml:space="preserve"> ce</w:t>
            </w:r>
            <w:r w:rsidR="00C004A0">
              <w:rPr>
                <w:color w:val="000000"/>
              </w:rPr>
              <w:t xml:space="preserve">s Protocoles </w:t>
            </w:r>
            <w:r w:rsidR="00BF3CC7">
              <w:rPr>
                <w:color w:val="000000"/>
              </w:rPr>
              <w:t>au titre de</w:t>
            </w:r>
            <w:r w:rsidR="00C004A0">
              <w:rPr>
                <w:color w:val="000000"/>
              </w:rPr>
              <w:t xml:space="preserve"> </w:t>
            </w:r>
            <w:r w:rsidR="00376C22">
              <w:rPr>
                <w:color w:val="000000"/>
              </w:rPr>
              <w:t>GEF</w:t>
            </w:r>
            <w:r w:rsidR="00376C22">
              <w:rPr>
                <w:color w:val="000000"/>
              </w:rPr>
              <w:noBreakHyphen/>
            </w:r>
            <w:r w:rsidR="00C004A0">
              <w:rPr>
                <w:color w:val="000000"/>
              </w:rPr>
              <w:t xml:space="preserve">8 et du GBFF, ainsi que les perspectives </w:t>
            </w:r>
            <w:r w:rsidR="00BF3CC7">
              <w:rPr>
                <w:color w:val="000000"/>
              </w:rPr>
              <w:t>pour</w:t>
            </w:r>
            <w:r w:rsidR="00C004A0">
              <w:rPr>
                <w:color w:val="000000"/>
              </w:rPr>
              <w:t xml:space="preserve"> </w:t>
            </w:r>
            <w:r w:rsidR="00376C22">
              <w:rPr>
                <w:color w:val="000000"/>
              </w:rPr>
              <w:t>GEF</w:t>
            </w:r>
            <w:r w:rsidR="00376C22">
              <w:rPr>
                <w:color w:val="000000"/>
              </w:rPr>
              <w:noBreakHyphen/>
            </w:r>
            <w:r w:rsidR="00C004A0">
              <w:rPr>
                <w:color w:val="000000"/>
              </w:rPr>
              <w:t xml:space="preserve">9. Dans le cadre des activités menées au titre de sa stratégie </w:t>
            </w:r>
            <w:r w:rsidR="000918A8">
              <w:rPr>
                <w:color w:val="000000"/>
              </w:rPr>
              <w:t>d’engagement avec les pays</w:t>
            </w:r>
            <w:r w:rsidR="00C004A0">
              <w:rPr>
                <w:color w:val="000000"/>
              </w:rPr>
              <w:t>, le GEF continuera de promouvoir la présentation de telles propositions.</w:t>
            </w:r>
          </w:p>
        </w:tc>
      </w:tr>
      <w:tr w:rsidR="00C004A0" w:rsidRPr="00C67737" w14:paraId="22B5A541" w14:textId="77777777" w:rsidTr="00A769A6">
        <w:tc>
          <w:tcPr>
            <w:tcW w:w="2500" w:type="pct"/>
          </w:tcPr>
          <w:p w14:paraId="23B6355E" w14:textId="0C8D5DAA" w:rsidR="00C004A0" w:rsidRPr="00C67737" w:rsidRDefault="00C004A0" w:rsidP="00495437">
            <w:pPr>
              <w:rPr>
                <w:rFonts w:eastAsia="SimSun" w:cstheme="minorHAnsi"/>
                <w:bCs/>
                <w:i/>
                <w:iCs/>
                <w:color w:val="000000"/>
              </w:rPr>
            </w:pPr>
            <w:r>
              <w:rPr>
                <w:i/>
              </w:rPr>
              <w:lastRenderedPageBreak/>
              <w:t>Protocole de Nagoya sur l’accès aux ressources génétiques et le partage juste et équitable des avantages découlant de leur utilisation</w:t>
            </w:r>
            <w:r w:rsidRPr="00C67737">
              <w:rPr>
                <w:rFonts w:eastAsia="SimSun" w:cstheme="minorHAnsi"/>
                <w:bCs/>
                <w:color w:val="000000"/>
                <w:vertAlign w:val="superscript"/>
              </w:rPr>
              <w:footnoteReference w:id="119"/>
            </w:r>
            <w:r>
              <w:t xml:space="preserve"> </w:t>
            </w:r>
          </w:p>
          <w:p w14:paraId="09B818DA" w14:textId="373D7E3B" w:rsidR="00C004A0" w:rsidRPr="00C67737" w:rsidRDefault="00C004A0" w:rsidP="000C050E">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11.</w:t>
            </w:r>
            <w:r>
              <w:rPr>
                <w:color w:val="000000"/>
              </w:rPr>
              <w:tab/>
              <w:t>Demande au Fonds pour l’environnement mondial d’accroître les fonds qu’il destine à l’appui aux Parties admissibles pour la mise en œuvre du Protocole de Nagoya sur l</w:t>
            </w:r>
            <w:r w:rsidR="008D579C">
              <w:rPr>
                <w:color w:val="000000"/>
              </w:rPr>
              <w:t>’</w:t>
            </w:r>
            <w:r>
              <w:rPr>
                <w:color w:val="000000"/>
              </w:rPr>
              <w:t>accès aux ressources génétiques et le partage juste et équitable des avantages découlant de leur utilisation</w:t>
            </w:r>
            <w:r w:rsidRPr="00C67737">
              <w:rPr>
                <w:rFonts w:eastAsia="SimSun" w:cstheme="minorHAnsi"/>
                <w:color w:val="000000"/>
                <w:vertAlign w:val="superscript"/>
              </w:rPr>
              <w:footnoteReference w:id="120"/>
            </w:r>
            <w:r>
              <w:t xml:space="preserve"> </w:t>
            </w:r>
          </w:p>
        </w:tc>
        <w:tc>
          <w:tcPr>
            <w:tcW w:w="2500" w:type="pct"/>
          </w:tcPr>
          <w:p w14:paraId="27773193" w14:textId="4CDB60C9" w:rsidR="00C004A0" w:rsidRPr="00C67737" w:rsidRDefault="00C004A0" w:rsidP="00495437">
            <w:pPr>
              <w:snapToGrid/>
              <w:spacing w:before="100" w:after="100"/>
              <w:rPr>
                <w:rFonts w:eastAsia="SimSun" w:cstheme="minorHAnsi"/>
                <w:color w:val="000000"/>
              </w:rPr>
            </w:pPr>
            <w:r>
              <w:t xml:space="preserve">L’appui demandé sera fourni </w:t>
            </w:r>
            <w:r w:rsidR="009421F0">
              <w:t>selon les</w:t>
            </w:r>
            <w:r>
              <w:t xml:space="preserve"> modalités </w:t>
            </w:r>
            <w:r w:rsidR="009421F0">
              <w:t>énoncées</w:t>
            </w:r>
            <w:r>
              <w:t xml:space="preserve"> dans les </w:t>
            </w:r>
            <w:r w:rsidR="00F02738">
              <w:t>orientations programmatiques</w:t>
            </w:r>
            <w:r w:rsidR="00083519">
              <w:t xml:space="preserve"> </w:t>
            </w:r>
            <w:r>
              <w:t xml:space="preserve">de </w:t>
            </w:r>
            <w:r w:rsidR="00376C22">
              <w:t>GEF</w:t>
            </w:r>
            <w:r w:rsidR="00376C22">
              <w:noBreakHyphen/>
            </w:r>
            <w:r>
              <w:t>9</w:t>
            </w:r>
            <w:r w:rsidRPr="00C67737">
              <w:rPr>
                <w:rFonts w:cstheme="minorHAnsi"/>
                <w:color w:val="000000"/>
                <w:vertAlign w:val="superscript"/>
              </w:rPr>
              <w:footnoteReference w:id="121"/>
            </w:r>
            <w:r>
              <w:rPr>
                <w:color w:val="000000"/>
              </w:rPr>
              <w:t xml:space="preserve">, au titre de l’objectif de la Stratégie du domaine d’intervention </w:t>
            </w:r>
            <w:r w:rsidR="0094079E">
              <w:rPr>
                <w:color w:val="000000"/>
              </w:rPr>
              <w:t>« </w:t>
            </w:r>
            <w:r>
              <w:rPr>
                <w:color w:val="000000"/>
              </w:rPr>
              <w:t>diversité biologique</w:t>
            </w:r>
            <w:r w:rsidR="0094079E">
              <w:rPr>
                <w:color w:val="000000"/>
              </w:rPr>
              <w:t> »</w:t>
            </w:r>
            <w:r>
              <w:rPr>
                <w:color w:val="000000"/>
              </w:rPr>
              <w:t xml:space="preserve"> </w:t>
            </w:r>
            <w:r w:rsidR="007A409D">
              <w:rPr>
                <w:color w:val="000000"/>
              </w:rPr>
              <w:t>visant à</w:t>
            </w:r>
            <w:r>
              <w:rPr>
                <w:color w:val="000000"/>
              </w:rPr>
              <w:t xml:space="preserve"> </w:t>
            </w:r>
            <w:r w:rsidR="007A409D">
              <w:rPr>
                <w:color w:val="000000"/>
              </w:rPr>
              <w:t>r</w:t>
            </w:r>
            <w:r w:rsidR="003D1682">
              <w:rPr>
                <w:color w:val="000000"/>
              </w:rPr>
              <w:t xml:space="preserve">enforcer la prévention des risques biotechnologiques et garantir le partage juste et équitable des avantages découlant de l’utilisation des ressources génétiques, notamment par la mise en œuvre des Protocoles de </w:t>
            </w:r>
            <w:r w:rsidR="003C203B">
              <w:t>Carthagène</w:t>
            </w:r>
            <w:r w:rsidR="003D1682">
              <w:rPr>
                <w:color w:val="000000"/>
              </w:rPr>
              <w:t xml:space="preserve"> et de Nagoya.</w:t>
            </w:r>
            <w:r>
              <w:rPr>
                <w:color w:val="000000"/>
              </w:rPr>
              <w:t xml:space="preserve">  </w:t>
            </w:r>
          </w:p>
        </w:tc>
      </w:tr>
      <w:tr w:rsidR="00C004A0" w:rsidRPr="00C67737" w14:paraId="2B1D8D0A" w14:textId="77777777" w:rsidTr="00A769A6">
        <w:tc>
          <w:tcPr>
            <w:tcW w:w="2500" w:type="pct"/>
          </w:tcPr>
          <w:p w14:paraId="3D5E7EAD" w14:textId="1A7D1303" w:rsidR="00C004A0" w:rsidRPr="00C67737" w:rsidRDefault="00C004A0" w:rsidP="000C050E">
            <w:pPr>
              <w:tabs>
                <w:tab w:val="left" w:pos="567"/>
                <w:tab w:val="left" w:pos="1134"/>
                <w:tab w:val="left" w:pos="1701"/>
                <w:tab w:val="left" w:pos="2268"/>
                <w:tab w:val="left" w:pos="2835"/>
                <w:tab w:val="left" w:pos="3402"/>
              </w:tabs>
              <w:snapToGrid/>
              <w:spacing w:before="100" w:after="100"/>
              <w:rPr>
                <w:rFonts w:eastAsia="SimSun" w:cstheme="minorHAnsi"/>
                <w:bCs/>
                <w:i/>
                <w:iCs/>
                <w:color w:val="000000"/>
              </w:rPr>
            </w:pPr>
            <w:r>
              <w:rPr>
                <w:color w:val="000000"/>
              </w:rPr>
              <w:t>12.</w:t>
            </w:r>
            <w:r>
              <w:rPr>
                <w:color w:val="000000"/>
              </w:rPr>
              <w:tab/>
              <w:t xml:space="preserve">Demande également au Fonds pour l’environnement mondial et à ses </w:t>
            </w:r>
            <w:r w:rsidR="00F52D3D">
              <w:rPr>
                <w:color w:val="000000"/>
              </w:rPr>
              <w:t>Agences</w:t>
            </w:r>
            <w:r>
              <w:rPr>
                <w:color w:val="000000"/>
              </w:rPr>
              <w:t xml:space="preserve"> d</w:t>
            </w:r>
            <w:r w:rsidR="009421F0">
              <w:rPr>
                <w:color w:val="000000"/>
              </w:rPr>
              <w:t>’exécution</w:t>
            </w:r>
            <w:r w:rsidR="004106F4">
              <w:rPr>
                <w:color w:val="000000"/>
              </w:rPr>
              <w:t xml:space="preserve"> de</w:t>
            </w:r>
            <w:r>
              <w:rPr>
                <w:color w:val="000000"/>
              </w:rPr>
              <w:t xml:space="preserve"> faciliter en temps voulu les processus pertinents afin que l’appui à l’élaboration des premiers rapports nationaux soit fourni aux Parties qui présentent leurs lettres </w:t>
            </w:r>
            <w:r w:rsidR="00953642">
              <w:rPr>
                <w:color w:val="000000"/>
              </w:rPr>
              <w:t>d’appro</w:t>
            </w:r>
            <w:r w:rsidR="0082406C">
              <w:rPr>
                <w:color w:val="000000"/>
              </w:rPr>
              <w:t>bation</w:t>
            </w:r>
            <w:r w:rsidR="006E54C7">
              <w:rPr>
                <w:color w:val="000000"/>
              </w:rPr>
              <w:t> ;</w:t>
            </w:r>
          </w:p>
        </w:tc>
        <w:tc>
          <w:tcPr>
            <w:tcW w:w="2500" w:type="pct"/>
          </w:tcPr>
          <w:p w14:paraId="6D2E7A7A" w14:textId="5D3F0EB9" w:rsidR="00C004A0" w:rsidRPr="00C67737" w:rsidRDefault="00C004A0" w:rsidP="00495437">
            <w:pPr>
              <w:snapToGrid/>
              <w:spacing w:before="100" w:after="100"/>
              <w:rPr>
                <w:rFonts w:eastAsia="SimSun" w:cstheme="minorHAnsi"/>
                <w:color w:val="000000"/>
              </w:rPr>
            </w:pPr>
            <w:r>
              <w:rPr>
                <w:color w:val="000000"/>
              </w:rPr>
              <w:t>Le projet d’appui à l’élaboration des premiers rapports nationaux sur la mise en œuvre du Protocole de Nagoya sur l’accès aux ressources génétiques et le partage juste et équitable des avantages découlant de leur utilisation, exécuté par le PNUE (</w:t>
            </w:r>
            <w:r w:rsidRPr="00BB0809">
              <w:rPr>
                <w:i/>
                <w:iCs/>
                <w:color w:val="000000"/>
              </w:rPr>
              <w:t xml:space="preserve">Support to </w:t>
            </w:r>
            <w:proofErr w:type="spellStart"/>
            <w:r w:rsidRPr="00BB0809">
              <w:rPr>
                <w:i/>
                <w:iCs/>
                <w:color w:val="000000"/>
              </w:rPr>
              <w:t>Preparation</w:t>
            </w:r>
            <w:proofErr w:type="spellEnd"/>
            <w:r w:rsidRPr="00BB0809">
              <w:rPr>
                <w:i/>
                <w:iCs/>
                <w:color w:val="000000"/>
              </w:rPr>
              <w:t xml:space="preserve"> of the First National Report on </w:t>
            </w:r>
            <w:proofErr w:type="spellStart"/>
            <w:r w:rsidRPr="00BB0809">
              <w:rPr>
                <w:i/>
                <w:iCs/>
                <w:color w:val="000000"/>
              </w:rPr>
              <w:t>Implementation</w:t>
            </w:r>
            <w:proofErr w:type="spellEnd"/>
            <w:r w:rsidRPr="00BB0809">
              <w:rPr>
                <w:i/>
                <w:iCs/>
                <w:color w:val="000000"/>
              </w:rPr>
              <w:t xml:space="preserve"> of the Nagoya Protocol on Access to </w:t>
            </w:r>
            <w:proofErr w:type="spellStart"/>
            <w:r w:rsidRPr="00BB0809">
              <w:rPr>
                <w:i/>
                <w:iCs/>
                <w:color w:val="000000"/>
              </w:rPr>
              <w:t>Genetic</w:t>
            </w:r>
            <w:proofErr w:type="spellEnd"/>
            <w:r w:rsidRPr="00BB0809">
              <w:rPr>
                <w:i/>
                <w:iCs/>
                <w:color w:val="000000"/>
              </w:rPr>
              <w:t xml:space="preserve"> </w:t>
            </w:r>
            <w:proofErr w:type="spellStart"/>
            <w:r w:rsidRPr="00BB0809">
              <w:rPr>
                <w:i/>
                <w:iCs/>
                <w:color w:val="000000"/>
              </w:rPr>
              <w:t>Resources</w:t>
            </w:r>
            <w:proofErr w:type="spellEnd"/>
            <w:r w:rsidRPr="00BB0809">
              <w:rPr>
                <w:i/>
                <w:iCs/>
                <w:color w:val="000000"/>
              </w:rPr>
              <w:t xml:space="preserve"> and the Fair and Equitable Sharing of Benefits </w:t>
            </w:r>
            <w:proofErr w:type="spellStart"/>
            <w:r w:rsidRPr="00BB0809">
              <w:rPr>
                <w:i/>
                <w:iCs/>
                <w:color w:val="000000"/>
              </w:rPr>
              <w:t>Arising</w:t>
            </w:r>
            <w:proofErr w:type="spellEnd"/>
            <w:r w:rsidRPr="00BB0809">
              <w:rPr>
                <w:i/>
                <w:iCs/>
                <w:color w:val="000000"/>
              </w:rPr>
              <w:t xml:space="preserve"> </w:t>
            </w:r>
            <w:proofErr w:type="spellStart"/>
            <w:r w:rsidRPr="00BB0809">
              <w:rPr>
                <w:i/>
                <w:iCs/>
                <w:color w:val="000000"/>
              </w:rPr>
              <w:t>from</w:t>
            </w:r>
            <w:proofErr w:type="spellEnd"/>
            <w:r w:rsidRPr="00BB0809">
              <w:rPr>
                <w:i/>
                <w:iCs/>
                <w:color w:val="000000"/>
              </w:rPr>
              <w:t xml:space="preserve"> </w:t>
            </w:r>
            <w:proofErr w:type="spellStart"/>
            <w:r w:rsidRPr="00BB0809">
              <w:rPr>
                <w:i/>
                <w:iCs/>
                <w:color w:val="000000"/>
              </w:rPr>
              <w:t>their</w:t>
            </w:r>
            <w:proofErr w:type="spellEnd"/>
            <w:r w:rsidRPr="00BB0809">
              <w:rPr>
                <w:i/>
                <w:iCs/>
                <w:color w:val="000000"/>
              </w:rPr>
              <w:t xml:space="preserve"> </w:t>
            </w:r>
            <w:proofErr w:type="spellStart"/>
            <w:r w:rsidRPr="00BB0809">
              <w:rPr>
                <w:i/>
                <w:iCs/>
                <w:color w:val="000000"/>
              </w:rPr>
              <w:t>Utilization</w:t>
            </w:r>
            <w:proofErr w:type="spellEnd"/>
            <w:r>
              <w:rPr>
                <w:color w:val="000000"/>
              </w:rPr>
              <w:t xml:space="preserve">) a été approuvé </w:t>
            </w:r>
            <w:r w:rsidR="00944097">
              <w:rPr>
                <w:color w:val="000000"/>
              </w:rPr>
              <w:t xml:space="preserve">par le directeur général </w:t>
            </w:r>
            <w:r>
              <w:rPr>
                <w:color w:val="000000"/>
              </w:rPr>
              <w:t xml:space="preserve">en avril 2025. Il a été modifié en août 2025 afin d’y </w:t>
            </w:r>
            <w:r w:rsidR="007B629F">
              <w:rPr>
                <w:color w:val="000000"/>
              </w:rPr>
              <w:t>inclure</w:t>
            </w:r>
            <w:r>
              <w:rPr>
                <w:color w:val="000000"/>
              </w:rPr>
              <w:t xml:space="preserve"> 19 pays qui n’avaient pas fourni leur </w:t>
            </w:r>
            <w:r w:rsidR="004469FD">
              <w:rPr>
                <w:color w:val="000000"/>
              </w:rPr>
              <w:t>lettre d’</w:t>
            </w:r>
            <w:r w:rsidR="0082406C">
              <w:rPr>
                <w:color w:val="000000"/>
              </w:rPr>
              <w:t>approbation</w:t>
            </w:r>
            <w:r>
              <w:rPr>
                <w:color w:val="000000"/>
              </w:rPr>
              <w:t xml:space="preserve"> à temps pour l</w:t>
            </w:r>
            <w:r w:rsidR="00373343">
              <w:rPr>
                <w:color w:val="000000"/>
              </w:rPr>
              <w:t>’</w:t>
            </w:r>
            <w:r>
              <w:rPr>
                <w:color w:val="000000"/>
              </w:rPr>
              <w:t>approbation</w:t>
            </w:r>
            <w:r w:rsidR="00373343">
              <w:rPr>
                <w:color w:val="000000"/>
              </w:rPr>
              <w:t xml:space="preserve"> initiale</w:t>
            </w:r>
            <w:r>
              <w:rPr>
                <w:color w:val="000000"/>
              </w:rPr>
              <w:t xml:space="preserve">. </w:t>
            </w:r>
            <w:r w:rsidR="00373343">
              <w:rPr>
                <w:color w:val="000000"/>
              </w:rPr>
              <w:t>Le</w:t>
            </w:r>
            <w:r>
              <w:rPr>
                <w:color w:val="000000"/>
              </w:rPr>
              <w:t xml:space="preserve"> PNUE apporte un appui à 96 pays, sous la forme d’un financement de 30 000 dollars destiné aux activités nationales et d’une assistance technique mondiale complémentaire (financement de projet du GEF total</w:t>
            </w:r>
            <w:r w:rsidR="006E54C7">
              <w:rPr>
                <w:color w:val="000000"/>
              </w:rPr>
              <w:t> :</w:t>
            </w:r>
            <w:r>
              <w:rPr>
                <w:color w:val="000000"/>
              </w:rPr>
              <w:t xml:space="preserve"> 3 701 250 dollars).</w:t>
            </w:r>
          </w:p>
        </w:tc>
      </w:tr>
      <w:tr w:rsidR="00C004A0" w:rsidRPr="00C67737" w14:paraId="731C5E64" w14:textId="77777777" w:rsidTr="00A769A6">
        <w:tc>
          <w:tcPr>
            <w:tcW w:w="2500" w:type="pct"/>
          </w:tcPr>
          <w:p w14:paraId="27B86FB5"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Pr>
                <w:color w:val="000000"/>
              </w:rPr>
              <w:t>13.</w:t>
            </w:r>
            <w:r>
              <w:rPr>
                <w:color w:val="000000"/>
              </w:rPr>
              <w:tab/>
              <w:t xml:space="preserve">Prie en outre le Fonds pour l’environnement mondial d’examiner les options permettant d’appuyer la mise en œuvre du Protocole de Nagoya afin que le Fonds pour l’environnement mondial soit en mesure de s’acquitter le plus efficacement de ses responsabilités dans la mise en œuvre du mécanisme de financement du Protocole </w:t>
            </w:r>
            <w:r>
              <w:rPr>
                <w:color w:val="000000"/>
              </w:rPr>
              <w:lastRenderedPageBreak/>
              <w:t>à titre provisoire et de façon continue, et d’en rendre compte à la dix-septième réunion de la Conférence des Parties.</w:t>
            </w:r>
          </w:p>
        </w:tc>
        <w:tc>
          <w:tcPr>
            <w:tcW w:w="2500" w:type="pct"/>
          </w:tcPr>
          <w:p w14:paraId="0F89F59D" w14:textId="398B3695" w:rsidR="00C004A0" w:rsidRPr="00C67737" w:rsidRDefault="00A034A8"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A034A8">
              <w:rPr>
                <w:color w:val="000000"/>
              </w:rPr>
              <w:lastRenderedPageBreak/>
              <w:t>Au cours du cycle GEF</w:t>
            </w:r>
            <w:r w:rsidRPr="00A034A8">
              <w:rPr>
                <w:color w:val="000000"/>
              </w:rPr>
              <w:noBreakHyphen/>
              <w:t xml:space="preserve">7, des projets consacrés à la mise en œuvre du Protocole de Nagoya ont reçu une approbation représentant au total 32,2 millions de dollars, un montant proche de l’allocation </w:t>
            </w:r>
            <w:r w:rsidR="00AD4B4A">
              <w:rPr>
                <w:color w:val="000000"/>
              </w:rPr>
              <w:t>théorique</w:t>
            </w:r>
            <w:r w:rsidRPr="00A034A8">
              <w:rPr>
                <w:color w:val="000000"/>
              </w:rPr>
              <w:t xml:space="preserve"> de 37 millions de dollars prévue à cet effet.</w:t>
            </w:r>
            <w:r w:rsidR="00C004A0">
              <w:rPr>
                <w:color w:val="000000"/>
              </w:rPr>
              <w:t xml:space="preserve"> </w:t>
            </w:r>
          </w:p>
          <w:p w14:paraId="099A848C" w14:textId="57B3B4A4" w:rsidR="007E0AD8" w:rsidRPr="00C67737" w:rsidRDefault="007E0AD8" w:rsidP="00495437">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Pr>
                <w:color w:val="000000" w:themeColor="text1"/>
              </w:rPr>
              <w:lastRenderedPageBreak/>
              <w:t xml:space="preserve">Comme l’indique le présent rapport, </w:t>
            </w:r>
            <w:r w:rsidR="00AD4B4A" w:rsidRPr="00AD4B4A">
              <w:rPr>
                <w:color w:val="000000" w:themeColor="text1"/>
              </w:rPr>
              <w:t>le financement de projet du GEF consacré aux projets relevant de GEF</w:t>
            </w:r>
            <w:r w:rsidR="00AD4B4A" w:rsidRPr="00AD4B4A">
              <w:rPr>
                <w:color w:val="000000" w:themeColor="text1"/>
              </w:rPr>
              <w:noBreakHyphen/>
              <w:t>8 et du GBFF liés au Protocole de Nagoya s’élevait à 57,0 millions de dollars. Ce montant dépasse le volume de financements approuvés pendant GEF</w:t>
            </w:r>
            <w:r w:rsidR="00AD4B4A" w:rsidRPr="00AD4B4A">
              <w:rPr>
                <w:color w:val="000000" w:themeColor="text1"/>
              </w:rPr>
              <w:noBreakHyphen/>
              <w:t xml:space="preserve">7. Au total, 91% de l’allocation </w:t>
            </w:r>
            <w:r w:rsidR="00AD4B4A">
              <w:rPr>
                <w:color w:val="000000" w:themeColor="text1"/>
              </w:rPr>
              <w:t>théorique</w:t>
            </w:r>
            <w:r w:rsidR="00AD4B4A" w:rsidRPr="00AD4B4A">
              <w:rPr>
                <w:color w:val="000000" w:themeColor="text1"/>
              </w:rPr>
              <w:t xml:space="preserve"> de GEF</w:t>
            </w:r>
            <w:r w:rsidR="00AD4B4A" w:rsidRPr="00AD4B4A">
              <w:rPr>
                <w:color w:val="000000" w:themeColor="text1"/>
              </w:rPr>
              <w:noBreakHyphen/>
              <w:t>8 pour les Protocoles — fixée à 82</w:t>
            </w:r>
            <w:r w:rsidR="00AD4B4A">
              <w:rPr>
                <w:color w:val="000000" w:themeColor="text1"/>
              </w:rPr>
              <w:t> </w:t>
            </w:r>
            <w:r w:rsidR="00AD4B4A" w:rsidRPr="00AD4B4A">
              <w:rPr>
                <w:color w:val="000000" w:themeColor="text1"/>
              </w:rPr>
              <w:t xml:space="preserve">millions de dollars pour les Protocoles de </w:t>
            </w:r>
            <w:r w:rsidR="003C203B">
              <w:t>Carthagène</w:t>
            </w:r>
            <w:r w:rsidR="00AD4B4A" w:rsidRPr="00AD4B4A">
              <w:rPr>
                <w:color w:val="000000" w:themeColor="text1"/>
              </w:rPr>
              <w:t xml:space="preserve"> et de Nagoya réunis — avaient été programmés.</w:t>
            </w:r>
          </w:p>
          <w:p w14:paraId="3CB12670" w14:textId="41891468" w:rsidR="00C004A0" w:rsidRPr="00C67737" w:rsidRDefault="001539E0" w:rsidP="00096682">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1539E0">
              <w:rPr>
                <w:color w:val="000000" w:themeColor="text1"/>
              </w:rPr>
              <w:t>Afin de garantir un niveau de financement adéquat à l’appui de la mise en œuvre des Protocoles au cours de GEF</w:t>
            </w:r>
            <w:r w:rsidRPr="001539E0">
              <w:rPr>
                <w:color w:val="000000" w:themeColor="text1"/>
              </w:rPr>
              <w:noBreakHyphen/>
              <w:t xml:space="preserve">9, une part des ressources du domaine d’intervention </w:t>
            </w:r>
            <w:r w:rsidR="0094079E">
              <w:rPr>
                <w:color w:val="000000" w:themeColor="text1"/>
              </w:rPr>
              <w:t>« </w:t>
            </w:r>
            <w:r w:rsidRPr="001539E0">
              <w:rPr>
                <w:color w:val="000000" w:themeColor="text1"/>
              </w:rPr>
              <w:t>diversité biologique</w:t>
            </w:r>
            <w:r w:rsidR="0094079E">
              <w:rPr>
                <w:color w:val="000000" w:themeColor="text1"/>
              </w:rPr>
              <w:t> »</w:t>
            </w:r>
            <w:r w:rsidRPr="001539E0">
              <w:rPr>
                <w:color w:val="000000" w:themeColor="text1"/>
              </w:rPr>
              <w:t xml:space="preserve"> a été réservée au financement de projets régionaux ou mondiaux qui leur sont consacrés. La priorité sera accordée aux pays qui n’ont pas bénéficié de financements du GEF à cette fin au cours des derniers cycles. Cette réserve complétera les ressources du STAR, que les pays admissibles sont encouragés à mobiliser pour mettre en œuvre les Protocoles, grâce au point d’entrée spécifiquement consacré à l’objectif suivant</w:t>
            </w:r>
            <w:r w:rsidR="006E54C7">
              <w:rPr>
                <w:color w:val="000000" w:themeColor="text1"/>
              </w:rPr>
              <w:t> :</w:t>
            </w:r>
            <w:r w:rsidRPr="001539E0">
              <w:rPr>
                <w:color w:val="000000" w:themeColor="text1"/>
              </w:rPr>
              <w:t xml:space="preserve"> </w:t>
            </w:r>
            <w:r w:rsidR="0094079E">
              <w:rPr>
                <w:color w:val="000000" w:themeColor="text1"/>
              </w:rPr>
              <w:t>« </w:t>
            </w:r>
            <w:r w:rsidR="00601D83">
              <w:t xml:space="preserve">Renforcer la prévention des risques biotechnologiques et garantir le partage juste et équitable des avantages découlant de l’utilisation des ressources génétiques, notamment par la mise en œuvre des Protocoles de </w:t>
            </w:r>
            <w:r w:rsidR="003C203B">
              <w:t>Carthagène</w:t>
            </w:r>
            <w:r w:rsidR="00601D83">
              <w:t xml:space="preserve"> et de Nagoya</w:t>
            </w:r>
            <w:r w:rsidRPr="001539E0">
              <w:rPr>
                <w:color w:val="000000" w:themeColor="text1"/>
              </w:rPr>
              <w:t>.</w:t>
            </w:r>
            <w:r w:rsidR="0094079E">
              <w:rPr>
                <w:color w:val="000000" w:themeColor="text1"/>
              </w:rPr>
              <w:t> »</w:t>
            </w:r>
          </w:p>
        </w:tc>
      </w:tr>
    </w:tbl>
    <w:p w14:paraId="469EB165" w14:textId="77777777" w:rsidR="00B767B6" w:rsidRPr="00C67737" w:rsidRDefault="00B767B6" w:rsidP="00B767B6">
      <w:pPr>
        <w:ind w:left="540"/>
      </w:pPr>
    </w:p>
    <w:p w14:paraId="2D6C3EAB" w14:textId="70F70B3B" w:rsidR="00371D64" w:rsidRDefault="00BF1995" w:rsidP="000B33CF">
      <w:pPr>
        <w:pStyle w:val="ListParagraph"/>
      </w:pPr>
      <w:r w:rsidRPr="00BF1995">
        <w:t xml:space="preserve">Parmi les principales mesures prises en réponse aux orientations reçues, les </w:t>
      </w:r>
      <w:r w:rsidR="0039080A">
        <w:t>o</w:t>
      </w:r>
      <w:r w:rsidRPr="0039080A">
        <w:t>rientations programmatiques de GEF</w:t>
      </w:r>
      <w:r w:rsidRPr="0039080A">
        <w:noBreakHyphen/>
        <w:t>9</w:t>
      </w:r>
      <w:r w:rsidR="00AD6A80" w:rsidRPr="00C67737">
        <w:rPr>
          <w:rStyle w:val="FootnoteReference"/>
          <w:lang w:val="en-US"/>
        </w:rPr>
        <w:footnoteReference w:id="122"/>
      </w:r>
      <w:r w:rsidR="00AD6A80" w:rsidRPr="00C67737">
        <w:t xml:space="preserve"> </w:t>
      </w:r>
      <w:r w:rsidRPr="0039080A">
        <w:t>ont été conçues pour donner effet à l’ensemble des élé</w:t>
      </w:r>
      <w:r w:rsidRPr="00BF1995">
        <w:t xml:space="preserve">ments du </w:t>
      </w:r>
      <w:r w:rsidRPr="0039080A">
        <w:t>Cadre quadriennal axé sur les résultats des priorités du programme sur la biodiversité de la Convention sur la diversité biologique et de ses Protocoles</w:t>
      </w:r>
      <w:r w:rsidRPr="00BF1995">
        <w:t>, adopté par la Conférence des Parties à la CDB à sa seizième réunion. Le tableau 9 présente les mécanismes par lesquels le GEF entend mettre en œuvre ces éléments.</w:t>
      </w:r>
    </w:p>
    <w:p w14:paraId="1A1154CD" w14:textId="77777777" w:rsidR="007A34AE" w:rsidRPr="00C67737" w:rsidRDefault="007A34AE" w:rsidP="0045496B"/>
    <w:p w14:paraId="2CACF03A" w14:textId="457B4C3C" w:rsidR="00371D64" w:rsidRPr="00C67737" w:rsidRDefault="00981BA5" w:rsidP="007A34AE">
      <w:pPr>
        <w:pStyle w:val="Caption"/>
        <w:keepNext w:val="0"/>
        <w:keepLines/>
      </w:pPr>
      <w:bookmarkStart w:id="128" w:name="_Toc242183491"/>
      <w:r>
        <w:t xml:space="preserve">Tableau </w:t>
      </w:r>
      <w:r w:rsidRPr="00C67737">
        <w:fldChar w:fldCharType="begin"/>
      </w:r>
      <w:r w:rsidRPr="00C67737">
        <w:instrText>SEQ Table \* ARABIC</w:instrText>
      </w:r>
      <w:r w:rsidRPr="00C67737">
        <w:fldChar w:fldCharType="separate"/>
      </w:r>
      <w:r w:rsidR="006C2F5A">
        <w:rPr>
          <w:noProof/>
        </w:rPr>
        <w:t>9</w:t>
      </w:r>
      <w:r w:rsidRPr="00C67737">
        <w:fldChar w:fldCharType="end"/>
      </w:r>
      <w:r>
        <w:t xml:space="preserve">. Mécanismes de mise en œuvre du GEF relatifs aux éléments du cadre quadriennal axé sur les résultats des priorités du programme relatif à la diversité biologique de la CDB et de ses Protocoles pour la période de </w:t>
      </w:r>
      <w:r w:rsidR="00376C22">
        <w:t>GEF</w:t>
      </w:r>
      <w:r w:rsidR="00376C22">
        <w:noBreakHyphen/>
      </w:r>
      <w:r>
        <w:t>9</w:t>
      </w:r>
      <w:bookmarkEnd w:id="128"/>
      <w:r>
        <w:t> </w:t>
      </w:r>
    </w:p>
    <w:tbl>
      <w:tblPr>
        <w:tblW w:w="9330" w:type="dxa"/>
        <w:tblBorders>
          <w:top w:val="outset" w:sz="6" w:space="0" w:color="auto"/>
          <w:left w:val="outset" w:sz="6" w:space="0" w:color="auto"/>
          <w:bottom w:val="outset" w:sz="6" w:space="0" w:color="auto"/>
          <w:right w:val="outset" w:sz="6" w:space="0" w:color="auto"/>
        </w:tblBorders>
        <w:tblCellMar>
          <w:left w:w="58" w:type="dxa"/>
          <w:right w:w="72" w:type="dxa"/>
        </w:tblCellMar>
        <w:tblLook w:val="04A0" w:firstRow="1" w:lastRow="0" w:firstColumn="1" w:lastColumn="0" w:noHBand="0" w:noVBand="1"/>
      </w:tblPr>
      <w:tblGrid>
        <w:gridCol w:w="5237"/>
        <w:gridCol w:w="4093"/>
      </w:tblGrid>
      <w:tr w:rsidR="00371D64" w:rsidRPr="00C67737" w14:paraId="28AEA0D4" w14:textId="77777777" w:rsidTr="00D158F4">
        <w:tc>
          <w:tcPr>
            <w:tcW w:w="5237" w:type="dxa"/>
            <w:tcBorders>
              <w:top w:val="single" w:sz="6" w:space="0" w:color="auto"/>
              <w:left w:val="single" w:sz="6" w:space="0" w:color="auto"/>
              <w:bottom w:val="single" w:sz="6" w:space="0" w:color="auto"/>
              <w:right w:val="single" w:sz="6" w:space="0" w:color="auto"/>
            </w:tcBorders>
            <w:vAlign w:val="center"/>
            <w:hideMark/>
          </w:tcPr>
          <w:p w14:paraId="0188AD34" w14:textId="77777777" w:rsidR="00371D64" w:rsidRPr="00C67737" w:rsidRDefault="00371D64" w:rsidP="007A34AE">
            <w:pPr>
              <w:keepLines/>
              <w:ind w:left="180"/>
              <w:jc w:val="center"/>
              <w:rPr>
                <w:b/>
                <w:bCs/>
              </w:rPr>
            </w:pPr>
            <w:r>
              <w:rPr>
                <w:b/>
              </w:rPr>
              <w:lastRenderedPageBreak/>
              <w:t>Principaux éléments des orientations fournies par la seizième réunion de la Conférence des Parties à la CDB</w:t>
            </w:r>
          </w:p>
        </w:tc>
        <w:tc>
          <w:tcPr>
            <w:tcW w:w="4093" w:type="dxa"/>
            <w:tcBorders>
              <w:top w:val="single" w:sz="6" w:space="0" w:color="auto"/>
              <w:left w:val="single" w:sz="6" w:space="0" w:color="auto"/>
              <w:bottom w:val="single" w:sz="6" w:space="0" w:color="auto"/>
              <w:right w:val="single" w:sz="6" w:space="0" w:color="auto"/>
            </w:tcBorders>
            <w:vAlign w:val="center"/>
            <w:hideMark/>
          </w:tcPr>
          <w:p w14:paraId="736945FB" w14:textId="77777777" w:rsidR="00371D64" w:rsidRPr="00C67737" w:rsidRDefault="00371D64" w:rsidP="007A34AE">
            <w:pPr>
              <w:keepLines/>
              <w:ind w:left="180"/>
              <w:jc w:val="center"/>
              <w:rPr>
                <w:b/>
                <w:bCs/>
              </w:rPr>
            </w:pPr>
            <w:r>
              <w:rPr>
                <w:b/>
              </w:rPr>
              <w:t>Mécanisme de mise en œuvre du GEF</w:t>
            </w:r>
          </w:p>
        </w:tc>
      </w:tr>
      <w:tr w:rsidR="00371D64" w:rsidRPr="00C67737" w14:paraId="1E9E15C6" w14:textId="77777777" w:rsidTr="00D158F4">
        <w:tc>
          <w:tcPr>
            <w:tcW w:w="5237" w:type="dxa"/>
            <w:tcBorders>
              <w:top w:val="single" w:sz="6" w:space="0" w:color="auto"/>
              <w:left w:val="single" w:sz="6" w:space="0" w:color="auto"/>
              <w:bottom w:val="single" w:sz="6" w:space="0" w:color="auto"/>
              <w:right w:val="single" w:sz="6" w:space="0" w:color="auto"/>
            </w:tcBorders>
            <w:hideMark/>
          </w:tcPr>
          <w:p w14:paraId="4E5CA095" w14:textId="6316A4DA" w:rsidR="00371D64" w:rsidRPr="00C67737" w:rsidRDefault="00371D64" w:rsidP="007A34AE">
            <w:pPr>
              <w:keepLines/>
              <w:ind w:left="180"/>
            </w:pPr>
            <w:r>
              <w:t xml:space="preserve">Le cadre quadriennal axé sur les résultats des priorités du programme sur la </w:t>
            </w:r>
            <w:r w:rsidR="00D16365">
              <w:t>diversité biologique</w:t>
            </w:r>
            <w:r>
              <w:t xml:space="preserve"> pour la période 2026-2030 comprend les éléments suivants relevant de la </w:t>
            </w:r>
            <w:r w:rsidR="00C06794">
              <w:t>CDB</w:t>
            </w:r>
            <w:r>
              <w:t xml:space="preserve"> et de ses Protocoles pour lesquels un appui efficace à la mise en œuvre doit être fourni</w:t>
            </w:r>
            <w:r w:rsidR="006E54C7">
              <w:t> :</w:t>
            </w:r>
            <w:r>
              <w:t> </w:t>
            </w:r>
          </w:p>
          <w:p w14:paraId="52895D7A" w14:textId="77777777" w:rsidR="00371D64" w:rsidRPr="00C67737" w:rsidRDefault="00371D64" w:rsidP="007A34AE">
            <w:pPr>
              <w:keepLines/>
              <w:ind w:left="180"/>
            </w:pPr>
            <w:r>
              <w:t>a) La mise en œuvre équilibrée des trois objectifs de la Convention. </w:t>
            </w:r>
          </w:p>
          <w:p w14:paraId="7AD3F9FE" w14:textId="343834CC" w:rsidR="00371D64" w:rsidRPr="00C67737" w:rsidRDefault="00371D64" w:rsidP="007A34AE">
            <w:pPr>
              <w:keepLines/>
              <w:ind w:left="180"/>
            </w:pPr>
            <w:r>
              <w:t>b) Le KMGBF, y compris chacun de ses objectifs et cibles, qui définissent les résultats attendus</w:t>
            </w:r>
            <w:r w:rsidR="006E54C7">
              <w:t> ;</w:t>
            </w:r>
            <w:r>
              <w:t> </w:t>
            </w:r>
          </w:p>
          <w:p w14:paraId="312A7BF6" w14:textId="31FCE163" w:rsidR="00371D64" w:rsidRPr="00C67737" w:rsidRDefault="00371D64" w:rsidP="007A34AE">
            <w:pPr>
              <w:keepLines/>
              <w:ind w:left="180"/>
            </w:pPr>
            <w:r>
              <w:t>c) Les stratégies et plans d’action nationaux pour la biodiversité, y compris les cibles nationales en matière de biodiversité</w:t>
            </w:r>
            <w:r w:rsidR="006E54C7">
              <w:t> ;</w:t>
            </w:r>
            <w:r>
              <w:t> </w:t>
            </w:r>
          </w:p>
          <w:p w14:paraId="45E25B6B" w14:textId="77777777" w:rsidR="00371D64" w:rsidRPr="00C67737" w:rsidRDefault="00371D64" w:rsidP="007A34AE">
            <w:pPr>
              <w:keepLines/>
              <w:ind w:left="180"/>
            </w:pPr>
            <w:r>
              <w:t>d) Les plans nationaux de financement de la biodiversité ou instruments similaires. </w:t>
            </w:r>
          </w:p>
          <w:p w14:paraId="17D9E38D" w14:textId="1ED6A16C" w:rsidR="00371D64" w:rsidRPr="00C67737" w:rsidRDefault="00371D64" w:rsidP="007A34AE">
            <w:pPr>
              <w:keepLines/>
              <w:ind w:left="180"/>
            </w:pPr>
            <w:r>
              <w:t>e) Les mécanismes et stratégies adoptés au titre de la Convention pour renforcer les moyens de mise en œuvre du KMGBF, en particulier les activités admissibles dans le cadre des mécanismes suivants</w:t>
            </w:r>
            <w:r w:rsidR="006E54C7">
              <w:t> :</w:t>
            </w:r>
            <w:r>
              <w:t> </w:t>
            </w:r>
          </w:p>
          <w:p w14:paraId="1CFB5D3C" w14:textId="7ECF5C8A" w:rsidR="00371D64" w:rsidRPr="00C67737" w:rsidRDefault="00371D64" w:rsidP="007A34AE">
            <w:pPr>
              <w:keepLines/>
              <w:ind w:left="180"/>
            </w:pPr>
            <w:r>
              <w:t>i) La stratégie révisée de mobilisation des ressources.  </w:t>
            </w:r>
          </w:p>
          <w:p w14:paraId="7234856F" w14:textId="44444781" w:rsidR="00371D64" w:rsidRPr="00C67737" w:rsidRDefault="00371D64" w:rsidP="007A34AE">
            <w:pPr>
              <w:keepLines/>
              <w:ind w:left="180"/>
            </w:pPr>
            <w:r>
              <w:t xml:space="preserve">ii) </w:t>
            </w:r>
            <w:r w:rsidR="00585BCA">
              <w:t xml:space="preserve">Le </w:t>
            </w:r>
            <w:r w:rsidR="00FC35D1">
              <w:t>c</w:t>
            </w:r>
            <w:r>
              <w:t>adre stratégique à long terme pour le développement et le renforcement des capacité</w:t>
            </w:r>
            <w:r w:rsidR="0068222F">
              <w:t>s</w:t>
            </w:r>
            <w:r w:rsidR="00057482">
              <w:t>.</w:t>
            </w:r>
            <w:r>
              <w:t> </w:t>
            </w:r>
          </w:p>
          <w:p w14:paraId="63EFEDD5" w14:textId="2B1F09DE" w:rsidR="00371D64" w:rsidRPr="00C67737" w:rsidRDefault="00371D64" w:rsidP="007A34AE">
            <w:pPr>
              <w:keepLines/>
              <w:ind w:left="180"/>
            </w:pPr>
            <w:r>
              <w:t xml:space="preserve">iii) </w:t>
            </w:r>
            <w:r w:rsidR="00585BCA">
              <w:t>La s</w:t>
            </w:r>
            <w:r>
              <w:t>tratégie de gestion des connaissances à l’appui de la mise en œuvre du KMGBF</w:t>
            </w:r>
            <w:r w:rsidR="00057482">
              <w:t>.</w:t>
            </w:r>
          </w:p>
          <w:p w14:paraId="0683DD9F" w14:textId="0C427060" w:rsidR="00371D64" w:rsidRPr="00C67737" w:rsidRDefault="00371D64" w:rsidP="007A34AE">
            <w:pPr>
              <w:keepLines/>
              <w:ind w:left="180"/>
            </w:pPr>
            <w:r>
              <w:t>f) Les activités admissibles au titre des plans d’action adoptés dans le cadre de la Convention pour appuyer la mise en œuvre efficace et inclusive du KMGBF, notamment</w:t>
            </w:r>
            <w:r w:rsidR="006E54C7">
              <w:t> :</w:t>
            </w:r>
            <w:r>
              <w:t> </w:t>
            </w:r>
          </w:p>
          <w:p w14:paraId="0BD9DD0E" w14:textId="2A2CBA53" w:rsidR="00371D64" w:rsidRPr="00C67737" w:rsidRDefault="00371D64" w:rsidP="007A34AE">
            <w:pPr>
              <w:keepLines/>
              <w:ind w:left="180"/>
            </w:pPr>
            <w:r>
              <w:t xml:space="preserve">i) </w:t>
            </w:r>
            <w:r w:rsidR="00585BCA">
              <w:t>Le p</w:t>
            </w:r>
            <w:r>
              <w:t>lan d’action relatif aux autorités infranationales, aux municipalités et aux autres autorités locales en faveur de la biodiversité (2023-2030)</w:t>
            </w:r>
            <w:r w:rsidR="00057482">
              <w:t>.</w:t>
            </w:r>
            <w:r>
              <w:t>  </w:t>
            </w:r>
          </w:p>
          <w:p w14:paraId="40020FB8" w14:textId="10F4B8DA" w:rsidR="00371D64" w:rsidRPr="00C67737" w:rsidRDefault="00371D64" w:rsidP="007A34AE">
            <w:pPr>
              <w:keepLines/>
              <w:ind w:left="180"/>
            </w:pPr>
            <w:r>
              <w:t xml:space="preserve">ii) </w:t>
            </w:r>
            <w:r w:rsidR="00585BCA">
              <w:t>Le p</w:t>
            </w:r>
            <w:r>
              <w:t xml:space="preserve">lan d’action pour l’égalité des </w:t>
            </w:r>
            <w:r w:rsidR="005F7A72">
              <w:t>genres</w:t>
            </w:r>
            <w:r>
              <w:t xml:space="preserve"> (2023–2030)</w:t>
            </w:r>
            <w:r w:rsidR="00057482">
              <w:t>.</w:t>
            </w:r>
            <w:r>
              <w:t>  </w:t>
            </w:r>
          </w:p>
          <w:p w14:paraId="2A21D113" w14:textId="17644D9A" w:rsidR="00371D64" w:rsidRPr="00C67737" w:rsidRDefault="00371D64" w:rsidP="007A34AE">
            <w:pPr>
              <w:keepLines/>
              <w:ind w:left="180"/>
            </w:pPr>
            <w:r>
              <w:t xml:space="preserve">iii) </w:t>
            </w:r>
            <w:r w:rsidR="00585BCA">
              <w:t>Le p</w:t>
            </w:r>
            <w:r>
              <w:t>lan d’action mondial sur la biodiversité et la santé</w:t>
            </w:r>
            <w:r w:rsidR="00057482">
              <w:t>.</w:t>
            </w:r>
            <w:r>
              <w:t>  </w:t>
            </w:r>
          </w:p>
          <w:p w14:paraId="6E5E8776" w14:textId="26D48B15" w:rsidR="00371D64" w:rsidRPr="00C67737" w:rsidRDefault="00371D64" w:rsidP="007A34AE">
            <w:pPr>
              <w:keepLines/>
              <w:ind w:left="180"/>
            </w:pPr>
            <w:r>
              <w:t>g) Le cadre de suivi du KMGBF et l’approche multidimensionnelle renforcée de la planification, du suivi, de l’établissement de rapports et de l’examen</w:t>
            </w:r>
            <w:r w:rsidR="00057482">
              <w:t>.</w:t>
            </w:r>
            <w:r>
              <w:t>  </w:t>
            </w:r>
          </w:p>
          <w:p w14:paraId="3B7FB799" w14:textId="042C429D" w:rsidR="00371D64" w:rsidRPr="00C67737" w:rsidRDefault="00371D64" w:rsidP="007A34AE">
            <w:pPr>
              <w:keepLines/>
              <w:ind w:left="180"/>
            </w:pPr>
            <w:r>
              <w:t xml:space="preserve">h) Le </w:t>
            </w:r>
            <w:r w:rsidR="0068222F">
              <w:t>p</w:t>
            </w:r>
            <w:r>
              <w:t xml:space="preserve">lan de mise en œuvre et le Plan d’action pour le renforcement des capacités du Protocole de </w:t>
            </w:r>
            <w:r w:rsidR="003C203B">
              <w:t>Carthagène</w:t>
            </w:r>
            <w:r>
              <w:t xml:space="preserve"> sur la prévention des risques biotechnologiques</w:t>
            </w:r>
            <w:r w:rsidR="00057482">
              <w:t>.</w:t>
            </w:r>
          </w:p>
          <w:p w14:paraId="2DB33AA1" w14:textId="47CFF808" w:rsidR="00371D64" w:rsidRPr="00C67737" w:rsidRDefault="00371D64" w:rsidP="007A34AE">
            <w:pPr>
              <w:keepLines/>
              <w:ind w:left="180"/>
            </w:pPr>
            <w:r>
              <w:lastRenderedPageBreak/>
              <w:t xml:space="preserve">i) Le </w:t>
            </w:r>
            <w:r w:rsidR="0068222F">
              <w:t>p</w:t>
            </w:r>
            <w:r>
              <w:t>lan d’action pour la création et le renforcement des capacités du Protocole de Nagoya sur l’accès aux ressources génétiques et le partage juste et équitable des avantages découlant de leur utilisation</w:t>
            </w:r>
            <w:r w:rsidR="00057482">
              <w:t>.</w:t>
            </w:r>
            <w:r>
              <w:t> </w:t>
            </w:r>
          </w:p>
          <w:p w14:paraId="4FDD085B" w14:textId="4161A3DC" w:rsidR="00371D64" w:rsidRPr="00C67737" w:rsidRDefault="00371D64" w:rsidP="007A34AE">
            <w:pPr>
              <w:keepLines/>
              <w:ind w:left="180"/>
            </w:pPr>
            <w:r>
              <w:t xml:space="preserve">j) Les orientations sur les priorités du programme à l’appui de la mise en œuvre des Protocoles, adoptées par la Conférence des Parties siégeant en tant que réunion des Parties au Protocole de </w:t>
            </w:r>
            <w:r w:rsidR="003C203B">
              <w:t>Carthagène</w:t>
            </w:r>
            <w:r>
              <w:t xml:space="preserve"> à sa onzième réunion et par la Conférence des Parties siégeant en tant que réunion des Parties au Protocole de Nagoya à sa cinquième réunion, qui figurent dans les pièces jointes I et II, respectivement</w:t>
            </w:r>
            <w:r w:rsidR="00042BD9">
              <w:t>.</w:t>
            </w:r>
          </w:p>
        </w:tc>
        <w:tc>
          <w:tcPr>
            <w:tcW w:w="4093" w:type="dxa"/>
            <w:tcBorders>
              <w:top w:val="single" w:sz="6" w:space="0" w:color="auto"/>
              <w:left w:val="single" w:sz="6" w:space="0" w:color="auto"/>
              <w:bottom w:val="single" w:sz="6" w:space="0" w:color="auto"/>
              <w:right w:val="single" w:sz="6" w:space="0" w:color="auto"/>
            </w:tcBorders>
            <w:hideMark/>
          </w:tcPr>
          <w:p w14:paraId="018F7E80" w14:textId="758873F7" w:rsidR="00371D64" w:rsidRPr="00C67737" w:rsidRDefault="00371D64" w:rsidP="007A34AE">
            <w:pPr>
              <w:keepLines/>
              <w:ind w:left="180"/>
            </w:pPr>
            <w:r>
              <w:lastRenderedPageBreak/>
              <w:t>a)</w:t>
            </w:r>
            <w:r w:rsidR="00D158F4">
              <w:t> </w:t>
            </w:r>
            <w:r w:rsidR="008B536B">
              <w:t xml:space="preserve">- </w:t>
            </w:r>
            <w:r>
              <w:t>c)</w:t>
            </w:r>
            <w:r w:rsidR="006E54C7">
              <w:t> :</w:t>
            </w:r>
            <w:r>
              <w:t xml:space="preserve"> Les principaux mécanismes de mise en œuvre sont la stratégie du domaine d’intervention </w:t>
            </w:r>
            <w:r w:rsidR="0094079E">
              <w:t>« </w:t>
            </w:r>
            <w:r>
              <w:t>diversité biologique</w:t>
            </w:r>
            <w:r w:rsidR="0094079E">
              <w:t> »</w:t>
            </w:r>
            <w:r>
              <w:t xml:space="preserve"> et les programmes intégrés </w:t>
            </w:r>
            <w:r w:rsidR="00CD3559">
              <w:t xml:space="preserve">du fonds fiduciaire </w:t>
            </w:r>
            <w:r>
              <w:t xml:space="preserve">du GEF, ainsi que le GBFF. Les projets élaborés dans le cadre d’autres </w:t>
            </w:r>
            <w:r w:rsidR="004630E3">
              <w:t>volets</w:t>
            </w:r>
            <w:r>
              <w:t xml:space="preserve"> de programmation </w:t>
            </w:r>
            <w:r w:rsidR="00CD3559">
              <w:t xml:space="preserve">du fonds fiduciaire </w:t>
            </w:r>
            <w:r>
              <w:t xml:space="preserve">du GEF, du </w:t>
            </w:r>
            <w:r w:rsidR="008B536B">
              <w:t>FPMA et du FSCC</w:t>
            </w:r>
            <w:r>
              <w:t xml:space="preserve"> peuvent également y contribuer. </w:t>
            </w:r>
          </w:p>
          <w:p w14:paraId="59FA34BB" w14:textId="52659D77" w:rsidR="00371D64" w:rsidRPr="00C67737" w:rsidRDefault="00371D64" w:rsidP="0014722C">
            <w:pPr>
              <w:keepLines/>
              <w:ind w:left="180"/>
            </w:pPr>
            <w:r>
              <w:t>d)</w:t>
            </w:r>
            <w:r w:rsidR="006E54C7">
              <w:t> :</w:t>
            </w:r>
            <w:r>
              <w:t xml:space="preserve"> Objectif 3 de la stratégie du domaine d’intervention </w:t>
            </w:r>
            <w:r w:rsidR="0094079E">
              <w:t>« </w:t>
            </w:r>
            <w:r>
              <w:t>diversité biologique</w:t>
            </w:r>
            <w:r w:rsidR="0094079E">
              <w:t> »</w:t>
            </w:r>
            <w:r>
              <w:t xml:space="preserve"> et domaine d’action 4 du GBFF. </w:t>
            </w:r>
          </w:p>
          <w:p w14:paraId="335EDB54" w14:textId="5FCE9A75" w:rsidR="00371D64" w:rsidRPr="00C67737" w:rsidRDefault="00371D64" w:rsidP="007A34AE">
            <w:pPr>
              <w:keepLines/>
              <w:ind w:left="180"/>
            </w:pPr>
            <w:r>
              <w:t>e) i)</w:t>
            </w:r>
            <w:r w:rsidR="006E54C7">
              <w:t> :</w:t>
            </w:r>
            <w:r>
              <w:t xml:space="preserve"> Objectif 3 de la stratégie du domaine d’intervention </w:t>
            </w:r>
            <w:r w:rsidR="0094079E">
              <w:t>« </w:t>
            </w:r>
            <w:r>
              <w:t>diversité biologique</w:t>
            </w:r>
            <w:r w:rsidR="0094079E">
              <w:t> »</w:t>
            </w:r>
            <w:r>
              <w:t xml:space="preserve"> et domaine d’action 4 du GBFF. </w:t>
            </w:r>
          </w:p>
          <w:p w14:paraId="034C3A76" w14:textId="48A01C7A" w:rsidR="003D71EB" w:rsidRPr="00C67737" w:rsidRDefault="00371D64" w:rsidP="007A34AE">
            <w:pPr>
              <w:keepLines/>
              <w:ind w:left="180"/>
            </w:pPr>
            <w:r>
              <w:t>e) ii)</w:t>
            </w:r>
            <w:r w:rsidR="008B3104">
              <w:t xml:space="preserve"> </w:t>
            </w:r>
            <w:r w:rsidR="008B536B">
              <w:t>-</w:t>
            </w:r>
            <w:r w:rsidR="00944371">
              <w:t xml:space="preserve"> </w:t>
            </w:r>
            <w:r>
              <w:t>iii)</w:t>
            </w:r>
            <w:r w:rsidR="006E54C7">
              <w:t> :</w:t>
            </w:r>
            <w:r>
              <w:t xml:space="preserve"> Ces éléments sont </w:t>
            </w:r>
            <w:r w:rsidR="005B35B8">
              <w:t>pris en compte de manière tra</w:t>
            </w:r>
            <w:r w:rsidR="009D14F0">
              <w:t>n</w:t>
            </w:r>
            <w:r w:rsidR="005B35B8">
              <w:t>sversale</w:t>
            </w:r>
            <w:r w:rsidR="009D14F0">
              <w:t xml:space="preserve"> dans l’ensemble des projets du GEF et du GBFF,</w:t>
            </w:r>
            <w:r>
              <w:t xml:space="preserve"> notamment </w:t>
            </w:r>
            <w:r w:rsidR="009D14F0">
              <w:t>par l’application, à tous les projets,</w:t>
            </w:r>
            <w:r>
              <w:t xml:space="preserve"> des exigences </w:t>
            </w:r>
            <w:r w:rsidR="009D14F0">
              <w:t>de</w:t>
            </w:r>
            <w:r>
              <w:t xml:space="preserve"> l’approche de gestion des connaissances </w:t>
            </w:r>
            <w:r w:rsidR="009D14F0">
              <w:t>définies dans les</w:t>
            </w:r>
            <w:r>
              <w:t xml:space="preserve"> orientations du GEF </w:t>
            </w:r>
            <w:r w:rsidR="007E1663">
              <w:t xml:space="preserve">relatives à la </w:t>
            </w:r>
            <w:r>
              <w:t xml:space="preserve">politique </w:t>
            </w:r>
            <w:r w:rsidR="007E1663">
              <w:t xml:space="preserve">sur le </w:t>
            </w:r>
            <w:r>
              <w:t>cycle des projets et programmes.</w:t>
            </w:r>
          </w:p>
          <w:p w14:paraId="4E9EA4A8" w14:textId="0E4FCC41" w:rsidR="00371D64" w:rsidRPr="00C67737" w:rsidRDefault="00371D64" w:rsidP="007A34AE">
            <w:pPr>
              <w:keepLines/>
              <w:ind w:left="180"/>
            </w:pPr>
            <w:r>
              <w:t> f) i)</w:t>
            </w:r>
            <w:r w:rsidR="006E54C7">
              <w:t> :</w:t>
            </w:r>
            <w:r>
              <w:t xml:space="preserve"> Programme intégré </w:t>
            </w:r>
            <w:r w:rsidR="0094079E">
              <w:t>« </w:t>
            </w:r>
            <w:r>
              <w:t>Villes durables</w:t>
            </w:r>
            <w:r w:rsidR="0094079E">
              <w:t> »</w:t>
            </w:r>
            <w:r>
              <w:t xml:space="preserve"> L’objectif 1 de la stratégie du domaine d’intervention </w:t>
            </w:r>
            <w:r w:rsidR="0094079E">
              <w:t>« </w:t>
            </w:r>
            <w:r>
              <w:t>diversité biologique</w:t>
            </w:r>
            <w:r w:rsidR="0094079E">
              <w:t> »</w:t>
            </w:r>
            <w:r>
              <w:t xml:space="preserve"> peut y contribuer.</w:t>
            </w:r>
          </w:p>
          <w:p w14:paraId="02C25198" w14:textId="41620662" w:rsidR="00D51388" w:rsidRDefault="00371D64" w:rsidP="007A34AE">
            <w:pPr>
              <w:keepLines/>
              <w:ind w:left="180"/>
            </w:pPr>
            <w:r>
              <w:t>f) ii)</w:t>
            </w:r>
            <w:r w:rsidR="006E54C7">
              <w:t> :</w:t>
            </w:r>
            <w:r>
              <w:t xml:space="preserve"> Cet élément est </w:t>
            </w:r>
            <w:r w:rsidR="00966DA6">
              <w:t xml:space="preserve">pris en compte de manière transversale </w:t>
            </w:r>
            <w:r>
              <w:t xml:space="preserve">dans l’ensemble des projets du GEF et du GBFF, conformément </w:t>
            </w:r>
            <w:r w:rsidR="00D51388">
              <w:t>aux</w:t>
            </w:r>
            <w:r>
              <w:t xml:space="preserve"> politique</w:t>
            </w:r>
            <w:r w:rsidR="00D51388">
              <w:t>s</w:t>
            </w:r>
            <w:r>
              <w:t xml:space="preserve"> du GEF. </w:t>
            </w:r>
          </w:p>
          <w:p w14:paraId="590924D9" w14:textId="7B689642" w:rsidR="00371D64" w:rsidRPr="00C67737" w:rsidRDefault="00371D64" w:rsidP="00D51388">
            <w:pPr>
              <w:ind w:left="181"/>
            </w:pPr>
            <w:r>
              <w:t>f) iii)</w:t>
            </w:r>
            <w:r w:rsidR="006E54C7">
              <w:t> :</w:t>
            </w:r>
            <w:r>
              <w:t xml:space="preserve"> L’objectif 1 de la stratégie du domaine d’intervention </w:t>
            </w:r>
            <w:r w:rsidR="0094079E">
              <w:t>« </w:t>
            </w:r>
            <w:r>
              <w:t>diversité biologique</w:t>
            </w:r>
            <w:r w:rsidR="0094079E">
              <w:t> »</w:t>
            </w:r>
            <w:r>
              <w:t xml:space="preserve">, </w:t>
            </w:r>
            <w:r w:rsidR="00173141">
              <w:t>le</w:t>
            </w:r>
            <w:r>
              <w:t xml:space="preserve"> domaine d’intervention </w:t>
            </w:r>
            <w:r w:rsidR="0094079E">
              <w:t>« </w:t>
            </w:r>
            <w:r>
              <w:t>produits chimiques et déchets</w:t>
            </w:r>
            <w:r w:rsidR="0094079E">
              <w:t> »</w:t>
            </w:r>
            <w:r>
              <w:t xml:space="preserve"> et la plupart des programmes </w:t>
            </w:r>
            <w:proofErr w:type="gramStart"/>
            <w:r>
              <w:t>intégrés</w:t>
            </w:r>
            <w:r w:rsidR="00173141">
              <w:t>,</w:t>
            </w:r>
            <w:r w:rsidR="0023645A">
              <w:t>—</w:t>
            </w:r>
            <w:proofErr w:type="gramEnd"/>
            <w:r>
              <w:t xml:space="preserve"> </w:t>
            </w:r>
            <w:r w:rsidR="0094079E">
              <w:t>« </w:t>
            </w:r>
            <w:r>
              <w:t xml:space="preserve">Conservation </w:t>
            </w:r>
            <w:r w:rsidR="0024339A">
              <w:t>des espèces</w:t>
            </w:r>
            <w:r>
              <w:t xml:space="preserve"> sauvage</w:t>
            </w:r>
            <w:r w:rsidR="0024339A">
              <w:t>s</w:t>
            </w:r>
            <w:r>
              <w:t xml:space="preserve"> pour le développement</w:t>
            </w:r>
            <w:r w:rsidR="0094079E">
              <w:t> »</w:t>
            </w:r>
            <w:r>
              <w:t xml:space="preserve">, </w:t>
            </w:r>
            <w:r w:rsidR="0094079E">
              <w:t>« </w:t>
            </w:r>
            <w:r>
              <w:t>systèmes alimentaires</w:t>
            </w:r>
            <w:r w:rsidR="0094079E">
              <w:t> »</w:t>
            </w:r>
            <w:r>
              <w:t xml:space="preserve">, </w:t>
            </w:r>
            <w:r w:rsidR="0094079E">
              <w:t>« </w:t>
            </w:r>
            <w:r>
              <w:t>Chaines d’approvisionnement sans pollution</w:t>
            </w:r>
            <w:r w:rsidR="0094079E">
              <w:t> »</w:t>
            </w:r>
            <w:r>
              <w:t xml:space="preserve">, </w:t>
            </w:r>
            <w:r w:rsidR="0094079E">
              <w:t>« </w:t>
            </w:r>
            <w:r>
              <w:t>Solutions circulaires à la pollution par les plastiques</w:t>
            </w:r>
            <w:r w:rsidR="0094079E">
              <w:t> »</w:t>
            </w:r>
            <w:r>
              <w:t xml:space="preserve">, </w:t>
            </w:r>
            <w:r w:rsidR="0094079E">
              <w:t>« </w:t>
            </w:r>
            <w:r>
              <w:t>Villes durables</w:t>
            </w:r>
            <w:r w:rsidR="0094079E">
              <w:t> »</w:t>
            </w:r>
            <w:r>
              <w:t xml:space="preserve"> et </w:t>
            </w:r>
            <w:r w:rsidR="0094079E">
              <w:lastRenderedPageBreak/>
              <w:t>« </w:t>
            </w:r>
            <w:r>
              <w:t>gest</w:t>
            </w:r>
            <w:r w:rsidR="00057482">
              <w:t>i</w:t>
            </w:r>
            <w:r>
              <w:t>on des zones arides et de la sécheresse</w:t>
            </w:r>
            <w:proofErr w:type="gramStart"/>
            <w:r w:rsidR="0094079E">
              <w:t> »</w:t>
            </w:r>
            <w:r w:rsidR="0023645A">
              <w:t>—</w:t>
            </w:r>
            <w:proofErr w:type="gramEnd"/>
            <w:r>
              <w:t xml:space="preserve">  y contribuent. </w:t>
            </w:r>
          </w:p>
          <w:p w14:paraId="3CD24593" w14:textId="5AFEF426" w:rsidR="00371D64" w:rsidRPr="00C67737" w:rsidRDefault="00371D64" w:rsidP="00D51388">
            <w:pPr>
              <w:ind w:left="181"/>
            </w:pPr>
            <w:r>
              <w:t>g)</w:t>
            </w:r>
            <w:r w:rsidR="006E54C7">
              <w:t> :</w:t>
            </w:r>
            <w:r>
              <w:t xml:space="preserve"> </w:t>
            </w:r>
            <w:r w:rsidR="00B1047A">
              <w:t>L</w:t>
            </w:r>
            <w:r w:rsidR="00B1047A" w:rsidRPr="00B1047A">
              <w:t xml:space="preserve">a stratégie du domaine d’intervention </w:t>
            </w:r>
            <w:r w:rsidR="0094079E">
              <w:t>« </w:t>
            </w:r>
            <w:r w:rsidR="00B1047A" w:rsidRPr="00B1047A">
              <w:t>diversité biologique</w:t>
            </w:r>
            <w:r w:rsidR="0094079E">
              <w:t> »</w:t>
            </w:r>
            <w:r w:rsidR="00B1047A" w:rsidRPr="00B1047A">
              <w:t xml:space="preserve"> y contribue au moyen des activités habilitantes, notamment pour l’établissement des rapports nationaux et l’appui aux systèmes de suivi.</w:t>
            </w:r>
            <w:r>
              <w:t> </w:t>
            </w:r>
          </w:p>
          <w:p w14:paraId="69C3FBC1" w14:textId="6E8CE84B" w:rsidR="00371D64" w:rsidRPr="00C67737" w:rsidRDefault="00371D64" w:rsidP="007A34AE">
            <w:pPr>
              <w:keepLines/>
              <w:ind w:left="180"/>
            </w:pPr>
            <w:proofErr w:type="gramStart"/>
            <w:r>
              <w:t>h)-</w:t>
            </w:r>
            <w:proofErr w:type="gramEnd"/>
            <w:r>
              <w:t>j)</w:t>
            </w:r>
            <w:r w:rsidR="006E54C7">
              <w:t> :</w:t>
            </w:r>
            <w:r>
              <w:t xml:space="preserve"> L’objectif 2 de la stratégie du domaine d’intervention </w:t>
            </w:r>
            <w:r w:rsidR="0094079E">
              <w:t>« </w:t>
            </w:r>
            <w:r>
              <w:t>diversité biologique</w:t>
            </w:r>
            <w:r w:rsidR="0094079E">
              <w:t> »</w:t>
            </w:r>
            <w:r>
              <w:t xml:space="preserve"> et le domaine d’action 8 du GBFF y contribuent. </w:t>
            </w:r>
          </w:p>
        </w:tc>
      </w:tr>
    </w:tbl>
    <w:p w14:paraId="31B60DAB" w14:textId="7E1BECAD" w:rsidR="00371D64" w:rsidRPr="00C67737" w:rsidRDefault="00371D64" w:rsidP="00B767B6">
      <w:pPr>
        <w:ind w:left="540"/>
      </w:pPr>
    </w:p>
    <w:p w14:paraId="60E5BF1C" w14:textId="38737DAB" w:rsidR="007E3B0C" w:rsidRPr="00C67737" w:rsidRDefault="00E32EC4" w:rsidP="000B33CF">
      <w:pPr>
        <w:pStyle w:val="ListParagraph"/>
      </w:pPr>
      <w:r>
        <w:t xml:space="preserve">Les </w:t>
      </w:r>
      <w:r w:rsidR="00F02738">
        <w:t>orientations programmatiques</w:t>
      </w:r>
      <w:r>
        <w:t xml:space="preserve"> de </w:t>
      </w:r>
      <w:r w:rsidR="00376C22">
        <w:t>GEF</w:t>
      </w:r>
      <w:r w:rsidR="00376C22">
        <w:noBreakHyphen/>
      </w:r>
      <w:r>
        <w:t xml:space="preserve">9 ont également été conçues </w:t>
      </w:r>
      <w:r w:rsidR="00CF65E3">
        <w:t>pour</w:t>
      </w:r>
      <w:r>
        <w:t xml:space="preserve"> contribuer à la réalisation de l’ensemble des cibles du KMGBF. Le tableau 10 </w:t>
      </w:r>
      <w:r w:rsidR="00CD2F60">
        <w:t>met en</w:t>
      </w:r>
      <w:r>
        <w:t xml:space="preserve"> correspondance les </w:t>
      </w:r>
      <w:r w:rsidR="00F02738">
        <w:t>orientations programmatiques</w:t>
      </w:r>
      <w:r>
        <w:t xml:space="preserve"> de </w:t>
      </w:r>
      <w:r w:rsidR="00376C22">
        <w:t>GEF</w:t>
      </w:r>
      <w:r w:rsidR="00376C22">
        <w:noBreakHyphen/>
      </w:r>
      <w:r>
        <w:t xml:space="preserve">9 </w:t>
      </w:r>
      <w:r w:rsidR="00CD3559">
        <w:t xml:space="preserve">du fonds fiduciaire </w:t>
      </w:r>
      <w:r>
        <w:t>du GEF</w:t>
      </w:r>
      <w:r w:rsidR="00033346">
        <w:t xml:space="preserve"> et</w:t>
      </w:r>
      <w:r>
        <w:t xml:space="preserve"> les autres points d’</w:t>
      </w:r>
      <w:r w:rsidR="0048171A">
        <w:t>entrée</w:t>
      </w:r>
      <w:r>
        <w:t xml:space="preserve"> de la famille de fonds du GEF </w:t>
      </w:r>
      <w:r w:rsidR="00CD2F60">
        <w:t>avec</w:t>
      </w:r>
      <w:r>
        <w:t xml:space="preserve"> les cibles du KMGBF.</w:t>
      </w:r>
    </w:p>
    <w:p w14:paraId="6EF5341B" w14:textId="77777777" w:rsidR="00AA36A0" w:rsidRDefault="00AA36A0" w:rsidP="00084E7D">
      <w:pPr>
        <w:snapToGrid/>
        <w:spacing w:before="240" w:after="240"/>
        <w:sectPr w:rsidR="00AA36A0" w:rsidSect="00F5435A">
          <w:headerReference w:type="default" r:id="rId61"/>
          <w:pgSz w:w="12240" w:h="15840"/>
          <w:pgMar w:top="1440" w:right="1440" w:bottom="1440" w:left="1440" w:header="720" w:footer="288" w:gutter="0"/>
          <w:cols w:space="720"/>
          <w:docGrid w:linePitch="360"/>
        </w:sectPr>
      </w:pPr>
    </w:p>
    <w:p w14:paraId="615A0DE7" w14:textId="4B552C5A" w:rsidR="009410D9" w:rsidRPr="00C67737" w:rsidRDefault="0007429F" w:rsidP="00985C5B">
      <w:pPr>
        <w:pStyle w:val="Caption"/>
        <w:rPr>
          <w:i/>
        </w:rPr>
      </w:pPr>
      <w:bookmarkStart w:id="129" w:name="_Toc242183492"/>
      <w:r>
        <w:lastRenderedPageBreak/>
        <w:t xml:space="preserve">Tableau </w:t>
      </w:r>
      <w:r w:rsidRPr="00C67737">
        <w:fldChar w:fldCharType="begin"/>
      </w:r>
      <w:r w:rsidRPr="00C67737">
        <w:instrText>SEQ Table \* ARABIC</w:instrText>
      </w:r>
      <w:r w:rsidRPr="00C67737">
        <w:fldChar w:fldCharType="separate"/>
      </w:r>
      <w:r w:rsidR="006C2F5A">
        <w:rPr>
          <w:noProof/>
        </w:rPr>
        <w:t>10</w:t>
      </w:r>
      <w:r w:rsidRPr="00C67737">
        <w:fldChar w:fldCharType="end"/>
      </w:r>
      <w:r>
        <w:t xml:space="preserve">. Correspondance entre les </w:t>
      </w:r>
      <w:r w:rsidR="00F02738">
        <w:t>orientations programmatiques</w:t>
      </w:r>
      <w:r>
        <w:t xml:space="preserve"> de </w:t>
      </w:r>
      <w:r w:rsidR="00376C22">
        <w:t>GEF</w:t>
      </w:r>
      <w:r w:rsidR="00376C22">
        <w:noBreakHyphen/>
      </w:r>
      <w:r>
        <w:t>9 et les cibles d’action du KMGBF</w:t>
      </w:r>
      <w:bookmarkEnd w:id="129"/>
    </w:p>
    <w:tbl>
      <w:tblPr>
        <w:tblStyle w:val="PlainTable3"/>
        <w:tblW w:w="5000" w:type="pct"/>
        <w:tblLook w:val="04A0" w:firstRow="1" w:lastRow="0" w:firstColumn="1" w:lastColumn="0" w:noHBand="0" w:noVBand="1"/>
      </w:tblPr>
      <w:tblGrid>
        <w:gridCol w:w="747"/>
        <w:gridCol w:w="720"/>
        <w:gridCol w:w="710"/>
        <w:gridCol w:w="1173"/>
        <w:gridCol w:w="1137"/>
        <w:gridCol w:w="932"/>
        <w:gridCol w:w="1663"/>
        <w:gridCol w:w="767"/>
        <w:gridCol w:w="1476"/>
        <w:gridCol w:w="660"/>
        <w:gridCol w:w="1559"/>
        <w:gridCol w:w="1406"/>
      </w:tblGrid>
      <w:tr w:rsidR="009410D9" w:rsidRPr="00C67737" w14:paraId="22F5759A" w14:textId="77777777" w:rsidTr="00EA3FAF">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288"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6D44B0E" w14:textId="77777777" w:rsidR="009410D9" w:rsidRPr="00C67737" w:rsidRDefault="009410D9" w:rsidP="00EA3FAF">
            <w:pPr>
              <w:spacing w:before="0" w:after="0"/>
              <w:ind w:left="-14"/>
              <w:jc w:val="center"/>
            </w:pPr>
            <w:r>
              <w:rPr>
                <w:color w:val="000000" w:themeColor="text1"/>
                <w:sz w:val="14"/>
              </w:rPr>
              <w:t>Cibles du KMBGF</w:t>
            </w:r>
          </w:p>
        </w:tc>
        <w:tc>
          <w:tcPr>
            <w:tcW w:w="3312" w:type="pct"/>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95046C2" w14:textId="77777777" w:rsidR="009410D9" w:rsidRPr="00C67737" w:rsidRDefault="009410D9" w:rsidP="00EA3FAF">
            <w:pPr>
              <w:spacing w:before="0" w:after="0"/>
              <w:ind w:left="-14"/>
              <w:jc w:val="center"/>
              <w:cnfStyle w:val="100000000000" w:firstRow="1" w:lastRow="0" w:firstColumn="0" w:lastColumn="0" w:oddVBand="0" w:evenVBand="0" w:oddHBand="0" w:evenHBand="0" w:firstRowFirstColumn="0" w:firstRowLastColumn="0" w:lastRowFirstColumn="0" w:lastRowLastColumn="0"/>
            </w:pPr>
            <w:r>
              <w:rPr>
                <w:color w:val="000000" w:themeColor="text1"/>
                <w:sz w:val="16"/>
              </w:rPr>
              <w:t>PROGRAMMES ‎INTÉGRÉS‏</w:t>
            </w:r>
          </w:p>
        </w:tc>
        <w:tc>
          <w:tcPr>
            <w:tcW w:w="857" w:type="pct"/>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B73ED2" w14:textId="4E4F4FE4" w:rsidR="009410D9" w:rsidRPr="00AA36A0" w:rsidRDefault="00712ED2" w:rsidP="00EA3FAF">
            <w:pPr>
              <w:spacing w:before="0" w:after="0"/>
              <w:ind w:left="-14"/>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6"/>
                <w:szCs w:val="16"/>
              </w:rPr>
            </w:pPr>
            <w:r w:rsidRPr="00AA36A0">
              <w:rPr>
                <w:color w:val="000000" w:themeColor="text1"/>
                <w:sz w:val="16"/>
                <w:szCs w:val="16"/>
              </w:rPr>
              <w:t>Domaines d’intervention</w:t>
            </w:r>
            <w:r w:rsidRPr="006435D1">
              <w:rPr>
                <w:color w:val="000000" w:themeColor="text1"/>
                <w:sz w:val="16"/>
                <w:szCs w:val="16"/>
                <w:vertAlign w:val="superscript"/>
              </w:rPr>
              <w:t>‡</w:t>
            </w:r>
            <w:r w:rsidRPr="00AA36A0">
              <w:rPr>
                <w:color w:val="000000" w:themeColor="text1"/>
                <w:sz w:val="16"/>
                <w:szCs w:val="16"/>
              </w:rPr>
              <w:t xml:space="preserve"> et initiatives stratégiques </w:t>
            </w:r>
            <w:r w:rsidR="00CD3559">
              <w:rPr>
                <w:color w:val="000000" w:themeColor="text1"/>
                <w:sz w:val="16"/>
                <w:szCs w:val="16"/>
              </w:rPr>
              <w:t xml:space="preserve">du fonds fiduciaire </w:t>
            </w:r>
            <w:r w:rsidRPr="00AA36A0">
              <w:rPr>
                <w:color w:val="000000" w:themeColor="text1"/>
                <w:sz w:val="16"/>
                <w:szCs w:val="16"/>
              </w:rPr>
              <w:t>du GEF</w:t>
            </w:r>
          </w:p>
        </w:tc>
        <w:tc>
          <w:tcPr>
            <w:tcW w:w="54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F1B690" w14:textId="2150922E" w:rsidR="009410D9" w:rsidRPr="00AA36A0" w:rsidRDefault="009410D9" w:rsidP="00EA3FAF">
            <w:pPr>
              <w:spacing w:before="0" w:after="0"/>
              <w:ind w:left="-14"/>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6"/>
                <w:szCs w:val="16"/>
              </w:rPr>
            </w:pPr>
            <w:r w:rsidRPr="00AA36A0">
              <w:rPr>
                <w:color w:val="000000" w:themeColor="text1"/>
                <w:sz w:val="16"/>
                <w:szCs w:val="16"/>
              </w:rPr>
              <w:t xml:space="preserve">Domaines d’action </w:t>
            </w:r>
            <w:r w:rsidR="000D554C">
              <w:rPr>
                <w:color w:val="000000" w:themeColor="text1"/>
                <w:sz w:val="16"/>
                <w:szCs w:val="16"/>
              </w:rPr>
              <w:t xml:space="preserve">(DA) </w:t>
            </w:r>
            <w:r w:rsidRPr="00AA36A0">
              <w:rPr>
                <w:color w:val="000000" w:themeColor="text1"/>
                <w:sz w:val="16"/>
                <w:szCs w:val="16"/>
              </w:rPr>
              <w:t>du GBFF et autres fonds</w:t>
            </w:r>
          </w:p>
        </w:tc>
      </w:tr>
      <w:tr w:rsidR="009410D9" w:rsidRPr="00C67737" w14:paraId="59BF3B84" w14:textId="77777777" w:rsidTr="00EA3FAF">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88" w:type="pct"/>
            <w:vMerge/>
            <w:tcBorders>
              <w:top w:val="single" w:sz="4" w:space="0" w:color="auto"/>
              <w:left w:val="single" w:sz="4" w:space="0" w:color="auto"/>
              <w:bottom w:val="single" w:sz="4" w:space="0" w:color="auto"/>
            </w:tcBorders>
            <w:tcMar>
              <w:left w:w="108" w:type="dxa"/>
              <w:right w:w="108" w:type="dxa"/>
            </w:tcMar>
            <w:vAlign w:val="center"/>
          </w:tcPr>
          <w:p w14:paraId="3DAD4CC4" w14:textId="77777777" w:rsidR="009410D9" w:rsidRPr="00C67737" w:rsidRDefault="009410D9" w:rsidP="00EA3FAF">
            <w:pPr>
              <w:spacing w:before="0" w:after="0"/>
            </w:pPr>
          </w:p>
        </w:tc>
        <w:tc>
          <w:tcPr>
            <w:tcW w:w="2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C66E168" w14:textId="3E3681D1" w:rsidR="009410D9" w:rsidRPr="00C67737" w:rsidRDefault="000B7DDA" w:rsidP="00EA3FAF">
            <w:pPr>
              <w:spacing w:before="0" w:after="0"/>
              <w:ind w:left="-213" w:right="-108"/>
              <w:jc w:val="center"/>
              <w:cnfStyle w:val="000000100000" w:firstRow="0" w:lastRow="0" w:firstColumn="0" w:lastColumn="0" w:oddVBand="0" w:evenVBand="0" w:oddHBand="1" w:evenHBand="0" w:firstRowFirstColumn="0" w:firstRowLastColumn="0" w:lastRowFirstColumn="0" w:lastRowLastColumn="0"/>
              <w:rPr>
                <w:sz w:val="14"/>
                <w:szCs w:val="14"/>
              </w:rPr>
            </w:pPr>
            <w:r>
              <w:rPr>
                <w:b/>
                <w:color w:val="000000" w:themeColor="text1"/>
                <w:sz w:val="14"/>
              </w:rPr>
              <w:t>Biomes</w:t>
            </w:r>
            <w:r w:rsidR="009410D9">
              <w:rPr>
                <w:b/>
                <w:color w:val="000000" w:themeColor="text1"/>
                <w:sz w:val="14"/>
              </w:rPr>
              <w:t xml:space="preserve"> </w:t>
            </w:r>
            <w:r w:rsidR="00502C42">
              <w:rPr>
                <w:b/>
                <w:color w:val="000000" w:themeColor="text1"/>
                <w:sz w:val="14"/>
              </w:rPr>
              <w:t>forestiers critiques</w:t>
            </w: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1E22354" w14:textId="77777777" w:rsidR="009410D9" w:rsidRPr="00C67737" w:rsidRDefault="009410D9" w:rsidP="00EA3FAF">
            <w:pPr>
              <w:spacing w:before="0" w:after="0"/>
              <w:ind w:left="-19"/>
              <w:jc w:val="center"/>
              <w:cnfStyle w:val="000000100000" w:firstRow="0" w:lastRow="0" w:firstColumn="0" w:lastColumn="0" w:oddVBand="0" w:evenVBand="0" w:oddHBand="1" w:evenHBand="0" w:firstRowFirstColumn="0" w:firstRowLastColumn="0" w:lastRowFirstColumn="0" w:lastRowLastColumn="0"/>
              <w:rPr>
                <w:sz w:val="14"/>
                <w:szCs w:val="14"/>
              </w:rPr>
            </w:pPr>
            <w:r>
              <w:rPr>
                <w:b/>
                <w:color w:val="000000" w:themeColor="text1"/>
                <w:sz w:val="14"/>
              </w:rPr>
              <w:t>Îles bleues et vertes</w:t>
            </w:r>
          </w:p>
        </w:tc>
        <w:tc>
          <w:tcPr>
            <w:tcW w:w="4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B723178" w14:textId="77777777" w:rsidR="009410D9" w:rsidRPr="00C67737" w:rsidRDefault="009410D9" w:rsidP="00EA3FAF">
            <w:pPr>
              <w:spacing w:before="0" w:after="0"/>
              <w:ind w:left="-19"/>
              <w:jc w:val="center"/>
              <w:cnfStyle w:val="000000100000" w:firstRow="0" w:lastRow="0" w:firstColumn="0" w:lastColumn="0" w:oddVBand="0" w:evenVBand="0" w:oddHBand="1" w:evenHBand="0" w:firstRowFirstColumn="0" w:firstRowLastColumn="0" w:lastRowFirstColumn="0" w:lastRowLastColumn="0"/>
              <w:rPr>
                <w:sz w:val="14"/>
                <w:szCs w:val="14"/>
              </w:rPr>
            </w:pPr>
            <w:r>
              <w:rPr>
                <w:b/>
                <w:color w:val="000000" w:themeColor="text1"/>
                <w:sz w:val="14"/>
              </w:rPr>
              <w:t>Solutions circulaires à la pollution par les plastiques</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6E0AE46" w14:textId="77777777" w:rsidR="009410D9" w:rsidRPr="00C67737" w:rsidRDefault="009410D9" w:rsidP="00EA3FAF">
            <w:pPr>
              <w:spacing w:before="0" w:after="0"/>
              <w:ind w:left="-19"/>
              <w:jc w:val="center"/>
              <w:cnfStyle w:val="000000100000" w:firstRow="0" w:lastRow="0" w:firstColumn="0" w:lastColumn="0" w:oddVBand="0" w:evenVBand="0" w:oddHBand="1" w:evenHBand="0" w:firstRowFirstColumn="0" w:firstRowLastColumn="0" w:lastRowFirstColumn="0" w:lastRowLastColumn="0"/>
              <w:rPr>
                <w:sz w:val="14"/>
                <w:szCs w:val="14"/>
              </w:rPr>
            </w:pPr>
            <w:r>
              <w:rPr>
                <w:b/>
                <w:color w:val="000000" w:themeColor="text1"/>
                <w:sz w:val="14"/>
              </w:rPr>
              <w:t>Gestion des zones arides et de la sécheresse</w:t>
            </w: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48A79A3" w14:textId="77777777" w:rsidR="009410D9" w:rsidRPr="00C67737" w:rsidRDefault="009410D9" w:rsidP="00EA3FAF">
            <w:pPr>
              <w:spacing w:before="0" w:after="0"/>
              <w:ind w:left="-110" w:right="-154"/>
              <w:jc w:val="center"/>
              <w:cnfStyle w:val="000000100000" w:firstRow="0" w:lastRow="0" w:firstColumn="0" w:lastColumn="0" w:oddVBand="0" w:evenVBand="0" w:oddHBand="1" w:evenHBand="0" w:firstRowFirstColumn="0" w:firstRowLastColumn="0" w:lastRowFirstColumn="0" w:lastRowLastColumn="0"/>
              <w:rPr>
                <w:sz w:val="14"/>
                <w:szCs w:val="14"/>
              </w:rPr>
            </w:pPr>
            <w:r>
              <w:rPr>
                <w:b/>
                <w:color w:val="000000" w:themeColor="text1"/>
                <w:sz w:val="14"/>
              </w:rPr>
              <w:t>Systèmes alimentaires</w:t>
            </w:r>
          </w:p>
        </w:tc>
        <w:tc>
          <w:tcPr>
            <w:tcW w:w="6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F6943A0" w14:textId="77777777" w:rsidR="009410D9" w:rsidRPr="00C67737" w:rsidRDefault="009410D9" w:rsidP="00EA3FAF">
            <w:pPr>
              <w:spacing w:before="0" w:after="0"/>
              <w:ind w:left="-19"/>
              <w:jc w:val="center"/>
              <w:cnfStyle w:val="000000100000" w:firstRow="0" w:lastRow="0" w:firstColumn="0" w:lastColumn="0" w:oddVBand="0" w:evenVBand="0" w:oddHBand="1" w:evenHBand="0" w:firstRowFirstColumn="0" w:firstRowLastColumn="0" w:lastRowFirstColumn="0" w:lastRowLastColumn="0"/>
              <w:rPr>
                <w:sz w:val="14"/>
                <w:szCs w:val="14"/>
              </w:rPr>
            </w:pPr>
            <w:r>
              <w:rPr>
                <w:b/>
                <w:color w:val="000000" w:themeColor="text1"/>
                <w:sz w:val="14"/>
              </w:rPr>
              <w:t>Chaines d’approvisionnement sans pollution</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45409B2" w14:textId="77777777" w:rsidR="009410D9" w:rsidRPr="00C67737" w:rsidRDefault="009410D9" w:rsidP="00EA3FAF">
            <w:pPr>
              <w:spacing w:before="0" w:after="0"/>
              <w:ind w:left="-19"/>
              <w:jc w:val="center"/>
              <w:cnfStyle w:val="000000100000" w:firstRow="0" w:lastRow="0" w:firstColumn="0" w:lastColumn="0" w:oddVBand="0" w:evenVBand="0" w:oddHBand="1" w:evenHBand="0" w:firstRowFirstColumn="0" w:firstRowLastColumn="0" w:lastRowFirstColumn="0" w:lastRowLastColumn="0"/>
              <w:rPr>
                <w:sz w:val="14"/>
                <w:szCs w:val="14"/>
              </w:rPr>
            </w:pPr>
            <w:r>
              <w:rPr>
                <w:b/>
                <w:color w:val="000000" w:themeColor="text1"/>
                <w:sz w:val="14"/>
              </w:rPr>
              <w:t>Villes durables</w:t>
            </w:r>
          </w:p>
        </w:tc>
        <w:tc>
          <w:tcPr>
            <w:tcW w:w="5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704D0D3" w14:textId="77777777" w:rsidR="009410D9" w:rsidRPr="00C67737" w:rsidRDefault="009410D9" w:rsidP="00EA3FAF">
            <w:pPr>
              <w:spacing w:before="0" w:after="0"/>
              <w:ind w:left="-19"/>
              <w:jc w:val="center"/>
              <w:cnfStyle w:val="000000100000" w:firstRow="0" w:lastRow="0" w:firstColumn="0" w:lastColumn="0" w:oddVBand="0" w:evenVBand="0" w:oddHBand="1" w:evenHBand="0" w:firstRowFirstColumn="0" w:firstRowLastColumn="0" w:lastRowFirstColumn="0" w:lastRowLastColumn="0"/>
              <w:rPr>
                <w:sz w:val="14"/>
                <w:szCs w:val="14"/>
              </w:rPr>
            </w:pPr>
            <w:r>
              <w:rPr>
                <w:b/>
                <w:color w:val="000000" w:themeColor="text1"/>
                <w:sz w:val="14"/>
              </w:rPr>
              <w:t>Conservation de la vie sauvage pour le développement</w:t>
            </w:r>
          </w:p>
        </w:tc>
        <w:tc>
          <w:tcPr>
            <w:tcW w:w="857" w:type="pct"/>
            <w:gridSpan w:val="2"/>
            <w:vMerge/>
            <w:tcBorders>
              <w:top w:val="single" w:sz="4" w:space="0" w:color="auto"/>
              <w:left w:val="single" w:sz="4" w:space="0" w:color="auto"/>
              <w:bottom w:val="single" w:sz="4" w:space="0" w:color="auto"/>
              <w:right w:val="single" w:sz="4" w:space="0" w:color="auto"/>
            </w:tcBorders>
            <w:vAlign w:val="center"/>
          </w:tcPr>
          <w:p w14:paraId="4ECBFC5A" w14:textId="77777777" w:rsidR="009410D9" w:rsidRPr="00C67737" w:rsidRDefault="009410D9" w:rsidP="00EA3FAF">
            <w:pPr>
              <w:spacing w:before="0" w:after="0"/>
              <w:ind w:left="-19"/>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themeColor="text1"/>
                <w:sz w:val="16"/>
                <w:szCs w:val="16"/>
              </w:rPr>
            </w:pPr>
          </w:p>
        </w:tc>
        <w:tc>
          <w:tcPr>
            <w:tcW w:w="544" w:type="pct"/>
            <w:vMerge/>
            <w:tcBorders>
              <w:top w:val="single" w:sz="4" w:space="0" w:color="auto"/>
              <w:left w:val="single" w:sz="4" w:space="0" w:color="auto"/>
              <w:bottom w:val="single" w:sz="4" w:space="0" w:color="auto"/>
              <w:right w:val="single" w:sz="4" w:space="0" w:color="auto"/>
            </w:tcBorders>
            <w:vAlign w:val="center"/>
          </w:tcPr>
          <w:p w14:paraId="029CF066" w14:textId="77777777" w:rsidR="009410D9" w:rsidRPr="00C67737" w:rsidRDefault="009410D9" w:rsidP="00EA3FAF">
            <w:pPr>
              <w:spacing w:before="0" w:after="0"/>
              <w:ind w:left="-19"/>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themeColor="text1"/>
                <w:sz w:val="16"/>
                <w:szCs w:val="16"/>
              </w:rPr>
            </w:pPr>
          </w:p>
        </w:tc>
      </w:tr>
      <w:tr w:rsidR="009410D9" w:rsidRPr="00C67737" w14:paraId="12E9ADDC" w14:textId="77777777" w:rsidTr="00EA3FAF">
        <w:trPr>
          <w:trHeight w:val="258"/>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85B1538" w14:textId="77777777" w:rsidR="009410D9" w:rsidRPr="00C67737" w:rsidRDefault="009410D9" w:rsidP="00EA3FAF">
            <w:pPr>
              <w:spacing w:before="0" w:after="0"/>
              <w:jc w:val="center"/>
              <w:rPr>
                <w:rFonts w:eastAsia="Times New Roman"/>
                <w:sz w:val="16"/>
                <w:szCs w:val="16"/>
              </w:rPr>
            </w:pPr>
            <w:r>
              <w:rPr>
                <w:sz w:val="16"/>
              </w:rPr>
              <w:t>1</w:t>
            </w:r>
          </w:p>
        </w:tc>
        <w:tc>
          <w:tcPr>
            <w:tcW w:w="27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949BCCA"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74"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CDC7B1C"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453"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16BA009"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8E76252"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FB3B097"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B8A71AA"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96"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937544F"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57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AAA3476"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55" w:type="pct"/>
            <w:vMerge w:val="restart"/>
            <w:tcBorders>
              <w:top w:val="single" w:sz="4" w:space="0" w:color="auto"/>
              <w:left w:val="single" w:sz="4" w:space="0" w:color="auto"/>
              <w:bottom w:val="single" w:sz="8" w:space="0" w:color="auto"/>
              <w:right w:val="single" w:sz="4" w:space="0" w:color="auto"/>
            </w:tcBorders>
            <w:vAlign w:val="center"/>
          </w:tcPr>
          <w:p w14:paraId="1EAB83F0" w14:textId="7E99F45F" w:rsidR="009410D9" w:rsidRPr="00C67737" w:rsidRDefault="00F5144D"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DB</w:t>
            </w:r>
            <w:r w:rsidR="009410D9">
              <w:rPr>
                <w:b/>
                <w:sz w:val="16"/>
              </w:rPr>
              <w:t>-1</w:t>
            </w:r>
          </w:p>
        </w:tc>
        <w:tc>
          <w:tcPr>
            <w:tcW w:w="602" w:type="pct"/>
            <w:tcBorders>
              <w:top w:val="single" w:sz="4" w:space="0" w:color="auto"/>
              <w:left w:val="single" w:sz="4" w:space="0" w:color="auto"/>
              <w:bottom w:val="single" w:sz="4" w:space="0" w:color="auto"/>
              <w:right w:val="single" w:sz="4" w:space="0" w:color="auto"/>
            </w:tcBorders>
            <w:vAlign w:val="center"/>
          </w:tcPr>
          <w:p w14:paraId="34F14556" w14:textId="6BC54CD9" w:rsidR="009410D9" w:rsidRPr="00C67737" w:rsidRDefault="008E7561"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EI</w:t>
            </w:r>
          </w:p>
        </w:tc>
        <w:tc>
          <w:tcPr>
            <w:tcW w:w="544" w:type="pct"/>
            <w:tcBorders>
              <w:top w:val="single" w:sz="4" w:space="0" w:color="auto"/>
              <w:left w:val="single" w:sz="4" w:space="0" w:color="auto"/>
              <w:bottom w:val="single" w:sz="4" w:space="0" w:color="auto"/>
              <w:right w:val="single" w:sz="4" w:space="0" w:color="auto"/>
            </w:tcBorders>
            <w:vAlign w:val="center"/>
          </w:tcPr>
          <w:p w14:paraId="26FDC218" w14:textId="6DBA66FE"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-1</w:t>
            </w:r>
          </w:p>
          <w:p w14:paraId="700BE1FE" w14:textId="6D837935"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-2</w:t>
            </w:r>
          </w:p>
        </w:tc>
      </w:tr>
      <w:tr w:rsidR="00CA7AC4" w:rsidRPr="00C67737" w14:paraId="0886BCC6" w14:textId="77777777" w:rsidTr="00EA3FAF">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9BF89A5" w14:textId="77777777" w:rsidR="009410D9" w:rsidRPr="00C67737" w:rsidRDefault="009410D9" w:rsidP="00EA3FAF">
            <w:pPr>
              <w:spacing w:before="0" w:after="0"/>
              <w:jc w:val="center"/>
            </w:pPr>
            <w:r>
              <w:rPr>
                <w:color w:val="000000" w:themeColor="text1"/>
                <w:sz w:val="16"/>
              </w:rPr>
              <w:t>2</w:t>
            </w:r>
          </w:p>
        </w:tc>
        <w:tc>
          <w:tcPr>
            <w:tcW w:w="2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41045AD"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F4DC34E"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4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54A6FCA"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3AF53F3"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8347AA0"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6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05134CC"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6636CCB"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F519D28"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255" w:type="pct"/>
            <w:vMerge/>
            <w:vAlign w:val="center"/>
          </w:tcPr>
          <w:p w14:paraId="5906F9A5"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A42147" w14:textId="0BD5076C" w:rsidR="009410D9" w:rsidRPr="00C67737" w:rsidRDefault="00A63F2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DT</w:t>
            </w:r>
            <w:r w:rsidR="009410D9">
              <w:rPr>
                <w:b/>
                <w:sz w:val="16"/>
              </w:rPr>
              <w:t>-1</w:t>
            </w:r>
          </w:p>
          <w:p w14:paraId="629DA809"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CC-1.5</w:t>
            </w:r>
          </w:p>
          <w:p w14:paraId="55445C3A" w14:textId="69814604" w:rsidR="009410D9" w:rsidRPr="00C67737" w:rsidRDefault="008E7561"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EI</w:t>
            </w:r>
          </w:p>
        </w:tc>
        <w:tc>
          <w:tcPr>
            <w:tcW w:w="5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92F9AF" w14:textId="60B00C97" w:rsidR="009410D9" w:rsidRPr="00C67737" w:rsidRDefault="000D554C"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DA</w:t>
            </w:r>
            <w:r w:rsidR="009410D9">
              <w:rPr>
                <w:b/>
                <w:sz w:val="16"/>
              </w:rPr>
              <w:t>-1</w:t>
            </w:r>
          </w:p>
          <w:p w14:paraId="33817588" w14:textId="1763A0FA" w:rsidR="009410D9" w:rsidRPr="00C67737" w:rsidRDefault="000D554C"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DA</w:t>
            </w:r>
            <w:r w:rsidR="009410D9">
              <w:rPr>
                <w:b/>
                <w:sz w:val="16"/>
              </w:rPr>
              <w:t>-2</w:t>
            </w:r>
          </w:p>
        </w:tc>
      </w:tr>
      <w:tr w:rsidR="009410D9" w:rsidRPr="00C67737" w14:paraId="2F587E1A" w14:textId="77777777" w:rsidTr="00EA3FAF">
        <w:trPr>
          <w:trHeight w:val="378"/>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404ADA8" w14:textId="77777777" w:rsidR="009410D9" w:rsidRPr="00C67737" w:rsidRDefault="009410D9" w:rsidP="00EA3FAF">
            <w:pPr>
              <w:spacing w:before="0" w:after="0"/>
              <w:jc w:val="center"/>
            </w:pPr>
            <w:r>
              <w:rPr>
                <w:sz w:val="16"/>
              </w:rPr>
              <w:t>3</w:t>
            </w:r>
          </w:p>
        </w:tc>
        <w:tc>
          <w:tcPr>
            <w:tcW w:w="27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86C293"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74"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6E3523F"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453"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9D73AB8"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0F453D3"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8409B38"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18F9DD1"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96"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DA63909"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CE6ED81"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55" w:type="pct"/>
            <w:vMerge/>
            <w:vAlign w:val="center"/>
          </w:tcPr>
          <w:p w14:paraId="32324289"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tcPr>
          <w:p w14:paraId="4D2F3EFC"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CC-1.5</w:t>
            </w:r>
          </w:p>
          <w:p w14:paraId="289032BF" w14:textId="19BE2F1E" w:rsidR="009410D9" w:rsidRPr="00C67737" w:rsidRDefault="008E7561"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EI</w:t>
            </w:r>
          </w:p>
        </w:tc>
        <w:tc>
          <w:tcPr>
            <w:tcW w:w="544" w:type="pct"/>
            <w:tcBorders>
              <w:top w:val="single" w:sz="4" w:space="0" w:color="auto"/>
              <w:left w:val="single" w:sz="4" w:space="0" w:color="auto"/>
              <w:bottom w:val="single" w:sz="4" w:space="0" w:color="auto"/>
              <w:right w:val="single" w:sz="4" w:space="0" w:color="auto"/>
            </w:tcBorders>
            <w:vAlign w:val="center"/>
          </w:tcPr>
          <w:p w14:paraId="3EF7A420" w14:textId="3CD14A26"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-1</w:t>
            </w:r>
          </w:p>
          <w:p w14:paraId="3D603831" w14:textId="289665DA"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-2</w:t>
            </w:r>
          </w:p>
        </w:tc>
      </w:tr>
      <w:tr w:rsidR="00CA7AC4" w:rsidRPr="00C67737" w14:paraId="51C7A4D1" w14:textId="77777777" w:rsidTr="00EA3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0EA7E2A" w14:textId="77777777" w:rsidR="009410D9" w:rsidRPr="00C67737" w:rsidRDefault="009410D9" w:rsidP="00EA3FAF">
            <w:pPr>
              <w:spacing w:before="0" w:after="0"/>
              <w:jc w:val="center"/>
            </w:pPr>
            <w:r>
              <w:rPr>
                <w:color w:val="000000" w:themeColor="text1"/>
                <w:sz w:val="16"/>
              </w:rPr>
              <w:t>4</w:t>
            </w:r>
          </w:p>
        </w:tc>
        <w:tc>
          <w:tcPr>
            <w:tcW w:w="2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EF6FF7A"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4B3CCA8"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0BEFAB5"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9A4DC01"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498DB91"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72C3547"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60491FA"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860EB9A"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255" w:type="pct"/>
            <w:vMerge/>
            <w:vAlign w:val="center"/>
          </w:tcPr>
          <w:p w14:paraId="793B4D3B"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0ECBEA"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5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B1B709"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GBFF</w:t>
            </w:r>
          </w:p>
        </w:tc>
      </w:tr>
      <w:tr w:rsidR="009410D9" w:rsidRPr="00C67737" w14:paraId="2362AE2B" w14:textId="77777777" w:rsidTr="00EA3FAF">
        <w:trPr>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30AC9E1" w14:textId="77777777" w:rsidR="009410D9" w:rsidRPr="00C67737" w:rsidRDefault="009410D9" w:rsidP="00EA3FAF">
            <w:pPr>
              <w:spacing w:before="0" w:after="0"/>
              <w:jc w:val="center"/>
            </w:pPr>
            <w:r>
              <w:rPr>
                <w:sz w:val="16"/>
              </w:rPr>
              <w:t>5</w:t>
            </w:r>
          </w:p>
        </w:tc>
        <w:tc>
          <w:tcPr>
            <w:tcW w:w="27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FEFA26A"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74"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736A915"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53"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70145BF"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6DD964B"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DDB6FEB"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6617ECF"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96"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54AAF87"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3CB033"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55" w:type="pct"/>
            <w:vMerge/>
            <w:vAlign w:val="center"/>
          </w:tcPr>
          <w:p w14:paraId="7C406C6A"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tcPr>
          <w:p w14:paraId="4E8C212F" w14:textId="6CE37ED0" w:rsidR="009410D9" w:rsidRPr="00C67737" w:rsidRDefault="008E7561"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EI</w:t>
            </w:r>
            <w:r w:rsidR="009410D9">
              <w:rPr>
                <w:b/>
                <w:sz w:val="16"/>
              </w:rPr>
              <w:t>-1&amp;3</w:t>
            </w:r>
          </w:p>
        </w:tc>
        <w:tc>
          <w:tcPr>
            <w:tcW w:w="544" w:type="pct"/>
            <w:tcBorders>
              <w:top w:val="single" w:sz="4" w:space="0" w:color="auto"/>
              <w:left w:val="single" w:sz="4" w:space="0" w:color="auto"/>
              <w:bottom w:val="single" w:sz="4" w:space="0" w:color="auto"/>
              <w:right w:val="single" w:sz="4" w:space="0" w:color="auto"/>
            </w:tcBorders>
            <w:vAlign w:val="center"/>
          </w:tcPr>
          <w:p w14:paraId="70E1D985" w14:textId="7BA8C3B5"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-5</w:t>
            </w:r>
          </w:p>
        </w:tc>
      </w:tr>
      <w:tr w:rsidR="00CA7AC4" w:rsidRPr="00C67737" w14:paraId="450F6A7F" w14:textId="77777777" w:rsidTr="00EA3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BC05C00" w14:textId="77777777" w:rsidR="009410D9" w:rsidRPr="00C67737" w:rsidRDefault="009410D9" w:rsidP="00EA3FAF">
            <w:pPr>
              <w:spacing w:before="0" w:after="0"/>
              <w:jc w:val="center"/>
            </w:pPr>
            <w:r>
              <w:rPr>
                <w:color w:val="000000" w:themeColor="text1"/>
                <w:sz w:val="16"/>
              </w:rPr>
              <w:t>6</w:t>
            </w:r>
          </w:p>
        </w:tc>
        <w:tc>
          <w:tcPr>
            <w:tcW w:w="2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D961E34"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3117F31"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1494D86"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42FD589"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A1FCA06"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0963F8B"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F10789D"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5EFCC98"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55" w:type="pct"/>
            <w:vMerge/>
            <w:vAlign w:val="center"/>
          </w:tcPr>
          <w:p w14:paraId="5B88A77A"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8DDF5E" w14:textId="74032E9A" w:rsidR="009410D9" w:rsidRPr="00C67737" w:rsidRDefault="008E7561"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EI</w:t>
            </w:r>
            <w:r w:rsidR="009410D9">
              <w:rPr>
                <w:b/>
                <w:sz w:val="16"/>
              </w:rPr>
              <w:t>-1&amp;3</w:t>
            </w:r>
          </w:p>
        </w:tc>
        <w:tc>
          <w:tcPr>
            <w:tcW w:w="5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BEF023" w14:textId="1B2177F5" w:rsidR="009410D9" w:rsidRPr="00C67737" w:rsidRDefault="000D554C"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DA</w:t>
            </w:r>
            <w:r w:rsidR="009410D9">
              <w:rPr>
                <w:b/>
                <w:sz w:val="16"/>
              </w:rPr>
              <w:t>-7</w:t>
            </w:r>
          </w:p>
        </w:tc>
      </w:tr>
      <w:tr w:rsidR="009410D9" w:rsidRPr="00C67737" w14:paraId="70EBF132" w14:textId="77777777" w:rsidTr="00EA3FAF">
        <w:trPr>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B7566AB" w14:textId="77777777" w:rsidR="009410D9" w:rsidRPr="00C67737" w:rsidRDefault="009410D9" w:rsidP="00EA3FAF">
            <w:pPr>
              <w:spacing w:before="0" w:after="0"/>
              <w:jc w:val="center"/>
            </w:pPr>
            <w:r>
              <w:rPr>
                <w:sz w:val="16"/>
              </w:rPr>
              <w:t>7</w:t>
            </w:r>
          </w:p>
        </w:tc>
        <w:tc>
          <w:tcPr>
            <w:tcW w:w="27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F0BAD6"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74"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B3C8260"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453"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B628687"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439"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CFA103"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160E43C"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642"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D2073BC"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96"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04FE5D"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57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79F1FF6"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55" w:type="pct"/>
            <w:vMerge/>
            <w:vAlign w:val="center"/>
          </w:tcPr>
          <w:p w14:paraId="4E99E29A"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tcPr>
          <w:p w14:paraId="00971DAB" w14:textId="5DFD7D13" w:rsidR="009410D9" w:rsidRPr="00C67737" w:rsidRDefault="008E7561"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EI</w:t>
            </w:r>
            <w:r w:rsidR="009410D9">
              <w:rPr>
                <w:b/>
                <w:sz w:val="16"/>
              </w:rPr>
              <w:t>-1&amp;3</w:t>
            </w:r>
          </w:p>
          <w:p w14:paraId="4059D5EE" w14:textId="2497505E" w:rsidR="009410D9" w:rsidRPr="00C67737" w:rsidRDefault="00A63F2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PCD</w:t>
            </w:r>
            <w:r w:rsidR="009410D9">
              <w:rPr>
                <w:b/>
                <w:sz w:val="16"/>
              </w:rPr>
              <w:t>-</w:t>
            </w:r>
            <w:r>
              <w:rPr>
                <w:b/>
                <w:sz w:val="16"/>
              </w:rPr>
              <w:t>tous</w:t>
            </w:r>
          </w:p>
        </w:tc>
        <w:tc>
          <w:tcPr>
            <w:tcW w:w="544" w:type="pct"/>
            <w:tcBorders>
              <w:top w:val="single" w:sz="4" w:space="0" w:color="auto"/>
              <w:left w:val="single" w:sz="4" w:space="0" w:color="auto"/>
              <w:bottom w:val="single" w:sz="4" w:space="0" w:color="auto"/>
              <w:right w:val="single" w:sz="4" w:space="0" w:color="auto"/>
            </w:tcBorders>
            <w:vAlign w:val="center"/>
          </w:tcPr>
          <w:p w14:paraId="5170D6C4" w14:textId="1CED517D"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 xml:space="preserve"> 6</w:t>
            </w:r>
          </w:p>
        </w:tc>
      </w:tr>
      <w:tr w:rsidR="00CA7AC4" w:rsidRPr="00C67737" w14:paraId="48DF7753" w14:textId="77777777" w:rsidTr="00EA3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690FCC2" w14:textId="77777777" w:rsidR="009410D9" w:rsidRPr="00C67737" w:rsidRDefault="009410D9" w:rsidP="00EA3FAF">
            <w:pPr>
              <w:spacing w:before="0" w:after="0"/>
              <w:jc w:val="center"/>
            </w:pPr>
            <w:r>
              <w:rPr>
                <w:color w:val="000000" w:themeColor="text1"/>
                <w:sz w:val="16"/>
              </w:rPr>
              <w:t>8</w:t>
            </w:r>
          </w:p>
        </w:tc>
        <w:tc>
          <w:tcPr>
            <w:tcW w:w="2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33D600A"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49A3701"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4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B3CCCE6"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68D5B7C"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7FB8C47"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6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841264E"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667661C"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5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7C52FF7"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55" w:type="pct"/>
            <w:vMerge/>
            <w:vAlign w:val="center"/>
          </w:tcPr>
          <w:p w14:paraId="42CDF0DF"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9E6231"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CC-1</w:t>
            </w:r>
          </w:p>
          <w:p w14:paraId="6429E111" w14:textId="354D1279" w:rsidR="009410D9" w:rsidRPr="00C67737" w:rsidRDefault="00A63F2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DT</w:t>
            </w:r>
            <w:r w:rsidR="009410D9">
              <w:rPr>
                <w:b/>
                <w:sz w:val="16"/>
              </w:rPr>
              <w:t>-2</w:t>
            </w:r>
          </w:p>
          <w:p w14:paraId="35AC3F57" w14:textId="0459C28A" w:rsidR="009410D9" w:rsidRPr="00C67737" w:rsidRDefault="008E7561"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EI</w:t>
            </w:r>
          </w:p>
        </w:tc>
        <w:tc>
          <w:tcPr>
            <w:tcW w:w="5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06B13E" w14:textId="3928CC26" w:rsidR="009410D9" w:rsidRPr="00C67737" w:rsidRDefault="0010138C"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FPMA</w:t>
            </w:r>
          </w:p>
          <w:p w14:paraId="17CA59B0" w14:textId="35A88782" w:rsidR="009410D9" w:rsidRPr="00C67737" w:rsidRDefault="00E64BB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FSCC</w:t>
            </w:r>
          </w:p>
        </w:tc>
      </w:tr>
      <w:tr w:rsidR="009410D9" w:rsidRPr="00C67737" w14:paraId="2770969C" w14:textId="77777777" w:rsidTr="00EA3FAF">
        <w:trPr>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FF18272" w14:textId="77777777" w:rsidR="009410D9" w:rsidRPr="00C67737" w:rsidRDefault="009410D9" w:rsidP="00EA3FAF">
            <w:pPr>
              <w:spacing w:before="0" w:after="0"/>
              <w:jc w:val="center"/>
            </w:pPr>
            <w:r>
              <w:rPr>
                <w:sz w:val="16"/>
              </w:rPr>
              <w:t>9</w:t>
            </w:r>
          </w:p>
        </w:tc>
        <w:tc>
          <w:tcPr>
            <w:tcW w:w="27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F261A58"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74"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3CD6E05"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53"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B029DAA"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E677986"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ADB956"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DABDFCC"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96"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5B580DB"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F1D330B"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55" w:type="pct"/>
            <w:vMerge/>
            <w:vAlign w:val="center"/>
          </w:tcPr>
          <w:p w14:paraId="0E3BEC8A"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tcPr>
          <w:p w14:paraId="2BEE1ECF" w14:textId="254EE08D" w:rsidR="009410D9" w:rsidRPr="00C67737" w:rsidRDefault="008E7561"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EI</w:t>
            </w:r>
            <w:r w:rsidR="009410D9">
              <w:rPr>
                <w:b/>
                <w:sz w:val="16"/>
              </w:rPr>
              <w:t>-1&amp;3</w:t>
            </w:r>
          </w:p>
        </w:tc>
        <w:tc>
          <w:tcPr>
            <w:tcW w:w="544" w:type="pct"/>
            <w:tcBorders>
              <w:top w:val="single" w:sz="4" w:space="0" w:color="auto"/>
              <w:left w:val="single" w:sz="4" w:space="0" w:color="auto"/>
              <w:bottom w:val="single" w:sz="4" w:space="0" w:color="auto"/>
              <w:right w:val="single" w:sz="4" w:space="0" w:color="auto"/>
            </w:tcBorders>
            <w:vAlign w:val="center"/>
          </w:tcPr>
          <w:p w14:paraId="6920B946" w14:textId="7A9F1EAB"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-5</w:t>
            </w:r>
          </w:p>
        </w:tc>
      </w:tr>
      <w:tr w:rsidR="00CA7AC4" w:rsidRPr="00C67737" w14:paraId="35B800D5" w14:textId="77777777" w:rsidTr="00EA3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54EB2E5" w14:textId="77777777" w:rsidR="009410D9" w:rsidRPr="00C67737" w:rsidRDefault="009410D9" w:rsidP="00EA3FAF">
            <w:pPr>
              <w:spacing w:before="0" w:after="0"/>
              <w:jc w:val="center"/>
            </w:pPr>
            <w:r>
              <w:rPr>
                <w:color w:val="000000" w:themeColor="text1"/>
                <w:sz w:val="16"/>
              </w:rPr>
              <w:t>10</w:t>
            </w:r>
          </w:p>
        </w:tc>
        <w:tc>
          <w:tcPr>
            <w:tcW w:w="2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731B4F6"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8F81CEE"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4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17AAEF3"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A968DF8"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CD1604D"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7683174"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33E13EB"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5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F8F040D"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55" w:type="pct"/>
            <w:vMerge/>
            <w:vAlign w:val="center"/>
          </w:tcPr>
          <w:p w14:paraId="1C9B2CEF"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1787DF" w14:textId="708CC8C4" w:rsidR="009410D9" w:rsidRPr="00C67737" w:rsidRDefault="00A63F2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DT</w:t>
            </w:r>
            <w:r w:rsidR="009410D9">
              <w:rPr>
                <w:b/>
                <w:sz w:val="16"/>
              </w:rPr>
              <w:t>-1</w:t>
            </w:r>
          </w:p>
          <w:p w14:paraId="09C42E96"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CC-1. 5</w:t>
            </w:r>
          </w:p>
          <w:p w14:paraId="463BE94A" w14:textId="2DD196BC" w:rsidR="009410D9" w:rsidRPr="00C67737" w:rsidRDefault="008E7561"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EI</w:t>
            </w:r>
            <w:r w:rsidR="009410D9">
              <w:rPr>
                <w:b/>
                <w:sz w:val="16"/>
              </w:rPr>
              <w:t>-1&amp;33</w:t>
            </w:r>
          </w:p>
        </w:tc>
        <w:tc>
          <w:tcPr>
            <w:tcW w:w="5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718996" w14:textId="53C2893F" w:rsidR="009410D9" w:rsidRPr="00C67737" w:rsidRDefault="000D554C"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DA</w:t>
            </w:r>
            <w:r w:rsidR="009410D9">
              <w:rPr>
                <w:b/>
                <w:sz w:val="16"/>
              </w:rPr>
              <w:t>-6</w:t>
            </w:r>
          </w:p>
        </w:tc>
      </w:tr>
      <w:tr w:rsidR="009410D9" w:rsidRPr="00C67737" w14:paraId="2F487067" w14:textId="77777777" w:rsidTr="00EA3FAF">
        <w:trPr>
          <w:trHeight w:val="279"/>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04ADD6" w14:textId="77777777" w:rsidR="009410D9" w:rsidRPr="00C67737" w:rsidRDefault="009410D9" w:rsidP="00EA3FAF">
            <w:pPr>
              <w:spacing w:before="0" w:after="0"/>
              <w:jc w:val="center"/>
            </w:pPr>
            <w:r>
              <w:rPr>
                <w:sz w:val="16"/>
              </w:rPr>
              <w:t>11</w:t>
            </w:r>
          </w:p>
        </w:tc>
        <w:tc>
          <w:tcPr>
            <w:tcW w:w="27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18DEF5E"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74"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24B01B"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453"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384D62C"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A193211"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36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3A2BF72"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642"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5974944"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96"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7E268CF"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3DB7C07"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55" w:type="pct"/>
            <w:vMerge/>
            <w:vAlign w:val="center"/>
          </w:tcPr>
          <w:p w14:paraId="76320689"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tcPr>
          <w:p w14:paraId="7831A87B" w14:textId="1356D508" w:rsidR="009410D9" w:rsidRPr="00C67737" w:rsidRDefault="00A63F2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DT</w:t>
            </w:r>
            <w:r w:rsidR="009410D9">
              <w:rPr>
                <w:b/>
                <w:sz w:val="16"/>
              </w:rPr>
              <w:t>-1&amp;2</w:t>
            </w:r>
          </w:p>
          <w:p w14:paraId="24197A7C"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CC-1. 5</w:t>
            </w:r>
          </w:p>
          <w:p w14:paraId="007CAE02" w14:textId="2804C9DB" w:rsidR="009410D9" w:rsidRPr="00C67737" w:rsidRDefault="008E7561"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EI</w:t>
            </w:r>
          </w:p>
        </w:tc>
        <w:tc>
          <w:tcPr>
            <w:tcW w:w="544" w:type="pct"/>
            <w:tcBorders>
              <w:top w:val="single" w:sz="4" w:space="0" w:color="auto"/>
              <w:left w:val="single" w:sz="4" w:space="0" w:color="auto"/>
              <w:bottom w:val="single" w:sz="4" w:space="0" w:color="auto"/>
              <w:right w:val="single" w:sz="4" w:space="0" w:color="auto"/>
            </w:tcBorders>
            <w:vAlign w:val="center"/>
          </w:tcPr>
          <w:p w14:paraId="4A2C36BA" w14:textId="5407CC62" w:rsidR="009410D9" w:rsidRPr="00C67737" w:rsidRDefault="0010138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FPMA</w:t>
            </w:r>
          </w:p>
          <w:p w14:paraId="1D3C59A9" w14:textId="0480EADB" w:rsidR="009410D9" w:rsidRPr="00C67737" w:rsidRDefault="00E64BB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FSCC</w:t>
            </w:r>
          </w:p>
        </w:tc>
      </w:tr>
      <w:tr w:rsidR="00CA7AC4" w:rsidRPr="00C67737" w14:paraId="46EC5CC1" w14:textId="77777777" w:rsidTr="00EA3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90CE840" w14:textId="77777777" w:rsidR="009410D9" w:rsidRPr="00C67737" w:rsidRDefault="009410D9" w:rsidP="00EA3FAF">
            <w:pPr>
              <w:spacing w:before="0" w:after="0"/>
              <w:jc w:val="center"/>
            </w:pPr>
            <w:r>
              <w:rPr>
                <w:color w:val="000000" w:themeColor="text1"/>
                <w:sz w:val="16"/>
              </w:rPr>
              <w:t>12</w:t>
            </w:r>
          </w:p>
        </w:tc>
        <w:tc>
          <w:tcPr>
            <w:tcW w:w="2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F36A801"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ED81683"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2E48BDD"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4D662E5"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F9CBB37"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AC70684"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051F87B"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5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3B64A59"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4EECA2"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D8D473"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5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5B1234" w14:textId="03D99AB0" w:rsidR="009410D9" w:rsidRPr="00C67737" w:rsidRDefault="0010138C"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FPMA</w:t>
            </w:r>
          </w:p>
          <w:p w14:paraId="62D600DF" w14:textId="0A715D60" w:rsidR="009410D9" w:rsidRPr="00C67737" w:rsidRDefault="00E64BB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FSCC</w:t>
            </w:r>
          </w:p>
        </w:tc>
      </w:tr>
      <w:tr w:rsidR="009410D9" w:rsidRPr="00C67737" w14:paraId="45562233" w14:textId="77777777" w:rsidTr="00EA3FAF">
        <w:trPr>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4AF279C" w14:textId="77777777" w:rsidR="009410D9" w:rsidRPr="00C67737" w:rsidRDefault="009410D9" w:rsidP="00EA3FAF">
            <w:pPr>
              <w:spacing w:before="0" w:after="0"/>
              <w:jc w:val="center"/>
            </w:pPr>
            <w:r>
              <w:rPr>
                <w:sz w:val="16"/>
              </w:rPr>
              <w:t>13</w:t>
            </w:r>
          </w:p>
        </w:tc>
        <w:tc>
          <w:tcPr>
            <w:tcW w:w="27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E8F8128"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74"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25AD48A"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53"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1989975"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64409D9"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B3ABCB2"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765E3F5"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96"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AE73268"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8571C2"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55" w:type="pct"/>
            <w:tcBorders>
              <w:top w:val="single" w:sz="4" w:space="0" w:color="auto"/>
              <w:left w:val="single" w:sz="4" w:space="0" w:color="auto"/>
              <w:bottom w:val="single" w:sz="4" w:space="0" w:color="auto"/>
              <w:right w:val="single" w:sz="4" w:space="0" w:color="auto"/>
            </w:tcBorders>
            <w:vAlign w:val="center"/>
          </w:tcPr>
          <w:p w14:paraId="4469FF3C" w14:textId="19786F8F" w:rsidR="009410D9" w:rsidRPr="00C67737" w:rsidRDefault="00F5144D"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DB</w:t>
            </w:r>
            <w:r w:rsidR="009410D9">
              <w:rPr>
                <w:b/>
                <w:sz w:val="16"/>
              </w:rPr>
              <w:t>-2</w:t>
            </w:r>
          </w:p>
        </w:tc>
        <w:tc>
          <w:tcPr>
            <w:tcW w:w="602" w:type="pct"/>
            <w:tcBorders>
              <w:top w:val="single" w:sz="4" w:space="0" w:color="auto"/>
              <w:left w:val="single" w:sz="4" w:space="0" w:color="auto"/>
              <w:bottom w:val="single" w:sz="4" w:space="0" w:color="auto"/>
              <w:right w:val="single" w:sz="4" w:space="0" w:color="auto"/>
            </w:tcBorders>
            <w:vAlign w:val="center"/>
          </w:tcPr>
          <w:p w14:paraId="31717FE2" w14:textId="48659E7C" w:rsidR="009410D9" w:rsidRPr="00C67737" w:rsidRDefault="008E7561"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EI</w:t>
            </w:r>
            <w:r w:rsidR="009410D9">
              <w:rPr>
                <w:b/>
                <w:sz w:val="16"/>
              </w:rPr>
              <w:t>-2</w:t>
            </w:r>
          </w:p>
        </w:tc>
        <w:tc>
          <w:tcPr>
            <w:tcW w:w="544" w:type="pct"/>
            <w:tcBorders>
              <w:top w:val="single" w:sz="4" w:space="0" w:color="auto"/>
              <w:left w:val="single" w:sz="4" w:space="0" w:color="auto"/>
              <w:bottom w:val="single" w:sz="4" w:space="0" w:color="auto"/>
              <w:right w:val="single" w:sz="4" w:space="0" w:color="auto"/>
            </w:tcBorders>
            <w:vAlign w:val="center"/>
          </w:tcPr>
          <w:p w14:paraId="6A43C7D5" w14:textId="5C6AB55E"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-8</w:t>
            </w:r>
          </w:p>
        </w:tc>
      </w:tr>
      <w:tr w:rsidR="00CA7AC4" w:rsidRPr="00C67737" w14:paraId="678A34B8" w14:textId="77777777" w:rsidTr="00EA3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46AE6FB" w14:textId="77777777" w:rsidR="009410D9" w:rsidRPr="00C67737" w:rsidRDefault="009410D9" w:rsidP="00EA3FAF">
            <w:pPr>
              <w:spacing w:before="0" w:after="0"/>
              <w:jc w:val="center"/>
            </w:pPr>
            <w:r>
              <w:rPr>
                <w:color w:val="000000" w:themeColor="text1"/>
                <w:sz w:val="16"/>
              </w:rPr>
              <w:t>14</w:t>
            </w:r>
          </w:p>
        </w:tc>
        <w:tc>
          <w:tcPr>
            <w:tcW w:w="2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42BE69A"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33A7D5D"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4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5E7FCF9"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FE0D265"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EF459DD"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F283FB7"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6210D73"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5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D0DB093"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3BA8EE" w14:textId="452CE5C4" w:rsidR="009410D9" w:rsidRPr="00C67737" w:rsidRDefault="00F5144D"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DB</w:t>
            </w:r>
            <w:r w:rsidR="009410D9">
              <w:rPr>
                <w:b/>
                <w:sz w:val="16"/>
              </w:rPr>
              <w:t>-1&amp;3</w:t>
            </w:r>
          </w:p>
        </w:tc>
        <w:tc>
          <w:tcPr>
            <w:tcW w:w="6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CC8EC6" w14:textId="05E50ECC" w:rsidR="009410D9" w:rsidRPr="00C67737" w:rsidRDefault="008E7561"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EI</w:t>
            </w:r>
          </w:p>
        </w:tc>
        <w:tc>
          <w:tcPr>
            <w:tcW w:w="5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8E1360" w14:textId="5984E18D" w:rsidR="009410D9" w:rsidRPr="00C67737" w:rsidRDefault="000D554C"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DA</w:t>
            </w:r>
            <w:r w:rsidR="009410D9">
              <w:rPr>
                <w:b/>
                <w:sz w:val="16"/>
              </w:rPr>
              <w:t>-3</w:t>
            </w:r>
          </w:p>
        </w:tc>
      </w:tr>
      <w:tr w:rsidR="009410D9" w:rsidRPr="00C67737" w14:paraId="15109212" w14:textId="77777777" w:rsidTr="00EA3FAF">
        <w:trPr>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C1577CC" w14:textId="77777777" w:rsidR="009410D9" w:rsidRPr="00C67737" w:rsidRDefault="009410D9" w:rsidP="00EA3FAF">
            <w:pPr>
              <w:spacing w:before="0" w:after="0"/>
              <w:jc w:val="center"/>
            </w:pPr>
            <w:r>
              <w:rPr>
                <w:sz w:val="16"/>
              </w:rPr>
              <w:t>15</w:t>
            </w:r>
          </w:p>
        </w:tc>
        <w:tc>
          <w:tcPr>
            <w:tcW w:w="27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EA197BE"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74"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8470434"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53"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77910DD"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A88BD30"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ACE982F"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B0E9F7"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96"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80C669F"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EC9BCF4"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55" w:type="pct"/>
            <w:tcBorders>
              <w:top w:val="single" w:sz="4" w:space="0" w:color="auto"/>
              <w:left w:val="single" w:sz="4" w:space="0" w:color="auto"/>
              <w:bottom w:val="single" w:sz="4" w:space="0" w:color="auto"/>
              <w:right w:val="single" w:sz="4" w:space="0" w:color="auto"/>
            </w:tcBorders>
            <w:vAlign w:val="center"/>
          </w:tcPr>
          <w:p w14:paraId="3C62924A" w14:textId="0D3A8489" w:rsidR="009410D9" w:rsidRPr="00C67737" w:rsidRDefault="00F5144D"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DB</w:t>
            </w:r>
            <w:r w:rsidR="009410D9">
              <w:rPr>
                <w:b/>
                <w:sz w:val="16"/>
              </w:rPr>
              <w:t>-3</w:t>
            </w:r>
          </w:p>
        </w:tc>
        <w:tc>
          <w:tcPr>
            <w:tcW w:w="602" w:type="pct"/>
            <w:tcBorders>
              <w:top w:val="single" w:sz="4" w:space="0" w:color="auto"/>
              <w:left w:val="single" w:sz="4" w:space="0" w:color="auto"/>
              <w:bottom w:val="single" w:sz="4" w:space="0" w:color="auto"/>
              <w:right w:val="single" w:sz="4" w:space="0" w:color="auto"/>
            </w:tcBorders>
            <w:vAlign w:val="center"/>
          </w:tcPr>
          <w:p w14:paraId="2C92FCD2"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Financement mixte</w:t>
            </w:r>
          </w:p>
        </w:tc>
        <w:tc>
          <w:tcPr>
            <w:tcW w:w="544" w:type="pct"/>
            <w:tcBorders>
              <w:top w:val="single" w:sz="4" w:space="0" w:color="auto"/>
              <w:left w:val="single" w:sz="4" w:space="0" w:color="auto"/>
              <w:bottom w:val="single" w:sz="4" w:space="0" w:color="auto"/>
              <w:right w:val="single" w:sz="4" w:space="0" w:color="auto"/>
            </w:tcBorders>
            <w:vAlign w:val="center"/>
          </w:tcPr>
          <w:p w14:paraId="1DF9D943" w14:textId="448B2A71"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-3</w:t>
            </w:r>
          </w:p>
        </w:tc>
      </w:tr>
      <w:tr w:rsidR="00CA7AC4" w:rsidRPr="00C67737" w14:paraId="3B47EF1B" w14:textId="77777777" w:rsidTr="00EA3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7C06EE4" w14:textId="77777777" w:rsidR="009410D9" w:rsidRPr="00C67737" w:rsidRDefault="009410D9" w:rsidP="00EA3FAF">
            <w:pPr>
              <w:spacing w:before="0" w:after="0"/>
              <w:jc w:val="center"/>
            </w:pPr>
            <w:r>
              <w:rPr>
                <w:color w:val="000000" w:themeColor="text1"/>
                <w:sz w:val="16"/>
              </w:rPr>
              <w:t>16</w:t>
            </w:r>
          </w:p>
        </w:tc>
        <w:tc>
          <w:tcPr>
            <w:tcW w:w="2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C6AFD10"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F7B3FA7"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645D8CA"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09A7F2C"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20D80E5"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6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B1696BA"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CA126A1"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D53A5C8"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0BEBCF"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622B4F"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CC-1. 2</w:t>
            </w:r>
          </w:p>
        </w:tc>
        <w:tc>
          <w:tcPr>
            <w:tcW w:w="5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2437A4" w14:textId="41B836DE" w:rsidR="009410D9" w:rsidRPr="00C67737" w:rsidRDefault="0010138C"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FPMA</w:t>
            </w:r>
          </w:p>
          <w:p w14:paraId="2A773C10" w14:textId="3E736D4D" w:rsidR="009410D9" w:rsidRPr="00C67737" w:rsidRDefault="00E64BB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FSCC</w:t>
            </w:r>
          </w:p>
        </w:tc>
      </w:tr>
      <w:tr w:rsidR="009410D9" w:rsidRPr="00C67737" w14:paraId="319DBFC1" w14:textId="77777777" w:rsidTr="00EA3FAF">
        <w:trPr>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1ACA89D" w14:textId="77777777" w:rsidR="009410D9" w:rsidRPr="00C67737" w:rsidRDefault="009410D9" w:rsidP="00EA3FAF">
            <w:pPr>
              <w:spacing w:before="0" w:after="0"/>
              <w:jc w:val="center"/>
            </w:pPr>
            <w:r>
              <w:rPr>
                <w:sz w:val="16"/>
              </w:rPr>
              <w:t>17</w:t>
            </w:r>
          </w:p>
        </w:tc>
        <w:tc>
          <w:tcPr>
            <w:tcW w:w="27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7CD65A6"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74"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DC1909B"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53"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5D57B74"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9EDCF42"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334E0B4"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E9D4F67"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96"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3FBFF8F"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587BBF5"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55" w:type="pct"/>
            <w:tcBorders>
              <w:top w:val="single" w:sz="4" w:space="0" w:color="auto"/>
              <w:left w:val="single" w:sz="4" w:space="0" w:color="auto"/>
              <w:bottom w:val="single" w:sz="4" w:space="0" w:color="auto"/>
              <w:right w:val="single" w:sz="4" w:space="0" w:color="auto"/>
            </w:tcBorders>
            <w:vAlign w:val="center"/>
          </w:tcPr>
          <w:p w14:paraId="734289E1" w14:textId="776194C8" w:rsidR="009410D9" w:rsidRPr="00C67737" w:rsidRDefault="00F5144D"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DB</w:t>
            </w:r>
            <w:r w:rsidR="009410D9">
              <w:rPr>
                <w:b/>
                <w:sz w:val="16"/>
              </w:rPr>
              <w:t>-2</w:t>
            </w:r>
          </w:p>
        </w:tc>
        <w:tc>
          <w:tcPr>
            <w:tcW w:w="602" w:type="pct"/>
            <w:tcBorders>
              <w:top w:val="single" w:sz="4" w:space="0" w:color="auto"/>
              <w:left w:val="single" w:sz="4" w:space="0" w:color="auto"/>
              <w:bottom w:val="single" w:sz="4" w:space="0" w:color="auto"/>
              <w:right w:val="single" w:sz="4" w:space="0" w:color="auto"/>
            </w:tcBorders>
            <w:vAlign w:val="center"/>
          </w:tcPr>
          <w:p w14:paraId="5AB081E2"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544" w:type="pct"/>
            <w:tcBorders>
              <w:top w:val="single" w:sz="4" w:space="0" w:color="auto"/>
              <w:left w:val="single" w:sz="4" w:space="0" w:color="auto"/>
              <w:bottom w:val="single" w:sz="4" w:space="0" w:color="auto"/>
              <w:right w:val="single" w:sz="4" w:space="0" w:color="auto"/>
            </w:tcBorders>
            <w:vAlign w:val="center"/>
          </w:tcPr>
          <w:p w14:paraId="4073B2C3" w14:textId="44CE8BD2"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-8</w:t>
            </w:r>
          </w:p>
        </w:tc>
      </w:tr>
      <w:tr w:rsidR="00CA7AC4" w:rsidRPr="00C67737" w14:paraId="18B7482D" w14:textId="77777777" w:rsidTr="00EA3F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BD20B95" w14:textId="77777777" w:rsidR="009410D9" w:rsidRPr="00C67737" w:rsidRDefault="009410D9" w:rsidP="00EA3FAF">
            <w:pPr>
              <w:spacing w:before="0" w:after="0"/>
              <w:jc w:val="center"/>
            </w:pPr>
            <w:r>
              <w:rPr>
                <w:color w:val="000000" w:themeColor="text1"/>
                <w:sz w:val="16"/>
              </w:rPr>
              <w:t>18</w:t>
            </w:r>
          </w:p>
        </w:tc>
        <w:tc>
          <w:tcPr>
            <w:tcW w:w="27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4131D03"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C4CB350"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587D8E1"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7982142"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2409B93"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6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39D0B87"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pPr>
            <w:r>
              <w:rPr>
                <w:b/>
                <w:color w:val="000000" w:themeColor="text1"/>
                <w:sz w:val="16"/>
              </w:rPr>
              <w:t>X</w:t>
            </w:r>
          </w:p>
        </w:tc>
        <w:tc>
          <w:tcPr>
            <w:tcW w:w="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AD00B91"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A588521" w14:textId="77777777" w:rsidR="009410D9" w:rsidRPr="00C67737" w:rsidRDefault="009410D9" w:rsidP="00EA3FAF">
            <w:pPr>
              <w:spacing w:before="0" w:after="0"/>
              <w:cnfStyle w:val="000000100000" w:firstRow="0" w:lastRow="0" w:firstColumn="0" w:lastColumn="0" w:oddVBand="0" w:evenVBand="0" w:oddHBand="1" w:evenHBand="0" w:firstRowFirstColumn="0" w:firstRowLastColumn="0" w:lastRowFirstColumn="0" w:lastRowLastColumn="0"/>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81975" w14:textId="08B54120" w:rsidR="009410D9" w:rsidRPr="00C67737" w:rsidRDefault="00F5144D"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DB</w:t>
            </w:r>
            <w:r w:rsidR="009410D9">
              <w:rPr>
                <w:b/>
                <w:sz w:val="16"/>
              </w:rPr>
              <w:t>-3</w:t>
            </w:r>
          </w:p>
        </w:tc>
        <w:tc>
          <w:tcPr>
            <w:tcW w:w="6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F56881" w14:textId="7FE1074F" w:rsidR="009410D9" w:rsidRPr="00C67737" w:rsidRDefault="008E7561"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EI</w:t>
            </w:r>
            <w:r w:rsidR="009410D9">
              <w:rPr>
                <w:b/>
                <w:sz w:val="16"/>
              </w:rPr>
              <w:t>-1</w:t>
            </w:r>
          </w:p>
        </w:tc>
        <w:tc>
          <w:tcPr>
            <w:tcW w:w="5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B71640" w14:textId="466F4D2B" w:rsidR="009410D9" w:rsidRPr="00C67737" w:rsidRDefault="000D554C"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DA</w:t>
            </w:r>
            <w:r w:rsidR="009410D9">
              <w:rPr>
                <w:b/>
                <w:sz w:val="16"/>
              </w:rPr>
              <w:t>-3</w:t>
            </w:r>
          </w:p>
          <w:p w14:paraId="6FDD529D" w14:textId="3B008EB8" w:rsidR="009410D9" w:rsidRPr="00C67737" w:rsidRDefault="000D554C"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Pr>
                <w:b/>
                <w:sz w:val="16"/>
              </w:rPr>
              <w:t>DA</w:t>
            </w:r>
            <w:r w:rsidR="009410D9">
              <w:rPr>
                <w:b/>
                <w:sz w:val="16"/>
              </w:rPr>
              <w:t>-4</w:t>
            </w:r>
          </w:p>
        </w:tc>
      </w:tr>
      <w:tr w:rsidR="009410D9" w:rsidRPr="00C67737" w14:paraId="69819381" w14:textId="77777777" w:rsidTr="00EA3FAF">
        <w:trPr>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A5892A1" w14:textId="77777777" w:rsidR="009410D9" w:rsidRPr="00C67737" w:rsidRDefault="009410D9" w:rsidP="00EA3FAF">
            <w:pPr>
              <w:spacing w:before="0" w:after="0"/>
              <w:jc w:val="center"/>
            </w:pPr>
            <w:r>
              <w:rPr>
                <w:sz w:val="16"/>
              </w:rPr>
              <w:t>19</w:t>
            </w:r>
          </w:p>
        </w:tc>
        <w:tc>
          <w:tcPr>
            <w:tcW w:w="278"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2FE11BD"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74"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7FB650A"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453"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2600141"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439"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81D0589"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36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C6A3A67"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642"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24F4EE5"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pPr>
            <w:r>
              <w:rPr>
                <w:b/>
                <w:sz w:val="16"/>
              </w:rPr>
              <w:t>X</w:t>
            </w:r>
          </w:p>
        </w:tc>
        <w:tc>
          <w:tcPr>
            <w:tcW w:w="296"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79279FD"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57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95EADBC" w14:textId="77777777" w:rsidR="009410D9" w:rsidRPr="00C67737" w:rsidRDefault="009410D9" w:rsidP="00EA3FAF">
            <w:pPr>
              <w:spacing w:before="0" w:after="0"/>
              <w:cnfStyle w:val="000000000000" w:firstRow="0" w:lastRow="0" w:firstColumn="0" w:lastColumn="0" w:oddVBand="0" w:evenVBand="0" w:oddHBand="0" w:evenHBand="0" w:firstRowFirstColumn="0" w:firstRowLastColumn="0" w:lastRowFirstColumn="0" w:lastRowLastColumn="0"/>
            </w:pPr>
          </w:p>
        </w:tc>
        <w:tc>
          <w:tcPr>
            <w:tcW w:w="255" w:type="pct"/>
            <w:tcBorders>
              <w:top w:val="single" w:sz="4" w:space="0" w:color="auto"/>
              <w:left w:val="single" w:sz="4" w:space="0" w:color="auto"/>
              <w:bottom w:val="single" w:sz="4" w:space="0" w:color="auto"/>
              <w:right w:val="single" w:sz="4" w:space="0" w:color="auto"/>
            </w:tcBorders>
            <w:vAlign w:val="center"/>
          </w:tcPr>
          <w:p w14:paraId="203BE26F" w14:textId="3119D188" w:rsidR="009410D9" w:rsidRPr="00C67737" w:rsidRDefault="00F5144D"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DB</w:t>
            </w:r>
            <w:r w:rsidR="009410D9">
              <w:rPr>
                <w:b/>
                <w:sz w:val="16"/>
              </w:rPr>
              <w:t>-3</w:t>
            </w:r>
          </w:p>
        </w:tc>
        <w:tc>
          <w:tcPr>
            <w:tcW w:w="602" w:type="pct"/>
            <w:tcBorders>
              <w:top w:val="single" w:sz="4" w:space="0" w:color="auto"/>
              <w:left w:val="single" w:sz="4" w:space="0" w:color="auto"/>
              <w:bottom w:val="single" w:sz="4" w:space="0" w:color="auto"/>
              <w:right w:val="single" w:sz="4" w:space="0" w:color="auto"/>
            </w:tcBorders>
            <w:vAlign w:val="center"/>
          </w:tcPr>
          <w:p w14:paraId="346A8DB3"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Financement mixte</w:t>
            </w:r>
          </w:p>
          <w:p w14:paraId="76CAC98A"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PMF</w:t>
            </w:r>
          </w:p>
        </w:tc>
        <w:tc>
          <w:tcPr>
            <w:tcW w:w="544" w:type="pct"/>
            <w:tcBorders>
              <w:top w:val="single" w:sz="4" w:space="0" w:color="auto"/>
              <w:left w:val="single" w:sz="4" w:space="0" w:color="auto"/>
              <w:bottom w:val="single" w:sz="4" w:space="0" w:color="auto"/>
              <w:right w:val="single" w:sz="4" w:space="0" w:color="auto"/>
            </w:tcBorders>
            <w:vAlign w:val="center"/>
          </w:tcPr>
          <w:p w14:paraId="5CA2B834" w14:textId="2806DB08"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-4</w:t>
            </w:r>
          </w:p>
        </w:tc>
      </w:tr>
      <w:tr w:rsidR="009410D9" w:rsidRPr="00C67737" w14:paraId="0BE700E6" w14:textId="77777777" w:rsidTr="00EA3FAF">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288" w:type="pct"/>
            <w:vMerge w:val="restar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2B04BC4B" w14:textId="77777777" w:rsidR="009410D9" w:rsidRPr="00C67737" w:rsidRDefault="009410D9" w:rsidP="00EA3FAF">
            <w:pPr>
              <w:spacing w:before="0" w:after="0"/>
              <w:jc w:val="center"/>
              <w:rPr>
                <w:rFonts w:eastAsia="Times New Roman"/>
                <w:sz w:val="16"/>
                <w:szCs w:val="16"/>
              </w:rPr>
            </w:pPr>
            <w:r>
              <w:rPr>
                <w:sz w:val="16"/>
              </w:rPr>
              <w:lastRenderedPageBreak/>
              <w:t>20</w:t>
            </w:r>
          </w:p>
        </w:tc>
        <w:tc>
          <w:tcPr>
            <w:tcW w:w="4712" w:type="pct"/>
            <w:gridSpan w:val="11"/>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B84975" w14:textId="77777777"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Pr>
                <w:sz w:val="16"/>
              </w:rPr>
              <w:t xml:space="preserve">Tous les projets du GEF doivent, selon qu’il convient, intégrer des activités pertinentes de renforcement des capacités, de transfert de technologies et de coopération scientifique et technique. </w:t>
            </w:r>
          </w:p>
        </w:tc>
      </w:tr>
      <w:tr w:rsidR="009410D9" w:rsidRPr="00C67737" w14:paraId="34B31483" w14:textId="77777777" w:rsidTr="00EA3FAF">
        <w:trPr>
          <w:trHeight w:val="575"/>
        </w:trPr>
        <w:tc>
          <w:tcPr>
            <w:cnfStyle w:val="001000000000" w:firstRow="0" w:lastRow="0" w:firstColumn="1" w:lastColumn="0" w:oddVBand="0" w:evenVBand="0" w:oddHBand="0" w:evenHBand="0" w:firstRowFirstColumn="0" w:firstRowLastColumn="0" w:lastRowFirstColumn="0" w:lastRowLastColumn="0"/>
            <w:tcW w:w="288" w:type="pct"/>
            <w:vMerge/>
            <w:tcBorders>
              <w:top w:val="single" w:sz="4" w:space="0" w:color="auto"/>
              <w:left w:val="single" w:sz="4" w:space="0" w:color="auto"/>
              <w:bottom w:val="single" w:sz="4" w:space="0" w:color="auto"/>
            </w:tcBorders>
            <w:tcMar>
              <w:left w:w="108" w:type="dxa"/>
              <w:right w:w="108" w:type="dxa"/>
            </w:tcMar>
            <w:vAlign w:val="center"/>
          </w:tcPr>
          <w:p w14:paraId="381A208B" w14:textId="77777777" w:rsidR="009410D9" w:rsidRPr="00C67737" w:rsidRDefault="009410D9" w:rsidP="00EA3FAF">
            <w:pPr>
              <w:spacing w:before="0" w:after="0"/>
              <w:jc w:val="center"/>
              <w:rPr>
                <w:rFonts w:eastAsia="Times New Roman"/>
                <w:sz w:val="16"/>
                <w:szCs w:val="16"/>
              </w:rPr>
            </w:pPr>
          </w:p>
        </w:tc>
        <w:tc>
          <w:tcPr>
            <w:tcW w:w="3567" w:type="pct"/>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vAlign w:val="center"/>
          </w:tcPr>
          <w:p w14:paraId="5D5F35AF"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9B5577" w14:textId="1A740680"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sz w:val="12"/>
                <w:szCs w:val="12"/>
              </w:rPr>
            </w:pPr>
            <w:r>
              <w:rPr>
                <w:b/>
                <w:sz w:val="12"/>
              </w:rPr>
              <w:t xml:space="preserve">Programme de leadership Fonseca </w:t>
            </w:r>
          </w:p>
          <w:p w14:paraId="6A2A765E" w14:textId="2C834AE6" w:rsidR="009410D9" w:rsidRPr="00C67737" w:rsidRDefault="008E7561"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Pr>
                <w:b/>
                <w:sz w:val="14"/>
              </w:rPr>
              <w:t>EI</w:t>
            </w:r>
            <w:r w:rsidR="009410D9">
              <w:rPr>
                <w:b/>
                <w:sz w:val="14"/>
              </w:rPr>
              <w:t>-2</w:t>
            </w:r>
          </w:p>
        </w:tc>
        <w:tc>
          <w:tcPr>
            <w:tcW w:w="5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0BE091"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r>
      <w:tr w:rsidR="009410D9" w:rsidRPr="00C67737" w14:paraId="4255BC8B" w14:textId="77777777" w:rsidTr="00EA3FAF">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5526A68D" w14:textId="77777777" w:rsidR="009410D9" w:rsidRPr="00C67737" w:rsidRDefault="009410D9" w:rsidP="00EA3FAF">
            <w:pPr>
              <w:spacing w:before="0" w:after="0"/>
              <w:jc w:val="center"/>
              <w:rPr>
                <w:rFonts w:eastAsia="Times New Roman"/>
                <w:sz w:val="16"/>
                <w:szCs w:val="16"/>
              </w:rPr>
            </w:pPr>
            <w:r>
              <w:rPr>
                <w:sz w:val="16"/>
              </w:rPr>
              <w:t>21</w:t>
            </w:r>
          </w:p>
        </w:tc>
        <w:tc>
          <w:tcPr>
            <w:tcW w:w="4712" w:type="pct"/>
            <w:gridSpan w:val="11"/>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46D05B92" w14:textId="12B176BB" w:rsidR="009410D9" w:rsidRPr="00C67737"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Pr>
                <w:sz w:val="16"/>
              </w:rPr>
              <w:t>Tous les projets du GEF doivent intégrer des activités de gestion des connaissances et garantir le consentement préalable, donné librement et en connaissance de cause</w:t>
            </w:r>
            <w:r w:rsidR="00FF18F9">
              <w:rPr>
                <w:sz w:val="16"/>
              </w:rPr>
              <w:t>.</w:t>
            </w:r>
          </w:p>
        </w:tc>
      </w:tr>
      <w:tr w:rsidR="00CA7AC4" w:rsidRPr="00C67737" w14:paraId="0A641871" w14:textId="77777777" w:rsidTr="00EA3FAF">
        <w:trPr>
          <w:trHeight w:val="300"/>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6E2EE56D" w14:textId="77777777" w:rsidR="009410D9" w:rsidRPr="00C67737" w:rsidRDefault="009410D9" w:rsidP="00EA3FAF">
            <w:pPr>
              <w:spacing w:before="0" w:after="0"/>
              <w:jc w:val="center"/>
              <w:rPr>
                <w:rFonts w:eastAsia="Times New Roman"/>
                <w:sz w:val="16"/>
                <w:szCs w:val="16"/>
              </w:rPr>
            </w:pPr>
            <w:r>
              <w:rPr>
                <w:sz w:val="16"/>
              </w:rPr>
              <w:t>22*</w:t>
            </w:r>
          </w:p>
        </w:tc>
        <w:tc>
          <w:tcPr>
            <w:tcW w:w="278" w:type="pc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18248B00"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X</w:t>
            </w:r>
          </w:p>
        </w:tc>
        <w:tc>
          <w:tcPr>
            <w:tcW w:w="274" w:type="pc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4CF530FA"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X</w:t>
            </w:r>
          </w:p>
        </w:tc>
        <w:tc>
          <w:tcPr>
            <w:tcW w:w="453" w:type="pc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7564C693"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X</w:t>
            </w:r>
          </w:p>
        </w:tc>
        <w:tc>
          <w:tcPr>
            <w:tcW w:w="439" w:type="pc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3622FADA"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X</w:t>
            </w:r>
          </w:p>
        </w:tc>
        <w:tc>
          <w:tcPr>
            <w:tcW w:w="360" w:type="pc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76FE4400"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X</w:t>
            </w:r>
          </w:p>
        </w:tc>
        <w:tc>
          <w:tcPr>
            <w:tcW w:w="642" w:type="pc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1383A6CB"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X</w:t>
            </w:r>
          </w:p>
        </w:tc>
        <w:tc>
          <w:tcPr>
            <w:tcW w:w="296" w:type="pc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3CA277B6"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X</w:t>
            </w:r>
          </w:p>
        </w:tc>
        <w:tc>
          <w:tcPr>
            <w:tcW w:w="570" w:type="pc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3FD76346"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X</w:t>
            </w:r>
          </w:p>
        </w:tc>
        <w:tc>
          <w:tcPr>
            <w:tcW w:w="255"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5084C52"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ICI</w:t>
            </w:r>
          </w:p>
        </w:tc>
        <w:tc>
          <w:tcPr>
            <w:tcW w:w="602"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A64C219"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LD-3</w:t>
            </w:r>
          </w:p>
          <w:p w14:paraId="367730E5"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PMF</w:t>
            </w:r>
          </w:p>
        </w:tc>
        <w:tc>
          <w:tcPr>
            <w:tcW w:w="544"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9B85AE" w14:textId="643FC109" w:rsidR="009410D9" w:rsidRPr="00C67737" w:rsidRDefault="000D554C"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DA</w:t>
            </w:r>
            <w:r w:rsidR="009410D9">
              <w:rPr>
                <w:b/>
                <w:sz w:val="16"/>
              </w:rPr>
              <w:t>-2</w:t>
            </w:r>
          </w:p>
        </w:tc>
      </w:tr>
      <w:tr w:rsidR="009410D9" w:rsidRPr="00C67737" w14:paraId="23AE5411" w14:textId="77777777" w:rsidTr="00EA3FAF">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28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3D0A4B51" w14:textId="77777777" w:rsidR="009410D9" w:rsidRPr="00C67737" w:rsidRDefault="009410D9" w:rsidP="00EA3FAF">
            <w:pPr>
              <w:spacing w:before="0" w:after="0"/>
              <w:jc w:val="center"/>
              <w:rPr>
                <w:rFonts w:eastAsia="Times New Roman"/>
                <w:sz w:val="16"/>
                <w:szCs w:val="16"/>
              </w:rPr>
            </w:pPr>
            <w:r>
              <w:rPr>
                <w:sz w:val="16"/>
              </w:rPr>
              <w:t>23*</w:t>
            </w:r>
          </w:p>
        </w:tc>
        <w:tc>
          <w:tcPr>
            <w:tcW w:w="4712" w:type="pct"/>
            <w:gridSpan w:val="11"/>
            <w:tcBorders>
              <w:top w:val="single" w:sz="4" w:space="0" w:color="auto"/>
              <w:left w:val="single" w:sz="4" w:space="0" w:color="auto"/>
              <w:right w:val="single" w:sz="4" w:space="0" w:color="auto"/>
            </w:tcBorders>
            <w:shd w:val="clear" w:color="auto" w:fill="FFFFFF" w:themeFill="background1"/>
            <w:tcMar>
              <w:left w:w="108" w:type="dxa"/>
              <w:right w:w="108" w:type="dxa"/>
            </w:tcMar>
            <w:vAlign w:val="center"/>
          </w:tcPr>
          <w:p w14:paraId="4EF838F8" w14:textId="6941BE4B" w:rsidR="009410D9" w:rsidRPr="00FF18F9" w:rsidRDefault="009410D9" w:rsidP="00EA3FAF">
            <w:pPr>
              <w:spacing w:before="0" w:after="0"/>
              <w:jc w:val="center"/>
              <w:cnfStyle w:val="000000100000" w:firstRow="0" w:lastRow="0" w:firstColumn="0" w:lastColumn="0" w:oddVBand="0" w:evenVBand="0" w:oddHBand="1" w:evenHBand="0" w:firstRowFirstColumn="0" w:firstRowLastColumn="0" w:lastRowFirstColumn="0" w:lastRowLastColumn="0"/>
              <w:rPr>
                <w:sz w:val="16"/>
              </w:rPr>
            </w:pPr>
            <w:r w:rsidRPr="00FF18F9">
              <w:rPr>
                <w:sz w:val="16"/>
              </w:rPr>
              <w:t xml:space="preserve">Tous les projets du GEF doivent y contribuer conformément à la Politique du GEF en matière d’égalité des </w:t>
            </w:r>
            <w:r w:rsidR="00FF18F9">
              <w:rPr>
                <w:sz w:val="16"/>
              </w:rPr>
              <w:t>genres</w:t>
            </w:r>
            <w:r w:rsidRPr="00FF18F9">
              <w:rPr>
                <w:sz w:val="16"/>
              </w:rPr>
              <w:t>.</w:t>
            </w:r>
          </w:p>
        </w:tc>
      </w:tr>
      <w:tr w:rsidR="009410D9" w:rsidRPr="00C67737" w14:paraId="6ACB2416" w14:textId="77777777" w:rsidTr="00EA3FAF">
        <w:trPr>
          <w:trHeight w:val="149"/>
        </w:trPr>
        <w:tc>
          <w:tcPr>
            <w:cnfStyle w:val="001000000000" w:firstRow="0" w:lastRow="0" w:firstColumn="1" w:lastColumn="0" w:oddVBand="0" w:evenVBand="0" w:oddHBand="0" w:evenHBand="0" w:firstRowFirstColumn="0" w:firstRowLastColumn="0" w:lastRowFirstColumn="0" w:lastRowLastColumn="0"/>
            <w:tcW w:w="288" w:type="pct"/>
            <w:vMerge/>
            <w:tcBorders>
              <w:top w:val="single" w:sz="4" w:space="0" w:color="auto"/>
              <w:left w:val="single" w:sz="4" w:space="0" w:color="auto"/>
              <w:bottom w:val="single" w:sz="4" w:space="0" w:color="auto"/>
            </w:tcBorders>
            <w:tcMar>
              <w:left w:w="108" w:type="dxa"/>
              <w:right w:w="108" w:type="dxa"/>
            </w:tcMar>
            <w:vAlign w:val="center"/>
          </w:tcPr>
          <w:p w14:paraId="71DBDF13" w14:textId="77777777" w:rsidR="009410D9" w:rsidRPr="00C67737" w:rsidRDefault="009410D9" w:rsidP="00EA3FAF">
            <w:pPr>
              <w:spacing w:before="0" w:after="0"/>
              <w:jc w:val="center"/>
              <w:rPr>
                <w:rFonts w:eastAsia="Times New Roman"/>
                <w:sz w:val="16"/>
                <w:szCs w:val="16"/>
              </w:rPr>
            </w:pPr>
          </w:p>
        </w:tc>
        <w:tc>
          <w:tcPr>
            <w:tcW w:w="3567" w:type="pct"/>
            <w:gridSpan w:val="9"/>
            <w:tcBorders>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1B09C002"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6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17D9FA"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b/>
                <w:sz w:val="16"/>
              </w:rPr>
              <w:t>PMF</w:t>
            </w:r>
          </w:p>
        </w:tc>
        <w:tc>
          <w:tcPr>
            <w:tcW w:w="5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123014" w14:textId="77777777" w:rsidR="009410D9" w:rsidRPr="00C67737" w:rsidRDefault="009410D9" w:rsidP="00EA3FA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r>
    </w:tbl>
    <w:p w14:paraId="14DE3441" w14:textId="77777777" w:rsidR="005C290D" w:rsidRDefault="00F2398D" w:rsidP="009410D9">
      <w:pPr>
        <w:rPr>
          <w:sz w:val="16"/>
        </w:rPr>
      </w:pPr>
      <w:r w:rsidRPr="000D554C">
        <w:rPr>
          <w:sz w:val="16"/>
        </w:rPr>
        <w:t>‡ Cette colonne indique les objectifs des domaines d’intervention pertinents pour l’élaboration de projets contribuant à la mise en œuvre des</w:t>
      </w:r>
      <w:r>
        <w:t xml:space="preserve"> </w:t>
      </w:r>
      <w:r w:rsidRPr="000D554C">
        <w:rPr>
          <w:sz w:val="16"/>
        </w:rPr>
        <w:t xml:space="preserve">éléments d’une cible donnée du KMGBF. Par exemple, </w:t>
      </w:r>
      <w:r w:rsidR="00F5144D">
        <w:rPr>
          <w:sz w:val="16"/>
        </w:rPr>
        <w:t>DB</w:t>
      </w:r>
      <w:r w:rsidRPr="000D554C">
        <w:rPr>
          <w:sz w:val="16"/>
        </w:rPr>
        <w:t>-1 renvoie à l’objectif 1 de la stratégie relative à la diversité biologique.</w:t>
      </w:r>
      <w:r>
        <w:rPr>
          <w:sz w:val="16"/>
        </w:rPr>
        <w:t xml:space="preserve"> ICI désigne l’initiative de conservation inclusive. * Le cadre de politiques du GEF relatif à la mobilisation des parties prenantes, aux peuples autochtones et communautés locales et à l’égalité des </w:t>
      </w:r>
      <w:r w:rsidR="00BD3611">
        <w:rPr>
          <w:sz w:val="16"/>
        </w:rPr>
        <w:t>genres</w:t>
      </w:r>
      <w:r>
        <w:rPr>
          <w:sz w:val="16"/>
        </w:rPr>
        <w:t xml:space="preserve"> garantit que tous les investissements du GEF contribuent aux cibles 22 et 23 et font l’objet d’un rapport annuel sur les résultats obtenus.</w:t>
      </w:r>
      <w:r w:rsidR="004E0F69">
        <w:rPr>
          <w:sz w:val="16"/>
        </w:rPr>
        <w:t xml:space="preserve"> </w:t>
      </w:r>
    </w:p>
    <w:p w14:paraId="0AF2A9EB" w14:textId="1CD760E9" w:rsidR="00AA36A0" w:rsidRDefault="005C290D" w:rsidP="009410D9">
      <w:pPr>
        <w:rPr>
          <w:sz w:val="16"/>
        </w:rPr>
        <w:sectPr w:rsidR="00AA36A0" w:rsidSect="00AA36A0">
          <w:pgSz w:w="15840" w:h="12240" w:orient="landscape"/>
          <w:pgMar w:top="1440" w:right="1440" w:bottom="1440" w:left="1440" w:header="720" w:footer="288" w:gutter="0"/>
          <w:cols w:space="720"/>
          <w:docGrid w:linePitch="360"/>
        </w:sectPr>
      </w:pPr>
      <w:r>
        <w:rPr>
          <w:sz w:val="16"/>
        </w:rPr>
        <w:t>Note</w:t>
      </w:r>
      <w:r w:rsidR="006E54C7">
        <w:rPr>
          <w:sz w:val="16"/>
        </w:rPr>
        <w:t> :</w:t>
      </w:r>
      <w:r>
        <w:rPr>
          <w:sz w:val="16"/>
        </w:rPr>
        <w:t xml:space="preserve"> </w:t>
      </w:r>
      <w:r w:rsidR="00EA3FAF">
        <w:rPr>
          <w:sz w:val="16"/>
        </w:rPr>
        <w:t>CC = Changements climatiques</w:t>
      </w:r>
      <w:r w:rsidR="006E54C7">
        <w:rPr>
          <w:sz w:val="16"/>
        </w:rPr>
        <w:t> ;</w:t>
      </w:r>
      <w:r w:rsidR="00EA3FAF">
        <w:rPr>
          <w:sz w:val="16"/>
        </w:rPr>
        <w:t xml:space="preserve"> </w:t>
      </w:r>
      <w:r w:rsidR="004E0F69">
        <w:rPr>
          <w:sz w:val="16"/>
        </w:rPr>
        <w:t>DB</w:t>
      </w:r>
      <w:r w:rsidR="00A63F29">
        <w:rPr>
          <w:sz w:val="16"/>
        </w:rPr>
        <w:t xml:space="preserve"> = Diversité biologique</w:t>
      </w:r>
      <w:r w:rsidR="006E54C7">
        <w:rPr>
          <w:sz w:val="16"/>
        </w:rPr>
        <w:t> ;</w:t>
      </w:r>
      <w:r w:rsidR="004E0F69">
        <w:rPr>
          <w:sz w:val="16"/>
        </w:rPr>
        <w:t xml:space="preserve"> </w:t>
      </w:r>
      <w:r w:rsidR="00EA3FAF">
        <w:rPr>
          <w:sz w:val="16"/>
        </w:rPr>
        <w:t>DT = Dégradation des terres</w:t>
      </w:r>
      <w:r w:rsidR="006E54C7">
        <w:rPr>
          <w:sz w:val="16"/>
        </w:rPr>
        <w:t> ;</w:t>
      </w:r>
      <w:r w:rsidR="00EA3FAF">
        <w:rPr>
          <w:sz w:val="16"/>
        </w:rPr>
        <w:t xml:space="preserve"> </w:t>
      </w:r>
      <w:r w:rsidR="004E0F69">
        <w:rPr>
          <w:sz w:val="16"/>
        </w:rPr>
        <w:t>EI = Eaux internationales</w:t>
      </w:r>
      <w:r w:rsidR="006E54C7">
        <w:rPr>
          <w:sz w:val="16"/>
        </w:rPr>
        <w:t> ;</w:t>
      </w:r>
      <w:r w:rsidR="004E0F69">
        <w:rPr>
          <w:sz w:val="16"/>
        </w:rPr>
        <w:t xml:space="preserve"> </w:t>
      </w:r>
      <w:r w:rsidR="00EA3FAF">
        <w:rPr>
          <w:sz w:val="16"/>
        </w:rPr>
        <w:t>PCD = Produits chimiques et déchet.</w:t>
      </w:r>
      <w:r w:rsidR="00F2398D">
        <w:rPr>
          <w:sz w:val="16"/>
        </w:rPr>
        <w:t xml:space="preserve"> </w:t>
      </w:r>
    </w:p>
    <w:p w14:paraId="69184828" w14:textId="20D39C8C" w:rsidR="00794C84" w:rsidRPr="00C67737" w:rsidRDefault="00737DE6" w:rsidP="00640F63">
      <w:pPr>
        <w:pStyle w:val="Heading1"/>
      </w:pPr>
      <w:bookmarkStart w:id="130" w:name="_Toc102227413"/>
      <w:bookmarkStart w:id="131" w:name="_Hlk26275865"/>
      <w:bookmarkStart w:id="132" w:name="_Hlk159933648"/>
      <w:bookmarkStart w:id="133" w:name="_Toc242184713"/>
      <w:bookmarkStart w:id="134" w:name="_Toc242185285"/>
      <w:bookmarkEnd w:id="0"/>
      <w:bookmarkEnd w:id="1"/>
      <w:r>
        <w:lastRenderedPageBreak/>
        <w:t xml:space="preserve">Mise en œuvre du </w:t>
      </w:r>
      <w:bookmarkEnd w:id="130"/>
      <w:bookmarkEnd w:id="131"/>
      <w:bookmarkEnd w:id="132"/>
      <w:r w:rsidR="00C74EA6">
        <w:t>portefeuille et</w:t>
      </w:r>
      <w:r>
        <w:t xml:space="preserve"> résultats des réformes en cours</w:t>
      </w:r>
      <w:bookmarkEnd w:id="133"/>
      <w:bookmarkEnd w:id="134"/>
    </w:p>
    <w:p w14:paraId="7156BAA7" w14:textId="4A59E6B5" w:rsidR="000D76F3" w:rsidRPr="00C67737" w:rsidRDefault="000D76F3" w:rsidP="000B33CF">
      <w:pPr>
        <w:pStyle w:val="ListParagraph"/>
      </w:pPr>
      <w:r>
        <w:t xml:space="preserve">Le GEF s’emploie à améliorer </w:t>
      </w:r>
      <w:r w:rsidR="009C0565">
        <w:t xml:space="preserve">continuellement </w:t>
      </w:r>
      <w:r w:rsidR="00C45D97">
        <w:t>son</w:t>
      </w:r>
      <w:r>
        <w:t xml:space="preserve"> portefeuille d</w:t>
      </w:r>
      <w:r w:rsidR="00C45D97">
        <w:t>’</w:t>
      </w:r>
      <w:r>
        <w:t xml:space="preserve">investissements </w:t>
      </w:r>
      <w:r w:rsidR="00412213">
        <w:t xml:space="preserve">réalisés </w:t>
      </w:r>
      <w:r>
        <w:t>dans les pays</w:t>
      </w:r>
      <w:r w:rsidR="00EC3C30">
        <w:t xml:space="preserve"> </w:t>
      </w:r>
      <w:r>
        <w:t>par l’intermédiaire de</w:t>
      </w:r>
      <w:r w:rsidR="00C45D97">
        <w:t xml:space="preserve"> se</w:t>
      </w:r>
      <w:r>
        <w:t xml:space="preserve">s Agences, afin d’obtenir des résultats environnementaux plus importants et plus durables. Depuis le début de </w:t>
      </w:r>
      <w:r w:rsidR="00376C22">
        <w:t>GEF</w:t>
      </w:r>
      <w:r w:rsidR="00376C22">
        <w:noBreakHyphen/>
      </w:r>
      <w:r>
        <w:t xml:space="preserve">8, </w:t>
      </w:r>
      <w:r w:rsidR="00221068" w:rsidRPr="00221068">
        <w:t xml:space="preserve">il </w:t>
      </w:r>
      <w:r w:rsidR="00F233B9">
        <w:t>poursuit</w:t>
      </w:r>
      <w:r w:rsidR="00221068" w:rsidRPr="00221068">
        <w:t xml:space="preserve"> un programme d’activités </w:t>
      </w:r>
      <w:r w:rsidR="00D203DF">
        <w:t>v</w:t>
      </w:r>
      <w:r w:rsidR="00D203DF" w:rsidRPr="00D203DF">
        <w:t>isant à renforcer la capacité d’action des pays</w:t>
      </w:r>
      <w:r w:rsidR="00221068" w:rsidRPr="00221068">
        <w:t xml:space="preserve">, à simplifier ses procédures, à faciliter l’accès aux financements et à </w:t>
      </w:r>
      <w:r w:rsidR="00311B96">
        <w:t>améliorer l’exécution de ses activités</w:t>
      </w:r>
      <w:r w:rsidR="00221068" w:rsidRPr="00221068">
        <w:t>.</w:t>
      </w:r>
      <w:r>
        <w:t xml:space="preserve"> </w:t>
      </w:r>
    </w:p>
    <w:p w14:paraId="644457AD" w14:textId="4B99961D" w:rsidR="000D76F3" w:rsidRPr="00C67737" w:rsidRDefault="00F01EC6" w:rsidP="00D56EFB">
      <w:pPr>
        <w:pStyle w:val="Heading2"/>
        <w:rPr>
          <w:bCs/>
          <w:kern w:val="2"/>
          <w14:ligatures w14:val="standardContextual"/>
        </w:rPr>
      </w:pPr>
      <w:bookmarkStart w:id="135" w:name="_Toc242184661"/>
      <w:bookmarkStart w:id="136" w:name="_Toc242184714"/>
      <w:bookmarkStart w:id="137" w:name="_Toc242185286"/>
      <w:r>
        <w:t>Renforcer l</w:t>
      </w:r>
      <w:r w:rsidR="000D76F3">
        <w:t xml:space="preserve">es capacités </w:t>
      </w:r>
      <w:r w:rsidR="0084528F">
        <w:t xml:space="preserve">des pays </w:t>
      </w:r>
      <w:r w:rsidR="000D76F3">
        <w:t>et</w:t>
      </w:r>
      <w:r w:rsidR="0084528F">
        <w:t xml:space="preserve"> l’</w:t>
      </w:r>
      <w:r w:rsidR="000D76F3">
        <w:t>appropriation nationale</w:t>
      </w:r>
      <w:bookmarkEnd w:id="135"/>
      <w:bookmarkEnd w:id="136"/>
      <w:bookmarkEnd w:id="137"/>
    </w:p>
    <w:p w14:paraId="3E65AF32" w14:textId="6E229090" w:rsidR="003266C0" w:rsidRPr="00C67737" w:rsidRDefault="003266C0" w:rsidP="000B33CF">
      <w:pPr>
        <w:pStyle w:val="ListParagraph"/>
      </w:pPr>
      <w:r>
        <w:t xml:space="preserve">La stratégie </w:t>
      </w:r>
      <w:r w:rsidR="000918A8">
        <w:t>d’engagement avec les pays</w:t>
      </w:r>
      <w:r w:rsidR="006F38EE">
        <w:t xml:space="preserve"> (</w:t>
      </w:r>
      <w:r w:rsidR="006F38EE">
        <w:rPr>
          <w:i/>
          <w:iCs/>
        </w:rPr>
        <w:t xml:space="preserve">Country Engagement </w:t>
      </w:r>
      <w:proofErr w:type="spellStart"/>
      <w:r w:rsidR="006F38EE">
        <w:rPr>
          <w:i/>
          <w:iCs/>
        </w:rPr>
        <w:t>Strategy</w:t>
      </w:r>
      <w:proofErr w:type="spellEnd"/>
      <w:r w:rsidR="00DC2906" w:rsidRPr="00C67737">
        <w:rPr>
          <w:rStyle w:val="FootnoteReference"/>
          <w:lang w:val="en-US"/>
        </w:rPr>
        <w:footnoteReference w:id="123"/>
      </w:r>
      <w:r w:rsidR="006F38EE">
        <w:t>)</w:t>
      </w:r>
      <w:r>
        <w:t xml:space="preserve">, </w:t>
      </w:r>
      <w:r w:rsidR="0016139C">
        <w:t>mise en place</w:t>
      </w:r>
      <w:r>
        <w:t xml:space="preserve"> dans le cadre de </w:t>
      </w:r>
      <w:r w:rsidR="00376C22">
        <w:t>GEF</w:t>
      </w:r>
      <w:r w:rsidR="00376C22">
        <w:noBreakHyphen/>
      </w:r>
      <w:r>
        <w:t xml:space="preserve">8, </w:t>
      </w:r>
      <w:r w:rsidR="0016139C">
        <w:t>permet aux</w:t>
      </w:r>
      <w:r>
        <w:t xml:space="preserve"> pays </w:t>
      </w:r>
      <w:r w:rsidR="0016139C">
        <w:t>d’</w:t>
      </w:r>
      <w:r>
        <w:t xml:space="preserve">améliorer l’avancement de leur portefeuille et </w:t>
      </w:r>
      <w:r w:rsidR="0016139C">
        <w:t>d’</w:t>
      </w:r>
      <w:r>
        <w:t>optimiser l’impact des ressources du GEF</w:t>
      </w:r>
      <w:r w:rsidR="0016139C">
        <w:t>, notamment au moyen d’</w:t>
      </w:r>
      <w:r>
        <w:t xml:space="preserve">activités de renforcement des capacités, </w:t>
      </w:r>
      <w:r w:rsidR="000918A8">
        <w:t>d’engagement avec les pays</w:t>
      </w:r>
      <w:r>
        <w:t xml:space="preserve"> en amont, de dialogues nationaux, d</w:t>
      </w:r>
      <w:r w:rsidR="00564AE1">
        <w:t>’</w:t>
      </w:r>
      <w:r>
        <w:t>ateliers régionaux et d</w:t>
      </w:r>
      <w:r w:rsidR="00564AE1">
        <w:t>’</w:t>
      </w:r>
      <w:r>
        <w:t>activités de gestion des connaissances adaptées a</w:t>
      </w:r>
      <w:r w:rsidR="00564AE1">
        <w:t>ux différents pays</w:t>
      </w:r>
      <w:r>
        <w:t xml:space="preserve">. </w:t>
      </w:r>
    </w:p>
    <w:p w14:paraId="2FF3C6EF" w14:textId="3B6E176C" w:rsidR="003266C0" w:rsidRPr="00C67737" w:rsidRDefault="003D2081" w:rsidP="000B33CF">
      <w:pPr>
        <w:pStyle w:val="ListParagraph"/>
      </w:pPr>
      <w:r>
        <w:t xml:space="preserve">Dans le cadre de </w:t>
      </w:r>
      <w:r w:rsidR="00376C22">
        <w:t>GEF</w:t>
      </w:r>
      <w:r w:rsidR="00376C22">
        <w:noBreakHyphen/>
      </w:r>
      <w:r>
        <w:t xml:space="preserve">8, 13 ateliers régionaux de lancement, 11 ateliers de consultation élargie et 81 dialogues techniques et nationaux en amont ont aidé les pays à définir les priorités de programmation de </w:t>
      </w:r>
      <w:r w:rsidR="00376C22">
        <w:t>GEF</w:t>
      </w:r>
      <w:r w:rsidR="00376C22">
        <w:noBreakHyphen/>
      </w:r>
      <w:r>
        <w:t>8</w:t>
      </w:r>
      <w:r w:rsidR="006D012C" w:rsidRPr="00854506">
        <w:footnoteReference w:id="124"/>
      </w:r>
      <w:r>
        <w:t xml:space="preserve">. Chaque délégation participant aux ateliers de consultation élargie comptait des points focaux politiques et des points focaux opérationnels du GEF, des points focaux nationaux des accords multilatéraux sur l’environnement pour lesquels le GEF intervient — y compris les points focaux de la CDB — ainsi que des représentants d’organisations de la société civile et du secteur privé. </w:t>
      </w:r>
    </w:p>
    <w:p w14:paraId="5D039896" w14:textId="04696128" w:rsidR="008E1B61" w:rsidRPr="00C67737" w:rsidRDefault="003266C0" w:rsidP="000B33CF">
      <w:pPr>
        <w:pStyle w:val="ListParagraph"/>
      </w:pPr>
      <w:r>
        <w:t xml:space="preserve">Dans le cadre de la stratégie </w:t>
      </w:r>
      <w:r w:rsidR="000918A8">
        <w:t>d’engagement avec les pays</w:t>
      </w:r>
      <w:r>
        <w:t xml:space="preserve"> de </w:t>
      </w:r>
      <w:r w:rsidR="00376C22">
        <w:t>GEF</w:t>
      </w:r>
      <w:r w:rsidR="00376C22">
        <w:noBreakHyphen/>
      </w:r>
      <w:r>
        <w:t xml:space="preserve">8, le GEF a apporté un appui financier à ses points focaux opérationnels afin </w:t>
      </w:r>
      <w:r w:rsidR="00AA7884">
        <w:t>de leur permettre d’</w:t>
      </w:r>
      <w:r>
        <w:t xml:space="preserve">exercer leur fonction de supervision des projets. Il a également organisé huit formations régionales </w:t>
      </w:r>
      <w:r w:rsidR="00AA7884">
        <w:t>à l’intention</w:t>
      </w:r>
      <w:r>
        <w:t xml:space="preserve"> de 140</w:t>
      </w:r>
      <w:r w:rsidR="00AA7884">
        <w:t> </w:t>
      </w:r>
      <w:r>
        <w:t xml:space="preserve">pays bénéficiaires. En renforçant leur compréhension de leurs rôles et responsabilités, ces formations ont </w:t>
      </w:r>
      <w:r w:rsidR="00AA7884">
        <w:t>accru</w:t>
      </w:r>
      <w:r>
        <w:t xml:space="preserve"> la capacité des points focaux opérationnels à superviser leurs portefeuilles tout au long du cycle des projets, de la conception à la mise en œuvre, </w:t>
      </w:r>
      <w:r w:rsidR="00AA7884">
        <w:t>favorisant</w:t>
      </w:r>
      <w:r>
        <w:t xml:space="preserve"> ainsi l’appropriation par les pays et la cohérence avec les priorités environnementales nationales. </w:t>
      </w:r>
    </w:p>
    <w:p w14:paraId="4E72E7D2" w14:textId="770F1737" w:rsidR="00F54A17" w:rsidRPr="00C67737" w:rsidRDefault="003266C0" w:rsidP="000B33CF">
      <w:pPr>
        <w:pStyle w:val="ListParagraph"/>
      </w:pPr>
      <w:r>
        <w:t xml:space="preserve">Le premier échange de connaissances du GEF </w:t>
      </w:r>
      <w:r w:rsidR="00AA7884">
        <w:t>à l’intention des</w:t>
      </w:r>
      <w:r>
        <w:t xml:space="preserve"> décideurs a été lancé au Costa Rica en 2025. Des ministres et </w:t>
      </w:r>
      <w:r w:rsidR="00AA7884">
        <w:t xml:space="preserve">des </w:t>
      </w:r>
      <w:r>
        <w:t xml:space="preserve">représentants de la Côte d’Ivoire, de la Guinée, du Kenya, du Sénégal et du Zimbabwe ont pu tirer des enseignements </w:t>
      </w:r>
      <w:r w:rsidR="00AA7884">
        <w:t>précieux de l’expérience du Costa Rica</w:t>
      </w:r>
      <w:r w:rsidR="00573114">
        <w:t xml:space="preserve"> qui</w:t>
      </w:r>
      <w:r>
        <w:t xml:space="preserve"> a efficacement mobilisé les ressources, les partenariats et les politiques du GEF pour réduire les émissions imputables aux secteurs de l’utilisation des terres et renforcer les puits de carbone, tout en améliorant les conditions de vie des communautés locales.</w:t>
      </w:r>
    </w:p>
    <w:p w14:paraId="75B7BD51" w14:textId="1ACC2D6F" w:rsidR="000F2564" w:rsidRPr="00C67737" w:rsidRDefault="00F95BCB" w:rsidP="000B33CF">
      <w:pPr>
        <w:pStyle w:val="ListParagraph"/>
      </w:pPr>
      <w:r>
        <w:t>Lancé au cours de la période considérée, le Programme de leadership Fonseca du GEF</w:t>
      </w:r>
      <w:r w:rsidRPr="00417A78">
        <w:rPr>
          <w:vertAlign w:val="superscript"/>
        </w:rPr>
        <w:footnoteReference w:id="125"/>
      </w:r>
      <w:r w:rsidRPr="00417A78">
        <w:rPr>
          <w:vertAlign w:val="superscript"/>
        </w:rPr>
        <w:t xml:space="preserve"> </w:t>
      </w:r>
      <w:r>
        <w:t xml:space="preserve">offre à de jeunes responsables de la conservation </w:t>
      </w:r>
      <w:r w:rsidR="00573114">
        <w:t>issus</w:t>
      </w:r>
      <w:r>
        <w:t xml:space="preserve"> de pays bénéficiaires du GEF la possibilité de poursuivre des études supérieures et de mener des recherches sur le terrain dans des </w:t>
      </w:r>
      <w:r>
        <w:lastRenderedPageBreak/>
        <w:t>domaines liés à la conservation de la biodiversité</w:t>
      </w:r>
      <w:r w:rsidR="004E786A" w:rsidRPr="00854506">
        <w:t xml:space="preserve"> </w:t>
      </w:r>
      <w:r w:rsidR="004E786A" w:rsidRPr="004E786A">
        <w:t>et de développer leurs compétences en matière de leadership.</w:t>
      </w:r>
      <w:r>
        <w:t xml:space="preserve"> Le Programme de leadership Fonseca a soutenu plus de 300 jeunes responsables de la conservation issus de 62 pays, </w:t>
      </w:r>
      <w:r w:rsidR="00196414" w:rsidRPr="00196414">
        <w:t>en associant des bourses d’études supérieures, dont ont bénéficié 95 personnes, et des financements de recherches sur le terrain, accordés à 205</w:t>
      </w:r>
      <w:r w:rsidR="00196414">
        <w:t> </w:t>
      </w:r>
      <w:r w:rsidR="00196414" w:rsidRPr="00196414">
        <w:t>personnes.</w:t>
      </w:r>
    </w:p>
    <w:p w14:paraId="5A0F0054" w14:textId="2B3375B5" w:rsidR="000D76F3" w:rsidRPr="00C67737" w:rsidRDefault="00F01EC6" w:rsidP="00D56EFB">
      <w:pPr>
        <w:pStyle w:val="Heading2"/>
      </w:pPr>
      <w:bookmarkStart w:id="138" w:name="_Toc242184662"/>
      <w:bookmarkStart w:id="139" w:name="_Toc242184715"/>
      <w:bookmarkStart w:id="140" w:name="_Toc242185287"/>
      <w:r>
        <w:t xml:space="preserve">Simplifier les procédures et améliorer </w:t>
      </w:r>
      <w:r w:rsidR="000D76F3">
        <w:t>l’accès</w:t>
      </w:r>
      <w:bookmarkEnd w:id="138"/>
      <w:bookmarkEnd w:id="139"/>
      <w:bookmarkEnd w:id="140"/>
    </w:p>
    <w:p w14:paraId="2613C65F" w14:textId="3285E62C" w:rsidR="005F7BC9" w:rsidRPr="00C67737" w:rsidRDefault="6C64EDE3" w:rsidP="000B33CF">
      <w:pPr>
        <w:pStyle w:val="ListParagraph"/>
      </w:pPr>
      <w:r>
        <w:t xml:space="preserve">La simplification et l’accélération de la mise en œuvre des projets et programmes du GEF ont constitué une priorité constante tout au long de </w:t>
      </w:r>
      <w:r w:rsidR="00376C22">
        <w:t>GEF</w:t>
      </w:r>
      <w:r w:rsidR="00376C22">
        <w:noBreakHyphen/>
      </w:r>
      <w:r>
        <w:t>8. Cette priorité répond à des signaux convergents des participants à la reconstitution des ressources, du Conseil du GEF, du Bureau indépendant d’évaluation du GEF, du Réseau d’évaluation de la performance des organisations multilatérales, ainsi que des réunions successives de la Conférence des Parties aux Conventions de Rio. Si les procédures du GEF sont rigoureuses, elles se sont progressivement complexifiées sur le plan administratif. Il était donc nécessaire de les simplifier afin d’accélérer le décaissement des ressources et de faciliter l’accès aux financements nécessaires à l’obtention de résultats environnementaux.</w:t>
      </w:r>
    </w:p>
    <w:p w14:paraId="2CB9BE1E" w14:textId="576133AD" w:rsidR="005F7BC9" w:rsidRPr="00C67737" w:rsidRDefault="6C64EDE3" w:rsidP="000B33CF">
      <w:pPr>
        <w:pStyle w:val="ListParagraph"/>
      </w:pPr>
      <w:r>
        <w:t xml:space="preserve">Les participants à la reconstitution des ressources de </w:t>
      </w:r>
      <w:r w:rsidR="00376C22">
        <w:t>GEF</w:t>
      </w:r>
      <w:r w:rsidR="00376C22">
        <w:noBreakHyphen/>
      </w:r>
      <w:r>
        <w:t xml:space="preserve">8 ont expressément chargé le GEF de </w:t>
      </w:r>
      <w:r w:rsidR="00286C41">
        <w:t>s’attaquer à cette question</w:t>
      </w:r>
      <w:r>
        <w:t xml:space="preserve">. En réponse, le Secrétariat du GEF a </w:t>
      </w:r>
      <w:r w:rsidR="0054673F">
        <w:t>entrepris</w:t>
      </w:r>
      <w:r>
        <w:t xml:space="preserve"> un examen structuré du cycle des projets et programmes, qui a conduit à la création d’un groupe de travail du Conseil chargé d’élaborer des options de réforme concrètes. Ce groupe </w:t>
      </w:r>
      <w:r w:rsidR="005C15C7">
        <w:t>était composé</w:t>
      </w:r>
      <w:r>
        <w:t xml:space="preserve"> de représentants du Brésil, de la France, de l’Inde, de la Norvège, des Pays-Bas et du Royaume-Uni. Les premières mesures ont été introduites lors de la soixante-sixième réunion du Conseil. Elles comprenaient, en particulier, le relèvement du plafond de financement des projets de moyenne envergure, de 2 millions à 5 millions de dollars, ce qui a sensiblement élargi l’accès à la procédure d’approbation en une seule étape. </w:t>
      </w:r>
      <w:r w:rsidR="004E225C" w:rsidRPr="004E225C">
        <w:t xml:space="preserve">Cette réforme s’est accompagnée de l’adoption de modèles de documents de projet simplifiés, de l’instauration de limites de pages et de mots </w:t>
      </w:r>
      <w:r w:rsidR="004E225C">
        <w:t>pour les</w:t>
      </w:r>
      <w:r>
        <w:t xml:space="preserve"> fiches d’identité d</w:t>
      </w:r>
      <w:r w:rsidR="00C17317">
        <w:t>u</w:t>
      </w:r>
      <w:r>
        <w:t xml:space="preserve"> projet (</w:t>
      </w:r>
      <w:r w:rsidR="00C17317">
        <w:t>FIP</w:t>
      </w:r>
      <w:r>
        <w:t xml:space="preserve">) et les documents </w:t>
      </w:r>
      <w:r w:rsidR="004E225C">
        <w:t>de demande d’</w:t>
      </w:r>
      <w:r>
        <w:t xml:space="preserve">agrément </w:t>
      </w:r>
      <w:r w:rsidR="00BE3924">
        <w:t>par le</w:t>
      </w:r>
      <w:r>
        <w:t xml:space="preserve"> directeur général. Des examens annuels du portefeuille avec chaque Agence ont aussi été lancés afin de recenser les goulets d’étranglement dans le traitement des projets. Au 30 juin 2026, les données relatives aux projets de moyenne </w:t>
      </w:r>
      <w:proofErr w:type="gramStart"/>
      <w:r>
        <w:t>envergure approuvés</w:t>
      </w:r>
      <w:proofErr w:type="gramEnd"/>
      <w:r>
        <w:t xml:space="preserve"> au titre de </w:t>
      </w:r>
      <w:r w:rsidR="00376C22">
        <w:t>GEF</w:t>
      </w:r>
      <w:r w:rsidR="00376C22">
        <w:noBreakHyphen/>
      </w:r>
      <w:r>
        <w:t>8 témoignent d’un recours significatif à la modalité en une seule étape</w:t>
      </w:r>
      <w:r w:rsidR="006E54C7">
        <w:t> :</w:t>
      </w:r>
      <w:r>
        <w:t xml:space="preserve"> 31 projets de moyenne envergure d’un montant compris entre 2 et 5 millions de dollars ont reçu l’agrément </w:t>
      </w:r>
      <w:r w:rsidR="00BE3924">
        <w:t>par le</w:t>
      </w:r>
      <w:r>
        <w:t xml:space="preserve"> directeur général au titre de cette modalité. À titre de comparaison, les </w:t>
      </w:r>
      <w:r w:rsidR="00C17317">
        <w:t>FIP</w:t>
      </w:r>
      <w:r>
        <w:t xml:space="preserve"> de 106 projets de moyenne envergure suivant une procédure en deux étapes et de 19 projets rattachés de moyenne envergure relevant de la même tranche de financement ont été approuvées. Le délai moyen entre la soumission et l’agrément des projets relevant de la modalité en une étape était de 6,5 mois, contre l’exigence applicable aux projets suivant une procédure en deux étapes, selon laquelle l’agrément du directeur général doit intervenir au plus tard 12 mois après son approbation de la </w:t>
      </w:r>
      <w:r w:rsidR="00C17317">
        <w:t>FIP</w:t>
      </w:r>
      <w:r>
        <w:t xml:space="preserve">. Cela met en évidence le gain de temps offert par la procédure unifiée en une étape. </w:t>
      </w:r>
    </w:p>
    <w:p w14:paraId="3A680E16" w14:textId="28BDDAE4" w:rsidR="00FB5C4C" w:rsidRPr="00C67737" w:rsidRDefault="005F7BC9" w:rsidP="000B33CF">
      <w:pPr>
        <w:pStyle w:val="ListParagraph"/>
      </w:pPr>
      <w:r>
        <w:t>La soixante-huitième réunion du Conseil a marqué une étape plus substantielle</w:t>
      </w:r>
      <w:r w:rsidR="006E54C7">
        <w:t> :</w:t>
      </w:r>
      <w:r>
        <w:t xml:space="preserve"> le groupe de travail y a présenté un ensemble complet de mesures portant sur les procédures d’approbation, la simplification des modèles, les normes de service et les exigences de suivi. </w:t>
      </w:r>
      <w:r>
        <w:lastRenderedPageBreak/>
        <w:t xml:space="preserve">Parmi les propositions figuraient l’abandon progressif, d’ici à la fin de </w:t>
      </w:r>
      <w:r w:rsidR="00376C22">
        <w:t>GEF</w:t>
      </w:r>
      <w:r w:rsidR="00376C22">
        <w:noBreakHyphen/>
      </w:r>
      <w:r>
        <w:t>8, de la procédure en deux étapes pour tous les projets de moyenne envergure, l’instauration de dates d’expiration pour les lettres d’</w:t>
      </w:r>
      <w:r w:rsidR="009A3785">
        <w:t xml:space="preserve">approbation </w:t>
      </w:r>
      <w:r>
        <w:t xml:space="preserve">afin d’encourager un suivi plus rapide, et le déploiement d’un suivi automatisé dans le portail afin d’améliorer la prévisibilité du portefeuille de projets à l’étude. La soixante-neuvième réunion du Conseil a ensuite donné effet, à compter du 1er juillet 2025, à un ensemble de modifications de politiques. Celles-ci comprenaient la révision des dates limites de soumission afin de réduire le risque d’annulation automatique des projets, l’obligation de procéder à des examens à mi-parcours pour les projets de moyenne envergure d’un montant supérieur à 2 millions de dollars, la simplification des rapports de suivi de l’avancement des programmes intégrés et la clarification des critères régissant le double rôle de mise en œuvre et d’exécution des </w:t>
      </w:r>
      <w:r w:rsidR="00F52D3D">
        <w:t>Agences</w:t>
      </w:r>
      <w:r>
        <w:t xml:space="preserve"> du GEF. Ces modalités sont désormais limitées à des circonstances exceptionnelles définies, notamment aux contextes de fragilité et de conflit, aux restrictions juridiques dans les pays hôtes et aux projets recourant aux Instruments financiers autre que les aides directes. </w:t>
      </w:r>
    </w:p>
    <w:p w14:paraId="732165D8" w14:textId="3E0E5B79" w:rsidR="005F7BC9" w:rsidRPr="00C67737" w:rsidRDefault="008521D0" w:rsidP="000B33CF">
      <w:pPr>
        <w:pStyle w:val="ListParagraph"/>
      </w:pPr>
      <w:r>
        <w:t xml:space="preserve">Les effets cumulés des réformes adoptées durant </w:t>
      </w:r>
      <w:r w:rsidR="00376C22">
        <w:t>GEF</w:t>
      </w:r>
      <w:r w:rsidR="00376C22">
        <w:noBreakHyphen/>
      </w:r>
      <w:r>
        <w:t xml:space="preserve">8 ressortent des données relatives au traitement du portefeuille. Comme l’illustre la figure 1, les délais moyens de traitement des projets de grande envergure au cours de </w:t>
      </w:r>
      <w:r w:rsidR="00376C22">
        <w:t>GEF</w:t>
      </w:r>
      <w:r w:rsidR="00376C22">
        <w:noBreakHyphen/>
      </w:r>
      <w:r>
        <w:t xml:space="preserve">8 — arrêtés en juin 2026 et portant sur 488 projets — se sont améliorés à toutes les étapes du cycle des projets par rapport </w:t>
      </w:r>
      <w:r w:rsidR="00C62B0C">
        <w:t>à</w:t>
      </w:r>
      <w:r>
        <w:t xml:space="preserve"> </w:t>
      </w:r>
      <w:r w:rsidR="00376C22">
        <w:t>GEF</w:t>
      </w:r>
      <w:r w:rsidR="00376C22">
        <w:noBreakHyphen/>
      </w:r>
      <w:r>
        <w:t>7. La réduction la plus notable concerne l’intervalle entre l’approbation de la fiche d’identité de projet (</w:t>
      </w:r>
      <w:r w:rsidR="00C17317">
        <w:t>FIP</w:t>
      </w:r>
      <w:r>
        <w:t xml:space="preserve">) et la soumission de la demande d’agrément </w:t>
      </w:r>
      <w:r w:rsidR="00AB03D9">
        <w:t>par le</w:t>
      </w:r>
      <w:r>
        <w:t xml:space="preserve"> directeur général, qui constituait la principale source de retard lors des cycles précédents</w:t>
      </w:r>
      <w:r w:rsidR="006E54C7">
        <w:t> :</w:t>
      </w:r>
      <w:r>
        <w:t xml:space="preserve"> il est passé de 16,8 mois au cours de </w:t>
      </w:r>
      <w:r w:rsidR="00376C22">
        <w:t>GEF</w:t>
      </w:r>
      <w:r w:rsidR="00376C22">
        <w:noBreakHyphen/>
      </w:r>
      <w:r>
        <w:t xml:space="preserve">7 à 12,6 mois au cours de </w:t>
      </w:r>
      <w:r w:rsidR="00376C22">
        <w:t>GEF</w:t>
      </w:r>
      <w:r w:rsidR="00376C22">
        <w:noBreakHyphen/>
      </w:r>
      <w:r>
        <w:t>8, soit une diminution de 25</w:t>
      </w:r>
      <w:r w:rsidR="00966C17">
        <w:t> %</w:t>
      </w:r>
      <w:r>
        <w:t xml:space="preserve">. Le délai entre l’agrément </w:t>
      </w:r>
      <w:r w:rsidR="00FE64AF">
        <w:t>par le</w:t>
      </w:r>
      <w:r>
        <w:t xml:space="preserve"> directeur général et le premier décaissement a presque été réduit de moitié, passant de 16,0</w:t>
      </w:r>
      <w:r w:rsidR="003F4151">
        <w:t> </w:t>
      </w:r>
      <w:r>
        <w:t xml:space="preserve">mois au cours de </w:t>
      </w:r>
      <w:r w:rsidR="00376C22">
        <w:t>GEF</w:t>
      </w:r>
      <w:r w:rsidR="00376C22">
        <w:noBreakHyphen/>
      </w:r>
      <w:r>
        <w:t xml:space="preserve">7 à 8,2 mois au cours de </w:t>
      </w:r>
      <w:r w:rsidR="00376C22">
        <w:t>GEF</w:t>
      </w:r>
      <w:r w:rsidR="00376C22">
        <w:noBreakHyphen/>
      </w:r>
      <w:r>
        <w:t>8. En moyenne, le délai total de traitement sur les quatre étapes</w:t>
      </w:r>
      <w:r w:rsidR="00ED02A3" w:rsidRPr="00C67737">
        <w:rPr>
          <w:rStyle w:val="FootnoteReference"/>
          <w:lang w:val="en-US"/>
        </w:rPr>
        <w:footnoteReference w:id="126"/>
      </w:r>
      <w:r>
        <w:t xml:space="preserve"> du cycle des projets est passé d’environ 44,2 mois au cours de </w:t>
      </w:r>
      <w:r w:rsidR="00376C22">
        <w:t>GEF</w:t>
      </w:r>
      <w:r w:rsidR="00376C22">
        <w:noBreakHyphen/>
      </w:r>
      <w:r>
        <w:t xml:space="preserve">6 et 42,1 mois au cours de </w:t>
      </w:r>
      <w:r w:rsidR="00376C22">
        <w:t>GEF</w:t>
      </w:r>
      <w:r w:rsidR="00376C22">
        <w:noBreakHyphen/>
      </w:r>
      <w:r>
        <w:t xml:space="preserve">7 à environ 30,0 mois au cours de </w:t>
      </w:r>
      <w:r w:rsidR="00376C22">
        <w:t>GEF</w:t>
      </w:r>
      <w:r w:rsidR="00376C22">
        <w:noBreakHyphen/>
      </w:r>
      <w:r>
        <w:t>8. Cela représente une réduction de 14,2 mois, soit approximativement un tiers par rapport à deux cycles auparavant.</w:t>
      </w:r>
    </w:p>
    <w:p w14:paraId="472444A8" w14:textId="26FBC46D" w:rsidR="00F7250D" w:rsidRPr="00C67737" w:rsidRDefault="00F7250D" w:rsidP="00F7250D">
      <w:pPr>
        <w:pStyle w:val="Caption"/>
      </w:pPr>
      <w:bookmarkStart w:id="141" w:name="_Toc242183441"/>
      <w:r>
        <w:lastRenderedPageBreak/>
        <w:t xml:space="preserve">Figure </w:t>
      </w:r>
      <w:r w:rsidRPr="00C67737">
        <w:fldChar w:fldCharType="begin"/>
      </w:r>
      <w:r w:rsidRPr="00C67737">
        <w:instrText>SEQ Figure \* ARABIC</w:instrText>
      </w:r>
      <w:r w:rsidRPr="00C67737">
        <w:fldChar w:fldCharType="separate"/>
      </w:r>
      <w:r w:rsidR="006C2F5A">
        <w:rPr>
          <w:noProof/>
        </w:rPr>
        <w:t>1</w:t>
      </w:r>
      <w:r w:rsidRPr="00C67737">
        <w:fldChar w:fldCharType="end"/>
      </w:r>
      <w:r>
        <w:t xml:space="preserve">. Accélération du cycle des projets, de la soumission au </w:t>
      </w:r>
      <w:r w:rsidR="00F05563">
        <w:t xml:space="preserve">premier </w:t>
      </w:r>
      <w:r>
        <w:t xml:space="preserve">décaissement, entre </w:t>
      </w:r>
      <w:r w:rsidR="00376C22">
        <w:t>GEF</w:t>
      </w:r>
      <w:r w:rsidR="00376C22">
        <w:noBreakHyphen/>
      </w:r>
      <w:r>
        <w:t xml:space="preserve">6 et </w:t>
      </w:r>
      <w:r w:rsidR="00376C22">
        <w:t>GEF</w:t>
      </w:r>
      <w:r w:rsidR="00376C22">
        <w:noBreakHyphen/>
      </w:r>
      <w:r>
        <w:t>8</w:t>
      </w:r>
      <w:bookmarkEnd w:id="141"/>
      <w:r>
        <w:t xml:space="preserve"> </w:t>
      </w:r>
    </w:p>
    <w:p w14:paraId="7192BB1B" w14:textId="4CAF60C6" w:rsidR="00F7250D" w:rsidRPr="00C67737" w:rsidRDefault="00F7250D" w:rsidP="006109DD">
      <w:r>
        <w:rPr>
          <w:noProof/>
        </w:rPr>
        <w:drawing>
          <wp:inline distT="0" distB="0" distL="0" distR="0" wp14:anchorId="7B5BE580" wp14:editId="0746A66D">
            <wp:extent cx="5811738" cy="3370120"/>
            <wp:effectExtent l="19050" t="19050" r="17780" b="20955"/>
            <wp:docPr id="23" name="Picture 22">
              <a:extLst xmlns:a="http://schemas.openxmlformats.org/drawingml/2006/main">
                <a:ext uri="{FF2B5EF4-FFF2-40B4-BE49-F238E27FC236}">
                  <a16:creationId xmlns:a16="http://schemas.microsoft.com/office/drawing/2014/main" id="{0A982B6A-5429-1A87-4C72-E85E0EABDD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0A982B6A-5429-1A87-4C72-E85E0EABDD4F}"/>
                        </a:ext>
                      </a:extLst>
                    </pic:cNvPr>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811738" cy="3370120"/>
                    </a:xfrm>
                    <a:prstGeom prst="rect">
                      <a:avLst/>
                    </a:prstGeom>
                    <a:ln>
                      <a:solidFill>
                        <a:schemeClr val="tx2"/>
                      </a:solidFill>
                    </a:ln>
                  </pic:spPr>
                </pic:pic>
              </a:graphicData>
            </a:graphic>
          </wp:inline>
        </w:drawing>
      </w:r>
    </w:p>
    <w:p w14:paraId="1F36B889" w14:textId="7726BDFC" w:rsidR="005F7BC9" w:rsidRPr="00C67737" w:rsidRDefault="005F7BC9" w:rsidP="000B33CF">
      <w:pPr>
        <w:pStyle w:val="ListParagraph"/>
      </w:pPr>
      <w:r>
        <w:t xml:space="preserve">S’appuyant sur ces acquis, les participants à la reconstitution des ressources de </w:t>
      </w:r>
      <w:r w:rsidR="00376C22">
        <w:t>GEF</w:t>
      </w:r>
      <w:r w:rsidR="00376C22">
        <w:noBreakHyphen/>
      </w:r>
      <w:r>
        <w:t xml:space="preserve">9 ont convenu d’un ensemble de réformes plus ambitieux et plus structurant dans le cadre de l’objectif de politique générale </w:t>
      </w:r>
      <w:r w:rsidR="0094079E">
        <w:t>« </w:t>
      </w:r>
      <w:r>
        <w:t xml:space="preserve">Accélération et simplification de </w:t>
      </w:r>
      <w:r w:rsidR="00720036">
        <w:t>l’exécution</w:t>
      </w:r>
      <w:r w:rsidR="0094079E">
        <w:t> »</w:t>
      </w:r>
      <w:r>
        <w:t xml:space="preserve"> des recommandations de politique générale de </w:t>
      </w:r>
      <w:r w:rsidR="00376C22">
        <w:t>GEF</w:t>
      </w:r>
      <w:r w:rsidR="00376C22">
        <w:noBreakHyphen/>
      </w:r>
      <w:r>
        <w:t>9</w:t>
      </w:r>
      <w:r w:rsidR="00604FC1" w:rsidRPr="00C67737">
        <w:rPr>
          <w:rStyle w:val="FootnoteReference"/>
          <w:lang w:val="en-US"/>
        </w:rPr>
        <w:footnoteReference w:id="127"/>
      </w:r>
      <w:r>
        <w:t xml:space="preserve">. </w:t>
      </w:r>
      <w:r w:rsidR="00C50459">
        <w:t xml:space="preserve">Son </w:t>
      </w:r>
      <w:r>
        <w:t>élément central consiste à généraliser, à l’ensemble des fonds administrés par le GEF, une modalité de projet unifiée et accélérée, inspirée de l’approche en une seule étape expérimentée par le GBFF. Une fois en place, cette modalité remplacera la fiche d’identité de projet (</w:t>
      </w:r>
      <w:r w:rsidR="00C17317">
        <w:t>FIP</w:t>
      </w:r>
      <w:r>
        <w:t xml:space="preserve">) par une demande simplifiée de préparation de projet. Elle permettra d’engager plus tôt la préparation des projets et devrait </w:t>
      </w:r>
      <w:r w:rsidR="00C50459">
        <w:t>raccourcir</w:t>
      </w:r>
      <w:r>
        <w:t xml:space="preserve"> de trois à quatre mois la durée de la phase initiale du cycle des projets, sans compromettre la qualité des projets, selon l’analyse du Bureau indépendant d’évaluation du GEF. </w:t>
      </w:r>
      <w:r w:rsidR="00C50459">
        <w:t xml:space="preserve">Son </w:t>
      </w:r>
      <w:r>
        <w:t>application aux quatre fonds</w:t>
      </w:r>
      <w:r w:rsidR="00C50459">
        <w:t xml:space="preserve"> </w:t>
      </w:r>
      <w:r>
        <w:t xml:space="preserve">de la famille de fonds du GEF facilitera également </w:t>
      </w:r>
      <w:r w:rsidR="009D37B0">
        <w:t>l’élaboration de</w:t>
      </w:r>
      <w:r>
        <w:t xml:space="preserve"> propositions multi-fonds, grâce à l’harmonisation des calendriers et des exigences.</w:t>
      </w:r>
    </w:p>
    <w:p w14:paraId="3C5C0A95" w14:textId="121F916C" w:rsidR="009606FD" w:rsidRPr="009606FD" w:rsidRDefault="009D37B0" w:rsidP="000B33CF">
      <w:pPr>
        <w:pStyle w:val="ListParagraph"/>
      </w:pPr>
      <w:r>
        <w:t>L</w:t>
      </w:r>
      <w:r w:rsidR="005F7BC9">
        <w:t xml:space="preserve">es autres recommandations de politique générale convenues pour </w:t>
      </w:r>
      <w:r w:rsidR="00376C22">
        <w:t>GEF</w:t>
      </w:r>
      <w:r w:rsidR="00376C22">
        <w:noBreakHyphen/>
      </w:r>
      <w:r w:rsidR="005F7BC9">
        <w:t xml:space="preserve">9 </w:t>
      </w:r>
      <w:r>
        <w:t>comprennent</w:t>
      </w:r>
      <w:r w:rsidR="006E54C7">
        <w:t> :</w:t>
      </w:r>
      <w:r w:rsidR="005F7BC9">
        <w:t xml:space="preserve"> l’instauration de délais maximaux </w:t>
      </w:r>
      <w:r w:rsidR="007D332F" w:rsidRPr="007D332F">
        <w:t>dans lesquels les Agences devront soumettre à nouveau les projets révisés après réception des observations du Secrétariat du GEF, afin d’accroître la responsabilité et la prévisibilité du portefeuille de projets en préparation</w:t>
      </w:r>
      <w:r w:rsidR="006E54C7">
        <w:t> ;</w:t>
      </w:r>
      <w:r w:rsidR="005F7BC9">
        <w:t xml:space="preserve"> </w:t>
      </w:r>
      <w:r w:rsidR="00CD4330" w:rsidRPr="00CD4330">
        <w:t xml:space="preserve">des mesures incitatives encourageant les Agences à simplifier leurs procédures internes d’approbation, notamment en menant ces procédures parallèlement au processus d’agrément par le directeur général et en simplifiant les procédures applicables aux financements de faible montant; une procédure simplifiée propre aux activités habilitantes, qui substitue à l’examen, projet par projet, </w:t>
      </w:r>
      <w:r w:rsidR="00CD4330" w:rsidRPr="00CD4330">
        <w:lastRenderedPageBreak/>
        <w:t>du respect des normes minimales, des évaluations au niveau institutionnel réalisées une fois par période de reconstitution des ressources; et l’harmonisation des frais d’Agence, plafonnés à 9% pour toutes les Agences, afin de corriger une disparité de longue date dénuée de toute justification opérationnelle.</w:t>
      </w:r>
      <w:r w:rsidR="009606FD" w:rsidRPr="009606FD">
        <w:rPr>
          <w:rFonts w:ascii="Times New Roman" w:eastAsia="Times New Roman" w:hAnsi="Times New Roman" w:cs="Times New Roman"/>
          <w:color w:val="auto"/>
          <w:lang w:eastAsia="fr-FR"/>
        </w:rPr>
        <w:t xml:space="preserve"> </w:t>
      </w:r>
      <w:r w:rsidR="009606FD">
        <w:rPr>
          <w:rFonts w:ascii="Times New Roman" w:eastAsia="Times New Roman" w:hAnsi="Times New Roman" w:cs="Times New Roman"/>
          <w:color w:val="auto"/>
          <w:lang w:eastAsia="fr-FR"/>
        </w:rPr>
        <w:t>C</w:t>
      </w:r>
      <w:r w:rsidR="009606FD" w:rsidRPr="009606FD">
        <w:t>et ensemble de mesures est complété par une modernisation prévue du Portail du GEF, conçue pour automatiser les flux de travail, améliorer la visibilité des données et tirer parti de l’intelligence artificielle afin de transformer les données relatives au portefeuille de projets en préparation en informations opportunes et directement exploitables par le Secrétariat du GEF, les Agences, l’Administrateur et les partenaires nationaux.</w:t>
      </w:r>
    </w:p>
    <w:p w14:paraId="07FBE540" w14:textId="320ED8A9" w:rsidR="005F7BC9" w:rsidRPr="00C67737" w:rsidRDefault="005F7BC9" w:rsidP="000B33CF">
      <w:pPr>
        <w:pStyle w:val="ListParagraph"/>
      </w:pPr>
      <w:r>
        <w:t xml:space="preserve">Dans leur ensemble, ces mesures marquent le passage d’ajustements progressifs à une évolution fondamentale du modèle opérationnel du GEF. Elles préservent la rigueur et le caractère piloté par les pays du cycle des projets, tout en réduisant sensiblement les coûts de transaction qui ont, historiquement, limité l’accès aux ressources et ralenti la mise en œuvre. </w:t>
      </w:r>
    </w:p>
    <w:p w14:paraId="23449F00" w14:textId="6DAFFB15" w:rsidR="000D76F3" w:rsidRPr="00C67737" w:rsidRDefault="00B9105C" w:rsidP="00D56EFB">
      <w:pPr>
        <w:pStyle w:val="Heading2"/>
      </w:pPr>
      <w:bookmarkStart w:id="142" w:name="_Toc242184663"/>
      <w:bookmarkStart w:id="143" w:name="_Toc242184716"/>
      <w:bookmarkStart w:id="144" w:name="_Toc242185288"/>
      <w:r w:rsidRPr="00B9105C">
        <w:t>Renforcer la transparence et la responsabilité</w:t>
      </w:r>
      <w:bookmarkEnd w:id="142"/>
      <w:bookmarkEnd w:id="143"/>
      <w:bookmarkEnd w:id="144"/>
    </w:p>
    <w:p w14:paraId="1A94981F" w14:textId="401C3C80" w:rsidR="000D76F3" w:rsidRPr="00C67737" w:rsidRDefault="135C6411" w:rsidP="000B33CF">
      <w:pPr>
        <w:pStyle w:val="ListParagraph"/>
      </w:pPr>
      <w:r>
        <w:rPr>
          <w:snapToGrid/>
        </w:rPr>
        <w:t>Le GEF est résolu à promouvoir la transparence et la responsabilité afin de suivre et de faciliter l’utilisation de ses</w:t>
      </w:r>
      <w:r>
        <w:t xml:space="preserve"> financements. Il met à la disposition des pays des fiches de pays, qui leur permettent de suivre l’utilisation et la mise en œuvre des ressources. Il publie également sur son site Web public des fiches consacrées aux Agences afin d’aider les pays à choisir les Agences avec lesquelles ils souhaitent travailler. </w:t>
      </w:r>
    </w:p>
    <w:p w14:paraId="519C9DED" w14:textId="77301D77" w:rsidR="000D76F3" w:rsidRPr="00C67737" w:rsidRDefault="000D76F3" w:rsidP="000B33CF">
      <w:pPr>
        <w:pStyle w:val="ListParagraph"/>
      </w:pPr>
      <w:r>
        <w:t xml:space="preserve">Le tableau </w:t>
      </w:r>
      <w:r>
        <w:rPr>
          <w:snapToGrid/>
        </w:rPr>
        <w:t>de bord institutionnel du GEF, sur lequel s’appuie une partie du rapport du GEF à la Conférence des Parties à la CDB, sert de mécanisme de</w:t>
      </w:r>
      <w:r>
        <w:t xml:space="preserve"> responsabilité pour veiller à ce que les ressources du cycle en cours du GEF soient utilisées de manière appropriée et efficace dans les différentes régions et les divers groupes de pays. En outre, le rapport annuel de suivi rend compte des résultats, de la performance et de la qualité du portefeuille de projets en cours de mise en œuvre au regard du cadre de mesure des résultats de </w:t>
      </w:r>
      <w:r w:rsidR="00376C22">
        <w:t>GEF</w:t>
      </w:r>
      <w:r w:rsidR="00376C22">
        <w:noBreakHyphen/>
      </w:r>
      <w:r>
        <w:t>8. Les éditions annuelles de ce rapport structurent la communication de l’information selon deux niveaux d’indicateurs</w:t>
      </w:r>
      <w:r w:rsidR="006E54C7">
        <w:t> :</w:t>
      </w:r>
      <w:r>
        <w:t xml:space="preserve"> le niveau 1 évalue les résultats environnementaux obtenus, tandis que le niveau 2 mesure les progrès accomplis au regard de critères d’efficacité et d’efficience.</w:t>
      </w:r>
    </w:p>
    <w:p w14:paraId="00635D93" w14:textId="45AE7F0A" w:rsidR="000D76F3" w:rsidRPr="00C67737" w:rsidRDefault="00F31028" w:rsidP="000B33CF">
      <w:pPr>
        <w:pStyle w:val="ListParagraph"/>
      </w:pPr>
      <w:r>
        <w:t>L</w:t>
      </w:r>
      <w:r w:rsidR="000D76F3" w:rsidRPr="007F4C1D">
        <w:t>e GEF a continué</w:t>
      </w:r>
      <w:r w:rsidR="000D76F3">
        <w:rPr>
          <w:snapToGrid/>
        </w:rPr>
        <w:t xml:space="preserve"> de rendre compte de manière transparente de l’avancement des projets en publiant régulièrement des données conformes</w:t>
      </w:r>
      <w:r w:rsidR="000D76F3">
        <w:t xml:space="preserve"> à la norme de</w:t>
      </w:r>
      <w:r w:rsidR="009E6A28">
        <w:t xml:space="preserve"> l</w:t>
      </w:r>
      <w:hyperlink r:id="rId63" w:history="1">
        <w:r w:rsidR="000D76F3">
          <w:rPr>
            <w:u w:val="single"/>
          </w:rPr>
          <w:t>’Initiative internationale pour la transparence de l’aide.</w:t>
        </w:r>
      </w:hyperlink>
      <w:r w:rsidR="000D76F3">
        <w:t xml:space="preserve"> Ces travaux s’appuient sur la Politique du GEF relative à l’accès à l’information (GEF/C.55/06). Ce système de notification automatisé renforce encore la transparence à l’échelle mondiale</w:t>
      </w:r>
      <w:r w:rsidR="006E54C7">
        <w:t> :</w:t>
      </w:r>
      <w:r w:rsidR="000D76F3">
        <w:t xml:space="preserve"> selon une récente évaluation indépendante, le GEF est le seul fonds </w:t>
      </w:r>
      <w:r w:rsidR="009E0520">
        <w:t>consacré au</w:t>
      </w:r>
      <w:r w:rsidR="000D76F3">
        <w:t xml:space="preserve"> climat et </w:t>
      </w:r>
      <w:r w:rsidR="009E0520">
        <w:t xml:space="preserve">à </w:t>
      </w:r>
      <w:r w:rsidR="000D76F3">
        <w:t>l’environnement à communiquer des informations conformément à la norme de l’Initiative internationale pour la transparence de l’aide</w:t>
      </w:r>
      <w:r w:rsidR="009E1C59" w:rsidRPr="00C67737">
        <w:rPr>
          <w:rStyle w:val="FootnoteReference"/>
          <w:lang w:val="en-US"/>
        </w:rPr>
        <w:footnoteReference w:id="128"/>
      </w:r>
      <w:r>
        <w:t>.</w:t>
      </w:r>
    </w:p>
    <w:p w14:paraId="7F098706" w14:textId="593ED7CF" w:rsidR="000D76F3" w:rsidRPr="00C67737" w:rsidRDefault="009E0520" w:rsidP="00D56EFB">
      <w:pPr>
        <w:pStyle w:val="Heading2"/>
      </w:pPr>
      <w:bookmarkStart w:id="145" w:name="_Toc242184664"/>
      <w:bookmarkStart w:id="146" w:name="_Toc242184717"/>
      <w:bookmarkStart w:id="147" w:name="_Toc242185289"/>
      <w:r w:rsidRPr="009E0520">
        <w:lastRenderedPageBreak/>
        <w:t>Atteindre les objectifs de développement des projets et faire progresser leur mise en œuvre</w:t>
      </w:r>
      <w:bookmarkEnd w:id="145"/>
      <w:bookmarkEnd w:id="146"/>
      <w:bookmarkEnd w:id="147"/>
    </w:p>
    <w:p w14:paraId="2B8DDAFB" w14:textId="2E96FE0C" w:rsidR="000D76F3" w:rsidRPr="00C67737" w:rsidRDefault="1C9307B4" w:rsidP="000B33CF">
      <w:pPr>
        <w:pStyle w:val="ListParagraph"/>
      </w:pPr>
      <w:r>
        <w:t xml:space="preserve">Les </w:t>
      </w:r>
      <w:r w:rsidR="0086047A">
        <w:t xml:space="preserve">dernières </w:t>
      </w:r>
      <w:r>
        <w:t>informations sur l’avancement des investissements en faveur de la biodiversité font état de projets et de programmes de grande qualité et à fort impact. À la fin juin</w:t>
      </w:r>
      <w:r w:rsidR="000E0446">
        <w:t> </w:t>
      </w:r>
      <w:r>
        <w:t xml:space="preserve">2025, le portefeuille de projets financés dans le domaine de la diversité biologique en cours de mise en œuvre représentait un engagement net de 2,8 milliards de dollars. Il comptait près de 460 projets, dont 209 financés exclusivement par le domaine d’intervention </w:t>
      </w:r>
      <w:r w:rsidR="0094079E">
        <w:t>« </w:t>
      </w:r>
      <w:r>
        <w:t>diversité biologique</w:t>
      </w:r>
      <w:r w:rsidR="0094079E">
        <w:t> »</w:t>
      </w:r>
      <w:r>
        <w:t xml:space="preserve">, pour un montant de 843,9 millions de dollars. La présente section fait le point sur les progrès accomplis par ce portefeuille, tels qu’ils sont présentés dans le Rapport de suivi du GEF de 2025 (GEF/C.66/03). </w:t>
      </w:r>
    </w:p>
    <w:p w14:paraId="7C16A353" w14:textId="44549696" w:rsidR="000D76F3" w:rsidRPr="00C67737" w:rsidRDefault="000D76F3" w:rsidP="000B33CF">
      <w:pPr>
        <w:pStyle w:val="ListParagraph"/>
      </w:pPr>
      <w:r>
        <w:rPr>
          <w:snapToGrid/>
        </w:rPr>
        <w:t xml:space="preserve">Au cours de l’exercice 2025, un bilan complet de l’avancement a porté sur l’ensemble du portefeuille de projets du GEF en cours de mise en œuvre, </w:t>
      </w:r>
      <w:r>
        <w:t>soit 1 105 projets représentant collectivement un engagement net de 5,7 milliards de dollars. Les autoévaluations annuelles des Agences donnent des indications sur la qualité de l’avancement de la mise en œuvre et sur la probabilité d’atteindre les résultats attendus des projets</w:t>
      </w:r>
      <w:r w:rsidRPr="00C67737">
        <w:rPr>
          <w:vertAlign w:val="superscript"/>
        </w:rPr>
        <w:footnoteReference w:id="129"/>
      </w:r>
      <w:r>
        <w:t>.</w:t>
      </w:r>
      <w:r w:rsidR="00604755">
        <w:t xml:space="preserve"> </w:t>
      </w:r>
      <w:r w:rsidR="00D250A7" w:rsidRPr="00D250A7">
        <w:t>La figure 2 montre que 84% des projets ont obtenu une note située dans la fourchette satisfaisante au titre de l’avancement de la mise en œuvre au cours de l’exercice 2025, contre 82% un an auparavant.</w:t>
      </w:r>
      <w:r>
        <w:t xml:space="preserve"> Par ailleurs, 86</w:t>
      </w:r>
      <w:r w:rsidR="00966C17">
        <w:t> %</w:t>
      </w:r>
      <w:r>
        <w:t xml:space="preserve"> des projets ont obtenu une note située dans la fourchette satisfaisante quant à leur probabilité d’atteindre leur objectif de développement.</w:t>
      </w:r>
    </w:p>
    <w:p w14:paraId="39CE4CBF" w14:textId="56360643" w:rsidR="00C712F5" w:rsidRPr="00C67737" w:rsidRDefault="000D76F3" w:rsidP="00F01FA1">
      <w:pPr>
        <w:pStyle w:val="Caption"/>
        <w:rPr>
          <w:b w:val="0"/>
          <w:iCs w:val="0"/>
        </w:rPr>
      </w:pPr>
      <w:bookmarkStart w:id="148" w:name="_Toc25257623"/>
      <w:bookmarkStart w:id="149" w:name="_Toc102225701"/>
      <w:bookmarkStart w:id="150" w:name="_Toc102226018"/>
      <w:bookmarkStart w:id="151" w:name="_Toc103967094"/>
      <w:bookmarkStart w:id="152" w:name="_Toc242183442"/>
      <w:r>
        <w:t xml:space="preserve">Figure </w:t>
      </w:r>
      <w:r w:rsidRPr="00C67737">
        <w:fldChar w:fldCharType="begin"/>
      </w:r>
      <w:r w:rsidRPr="00C67737">
        <w:instrText>SEQ Figure \* ARABIC</w:instrText>
      </w:r>
      <w:r w:rsidRPr="00C67737">
        <w:fldChar w:fldCharType="separate"/>
      </w:r>
      <w:r w:rsidR="006C2F5A">
        <w:rPr>
          <w:noProof/>
        </w:rPr>
        <w:t>2</w:t>
      </w:r>
      <w:r w:rsidRPr="00C67737">
        <w:fldChar w:fldCharType="end"/>
      </w:r>
      <w:r>
        <w:t xml:space="preserve">. Répartition des notes </w:t>
      </w:r>
      <w:r w:rsidR="00D9536B">
        <w:t>attribuées</w:t>
      </w:r>
      <w:r>
        <w:t xml:space="preserve"> aux résultats et à </w:t>
      </w:r>
      <w:r w:rsidR="0069368A">
        <w:t>l</w:t>
      </w:r>
      <w:r>
        <w:t xml:space="preserve">’avancement de </w:t>
      </w:r>
      <w:r w:rsidR="0069368A">
        <w:t xml:space="preserve">la mise en œuvre </w:t>
      </w:r>
      <w:r>
        <w:t xml:space="preserve">des projets du GEF en cours dans </w:t>
      </w:r>
      <w:bookmarkEnd w:id="148"/>
      <w:r>
        <w:t>l’ensemble des domaines d’intervention au 30</w:t>
      </w:r>
      <w:r w:rsidR="0069368A">
        <w:t> </w:t>
      </w:r>
      <w:r>
        <w:t>juin</w:t>
      </w:r>
      <w:bookmarkEnd w:id="149"/>
      <w:bookmarkEnd w:id="150"/>
      <w:bookmarkEnd w:id="151"/>
      <w:r w:rsidR="0069368A">
        <w:t> </w:t>
      </w:r>
      <w:r>
        <w:t>2025</w:t>
      </w:r>
      <w:bookmarkEnd w:id="152"/>
    </w:p>
    <w:p w14:paraId="3A630DA9" w14:textId="2F0FC50B" w:rsidR="00C712F5" w:rsidRPr="00C67737" w:rsidRDefault="00C712F5" w:rsidP="00C712F5">
      <w:pPr>
        <w:spacing w:before="0"/>
        <w:jc w:val="center"/>
        <w:rPr>
          <w:b/>
          <w:iCs/>
        </w:rPr>
      </w:pPr>
    </w:p>
    <w:p w14:paraId="050FD0CF" w14:textId="757BAF28" w:rsidR="00C712F5" w:rsidRPr="00C67737" w:rsidRDefault="00F01FA1" w:rsidP="00C712F5">
      <w:pPr>
        <w:spacing w:before="0"/>
        <w:jc w:val="center"/>
        <w:rPr>
          <w:b/>
          <w:iCs/>
        </w:rPr>
      </w:pPr>
      <w:r w:rsidRPr="00F01FA1">
        <w:rPr>
          <w:b/>
          <w:iCs/>
          <w:noProof/>
        </w:rPr>
        <w:drawing>
          <wp:inline distT="0" distB="0" distL="0" distR="0" wp14:anchorId="24FB90FC" wp14:editId="0B0704A0">
            <wp:extent cx="5943600" cy="2506980"/>
            <wp:effectExtent l="0" t="0" r="0" b="7620"/>
            <wp:docPr id="75148089" name="Image 1" descr="very unsatisfactory,&#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48089" name="Image 1" descr="very unsatisfactory,&#10;&#10;Le contenu généré par l’IA peut être incorrect."/>
                    <pic:cNvPicPr/>
                  </pic:nvPicPr>
                  <pic:blipFill>
                    <a:blip r:embed="rId64"/>
                    <a:stretch>
                      <a:fillRect/>
                    </a:stretch>
                  </pic:blipFill>
                  <pic:spPr>
                    <a:xfrm>
                      <a:off x="0" y="0"/>
                      <a:ext cx="5943600" cy="2506980"/>
                    </a:xfrm>
                    <a:prstGeom prst="rect">
                      <a:avLst/>
                    </a:prstGeom>
                  </pic:spPr>
                </pic:pic>
              </a:graphicData>
            </a:graphic>
          </wp:inline>
        </w:drawing>
      </w:r>
    </w:p>
    <w:p w14:paraId="1C535610" w14:textId="3C91D556" w:rsidR="0010703B" w:rsidRPr="0015783B" w:rsidRDefault="0010703B" w:rsidP="000B33CF">
      <w:pPr>
        <w:pStyle w:val="ListParagraph"/>
      </w:pPr>
      <w:bookmarkStart w:id="153" w:name="_Toc25257626"/>
      <w:bookmarkStart w:id="154" w:name="_Toc102225702"/>
      <w:bookmarkStart w:id="155" w:name="_Toc102226019"/>
      <w:bookmarkStart w:id="156" w:name="_Toc103967095"/>
      <w:r w:rsidRPr="0010703B">
        <w:t>Sur le portefeuille de projets relatifs à la diversité biologique en cours de mise en œuvre, 86</w:t>
      </w:r>
      <w:r w:rsidR="00966C17">
        <w:t> %</w:t>
      </w:r>
      <w:r w:rsidRPr="0010703B">
        <w:t xml:space="preserve"> des projets ont été jugés satisfaisants quant à l’avancement de leur mise en œuvre, et 88</w:t>
      </w:r>
      <w:r w:rsidR="00966C17">
        <w:t> %</w:t>
      </w:r>
      <w:r w:rsidRPr="0010703B">
        <w:t xml:space="preserve"> ont été jugés susceptibles d’atteindre leur objectif de développement. Ces résultats sont </w:t>
      </w:r>
      <w:r w:rsidRPr="0010703B">
        <w:lastRenderedPageBreak/>
        <w:t>supérieurs à la moyenne du GEF, qui s’établit à 84</w:t>
      </w:r>
      <w:r w:rsidR="00966C17">
        <w:t> %</w:t>
      </w:r>
      <w:r w:rsidRPr="0010703B">
        <w:t xml:space="preserve"> pour l’avancement de la mise en œuvre et à 82</w:t>
      </w:r>
      <w:r w:rsidR="00966C17">
        <w:t> %</w:t>
      </w:r>
      <w:r w:rsidRPr="0010703B">
        <w:t xml:space="preserve"> pour la probabilité d’atteindre l’objectif de développement. </w:t>
      </w:r>
      <w:r w:rsidR="0015783B" w:rsidRPr="0015783B">
        <w:t>En outre, 82</w:t>
      </w:r>
      <w:r w:rsidR="00966C17">
        <w:t> %</w:t>
      </w:r>
      <w:r w:rsidR="0015783B" w:rsidRPr="0015783B">
        <w:t xml:space="preserve"> des projets relevant de plusieurs domaines d’intervention, qui mobilisent souvent des ressources destinées à la diversité biologique, ont été jugés satisfaisants quant à l’avancement de leur mise en œuvre, et 84</w:t>
      </w:r>
      <w:r w:rsidR="00966C17">
        <w:t> %</w:t>
      </w:r>
      <w:r w:rsidR="0015783B" w:rsidRPr="0015783B">
        <w:t xml:space="preserve"> quant à la probabilité d’atteindre leur objectif de développement.</w:t>
      </w:r>
    </w:p>
    <w:p w14:paraId="5BD5179C" w14:textId="5BD3DBAF" w:rsidR="000D76F3" w:rsidRPr="00C67737" w:rsidRDefault="000D76F3" w:rsidP="00985C5B">
      <w:pPr>
        <w:pStyle w:val="Caption"/>
      </w:pPr>
      <w:bookmarkStart w:id="157" w:name="_Toc242183443"/>
      <w:r>
        <w:t xml:space="preserve">Figure </w:t>
      </w:r>
      <w:r w:rsidRPr="00C67737">
        <w:fldChar w:fldCharType="begin"/>
      </w:r>
      <w:r w:rsidRPr="00C67737">
        <w:instrText>SEQ Figure \* ARABIC</w:instrText>
      </w:r>
      <w:r w:rsidRPr="00C67737">
        <w:fldChar w:fldCharType="separate"/>
      </w:r>
      <w:r w:rsidR="006C2F5A">
        <w:rPr>
          <w:noProof/>
        </w:rPr>
        <w:t>3</w:t>
      </w:r>
      <w:r w:rsidRPr="00C67737">
        <w:fldChar w:fldCharType="end"/>
      </w:r>
      <w:r>
        <w:t xml:space="preserve">. Projets ayant obtenu une note satisfaisante, par domaine d’intervention, </w:t>
      </w:r>
      <w:bookmarkEnd w:id="153"/>
      <w:r>
        <w:t>au 30</w:t>
      </w:r>
      <w:r w:rsidR="00A8366E">
        <w:t> </w:t>
      </w:r>
      <w:r>
        <w:t>juin</w:t>
      </w:r>
      <w:bookmarkEnd w:id="154"/>
      <w:bookmarkEnd w:id="155"/>
      <w:bookmarkEnd w:id="156"/>
      <w:r w:rsidR="00A8366E">
        <w:t> </w:t>
      </w:r>
      <w:r>
        <w:t>2025</w:t>
      </w:r>
      <w:bookmarkEnd w:id="157"/>
    </w:p>
    <w:p w14:paraId="1B7D7578" w14:textId="1130C32A" w:rsidR="000D1C0D" w:rsidRPr="00C67737" w:rsidRDefault="000D1C0D" w:rsidP="005F7E05">
      <w:bookmarkStart w:id="158" w:name="_Toc23525337"/>
      <w:bookmarkStart w:id="159" w:name="_Toc18940489"/>
      <w:bookmarkStart w:id="160" w:name="_Toc24011742"/>
      <w:bookmarkStart w:id="161" w:name="_Toc25257585"/>
    </w:p>
    <w:p w14:paraId="40A121A7" w14:textId="6A7F2E64" w:rsidR="000D1C0D" w:rsidRPr="00C67737" w:rsidRDefault="003909D5" w:rsidP="000D1C0D">
      <w:r>
        <w:rPr>
          <w:noProof/>
        </w:rPr>
        <w:drawing>
          <wp:inline distT="0" distB="0" distL="0" distR="0" wp14:anchorId="2C23959C" wp14:editId="3D36D57A">
            <wp:extent cx="5943600" cy="2377440"/>
            <wp:effectExtent l="0" t="0" r="0" b="3810"/>
            <wp:docPr id="1176738637" name="Image 7" descr="high.&#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38637" name="Image 7" descr="high.&#10;&#10;Le contenu généré par l’IA peut être incorrect."/>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08FFD2A5" w14:textId="77777777" w:rsidR="000D1C0D" w:rsidRPr="00C67737" w:rsidRDefault="000D1C0D" w:rsidP="000D1C0D"/>
    <w:p w14:paraId="31EB8592" w14:textId="5C5593DC" w:rsidR="00B45D2A" w:rsidRPr="00C67737" w:rsidRDefault="006B616D" w:rsidP="000B33CF">
      <w:pPr>
        <w:pStyle w:val="ListParagraph"/>
      </w:pPr>
      <w:bookmarkStart w:id="162" w:name="_Toc102227415"/>
      <w:r w:rsidRPr="006B616D">
        <w:t xml:space="preserve">Les résultats, mesurés au moyen des </w:t>
      </w:r>
      <w:r w:rsidR="000C237F">
        <w:t>i</w:t>
      </w:r>
      <w:r w:rsidRPr="006B616D">
        <w:t xml:space="preserve">ndicateurs de base du GEF, d’un sous-ensemble de 277 projets en cours de mise en œuvre et communiqués entre juillet 2022 et juin 2025 ont fortement contribué à la réalisation des cibles du KMGBF. Ces projets ont bénéficié d’un financement de projet du GEF </w:t>
      </w:r>
      <w:r w:rsidR="000C237F">
        <w:t>de</w:t>
      </w:r>
      <w:r w:rsidRPr="006B616D">
        <w:t xml:space="preserve"> 1,7 milliard de dollars et ont notamment produit les résultats suivants</w:t>
      </w:r>
      <w:r w:rsidR="006E54C7">
        <w:t> :</w:t>
      </w:r>
    </w:p>
    <w:p w14:paraId="42C8203A" w14:textId="22C5B46B" w:rsidR="000D466F" w:rsidRPr="000D466F" w:rsidRDefault="009E66EC" w:rsidP="000B33CF">
      <w:pPr>
        <w:pStyle w:val="ListParagraph"/>
        <w:numPr>
          <w:ilvl w:val="0"/>
          <w:numId w:val="47"/>
        </w:numPr>
      </w:pPr>
      <w:r>
        <w:t>Cible 1</w:t>
      </w:r>
      <w:r w:rsidR="006E54C7">
        <w:t> :</w:t>
      </w:r>
      <w:r>
        <w:t xml:space="preserve"> 578,9 millions d’hectares de zones terrestres et mari</w:t>
      </w:r>
      <w:r w:rsidR="005479A4">
        <w:t>n</w:t>
      </w:r>
      <w:r>
        <w:t xml:space="preserve">es directement </w:t>
      </w:r>
      <w:r w:rsidR="005479A4">
        <w:t>touchées</w:t>
      </w:r>
      <w:r>
        <w:t xml:space="preserve"> au profit de la biodiversité</w:t>
      </w:r>
      <w:r w:rsidR="00A10807">
        <w:t>.</w:t>
      </w:r>
    </w:p>
    <w:p w14:paraId="402DAFE8" w14:textId="492BD583" w:rsidR="009E66EC" w:rsidRPr="000D466F" w:rsidRDefault="009E66EC" w:rsidP="000B33CF">
      <w:pPr>
        <w:pStyle w:val="ListParagraph"/>
        <w:numPr>
          <w:ilvl w:val="0"/>
          <w:numId w:val="47"/>
        </w:numPr>
      </w:pPr>
      <w:r w:rsidRPr="000D466F">
        <w:t>Cible 2</w:t>
      </w:r>
      <w:r w:rsidR="006E54C7">
        <w:t> :</w:t>
      </w:r>
      <w:r w:rsidRPr="000D466F">
        <w:t xml:space="preserve"> 25,5 millions d’hectares de zones terrestres et d’écosystèmes faisant l’objet de mesures de remise en état</w:t>
      </w:r>
      <w:r w:rsidR="00A10807">
        <w:t>.</w:t>
      </w:r>
    </w:p>
    <w:p w14:paraId="33C23FBB" w14:textId="00B23257" w:rsidR="009E66EC" w:rsidRPr="000D466F" w:rsidRDefault="009E66EC" w:rsidP="000B33CF">
      <w:pPr>
        <w:pStyle w:val="ListParagraph"/>
        <w:numPr>
          <w:ilvl w:val="0"/>
          <w:numId w:val="47"/>
        </w:numPr>
      </w:pPr>
      <w:r w:rsidRPr="000D466F">
        <w:t>Cible 3</w:t>
      </w:r>
      <w:r w:rsidR="006E54C7">
        <w:t> :</w:t>
      </w:r>
      <w:r w:rsidRPr="000D466F">
        <w:t xml:space="preserve"> 340,9 millions d’hectares d’aires protégées créés ou f</w:t>
      </w:r>
      <w:r w:rsidR="00496825">
        <w:t>aisant</w:t>
      </w:r>
      <w:r w:rsidRPr="000D466F">
        <w:t xml:space="preserve"> l’objet d’une gestion</w:t>
      </w:r>
      <w:r w:rsidR="00983778">
        <w:t xml:space="preserve"> améliorée</w:t>
      </w:r>
      <w:r w:rsidRPr="000D466F">
        <w:t xml:space="preserve">, dont </w:t>
      </w:r>
      <w:r w:rsidR="00496825">
        <w:t>50</w:t>
      </w:r>
      <w:r w:rsidR="00966C17">
        <w:t> %</w:t>
      </w:r>
      <w:r w:rsidRPr="000D466F">
        <w:t xml:space="preserve"> correspond</w:t>
      </w:r>
      <w:r w:rsidR="00496825">
        <w:t>ent</w:t>
      </w:r>
      <w:r w:rsidRPr="000D466F">
        <w:t xml:space="preserve"> à de nouvelles aires protégées créées direct</w:t>
      </w:r>
      <w:r w:rsidR="00CB4360">
        <w:t xml:space="preserve">ement </w:t>
      </w:r>
      <w:r w:rsidRPr="000D466F">
        <w:t>avec l’appui du GEF.</w:t>
      </w:r>
    </w:p>
    <w:p w14:paraId="3E13CAB7" w14:textId="2B73A306" w:rsidR="009E66EC" w:rsidRPr="000D466F" w:rsidRDefault="009E66EC" w:rsidP="000B33CF">
      <w:pPr>
        <w:pStyle w:val="ListParagraph"/>
        <w:numPr>
          <w:ilvl w:val="0"/>
          <w:numId w:val="47"/>
        </w:numPr>
      </w:pPr>
      <w:r w:rsidRPr="000D466F">
        <w:t>Cible 7</w:t>
      </w:r>
      <w:r w:rsidR="006E54C7">
        <w:t> :</w:t>
      </w:r>
      <w:r w:rsidRPr="000D466F">
        <w:t xml:space="preserve"> 32 134 tonnes de produits chimiques préoccupants à l’échelle mondiale et de déchets connexes réduites</w:t>
      </w:r>
      <w:r w:rsidR="00123823">
        <w:t>.</w:t>
      </w:r>
    </w:p>
    <w:p w14:paraId="1854A9E5" w14:textId="109AAFED" w:rsidR="009E66EC" w:rsidRPr="000D466F" w:rsidRDefault="009E66EC" w:rsidP="000B33CF">
      <w:pPr>
        <w:pStyle w:val="ListParagraph"/>
        <w:numPr>
          <w:ilvl w:val="0"/>
          <w:numId w:val="47"/>
        </w:numPr>
      </w:pPr>
      <w:r w:rsidRPr="000D466F">
        <w:t>Cible 8 et cible 11</w:t>
      </w:r>
      <w:r w:rsidR="006E54C7">
        <w:t> :</w:t>
      </w:r>
      <w:r w:rsidRPr="000D466F">
        <w:t xml:space="preserve"> 881,7</w:t>
      </w:r>
      <w:r w:rsidR="003870E8">
        <w:t> </w:t>
      </w:r>
      <w:r w:rsidRPr="000D466F">
        <w:t>millions de tonnes d</w:t>
      </w:r>
      <w:r w:rsidR="008D579C">
        <w:t>’</w:t>
      </w:r>
      <w:r w:rsidRPr="000D466F">
        <w:t xml:space="preserve">émissions de gaz à effet de serre </w:t>
      </w:r>
      <w:r w:rsidR="00496825">
        <w:t>atténuées</w:t>
      </w:r>
      <w:r w:rsidRPr="000D466F">
        <w:t xml:space="preserve"> (t</w:t>
      </w:r>
      <w:r w:rsidR="003870E8">
        <w:t xml:space="preserve">. </w:t>
      </w:r>
      <w:proofErr w:type="spellStart"/>
      <w:r w:rsidR="003870E8">
        <w:t>é</w:t>
      </w:r>
      <w:r w:rsidRPr="000D466F">
        <w:t>q</w:t>
      </w:r>
      <w:proofErr w:type="spellEnd"/>
      <w:r w:rsidR="003870E8">
        <w:t xml:space="preserve">. </w:t>
      </w:r>
      <w:r w:rsidRPr="000D466F">
        <w:t>CO</w:t>
      </w:r>
      <w:r w:rsidRPr="003870E8">
        <w:rPr>
          <w:vertAlign w:val="subscript"/>
        </w:rPr>
        <w:t>2</w:t>
      </w:r>
      <w:r w:rsidRPr="000D466F">
        <w:t>)</w:t>
      </w:r>
      <w:r w:rsidR="00123823">
        <w:t>.</w:t>
      </w:r>
    </w:p>
    <w:p w14:paraId="030680C0" w14:textId="73E41F23" w:rsidR="009E66EC" w:rsidRPr="000D466F" w:rsidRDefault="009E66EC" w:rsidP="000B33CF">
      <w:pPr>
        <w:pStyle w:val="ListParagraph"/>
        <w:numPr>
          <w:ilvl w:val="0"/>
          <w:numId w:val="47"/>
        </w:numPr>
      </w:pPr>
      <w:r w:rsidRPr="000D466F">
        <w:lastRenderedPageBreak/>
        <w:t>Cible 10</w:t>
      </w:r>
      <w:r w:rsidR="006E54C7">
        <w:t> :</w:t>
      </w:r>
      <w:r w:rsidRPr="000D466F">
        <w:t xml:space="preserve"> 80,7 millions d’hectares de paysages faisant l’objet de pratiques améliorées, 21</w:t>
      </w:r>
      <w:r w:rsidR="00B2406A">
        <w:t> </w:t>
      </w:r>
      <w:r w:rsidRPr="000D466F">
        <w:t xml:space="preserve">écosystèmes </w:t>
      </w:r>
      <w:r w:rsidR="00B2406A">
        <w:t>aquatiques</w:t>
      </w:r>
      <w:r w:rsidRPr="000D466F">
        <w:t xml:space="preserve"> partagés faisant l</w:t>
      </w:r>
      <w:r w:rsidR="008D579C">
        <w:t>’</w:t>
      </w:r>
      <w:r w:rsidRPr="000D466F">
        <w:t xml:space="preserve">objet d’une gestion améliorée. </w:t>
      </w:r>
    </w:p>
    <w:p w14:paraId="2B85EEF6" w14:textId="2EC7B458" w:rsidR="009E66EC" w:rsidRPr="00C67737" w:rsidRDefault="009E66EC" w:rsidP="000B33CF">
      <w:pPr>
        <w:pStyle w:val="ListParagraph"/>
        <w:numPr>
          <w:ilvl w:val="0"/>
          <w:numId w:val="47"/>
        </w:numPr>
      </w:pPr>
      <w:r>
        <w:t>Cible 19</w:t>
      </w:r>
      <w:r w:rsidR="006E54C7">
        <w:t> :</w:t>
      </w:r>
      <w:r>
        <w:t xml:space="preserve"> 7,2 milliards de dollars de cofinancement dont 232,9 millions provenant du secteur privé, </w:t>
      </w:r>
      <w:r w:rsidR="006D2520">
        <w:t>portant l’</w:t>
      </w:r>
      <w:r>
        <w:t>investissement total dans des projets pertinents pour la biodiversité</w:t>
      </w:r>
      <w:r w:rsidR="002E1453">
        <w:t xml:space="preserve"> à de 8,9 milliards de dollars</w:t>
      </w:r>
      <w:r>
        <w:t>, selon la méthodologie des marqueurs de Rio</w:t>
      </w:r>
      <w:r w:rsidR="00123823">
        <w:t>.</w:t>
      </w:r>
    </w:p>
    <w:p w14:paraId="4C2D2976" w14:textId="479350C7" w:rsidR="009E66EC" w:rsidRPr="00C67737" w:rsidRDefault="009E66EC" w:rsidP="000B33CF">
      <w:pPr>
        <w:pStyle w:val="ListParagraph"/>
        <w:numPr>
          <w:ilvl w:val="0"/>
          <w:numId w:val="47"/>
        </w:numPr>
      </w:pPr>
      <w:r>
        <w:t>Cible 22 et cible 23</w:t>
      </w:r>
      <w:r w:rsidR="006E54C7">
        <w:t> :</w:t>
      </w:r>
      <w:r>
        <w:t xml:space="preserve"> 6,4 millions de personnes bénéficiant des activités de conservation, d’utilisation durable ou de restauration de la biodiversité dont 3,2</w:t>
      </w:r>
      <w:r w:rsidR="00BD1492">
        <w:t> </w:t>
      </w:r>
      <w:r>
        <w:t>millions de femmes</w:t>
      </w:r>
      <w:r w:rsidR="00123823">
        <w:t>.</w:t>
      </w:r>
    </w:p>
    <w:p w14:paraId="543DBC3E" w14:textId="77777777" w:rsidR="00B60A69" w:rsidRPr="00C67737" w:rsidRDefault="00B60A69" w:rsidP="00B60A69">
      <w:pPr>
        <w:spacing w:after="160"/>
      </w:pPr>
      <w:bookmarkStart w:id="163" w:name="_Toc102227417"/>
      <w:bookmarkEnd w:id="158"/>
      <w:bookmarkEnd w:id="159"/>
      <w:bookmarkEnd w:id="160"/>
      <w:bookmarkEnd w:id="161"/>
      <w:bookmarkEnd w:id="162"/>
    </w:p>
    <w:p w14:paraId="6F776D85" w14:textId="73EC8881" w:rsidR="006229A6" w:rsidRPr="00C67737" w:rsidRDefault="00A60A3B" w:rsidP="00640F63">
      <w:pPr>
        <w:pStyle w:val="Heading1"/>
      </w:pPr>
      <w:bookmarkStart w:id="164" w:name="_Toc242184718"/>
      <w:bookmarkStart w:id="165" w:name="_Toc242185290"/>
      <w:r>
        <w:t>Évaluations du Bureau indépendant d’évaluation du GEF</w:t>
      </w:r>
      <w:bookmarkEnd w:id="163"/>
      <w:bookmarkEnd w:id="164"/>
      <w:bookmarkEnd w:id="165"/>
      <w:r>
        <w:t xml:space="preserve"> </w:t>
      </w:r>
    </w:p>
    <w:p w14:paraId="717482C9" w14:textId="2C6BCEB5" w:rsidR="00F42BED" w:rsidRPr="00C67737" w:rsidRDefault="00411EA9" w:rsidP="000B33CF">
      <w:pPr>
        <w:pStyle w:val="ListParagraph"/>
      </w:pPr>
      <w:r>
        <w:t>Au cours de la période considérée, le Bureau indépendant d’évaluation du GEF a réalisé 11</w:t>
      </w:r>
      <w:r w:rsidR="00981C43">
        <w:t> </w:t>
      </w:r>
      <w:r>
        <w:t xml:space="preserve">évaluations </w:t>
      </w:r>
      <w:r w:rsidR="00981C43">
        <w:t>pertinentes</w:t>
      </w:r>
      <w:r>
        <w:t xml:space="preserve"> pour le domaine d’intervention </w:t>
      </w:r>
      <w:r w:rsidR="0094079E">
        <w:t>« </w:t>
      </w:r>
      <w:r>
        <w:t>diversité biologique</w:t>
      </w:r>
      <w:r w:rsidR="0094079E">
        <w:t> »</w:t>
      </w:r>
      <w:r>
        <w:t xml:space="preserve">. </w:t>
      </w:r>
    </w:p>
    <w:p w14:paraId="704B59F1" w14:textId="02E6C9D6" w:rsidR="00411EA9" w:rsidRPr="00C67737" w:rsidRDefault="00411EA9" w:rsidP="000B33CF">
      <w:pPr>
        <w:pStyle w:val="ListParagraph"/>
      </w:pPr>
      <w:r>
        <w:t>Les principaux messages des cinq évaluations pertinentes publiées entre juillet 2022 et juillet 2024 ont été résumés dans le rapport du GEF à la seizième réunion de la Conférence des Parties à la CDB</w:t>
      </w:r>
      <w:r w:rsidR="00305FDE" w:rsidRPr="00C67737">
        <w:rPr>
          <w:rStyle w:val="FootnoteReference"/>
          <w:lang w:val="en-US"/>
        </w:rPr>
        <w:footnoteReference w:id="130"/>
      </w:r>
      <w:r>
        <w:t xml:space="preserve">. Ce rapport présentait également une synthèse des réponses de la direction du Secrétariat du GEF, approuvées par le Conseil du GEF. </w:t>
      </w:r>
      <w:r w:rsidR="003345F1" w:rsidRPr="003345F1">
        <w:t>Ces cinq évaluations étaient consacrées à l’appui du GEF à la gestion durable des forêts, aux pays des zones arides, au Programme mondial pour la vie sauvage, aux approches communautaires au sein du GEF et à l’évaluation stratégique par groupe de pays de l’écosystème du bassin inférieur du Mékong</w:t>
      </w:r>
      <w:r w:rsidR="003345F1">
        <w:t>.</w:t>
      </w:r>
    </w:p>
    <w:p w14:paraId="264D7C79" w14:textId="3DB32134" w:rsidR="00F42BED" w:rsidRPr="00C67737" w:rsidRDefault="002939BB" w:rsidP="000B33CF">
      <w:pPr>
        <w:pStyle w:val="ListParagraph"/>
      </w:pPr>
      <w:r>
        <w:t xml:space="preserve">La présente section récapitule les évaluations du Bureau indépendant d’évaluation du GEF publiées depuis juillet 2024, </w:t>
      </w:r>
      <w:r w:rsidR="007B74A7" w:rsidRPr="007B74A7">
        <w:t>à savoir les évaluations des programmes du GEF dans les petits États insulaires en développement du Pacifique (décembre 2024), de l’appui aux solutions fondées sur la nature (juin 2025), des programmes du GEF relatifs aux systèmes alimentaires (décembre 2025), la huitième évaluation globale du GEF (décembre 2025), l’évaluation formative du Fonds du Cadre mondial de la biodiversité (GBFF) (juin 2025) et la deuxième évaluation formative du GBFF (juin 2026). Une synthèse des réponses de la direction du Secrétariat du GEF, approuvées par le Conseil du GEF, est également présentée.</w:t>
      </w:r>
    </w:p>
    <w:p w14:paraId="15C657A2" w14:textId="22A31EB4" w:rsidR="00411EA9" w:rsidRPr="00C67737" w:rsidRDefault="00A12F6C" w:rsidP="00D56EFB">
      <w:pPr>
        <w:pStyle w:val="Heading2"/>
      </w:pPr>
      <w:bookmarkStart w:id="166" w:name="_Toc242184665"/>
      <w:bookmarkStart w:id="167" w:name="_Toc242184719"/>
      <w:bookmarkStart w:id="168" w:name="_Toc242185291"/>
      <w:r>
        <w:t>Évaluation des programmes du GEF dans les petits États insulaires en développement du Pacifique</w:t>
      </w:r>
      <w:r w:rsidR="00DE34AA" w:rsidRPr="00C67737">
        <w:rPr>
          <w:rStyle w:val="FootnoteReference"/>
          <w:lang w:val="en-US"/>
        </w:rPr>
        <w:footnoteReference w:id="131"/>
      </w:r>
      <w:bookmarkEnd w:id="166"/>
      <w:bookmarkEnd w:id="167"/>
      <w:bookmarkEnd w:id="168"/>
    </w:p>
    <w:p w14:paraId="1B333AD7" w14:textId="11DE05F2" w:rsidR="00146208" w:rsidRPr="00C67737" w:rsidRDefault="006F2DA7" w:rsidP="000B33CF">
      <w:pPr>
        <w:pStyle w:val="ListParagraph"/>
      </w:pPr>
      <w:r>
        <w:t>L’</w:t>
      </w:r>
      <w:r w:rsidR="00146208">
        <w:t xml:space="preserve">évaluation a porté sur trois grands programmes du GEF </w:t>
      </w:r>
      <w:r w:rsidR="00197A5A">
        <w:t xml:space="preserve">mis en œuvre </w:t>
      </w:r>
      <w:r w:rsidR="00146208">
        <w:t xml:space="preserve">dans les petits États insulaires en développement du Pacifique </w:t>
      </w:r>
      <w:r w:rsidR="00197A5A">
        <w:t xml:space="preserve">(PEIDS) ainsi que </w:t>
      </w:r>
      <w:r w:rsidR="00146208">
        <w:t>sur les 19 projets rattachés correspondants — 13</w:t>
      </w:r>
      <w:r w:rsidR="00D07577">
        <w:t> </w:t>
      </w:r>
      <w:r w:rsidR="00146208">
        <w:t>achevés et 6 en cours</w:t>
      </w:r>
      <w:r w:rsidR="006E54C7">
        <w:t> :</w:t>
      </w:r>
      <w:r w:rsidR="00146208">
        <w:t xml:space="preserve"> </w:t>
      </w:r>
      <w:r w:rsidR="0053317C" w:rsidRPr="00E65049">
        <w:t xml:space="preserve">un programme visant à adapter le développement </w:t>
      </w:r>
      <w:r w:rsidR="0053317C" w:rsidRPr="00E65049">
        <w:lastRenderedPageBreak/>
        <w:t>aux effets des changements climatiques dans le Pacifique (</w:t>
      </w:r>
      <w:proofErr w:type="spellStart"/>
      <w:r w:rsidR="0053317C" w:rsidRPr="00E65049">
        <w:rPr>
          <w:i/>
          <w:iCs/>
        </w:rPr>
        <w:t>Climate-Proofing</w:t>
      </w:r>
      <w:proofErr w:type="spellEnd"/>
      <w:r w:rsidR="0053317C" w:rsidRPr="00E65049">
        <w:rPr>
          <w:i/>
          <w:iCs/>
        </w:rPr>
        <w:t xml:space="preserve"> </w:t>
      </w:r>
      <w:proofErr w:type="spellStart"/>
      <w:r w:rsidR="0053317C" w:rsidRPr="00E65049">
        <w:rPr>
          <w:i/>
          <w:iCs/>
        </w:rPr>
        <w:t>Development</w:t>
      </w:r>
      <w:proofErr w:type="spellEnd"/>
      <w:r w:rsidR="0053317C" w:rsidRPr="00E65049">
        <w:rPr>
          <w:i/>
          <w:iCs/>
        </w:rPr>
        <w:t xml:space="preserve"> in the Pacific</w:t>
      </w:r>
      <w:r w:rsidR="0053317C" w:rsidRPr="00E65049">
        <w:t xml:space="preserve">), un autre consacré aux priorités nationales </w:t>
      </w:r>
      <w:r w:rsidR="0094079E">
        <w:t>« </w:t>
      </w:r>
      <w:r w:rsidR="0053317C" w:rsidRPr="00E65049">
        <w:t>de la crête au récif</w:t>
      </w:r>
      <w:r w:rsidR="0094079E">
        <w:t> »</w:t>
      </w:r>
      <w:r w:rsidR="0053317C" w:rsidRPr="00E65049">
        <w:t xml:space="preserve"> dans les îles du Pacifique (</w:t>
      </w:r>
      <w:r w:rsidR="0053317C" w:rsidRPr="00E65049">
        <w:rPr>
          <w:i/>
          <w:iCs/>
        </w:rPr>
        <w:t xml:space="preserve">Pacific </w:t>
      </w:r>
      <w:proofErr w:type="spellStart"/>
      <w:r w:rsidR="0053317C" w:rsidRPr="00E65049">
        <w:rPr>
          <w:i/>
          <w:iCs/>
        </w:rPr>
        <w:t>Islands</w:t>
      </w:r>
      <w:proofErr w:type="spellEnd"/>
      <w:r w:rsidR="0053317C" w:rsidRPr="00E65049">
        <w:rPr>
          <w:i/>
          <w:iCs/>
        </w:rPr>
        <w:t xml:space="preserve"> Ridge-to-Reef National </w:t>
      </w:r>
      <w:proofErr w:type="spellStart"/>
      <w:r w:rsidR="0053317C" w:rsidRPr="00E65049">
        <w:rPr>
          <w:i/>
          <w:iCs/>
        </w:rPr>
        <w:t>Priorities</w:t>
      </w:r>
      <w:proofErr w:type="spellEnd"/>
      <w:r w:rsidR="0053317C" w:rsidRPr="00E65049">
        <w:t xml:space="preserve">), et un troisième visant à promouvoir un développement durable à faible recours aux produits chimiques, voire sans produits chimiques, dans les petits États insulaires en développement </w:t>
      </w:r>
      <w:r w:rsidR="0053317C" w:rsidRPr="0053317C">
        <w:t>(</w:t>
      </w:r>
      <w:proofErr w:type="spellStart"/>
      <w:r w:rsidR="0053317C" w:rsidRPr="00E65049">
        <w:rPr>
          <w:i/>
          <w:iCs/>
        </w:rPr>
        <w:t>Implementing</w:t>
      </w:r>
      <w:proofErr w:type="spellEnd"/>
      <w:r w:rsidR="0053317C" w:rsidRPr="00E65049">
        <w:rPr>
          <w:i/>
          <w:iCs/>
        </w:rPr>
        <w:t xml:space="preserve"> </w:t>
      </w:r>
      <w:proofErr w:type="spellStart"/>
      <w:r w:rsidR="0053317C" w:rsidRPr="00E65049">
        <w:rPr>
          <w:i/>
          <w:iCs/>
        </w:rPr>
        <w:t>Sustainable</w:t>
      </w:r>
      <w:proofErr w:type="spellEnd"/>
      <w:r w:rsidR="0053317C" w:rsidRPr="00E65049">
        <w:rPr>
          <w:i/>
          <w:iCs/>
        </w:rPr>
        <w:t xml:space="preserve"> Low and Non-Chemical Development in SIDS</w:t>
      </w:r>
      <w:r w:rsidR="0053317C" w:rsidRPr="0053317C">
        <w:t>).</w:t>
      </w:r>
      <w:r w:rsidR="00E65049">
        <w:t xml:space="preserve"> </w:t>
      </w:r>
      <w:r w:rsidR="00146208">
        <w:t>Elle a examiné l’évolution de la programmation intégrée du GEF dans la région, analysé les facteurs influant sur la performance des programmes et dégagé des enseignements destinés à éclairer les futures interventions du GEF dans les PEID.</w:t>
      </w:r>
    </w:p>
    <w:p w14:paraId="1C8B7ED3" w14:textId="02E9D1DC" w:rsidR="00146208" w:rsidRPr="00C67737" w:rsidRDefault="00146208" w:rsidP="000B33CF">
      <w:pPr>
        <w:pStyle w:val="ListParagraph"/>
      </w:pPr>
      <w:r>
        <w:t>L’évaluation met en évidence l’importance d’approches intégrées de la gestion des terres, des eaux, des forêts et des ressources côtières pour la conservation de la biodiversité dans les PEID. Elle montre que l’intégration à l’échelle des écosystèmes est essentielle pour traiter les interactions entre les milieux terrestres et marins, même si elle exige une coordination accrue et sollicite fortement des capacités institutionnelles limitées.</w:t>
      </w:r>
    </w:p>
    <w:p w14:paraId="2E8D1D4D" w14:textId="39FEDB4A" w:rsidR="00146208" w:rsidRPr="00C67737" w:rsidRDefault="006F2DA7" w:rsidP="000B33CF">
      <w:pPr>
        <w:pStyle w:val="ListParagraph"/>
      </w:pPr>
      <w:r>
        <w:t>L’évaluation</w:t>
      </w:r>
      <w:r w:rsidR="00146208">
        <w:t xml:space="preserve"> relève de meilleurs résultats en matière de biodiversité dans la gestion des aires protégées ainsi que dans la gestion des ressources côtières et marines. En revanche, les résultats obtenus en matière de rétablissement des espèces, de reboisement et de réduction des pressions exercées sur l’environnement sont restés limités.</w:t>
      </w:r>
    </w:p>
    <w:p w14:paraId="76A9D2BC" w14:textId="6131FEB6" w:rsidR="00146208" w:rsidRPr="00C67737" w:rsidRDefault="00146208" w:rsidP="000B33CF">
      <w:pPr>
        <w:pStyle w:val="ListParagraph"/>
      </w:pPr>
      <w:r>
        <w:t xml:space="preserve">L’évaluation conclut que les approches programmatiques du GEF ont connu des avancées notables depuis la précédente évaluation consacrée aux PEID, </w:t>
      </w:r>
      <w:r w:rsidR="005B3826" w:rsidRPr="005B3826">
        <w:t>même si certains défis restent à relever</w:t>
      </w:r>
      <w:r w:rsidRPr="005B3826">
        <w:rPr>
          <w:vertAlign w:val="superscript"/>
        </w:rPr>
        <w:footnoteReference w:id="132"/>
      </w:r>
      <w:r>
        <w:t xml:space="preserve">. Elle souligne que les programmes du GEF dans les PEID du Pacifique </w:t>
      </w:r>
      <w:r w:rsidR="009A67B9">
        <w:t>s</w:t>
      </w:r>
      <w:r w:rsidR="00A43D27" w:rsidRPr="00A43D27">
        <w:t>ont stratégiquement cohérents avec les priorités régionales et concourent à la réalisation d’importants objectifs environnementaux et de développement</w:t>
      </w:r>
      <w:r>
        <w:t xml:space="preserve">. La gestion des connaissances, l’innovation et les </w:t>
      </w:r>
      <w:r w:rsidR="001F6CF7">
        <w:t>avantages</w:t>
      </w:r>
      <w:r>
        <w:t xml:space="preserve"> socioéconomiques </w:t>
      </w:r>
      <w:r w:rsidR="001F6CF7">
        <w:t xml:space="preserve">annexes </w:t>
      </w:r>
      <w:r>
        <w:t xml:space="preserve">ont contribué à l’efficacité des programmes. </w:t>
      </w:r>
      <w:r w:rsidR="000166E3">
        <w:t>T</w:t>
      </w:r>
      <w:r w:rsidR="000166E3" w:rsidRPr="000166E3">
        <w:t>outefois, si les projets rattachés étaient, dans une large mesure, conformes aux objectifs des programmes dès leur conception, d’importants obstacles opérationnels persistaient, et l’efficacité variait considérablement d’une intervention et d’un programme à l’autre.</w:t>
      </w:r>
    </w:p>
    <w:p w14:paraId="6C06663D" w14:textId="2A54AD3E" w:rsidR="00146208" w:rsidRPr="00C67737" w:rsidRDefault="7A478C89" w:rsidP="000B33CF">
      <w:pPr>
        <w:pStyle w:val="ListParagraph"/>
      </w:pPr>
      <w:r>
        <w:t xml:space="preserve">L’évaluation a mis en évidence des faiblesses systémiques des dispositifs de suivi et d’évaluation, qui ont fortement entravé l’évaluation des programmes et leur gestion adaptative. Ces lacunes </w:t>
      </w:r>
      <w:r w:rsidR="00F1228C">
        <w:t>portaient sur</w:t>
      </w:r>
      <w:r>
        <w:t xml:space="preserve"> trois domaines principaux</w:t>
      </w:r>
      <w:r w:rsidR="006E54C7">
        <w:t> :</w:t>
      </w:r>
      <w:r>
        <w:t xml:space="preserve"> i) un manque persistant de cohérence entre les indicateurs définis au niveau des programmes et ceux des projets rattachés</w:t>
      </w:r>
      <w:r w:rsidR="006E54C7">
        <w:t> ;</w:t>
      </w:r>
      <w:r>
        <w:t xml:space="preserve"> ii) </w:t>
      </w:r>
      <w:r w:rsidR="000166E3">
        <w:t>la</w:t>
      </w:r>
      <w:r>
        <w:t xml:space="preserve"> qualité inégale des indicateurs et des méthodes de mesure</w:t>
      </w:r>
      <w:r w:rsidR="006E54C7">
        <w:t> ;</w:t>
      </w:r>
      <w:r>
        <w:t xml:space="preserve"> iii) l’absence de systèmes solides </w:t>
      </w:r>
      <w:r w:rsidR="00F1228C">
        <w:t>permettant de</w:t>
      </w:r>
      <w:r>
        <w:t xml:space="preserve"> mesure</w:t>
      </w:r>
      <w:r w:rsidR="00F1228C">
        <w:t>r</w:t>
      </w:r>
      <w:r>
        <w:t xml:space="preserve"> </w:t>
      </w:r>
      <w:r w:rsidR="00F1228C">
        <w:t>l</w:t>
      </w:r>
      <w:r>
        <w:t xml:space="preserve">es résultats. </w:t>
      </w:r>
    </w:p>
    <w:p w14:paraId="4C8D1A63" w14:textId="7A24BCF3" w:rsidR="00146208" w:rsidRPr="00C67737" w:rsidRDefault="00DA5A22" w:rsidP="000B33CF">
      <w:pPr>
        <w:pStyle w:val="ListParagraph"/>
      </w:pPr>
      <w:r w:rsidRPr="00DA5A22">
        <w:t xml:space="preserve">Les programmes du GEF dans les PEID du Pacifique ont démontré une additionnalité substantielle par rapport aux projets autonomes, bien que cet avantage se soit accompagné de compromis inhérents à leur mise en œuvre. </w:t>
      </w:r>
      <w:r w:rsidR="7A478C89">
        <w:t>Les trois programmes du GEF dans les PEID du Pacifique ont accusé d’importants retards d’exécution, leurs délais d’achèvement dépassant généralement l</w:t>
      </w:r>
      <w:r>
        <w:t>es</w:t>
      </w:r>
      <w:r w:rsidR="7A478C89">
        <w:t xml:space="preserve"> moyenne</w:t>
      </w:r>
      <w:r>
        <w:t>s observées dans le</w:t>
      </w:r>
      <w:r w:rsidR="7A478C89">
        <w:t xml:space="preserve"> portefeuille du GEF. </w:t>
      </w:r>
      <w:r w:rsidR="00551FAE" w:rsidRPr="00551FAE">
        <w:t xml:space="preserve">La durabilité a également posé de sérieuses difficultés, en raison de la faiblesse des capacités institutionnelles, de </w:t>
      </w:r>
      <w:r w:rsidR="00551FAE" w:rsidRPr="00551FAE">
        <w:lastRenderedPageBreak/>
        <w:t>mécanismes de financement limités et du contexte propre à chaque pays. L’évaluation a mis en évidence des possibilités d’améliorer la coordination et la collaboration entre les Agences du GEF et les autres partenaires de développement. Elle a également relevé qu’il serait possible de renforcer les capacités institutionnelles des PEID du Pacifique en examinant attentivement les partenariats conclus avec les Agences.</w:t>
      </w:r>
      <w:r w:rsidR="7A478C89">
        <w:t xml:space="preserve"> </w:t>
      </w:r>
    </w:p>
    <w:p w14:paraId="5C3A14EA" w14:textId="0E371005" w:rsidR="00146208" w:rsidRPr="00C67737" w:rsidRDefault="7A478C89" w:rsidP="000B33CF">
      <w:pPr>
        <w:pStyle w:val="ListParagraph"/>
      </w:pPr>
      <w:r>
        <w:t>Sur la base de ses constatations, le Bureau indépendant d’évaluation a formulé trois recommandations</w:t>
      </w:r>
      <w:r w:rsidR="006E54C7">
        <w:t> :</w:t>
      </w:r>
      <w:r>
        <w:t xml:space="preserve"> i) renforcer la coordination et la collaboration afin d’optimiser l’impact sur le développement et l’utilisation efficiente des ressources</w:t>
      </w:r>
      <w:r w:rsidR="006E54C7">
        <w:t> ;</w:t>
      </w:r>
      <w:r>
        <w:t xml:space="preserve"> ii) accroître l’efficacité des programmes en améliorant davantage la cohérence et l’exécution opérationnelle entre les programmes-cadres des PEID du Pacifique et leurs projets rattachés</w:t>
      </w:r>
      <w:r w:rsidR="006E54C7">
        <w:t> ;</w:t>
      </w:r>
      <w:r>
        <w:t xml:space="preserve"> iii) faire du renforcement solide des capacités institutionnelles une priorité afin d’assurer la réussite des programmes et la pérennité de leurs effets.</w:t>
      </w:r>
    </w:p>
    <w:p w14:paraId="124D635A" w14:textId="6CD772E5" w:rsidR="000B5E33" w:rsidRPr="00C67737" w:rsidRDefault="000B5E33" w:rsidP="000B33CF">
      <w:pPr>
        <w:pStyle w:val="ListParagraph"/>
      </w:pPr>
      <w:r>
        <w:t>Le Conseil du GEF a approuvé les réponses de la direction du Secrétariat du GEF à ces recommandations</w:t>
      </w:r>
      <w:r w:rsidRPr="00CE546E">
        <w:rPr>
          <w:vertAlign w:val="superscript"/>
        </w:rPr>
        <w:footnoteReference w:id="133"/>
      </w:r>
      <w:r>
        <w:t xml:space="preserve">. Le Secrétariat a accueilli favorablement le rapport d’évaluation et </w:t>
      </w:r>
      <w:r w:rsidR="00780FE5">
        <w:t>exposé</w:t>
      </w:r>
      <w:r>
        <w:t xml:space="preserve"> les raisons pour lesquelles il adhérait, dans l’ensemble, à ses constatations, conclusions et recommandations. </w:t>
      </w:r>
      <w:r w:rsidR="00780FE5">
        <w:t>Il</w:t>
      </w:r>
      <w:r>
        <w:t xml:space="preserve"> a </w:t>
      </w:r>
      <w:r w:rsidR="00780FE5">
        <w:t>présenté</w:t>
      </w:r>
      <w:r>
        <w:t xml:space="preserve">, d’une part, les domaines dans lesquels des efforts étaient déjà déployés pour améliorer les approches programmatiques, la programmation et la collaboration avec les PEID et, d’autre part, les possibilités d’étendre et de renforcer ces efforts. Les réponses ont notamment souligné que, depuis </w:t>
      </w:r>
      <w:r w:rsidR="00376C22">
        <w:t>GEF</w:t>
      </w:r>
      <w:r w:rsidR="00376C22">
        <w:noBreakHyphen/>
      </w:r>
      <w:r>
        <w:t xml:space="preserve">5, plusieurs mécanismes ont permis de mieux harmoniser l’action des donateurs, de renforcer la </w:t>
      </w:r>
      <w:r w:rsidR="00BE0191">
        <w:t>mobilisation</w:t>
      </w:r>
      <w:r>
        <w:t xml:space="preserve"> des gouvernements et d’améliorer la cohérence des interventions extérieures grâce à des partenariats élargis entre les </w:t>
      </w:r>
      <w:r w:rsidR="00F52D3D">
        <w:t>Agences</w:t>
      </w:r>
      <w:r>
        <w:t xml:space="preserve"> du GEF et d’autres partenaires de développement. Ces mécanismes comprennent notamment les dialogues nationaux, les ateliers élargis des groupes de pays et une collaboration ciblée avec les donateurs, telle que l’Initiative </w:t>
      </w:r>
      <w:r w:rsidR="00503FFF">
        <w:t>V</w:t>
      </w:r>
      <w:r>
        <w:t xml:space="preserve">ision à long terme </w:t>
      </w:r>
      <w:r w:rsidR="00503FFF">
        <w:t xml:space="preserve">entre le </w:t>
      </w:r>
      <w:r>
        <w:t>GEF</w:t>
      </w:r>
      <w:r w:rsidR="00503FFF">
        <w:t xml:space="preserve"> et le </w:t>
      </w:r>
      <w:r>
        <w:t xml:space="preserve">Fonds vert pour le climat. Les réponses ont également mis en avant les progrès accomplis dans le système de gestion axée sur les résultats du GEF grâce à la mise en œuvre du Cadre de mesure des résultats de </w:t>
      </w:r>
      <w:r w:rsidR="00376C22">
        <w:t>GEF</w:t>
      </w:r>
      <w:r w:rsidR="00376C22">
        <w:noBreakHyphen/>
      </w:r>
      <w:r>
        <w:t>8 et à l’évolution des approches programmatiques</w:t>
      </w:r>
      <w:r w:rsidR="0075554A">
        <w:t>, notamment par la mise en place de</w:t>
      </w:r>
      <w:r>
        <w:t xml:space="preserve"> projets de coordination </w:t>
      </w:r>
      <w:r w:rsidR="00913E33">
        <w:t>s</w:t>
      </w:r>
      <w:r w:rsidR="00913E33" w:rsidRPr="00913E33">
        <w:t xml:space="preserve">pécifiquement consacrés au </w:t>
      </w:r>
      <w:r>
        <w:t>suivi et</w:t>
      </w:r>
      <w:r w:rsidR="00913E33">
        <w:t xml:space="preserve"> à</w:t>
      </w:r>
      <w:r>
        <w:t xml:space="preserve"> l’établissement de rapports à l’échelle des programmes, tels que ceux prévus dans le cadre du programme intégré </w:t>
      </w:r>
      <w:r w:rsidR="0094079E">
        <w:t>« </w:t>
      </w:r>
      <w:r w:rsidR="0075554A">
        <w:t>îles vertes et bleues</w:t>
      </w:r>
      <w:r w:rsidR="0094079E">
        <w:t> »</w:t>
      </w:r>
      <w:r>
        <w:t xml:space="preserve"> de </w:t>
      </w:r>
      <w:r w:rsidR="00376C22">
        <w:t>GEF</w:t>
      </w:r>
      <w:r w:rsidR="00376C22">
        <w:noBreakHyphen/>
      </w:r>
      <w:r>
        <w:t xml:space="preserve">8. Enfin, les réponses ont rappelé que la programmation du GEF est </w:t>
      </w:r>
      <w:r w:rsidR="00926091">
        <w:t>guidé</w:t>
      </w:r>
      <w:r w:rsidR="00B722D6">
        <w:t>e par la demande des</w:t>
      </w:r>
      <w:r>
        <w:t xml:space="preserve"> pays et que la neuvième reconstitution des ressources du GEF offre l’occasion d’examiner de nouvelles approches pour répondre aux besoins propres aux PEID, notamment en élargissant le réseau des </w:t>
      </w:r>
      <w:r w:rsidR="00F52D3D">
        <w:t>Agences</w:t>
      </w:r>
      <w:r>
        <w:t xml:space="preserve"> et en renforçant la</w:t>
      </w:r>
      <w:r w:rsidR="00E367F0">
        <w:t xml:space="preserve"> s</w:t>
      </w:r>
      <w:r>
        <w:t xml:space="preserve">tratégie </w:t>
      </w:r>
      <w:r w:rsidR="00E367F0">
        <w:t xml:space="preserve">du GEF </w:t>
      </w:r>
      <w:r w:rsidR="00212F02">
        <w:t xml:space="preserve">pour la </w:t>
      </w:r>
      <w:r w:rsidR="00E367F0">
        <w:t>mobilisation</w:t>
      </w:r>
      <w:r>
        <w:t xml:space="preserve"> </w:t>
      </w:r>
      <w:r w:rsidR="00E367F0">
        <w:t>d</w:t>
      </w:r>
      <w:r>
        <w:t>es pays.</w:t>
      </w:r>
    </w:p>
    <w:p w14:paraId="7FBFB69C" w14:textId="163FFBDB" w:rsidR="00411EA9" w:rsidRPr="00C67737" w:rsidRDefault="00A12F6C" w:rsidP="00D56EFB">
      <w:pPr>
        <w:pStyle w:val="Heading2"/>
      </w:pPr>
      <w:bookmarkStart w:id="169" w:name="_Toc242184666"/>
      <w:bookmarkStart w:id="170" w:name="_Toc242184720"/>
      <w:bookmarkStart w:id="171" w:name="_Toc242185292"/>
      <w:r>
        <w:t>Évaluation de l’appui du GEF aux solutions fondées sur la nature</w:t>
      </w:r>
      <w:r w:rsidR="005719A7" w:rsidRPr="00C67737">
        <w:rPr>
          <w:rStyle w:val="FootnoteReference"/>
          <w:lang w:val="en-US"/>
        </w:rPr>
        <w:footnoteReference w:id="134"/>
      </w:r>
      <w:bookmarkEnd w:id="169"/>
      <w:bookmarkEnd w:id="170"/>
      <w:bookmarkEnd w:id="171"/>
    </w:p>
    <w:p w14:paraId="4C135118" w14:textId="60E1B850" w:rsidR="00D4424D" w:rsidRPr="00C67737" w:rsidRDefault="001F522A" w:rsidP="000B33CF">
      <w:pPr>
        <w:pStyle w:val="ListParagraph"/>
      </w:pPr>
      <w:r w:rsidRPr="001F522A">
        <w:t>L’évaluation constituait la première évaluation indépendante et exhaustive de l’appui du GEF aux solutions fondées sur la natur</w:t>
      </w:r>
      <w:r>
        <w:t>e</w:t>
      </w:r>
      <w:r w:rsidR="00D4424D">
        <w:t xml:space="preserve">. Comme le GEF ne disposait ni d’une définition </w:t>
      </w:r>
      <w:r w:rsidR="00D4424D">
        <w:lastRenderedPageBreak/>
        <w:t xml:space="preserve">opérationnelle ni d’un marqueur de projet </w:t>
      </w:r>
      <w:r w:rsidR="00014F04">
        <w:t>propre aux</w:t>
      </w:r>
      <w:r w:rsidR="00D4424D">
        <w:t xml:space="preserve"> solutions fondées sur la nature, le portefeuille a été recensé au moyen d’un processus de sélection en </w:t>
      </w:r>
      <w:proofErr w:type="gramStart"/>
      <w:r w:rsidR="00D4424D">
        <w:t xml:space="preserve">trois étapes </w:t>
      </w:r>
      <w:r w:rsidR="00014F04">
        <w:t>fondé</w:t>
      </w:r>
      <w:proofErr w:type="gramEnd"/>
      <w:r w:rsidR="00476C95">
        <w:t xml:space="preserve"> sur</w:t>
      </w:r>
      <w:r w:rsidR="00D4424D">
        <w:t xml:space="preserve"> </w:t>
      </w:r>
      <w:r w:rsidR="00476C95">
        <w:t>l</w:t>
      </w:r>
      <w:r w:rsidR="00D4424D">
        <w:t xml:space="preserve">es critères de l’UICN. Cette démarche a permis d’identifier 933 projets </w:t>
      </w:r>
      <w:r w:rsidR="00476C95">
        <w:t xml:space="preserve">compatibles avec les </w:t>
      </w:r>
      <w:r w:rsidR="00D4424D">
        <w:t xml:space="preserve">solutions fondées sur la nature, approuvés entre </w:t>
      </w:r>
      <w:r w:rsidR="00376C22">
        <w:t>GEF</w:t>
      </w:r>
      <w:r w:rsidR="00376C22">
        <w:noBreakHyphen/>
      </w:r>
      <w:r w:rsidR="00D4424D">
        <w:t xml:space="preserve">5 et </w:t>
      </w:r>
      <w:r w:rsidR="00376C22">
        <w:t>GEF</w:t>
      </w:r>
      <w:r w:rsidR="00376C22">
        <w:noBreakHyphen/>
      </w:r>
      <w:r w:rsidR="00D4424D">
        <w:t xml:space="preserve">8, représentant un financement total du GEF de 6,2 milliards de dollars. Le portefeuille affichait un ratio de cofinancement de 7,25 pour 1, supérieur à la cible fixée </w:t>
      </w:r>
      <w:r w:rsidR="008E3DB8">
        <w:t xml:space="preserve">dans </w:t>
      </w:r>
      <w:r w:rsidR="00D4424D">
        <w:t xml:space="preserve">la politique du GEF. Toutefois, les projets </w:t>
      </w:r>
      <w:r w:rsidR="00604E30">
        <w:t>compatibles avec l</w:t>
      </w:r>
      <w:r w:rsidR="00D4424D">
        <w:t>es solutions fondées sur la nature ne représentaient qu’environ 30</w:t>
      </w:r>
      <w:r w:rsidR="00966C17">
        <w:t> %</w:t>
      </w:r>
      <w:r w:rsidR="00D4424D">
        <w:t xml:space="preserve"> de l’ensemble du portefeuille du GEF. </w:t>
      </w:r>
    </w:p>
    <w:p w14:paraId="1C1AD2AC" w14:textId="1040CA7F" w:rsidR="00D4424D" w:rsidRPr="00C67737" w:rsidRDefault="7DD3725F" w:rsidP="000B33CF">
      <w:pPr>
        <w:pStyle w:val="ListParagraph"/>
      </w:pPr>
      <w:r>
        <w:t xml:space="preserve">L’évaluation a montré que, pour ce qui est de l’atteinte des résultats, la performance des projets </w:t>
      </w:r>
      <w:r w:rsidR="007B1253">
        <w:t>compatibles avec les</w:t>
      </w:r>
      <w:r>
        <w:t xml:space="preserve"> solutions fondées sur la nature était comparable à celle de l’ensemble du portefeuille du GEF, mais qu’elle était plus faible en matière de durabilité. Environ 87</w:t>
      </w:r>
      <w:r w:rsidR="00966C17">
        <w:t> %</w:t>
      </w:r>
      <w:r>
        <w:t xml:space="preserve"> de ces projets ont obtenu </w:t>
      </w:r>
      <w:r w:rsidR="00BE0B59" w:rsidRPr="00BE0B59">
        <w:t xml:space="preserve">une note comprise dans la catégorie </w:t>
      </w:r>
      <w:r w:rsidR="0094079E">
        <w:t>« </w:t>
      </w:r>
      <w:r w:rsidR="00BE0B59" w:rsidRPr="00BE0B59">
        <w:t>satisfaisant</w:t>
      </w:r>
      <w:r w:rsidR="0094079E">
        <w:t> »</w:t>
      </w:r>
      <w:r w:rsidR="00BE0B59" w:rsidRPr="00BE0B59">
        <w:t>, contre 85</w:t>
      </w:r>
      <w:r w:rsidR="00966C17">
        <w:t> %</w:t>
      </w:r>
      <w:r w:rsidR="00BE0B59" w:rsidRPr="00BE0B59">
        <w:t xml:space="preserve"> des projets ne relevant pas des solutions fondées sur la nature. </w:t>
      </w:r>
      <w:r w:rsidR="008C5E31">
        <w:t>S</w:t>
      </w:r>
      <w:r w:rsidR="00BE0B59" w:rsidRPr="00BE0B59">
        <w:t>euls 58</w:t>
      </w:r>
      <w:r w:rsidR="00966C17">
        <w:t> %</w:t>
      </w:r>
      <w:r w:rsidR="00BE0B59" w:rsidRPr="00BE0B59">
        <w:t xml:space="preserve"> ont été jugés susceptibles de produire des résultats durables, contre 74</w:t>
      </w:r>
      <w:r w:rsidR="00966C17">
        <w:t> %</w:t>
      </w:r>
      <w:r w:rsidR="00BE0B59" w:rsidRPr="00BE0B59">
        <w:t xml:space="preserve"> des projets ne relevant pas des solutions fondées sur la nature. L’évaluation a relevé des contributions positives à la gestion des aires protégées, à la restauration des terres, à l’amélioration des paysages ainsi qu’à des </w:t>
      </w:r>
      <w:r w:rsidR="00E259D5">
        <w:t>avantages</w:t>
      </w:r>
      <w:r w:rsidR="00BE0B59" w:rsidRPr="00BE0B59">
        <w:t xml:space="preserve"> socioéconomiques</w:t>
      </w:r>
      <w:r w:rsidR="00E259D5">
        <w:t xml:space="preserve"> annexes</w:t>
      </w:r>
      <w:r w:rsidR="00BE0B59" w:rsidRPr="00BE0B59">
        <w:t>, notamment l’amélioration des moyens de subsistance, des revenus agricoles et de l’emploi</w:t>
      </w:r>
      <w:r>
        <w:t xml:space="preserve">. </w:t>
      </w:r>
    </w:p>
    <w:p w14:paraId="4C10D8DD" w14:textId="294CF335" w:rsidR="00D4424D" w:rsidRPr="00C67737" w:rsidRDefault="004F3F1C" w:rsidP="000B33CF">
      <w:pPr>
        <w:pStyle w:val="ListParagraph"/>
      </w:pPr>
      <w:r>
        <w:t>L’évaluation</w:t>
      </w:r>
      <w:r w:rsidR="7DD3725F">
        <w:t xml:space="preserve"> a également souligné que ce portefeuille est stratégiquement cohérent avec le mandat du GEF et les objectifs des accords multilatéraux sur l’environnement, mais qu’il reste sous-utilisé. L’absence d’une infrastructure institutionnelle spécifiquement consacrée aux solutions fondées sur la nature, d’une théorie du changement fédératrice, d’orientations </w:t>
      </w:r>
      <w:r>
        <w:t>sur</w:t>
      </w:r>
      <w:r w:rsidR="7DD3725F">
        <w:t xml:space="preserve"> leur intégration et de systèmes de suivi solides a limité leur application systématique, leur suivi et leur transposition à plus grande échelle. Le </w:t>
      </w:r>
      <w:r w:rsidR="00844CA0">
        <w:t>scepticisme</w:t>
      </w:r>
      <w:r w:rsidR="7DD3725F">
        <w:t xml:space="preserve"> quant au rapport coût-efficacité des solutions fondées sur la nature par rapport aux approches classiques persistait. </w:t>
      </w:r>
    </w:p>
    <w:p w14:paraId="3D5C81F5" w14:textId="166F5F77" w:rsidR="00D4424D" w:rsidRPr="00C67737" w:rsidRDefault="00D4424D" w:rsidP="000B33CF">
      <w:pPr>
        <w:pStyle w:val="ListParagraph"/>
      </w:pPr>
      <w:r>
        <w:t xml:space="preserve">En outre, la durabilité demeurait une préoccupation dans l’ensemble du portefeuille. Les difficultés à </w:t>
      </w:r>
      <w:r w:rsidR="008D02D8">
        <w:t>assurer</w:t>
      </w:r>
      <w:r>
        <w:t xml:space="preserve"> des flux de financement à long terme, la complexité institutionnelle </w:t>
      </w:r>
      <w:r w:rsidR="00575A67">
        <w:t>de</w:t>
      </w:r>
      <w:r>
        <w:t xml:space="preserve"> la mise en œuvre multisectorielle, la mobilisation tardive du secteur privé et </w:t>
      </w:r>
      <w:r w:rsidR="009759A4" w:rsidRPr="009759A4">
        <w:t>l’insuffisance de la coordination entre les organismes publics compromettaient la pérennité des résultats. Les projets pilotes de financement innovant avaient permis de mobiliser davantage de cofinancements, mais ne s’étaient pas encore traduits par des effets à grande échelle.</w:t>
      </w:r>
    </w:p>
    <w:p w14:paraId="20F26E85" w14:textId="7FCE3785" w:rsidR="00D4424D" w:rsidRPr="00C67737" w:rsidRDefault="7DD3725F" w:rsidP="000B33CF">
      <w:pPr>
        <w:pStyle w:val="ListParagraph"/>
      </w:pPr>
      <w:r>
        <w:t xml:space="preserve">Le portefeuille commençait à contribuer </w:t>
      </w:r>
      <w:r w:rsidR="00715458">
        <w:t>à une transformation en profondeur</w:t>
      </w:r>
      <w:r>
        <w:t xml:space="preserve">, mais </w:t>
      </w:r>
      <w:r w:rsidR="00845C18">
        <w:t>l</w:t>
      </w:r>
      <w:r>
        <w:t xml:space="preserve">es lacunes en matière de capacités et de financement continuaient de </w:t>
      </w:r>
      <w:r w:rsidR="00845C18">
        <w:t>freiner</w:t>
      </w:r>
      <w:r>
        <w:t xml:space="preserve"> des transformations systémiques plus </w:t>
      </w:r>
      <w:r w:rsidR="00845C18">
        <w:t>ambitieuses</w:t>
      </w:r>
      <w:r>
        <w:t xml:space="preserve">. La production de connaissances demeurait fragmentée et largement réactive. Les </w:t>
      </w:r>
      <w:r w:rsidR="00845C18">
        <w:t>arbitrages</w:t>
      </w:r>
      <w:r>
        <w:t xml:space="preserve"> étaient généralement recensés lors de la conception des projets, mais rarement gérés activement pendant leur mise en œuvre, et les systèmes de connaissances autochtones et locaux n’étaient pas encore intégrés de manière systématique. </w:t>
      </w:r>
    </w:p>
    <w:p w14:paraId="1EC006FE" w14:textId="31965DB3" w:rsidR="00D4424D" w:rsidRPr="00C67737" w:rsidRDefault="00D4424D" w:rsidP="000B33CF">
      <w:pPr>
        <w:pStyle w:val="ListParagraph"/>
      </w:pPr>
      <w:r>
        <w:t>L’évaluation a formulé quatre recommandations</w:t>
      </w:r>
      <w:r w:rsidR="006E54C7">
        <w:t> :</w:t>
      </w:r>
      <w:r>
        <w:t xml:space="preserve"> 1) </w:t>
      </w:r>
      <w:r w:rsidR="00F72A52">
        <w:t>é</w:t>
      </w:r>
      <w:r>
        <w:t>laborer des orientations propres aux solutions fondées sur la nature afin d’en faciliter l’intégration, le suivi et la gestion adaptative</w:t>
      </w:r>
      <w:r w:rsidR="006E54C7">
        <w:t> ;</w:t>
      </w:r>
      <w:r>
        <w:t xml:space="preserve"> 2) Accroître la </w:t>
      </w:r>
      <w:r w:rsidR="00A80415">
        <w:t>mobilisation</w:t>
      </w:r>
      <w:r>
        <w:t xml:space="preserve"> du secteur privé au moyen de financements mixtes en faveur des solutions fondées sur la nature</w:t>
      </w:r>
      <w:r w:rsidR="006E54C7">
        <w:t> ;</w:t>
      </w:r>
      <w:r>
        <w:t xml:space="preserve"> 3) </w:t>
      </w:r>
      <w:r w:rsidR="00F72A52">
        <w:t>a</w:t>
      </w:r>
      <w:r>
        <w:t xml:space="preserve">ider les pays à mettre en œuvre des solutions fondées sur la nature </w:t>
      </w:r>
      <w:r w:rsidR="00F72A52" w:rsidRPr="00F72A52">
        <w:t xml:space="preserve">grâce à des mesures inclusives de renforcement des capacités, en mettant </w:t>
      </w:r>
      <w:r w:rsidR="00F72A52" w:rsidRPr="00F72A52">
        <w:lastRenderedPageBreak/>
        <w:t>fortement l’accent sur la promotion de la cohérence des politiques</w:t>
      </w:r>
      <w:r w:rsidR="006E54C7">
        <w:t> ;</w:t>
      </w:r>
      <w:r w:rsidR="00F72A52" w:rsidRPr="00F72A52">
        <w:t xml:space="preserve"> 4) renforcer la base de données probantes concernant le rapport coût-efficacité et les </w:t>
      </w:r>
      <w:r w:rsidR="00B70ED1">
        <w:t>avantages a</w:t>
      </w:r>
      <w:r w:rsidR="00F72A52" w:rsidRPr="00F72A52">
        <w:t>nnexes des approches fondées sur la nature, notamment en améliorant l’intégration des systèmes de connaissances autochtones et locaux.</w:t>
      </w:r>
    </w:p>
    <w:p w14:paraId="12768476" w14:textId="3B996601" w:rsidR="000F10BB" w:rsidRPr="00C67737" w:rsidRDefault="000F10BB" w:rsidP="000B33CF">
      <w:pPr>
        <w:pStyle w:val="ListParagraph"/>
      </w:pPr>
      <w:r>
        <w:t>Le Conseil du GEF a approuvé les réponses de la direction du Secrétariat du GEF à ces recommandations</w:t>
      </w:r>
      <w:r w:rsidRPr="00C67737">
        <w:rPr>
          <w:rStyle w:val="FootnoteReference"/>
          <w:lang w:val="en-US"/>
        </w:rPr>
        <w:footnoteReference w:id="135"/>
      </w:r>
      <w:r>
        <w:t xml:space="preserve">. Le Secrétariat a accueilli favorablement le rapport du Bureau indépendant d’évaluation et souscrivait </w:t>
      </w:r>
      <w:r w:rsidR="00F72A52">
        <w:t>dans une large mesure</w:t>
      </w:r>
      <w:r>
        <w:t xml:space="preserve"> à ses constatations. </w:t>
      </w:r>
      <w:r w:rsidR="007B6DEC">
        <w:t>I</w:t>
      </w:r>
      <w:r w:rsidR="007B6DEC" w:rsidRPr="007B6DEC">
        <w:t>l est convenu d’élaborer des orientations précisant les points d’entrée possibles pour intégrer efficacement les solutions fondées sur la nature dans la programmation du GEF, ainsi que les principales caractéristiques devant être prises en compte dans les théories du changement des projets relatifs aux solutions fondées sur la nature soumis à un financement du GEF. Il a également accepté d’accroître la mobilisation du secteur privé au moyen de financements mixtes en faveur des solutions fondées sur la nature, notamment dans le cadre de l’augmentation convenue et de la généralisation du financement mixte dans l’ensemble de la famille de fonds du GEF pendant GEF</w:t>
      </w:r>
      <w:r w:rsidR="007B6DEC" w:rsidRPr="007B6DEC">
        <w:noBreakHyphen/>
        <w:t>9. Enfin, il s’est engagé à aider les pays à mettre en œuvre des solutions fondées sur la nature au moyen de mesures inclusives de renforcement des capacités, en accordant une attention particulière à la cohérence des politiques. À cette fin, il poursuivra les efforts en cours visant à renforcer les capacités et à promouvoir l’apprentissage dans le cadre de la Stratégie d’engagement avec les pays</w:t>
      </w:r>
      <w:r w:rsidR="00956020" w:rsidRPr="00C67737">
        <w:rPr>
          <w:rStyle w:val="FootnoteReference"/>
          <w:lang w:val="en-US"/>
        </w:rPr>
        <w:footnoteReference w:id="136"/>
      </w:r>
      <w:r>
        <w:t xml:space="preserve"> et de sa programmation</w:t>
      </w:r>
      <w:r w:rsidR="004C64E6">
        <w:t xml:space="preserve">, </w:t>
      </w:r>
      <w:r>
        <w:t>notamment les programmes intégrés</w:t>
      </w:r>
      <w:r w:rsidR="004C64E6">
        <w:t>,</w:t>
      </w:r>
      <w:r>
        <w:t xml:space="preserve"> conformément à la </w:t>
      </w:r>
      <w:r w:rsidR="004C64E6">
        <w:t>s</w:t>
      </w:r>
      <w:r>
        <w:t>tratégie du GEF en matière de gestion des connaissances et d’apprentissage</w:t>
      </w:r>
      <w:r w:rsidR="007F5E71" w:rsidRPr="00C67737">
        <w:rPr>
          <w:rStyle w:val="FootnoteReference"/>
          <w:lang w:val="en-US"/>
        </w:rPr>
        <w:footnoteReference w:id="137"/>
      </w:r>
      <w:r>
        <w:t>.</w:t>
      </w:r>
    </w:p>
    <w:p w14:paraId="6D56C86E" w14:textId="2365AC50" w:rsidR="00411EA9" w:rsidRPr="00C67737" w:rsidRDefault="00CE0A5C" w:rsidP="00D56EFB">
      <w:pPr>
        <w:pStyle w:val="Heading2"/>
      </w:pPr>
      <w:bookmarkStart w:id="172" w:name="_Toc242184667"/>
      <w:bookmarkStart w:id="173" w:name="_Toc242184721"/>
      <w:bookmarkStart w:id="174" w:name="_Toc242185293"/>
      <w:r>
        <w:t>Évaluation des programmes du GEF relatifs aux systèmes alimentaires</w:t>
      </w:r>
      <w:r w:rsidR="002F4B32" w:rsidRPr="00C67737">
        <w:rPr>
          <w:rStyle w:val="FootnoteReference"/>
          <w:lang w:val="en-US"/>
        </w:rPr>
        <w:footnoteReference w:id="138"/>
      </w:r>
      <w:bookmarkEnd w:id="172"/>
      <w:bookmarkEnd w:id="173"/>
      <w:bookmarkEnd w:id="174"/>
    </w:p>
    <w:p w14:paraId="11C056BC" w14:textId="63045AAF" w:rsidR="00D26A22" w:rsidRPr="00C67737" w:rsidRDefault="00DC1824" w:rsidP="000B33CF">
      <w:pPr>
        <w:pStyle w:val="ListParagraph"/>
      </w:pPr>
      <w:r>
        <w:t>L’</w:t>
      </w:r>
      <w:r w:rsidR="00D26A22">
        <w:t xml:space="preserve">évaluation </w:t>
      </w:r>
      <w:r>
        <w:t>portait</w:t>
      </w:r>
      <w:r w:rsidR="00D26A22">
        <w:t xml:space="preserve"> sur la performance des interventions du GEF </w:t>
      </w:r>
      <w:r w:rsidR="00325F54">
        <w:t>dans le domaine</w:t>
      </w:r>
      <w:r w:rsidR="005D13A8">
        <w:t xml:space="preserve"> des</w:t>
      </w:r>
      <w:r w:rsidR="00D26A22">
        <w:t xml:space="preserve"> systèmes alimentaires pendant les périodes de </w:t>
      </w:r>
      <w:r w:rsidR="00376C22">
        <w:t>GEF</w:t>
      </w:r>
      <w:r w:rsidR="00376C22">
        <w:noBreakHyphen/>
      </w:r>
      <w:r w:rsidR="00D26A22">
        <w:t xml:space="preserve">6 à </w:t>
      </w:r>
      <w:r w:rsidR="00376C22">
        <w:t>GEF</w:t>
      </w:r>
      <w:r w:rsidR="00376C22">
        <w:noBreakHyphen/>
      </w:r>
      <w:r w:rsidR="00D26A22">
        <w:t xml:space="preserve">8. </w:t>
      </w:r>
      <w:r w:rsidR="0020720C">
        <w:t>E</w:t>
      </w:r>
      <w:r w:rsidR="0020720C" w:rsidRPr="0020720C">
        <w:t>lle a examiné cinq programmes relatifs aux systèmes alimentaires et leurs 84 projets rattachés, ainsi que 21 projets autonomes dans ce domaine, inclus à des fins de comparaison. Les 84 projets rattachés représentaient un financement de projet du GEF de 821,8 millions de dollars et un cofinancement de 6,33 milliards de dollars, soit un ratio de cofinancement de 7,7 pour 1.</w:t>
      </w:r>
    </w:p>
    <w:p w14:paraId="1ACC1EE6" w14:textId="100DA8C6" w:rsidR="00D26A22" w:rsidRPr="00C67737" w:rsidRDefault="43D37679" w:rsidP="000B33CF">
      <w:pPr>
        <w:pStyle w:val="ListParagraph"/>
      </w:pPr>
      <w:r>
        <w:t>L</w:t>
      </w:r>
      <w:r w:rsidR="00DC1824">
        <w:t>’</w:t>
      </w:r>
      <w:r w:rsidR="00DC1824" w:rsidRPr="00DC1824">
        <w:t xml:space="preserve">évaluation a montré que les </w:t>
      </w:r>
      <w:r>
        <w:t xml:space="preserve">projets rattachés achevés dans le domaine des systèmes alimentaires ont affiché, pour l’atteinte des résultats, une performance comparable à celle de l’ensemble du portefeuille de </w:t>
      </w:r>
      <w:r w:rsidR="00376C22">
        <w:t>GEF</w:t>
      </w:r>
      <w:r w:rsidR="00376C22">
        <w:noBreakHyphen/>
      </w:r>
      <w:r>
        <w:t xml:space="preserve">6. Ils ont en outre obtenu des résultats supérieurs à la moyenne générale pour ce qui est de la qualité de la mise en œuvre et de l’exécution. Les notes relatives à la durabilité ainsi qu’au suivi et à l’évaluation n’étaient toutefois, dans certains cas, que modérément satisfaisantes. Des contributions importantes, mais inégales, ont été observées en faveur d’une meilleure gestion des terres et des eaux, de la conservation de la biodiversité, de l’atténuation des émissions de gaz à effet de serre, de l’accroissement de la production </w:t>
      </w:r>
      <w:r>
        <w:lastRenderedPageBreak/>
        <w:t>alimentaire et de résultats socioéconomiques, notamment la productivité agricole, les revenus des ménages, la sécurité alimentaire, l’égalité des genres et l’inclusion.</w:t>
      </w:r>
    </w:p>
    <w:p w14:paraId="23CA24AA" w14:textId="0BCCDE03" w:rsidR="00D26A22" w:rsidRPr="00C67737" w:rsidRDefault="001333E2" w:rsidP="000B33CF">
      <w:pPr>
        <w:pStyle w:val="ListParagraph"/>
      </w:pPr>
      <w:r w:rsidRPr="001333E2">
        <w:t>L’évaluation a conclu que les programmes du GEF relatifs aux systèmes alimentaires étaient très pertinents au regard des priorités mondiales et nationales et appliquaient des approches intégrées couvrant plusieurs défis environnementaux — la dégradation des terres et des sols, la déforestation et l’appauvrissement de la biodiversité — tout en poursuivant des objectifs socioéconomiques. Toutefois, les interventions se concentraient sur le segment de la production de la chaîne de valeur et accordaient comparativement peu d’attention aux segments postérieurs à la production, tels que le stockage, la transformation, la distribution et la consommation, ou encore aux pertes et au gaspillage alimentaires ainsi qu’aux dynamiques liées à la demande.</w:t>
      </w:r>
    </w:p>
    <w:p w14:paraId="1CED4FB2" w14:textId="423AF7DE" w:rsidR="00D26A22" w:rsidRPr="00C67737" w:rsidRDefault="43D37679" w:rsidP="000B33CF">
      <w:pPr>
        <w:pStyle w:val="ListParagraph"/>
      </w:pPr>
      <w:r>
        <w:t xml:space="preserve">Si les programmes ont produit d’importants </w:t>
      </w:r>
      <w:r w:rsidR="00267CDD">
        <w:t>avantages</w:t>
      </w:r>
      <w:r>
        <w:t xml:space="preserve"> environnementaux, les contributions des projets rattachés ont été inégales, et aucun des programmes du GEF relatifs aux systèmes alimentaires </w:t>
      </w:r>
      <w:r w:rsidR="00267CDD">
        <w:t>mis en œuvre pendant</w:t>
      </w:r>
      <w:r>
        <w:t xml:space="preserve"> </w:t>
      </w:r>
      <w:r w:rsidR="00376C22">
        <w:t>GEF</w:t>
      </w:r>
      <w:r w:rsidR="00376C22">
        <w:noBreakHyphen/>
      </w:r>
      <w:r>
        <w:t xml:space="preserve">6 n’a pleinement </w:t>
      </w:r>
      <w:r w:rsidR="00267CDD">
        <w:t>concrétisé</w:t>
      </w:r>
      <w:r>
        <w:t xml:space="preserve"> les ambitions définies lors de sa conception. Ces insuffisances s’expliquaient par des objectifs trop ambitieux ou imprécis, des retards d</w:t>
      </w:r>
      <w:r w:rsidR="00C53DF1">
        <w:t>e</w:t>
      </w:r>
      <w:r>
        <w:t xml:space="preserve"> mise en œuvre et des chaînes causales fragiles. La prise en compte limitée des dynamiques d’économie politique et des facteurs socioculturels lors de la conception des projets rattachés a également restreint leur potentiel de transformation.</w:t>
      </w:r>
    </w:p>
    <w:p w14:paraId="57173382" w14:textId="37532F35" w:rsidR="00D26A22" w:rsidRPr="00C67737" w:rsidRDefault="00D26A22" w:rsidP="000B33CF">
      <w:pPr>
        <w:pStyle w:val="ListParagraph"/>
      </w:pPr>
      <w:r>
        <w:t>L’évaluation a aussi conclu que la production de connaissances et la gouvernance s’étaient améliorées au fil des reconstitutions, mais que l’approche de programme intégré n’était pas encore pleinement concrétisée. L’appropriation, par les pays, des connaissances facilitées par les programmes restait limitée</w:t>
      </w:r>
      <w:r w:rsidR="006E54C7">
        <w:t> ;</w:t>
      </w:r>
      <w:r>
        <w:t xml:space="preserve"> l’ancrage des programmes dans les pays demeurait difficile</w:t>
      </w:r>
      <w:r w:rsidR="006E54C7">
        <w:t> ;</w:t>
      </w:r>
      <w:r>
        <w:t xml:space="preserve"> et les liens entre la mobilisation du secteur privé à l’échelle mondiale et les projets rattachés menés dans les pays étaient ténus. Enfin, le décalage croissant entre l’expansion des programmes et la réduction des budgets consacrés à la coordination risquait de compromettre la valeur ajoutée de ces programmes.</w:t>
      </w:r>
    </w:p>
    <w:p w14:paraId="6643BF6B" w14:textId="17508118" w:rsidR="00B62A34" w:rsidRPr="00C67737" w:rsidRDefault="00D26A22" w:rsidP="000B33CF">
      <w:pPr>
        <w:pStyle w:val="ListParagraph"/>
      </w:pPr>
      <w:r>
        <w:t xml:space="preserve">L’évaluation a </w:t>
      </w:r>
      <w:r w:rsidR="003102AA">
        <w:t>donné lieu à</w:t>
      </w:r>
      <w:r>
        <w:t xml:space="preserve"> quatre recommandations</w:t>
      </w:r>
      <w:r w:rsidR="006E54C7">
        <w:t> :</w:t>
      </w:r>
      <w:r>
        <w:t xml:space="preserve"> </w:t>
      </w:r>
      <w:r w:rsidR="0007517F" w:rsidRPr="0007517F">
        <w:t>1) mieux cibler les programmes et échelonner leur mise en œuvre sur les différentes périodes de reconstitution des ressources du GEF</w:t>
      </w:r>
      <w:r w:rsidR="0007517F">
        <w:t> </w:t>
      </w:r>
      <w:r w:rsidR="0007517F" w:rsidRPr="0007517F">
        <w:t>; 2) accorder davantage d’attention aux segments de la chaîne de valeur situés au-delà de la production et à l’intégration verticale de cette chaîne, afin de concrétiser pleinement les avantages de l’approche de programme intégré</w:t>
      </w:r>
      <w:r w:rsidR="0007517F">
        <w:t> </w:t>
      </w:r>
      <w:r w:rsidR="0007517F" w:rsidRPr="0007517F">
        <w:t>; 3)</w:t>
      </w:r>
      <w:r w:rsidR="0007517F">
        <w:t> </w:t>
      </w:r>
      <w:r w:rsidR="0007517F" w:rsidRPr="0007517F">
        <w:t xml:space="preserve">accorder une plus grande attention aux dynamiques d’économie politique et aux changements de comportement dans la transformation des systèmes alimentaires, tant lors de la conception que de la mise en </w:t>
      </w:r>
      <w:r w:rsidR="0007517F">
        <w:t>œuvre </w:t>
      </w:r>
      <w:r w:rsidR="0007517F" w:rsidRPr="0007517F">
        <w:t>;</w:t>
      </w:r>
      <w:r>
        <w:t xml:space="preserve"> 4) </w:t>
      </w:r>
      <w:r w:rsidR="0007517F">
        <w:t>r</w:t>
      </w:r>
      <w:r>
        <w:t>enforcer l’ancrage des programmes dans les pays afin d’accroître la valeur des connaissances issues de l’interaction entre les pays et le projet mondial de coordination.</w:t>
      </w:r>
    </w:p>
    <w:p w14:paraId="6B3A9F1E" w14:textId="65E30F72" w:rsidR="00CF245D" w:rsidRPr="00C67737" w:rsidRDefault="00CF245D" w:rsidP="000B33CF">
      <w:pPr>
        <w:pStyle w:val="ListParagraph"/>
      </w:pPr>
      <w:bookmarkStart w:id="175" w:name="_Toc32494936"/>
      <w:r>
        <w:t>Le Conseil du GEF a approuvé les réponses de la direction du Secrétariat du GEF à ces recommandations</w:t>
      </w:r>
      <w:r w:rsidRPr="009A229D">
        <w:rPr>
          <w:vertAlign w:val="superscript"/>
        </w:rPr>
        <w:footnoteReference w:id="139"/>
      </w:r>
      <w:r>
        <w:t xml:space="preserve">. Le Secrétariat du GEF a souscrit à l’ensemble des recommandations. Pendant </w:t>
      </w:r>
      <w:r w:rsidR="00376C22">
        <w:t>GEF</w:t>
      </w:r>
      <w:r w:rsidR="00376C22">
        <w:noBreakHyphen/>
      </w:r>
      <w:r>
        <w:t xml:space="preserve">9, le GEF renforcera l’accent mis sur les denrées alimentaires et les produits de base dont l’empreinte environnementale ou les externalités négatives sont les plus importantes. Il </w:t>
      </w:r>
      <w:r>
        <w:lastRenderedPageBreak/>
        <w:t xml:space="preserve">tirera parti de l’échelonnement des programmes relatifs aux systèmes alimentaires d’un cycle du GEF à l’autre pour passer d’activités préparatoires essentielles — telles que la réforme des politiques et le renforcement de la gouvernance — à l’intensification des investissements. Le programme de </w:t>
      </w:r>
      <w:r w:rsidR="00376C22">
        <w:t>GEF</w:t>
      </w:r>
      <w:r w:rsidR="00376C22">
        <w:noBreakHyphen/>
      </w:r>
      <w:r>
        <w:t>9 continuera de renforcer les approches fondées sur les chaînes de valeur afin de favoriser l’intégration verticale et géographique dans l’ensemble des systèmes alimentaires. Il continuera également d’exiger des analyses structurées de l’économie politique et des risques, et d’intégrer les sciences comportementales dans la conception des programmes. Enfin, le Secrétariat du GEF renforcera les efforts visant à mieux faire correspondre les besoins des pays et l’appui technique apporté par les programmes. À cette fin, il adoptera une démarche participative et axée sur la demande en matière d’assistance technique, qui comprendra des évaluations régulières des besoins, des services de mise en relation et des échanges Sud-Sud. Il veillera également à ce que les projets de coordination demeurent actifs et disposent de ressources suffisantes pendant toute la durée du cycle de vie des projets rattachés</w:t>
      </w:r>
    </w:p>
    <w:p w14:paraId="062A03E1" w14:textId="4F8493B7" w:rsidR="0017349A" w:rsidRPr="00C67737" w:rsidRDefault="0017349A" w:rsidP="00D56EFB">
      <w:pPr>
        <w:pStyle w:val="Heading2"/>
      </w:pPr>
      <w:bookmarkStart w:id="176" w:name="_Toc242184668"/>
      <w:bookmarkStart w:id="177" w:name="_Toc242184722"/>
      <w:bookmarkStart w:id="178" w:name="_Toc242185294"/>
      <w:bookmarkEnd w:id="175"/>
      <w:r>
        <w:t>Huitième évaluation globale du GEF</w:t>
      </w:r>
      <w:r w:rsidR="005B6409" w:rsidRPr="00C67737">
        <w:rPr>
          <w:rStyle w:val="FootnoteReference"/>
          <w:lang w:val="en-US"/>
        </w:rPr>
        <w:footnoteReference w:id="140"/>
      </w:r>
      <w:bookmarkEnd w:id="176"/>
      <w:bookmarkEnd w:id="177"/>
      <w:bookmarkEnd w:id="178"/>
    </w:p>
    <w:p w14:paraId="776104E7" w14:textId="208A3810" w:rsidR="0047606E" w:rsidRPr="00C67737" w:rsidRDefault="0047606E" w:rsidP="000B33CF">
      <w:pPr>
        <w:pStyle w:val="ListParagraph"/>
      </w:pPr>
      <w:r>
        <w:t xml:space="preserve">La huitième évaluation globale du GEF a porté sur la performance de l’ensemble du portefeuille du GEF depuis la phase pilote. </w:t>
      </w:r>
      <w:r w:rsidR="00233426" w:rsidRPr="00233426">
        <w:t xml:space="preserve">Elle a couvert des milliers de projets relevant de tous les domaines d’intervention et représentant plus de 26,5 milliards de dollars de financements au sein de la famille de fonds du GEF, dont plus de 23 milliards de dollars provenant </w:t>
      </w:r>
      <w:r w:rsidR="00CD3559">
        <w:t xml:space="preserve">du fonds fiduciaire </w:t>
      </w:r>
      <w:r w:rsidR="00233426" w:rsidRPr="00233426">
        <w:t>du GEF.</w:t>
      </w:r>
      <w:r w:rsidR="00233426">
        <w:t xml:space="preserve"> </w:t>
      </w:r>
      <w:r>
        <w:t xml:space="preserve">Le domaine d’intervention </w:t>
      </w:r>
      <w:r w:rsidR="0094079E">
        <w:t>« </w:t>
      </w:r>
      <w:r>
        <w:t>diversité biologique</w:t>
      </w:r>
      <w:r w:rsidR="0094079E">
        <w:t> »</w:t>
      </w:r>
      <w:r>
        <w:t xml:space="preserve"> est demeuré le plus important </w:t>
      </w:r>
      <w:r w:rsidR="00CD3559">
        <w:t xml:space="preserve">du fonds fiduciaire </w:t>
      </w:r>
      <w:r>
        <w:t>du GEF</w:t>
      </w:r>
      <w:r w:rsidR="006E54C7">
        <w:t> :</w:t>
      </w:r>
      <w:r>
        <w:t xml:space="preserve"> il représentait 42</w:t>
      </w:r>
      <w:r w:rsidR="00966C17">
        <w:t> %</w:t>
      </w:r>
      <w:r>
        <w:t xml:space="preserve"> de l’ensemble des projets approuvés, soit 2</w:t>
      </w:r>
      <w:r w:rsidR="0094079E">
        <w:t> </w:t>
      </w:r>
      <w:r>
        <w:t>309</w:t>
      </w:r>
      <w:r w:rsidR="0094079E">
        <w:t> </w:t>
      </w:r>
      <w:r>
        <w:t>projets au total, et 7,9</w:t>
      </w:r>
      <w:r w:rsidR="0094079E">
        <w:t> </w:t>
      </w:r>
      <w:r>
        <w:t>milliards de dollars de financement du GEF. Les projets relatifs à la diversité biologique ont enregistré de bons résultats</w:t>
      </w:r>
      <w:r w:rsidR="006E54C7">
        <w:t> :</w:t>
      </w:r>
      <w:r>
        <w:t xml:space="preserve"> 83</w:t>
      </w:r>
      <w:r w:rsidR="00966C17">
        <w:t> %</w:t>
      </w:r>
      <w:r>
        <w:t xml:space="preserve"> d’entre eux ont obtenu une note satisfaisante pour leurs résultats, toutes périodes de reconstitution confondues, les notes s’améliorant lors des périodes de reconstitution plus récentes. Toutefois, les notes relatives à la durabilité dressent un tableau différent</w:t>
      </w:r>
      <w:r w:rsidR="006E54C7">
        <w:t> :</w:t>
      </w:r>
      <w:r>
        <w:t xml:space="preserve"> seuls 59</w:t>
      </w:r>
      <w:r w:rsidR="00966C17">
        <w:t> %</w:t>
      </w:r>
      <w:r>
        <w:t xml:space="preserve"> des projets relevant de la diversité biologique ont été jugés susceptibles ou très susceptibles de produire des résultats durables. Cet écart persistant met en lumière la fragilité des acquis en matière de conservation après la fin du financement des projets. Le ratio cumulatif de cofinancement du domaine d’intervention </w:t>
      </w:r>
      <w:r w:rsidR="0094079E">
        <w:t>« </w:t>
      </w:r>
      <w:r>
        <w:t>diversité biologique</w:t>
      </w:r>
      <w:r w:rsidR="0094079E">
        <w:t> »</w:t>
      </w:r>
      <w:r>
        <w:t xml:space="preserve">, au stade de l’approbation, s’établissait à 3,4 pour 1. Depuis </w:t>
      </w:r>
      <w:r w:rsidR="00376C22">
        <w:t>GEF</w:t>
      </w:r>
      <w:r w:rsidR="00376C22">
        <w:noBreakHyphen/>
      </w:r>
      <w:r>
        <w:t>6, ce domaine a enregistré les ratios de cofinancement les plus faibles de tous les domaines d’intervention du GEF, ce qui révèle une difficulté structurelle à mobiliser des ressources complémentaires en faveur de la conservation.</w:t>
      </w:r>
    </w:p>
    <w:p w14:paraId="600605AE" w14:textId="68FD3ECE" w:rsidR="0047606E" w:rsidRPr="00C67737" w:rsidRDefault="0047606E" w:rsidP="000B33CF">
      <w:pPr>
        <w:pStyle w:val="ListParagraph"/>
      </w:pPr>
      <w:r>
        <w:t xml:space="preserve">L’évaluation a conclu que le portefeuille du GEF relatif à la diversité biologique avait produit d’importants résultats environnementaux, notamment par l’extension des aires protégées, le renforcement de la conservation fondée sur les communautés, la promotion de l’utilisation durable des ressources génétiques et du partage juste et équitable des avantages qui en découlent, ainsi que l’appui à des réformes des politiques visant à réduire les pressions exercées sur les habitats. Les approches intégrées fondées sur les territoires sont venues compléter de plus en plus les modèles de conservation classiques, en intégrant les objectifs relatifs à la diversité biologique dans des secteurs productifs tels que l’agriculture, la foresterie, </w:t>
      </w:r>
      <w:r>
        <w:lastRenderedPageBreak/>
        <w:t xml:space="preserve">les pêches et le tourisme. Les solutions fondées sur la nature occupaient une place importante en tant qu’approche transversale, compte tenu de leur capacité reconnue à lutter simultanément contre </w:t>
      </w:r>
      <w:r w:rsidR="00D63908">
        <w:t>la perte</w:t>
      </w:r>
      <w:r>
        <w:t xml:space="preserve"> de la biodiversité, les changements climatiques, la dégradation des terres et les risques pesant sur la sécurité de l’eau. Toutefois, malgré cette évolution, le recoupement croissant entre la programmation du GEF relative à la diversité biologique et le </w:t>
      </w:r>
      <w:r w:rsidR="00BA5516">
        <w:t>Fonds du Cadre</w:t>
      </w:r>
      <w:r>
        <w:t xml:space="preserve"> mondial de la biodiversité (GBFF), récemment créé, rendait d’autant plus nécessaire d’assurer une complémentarité coordonnée, afin d’éviter les chevauchements et d’optimiser l’impact de chaque dollar investi.</w:t>
      </w:r>
    </w:p>
    <w:p w14:paraId="6214D67A" w14:textId="470FA38B" w:rsidR="0047606E" w:rsidRPr="00C67737" w:rsidRDefault="0047606E" w:rsidP="000B33CF">
      <w:pPr>
        <w:pStyle w:val="ListParagraph"/>
      </w:pPr>
      <w:r>
        <w:t xml:space="preserve">L’évaluation a constaté que la durabilité demeurait le défi le plus persistant dans l’ensemble du portefeuille. Les projets ne prévoyaient souvent pas de dispositifs de financement intégrés dès leur conception, de sorte que les résultats en matière de conservation restaient tributaires d’un appui extérieur continu. L’intégration des priorités environnementales dans les budgets nationaux et les cadres d’action publique internes était insuffisante, tandis que les liens entre les institutions présentes dans les pays et les sources de financement complémentaires demeuraient faibles. </w:t>
      </w:r>
      <w:r w:rsidR="00F76B67" w:rsidRPr="00F76B67">
        <w:t>Les programmes intégrés commençaient à produire des effets propices à une transformation en profondeur, mais ceux-ci restaient limités par des délais de conception raccourcis, des mécanismes de transposition à plus grande échelle insuffisants et une participation restreinte du secteur privé. Cette lacune était particulièrement marquée dans le domaine d’intervention « diversité biologique », qui n’avait pas encore attiré les volumes de capitaux privés que d’autres domaines d’intervention commençaient à mobiliser.</w:t>
      </w:r>
    </w:p>
    <w:p w14:paraId="5474E03C" w14:textId="247DD8F0" w:rsidR="0047606E" w:rsidRPr="00C67737" w:rsidRDefault="0047606E" w:rsidP="000B33CF">
      <w:pPr>
        <w:pStyle w:val="ListParagraph"/>
      </w:pPr>
      <w:r>
        <w:t>Les systèmes de connaissances n’étaient pas non plus à la hauteur des besoins. L’apprentissage au sein du portefeuille demeurait fragmenté, avec de faibles mécanismes de rétroaction vers la gestion adaptative, et les pays s’appropriaient encore peu les connaissances produites par les programmes. Les cadres de suivi et d’évaluation n’étaient pas systématiquement conçus pour mesurer les résultats à long terme en matière de diversité biologique au-delà de l’achèvement des projets.</w:t>
      </w:r>
    </w:p>
    <w:p w14:paraId="22CB3670" w14:textId="0AF4D158" w:rsidR="0047606E" w:rsidRPr="00C67737" w:rsidRDefault="00F76B67" w:rsidP="000B33CF">
      <w:pPr>
        <w:pStyle w:val="ListParagraph"/>
      </w:pPr>
      <w:r>
        <w:t xml:space="preserve">La huitième évaluation globale du GEF a donné lieu à </w:t>
      </w:r>
      <w:r w:rsidR="0047606E">
        <w:t>neuf recommandations</w:t>
      </w:r>
      <w:r w:rsidR="006E54C7">
        <w:t> :</w:t>
      </w:r>
    </w:p>
    <w:p w14:paraId="68F43BF4" w14:textId="2CCF34D5" w:rsidR="0047606E" w:rsidRPr="00C67737" w:rsidRDefault="00603DDF" w:rsidP="000B33CF">
      <w:pPr>
        <w:pStyle w:val="ListParagraph"/>
        <w:numPr>
          <w:ilvl w:val="0"/>
          <w:numId w:val="38"/>
        </w:numPr>
      </w:pPr>
      <w:r w:rsidRPr="00603DDF">
        <w:t>Renforcer la capacité des programmes intégrés à susciter une transformation en profondeur, en privilégiant la sélectivité stratégique et la consolidation. Les programmes intégrés devraient être rationalisés afin de privilégier un nombre plus restreint d’initiatives, plus ciblées et plus approfondies, reposant sur des théories du changement solides, des modalités explicites de transposition à plus grande échelle et de solides plateformes de gestion des connaissances et d’apprentissage.</w:t>
      </w:r>
    </w:p>
    <w:p w14:paraId="7CACF49A" w14:textId="431C7F87" w:rsidR="0047606E" w:rsidRPr="00C67737" w:rsidRDefault="5193A7D8" w:rsidP="000B33CF">
      <w:pPr>
        <w:pStyle w:val="ListParagraph"/>
        <w:numPr>
          <w:ilvl w:val="0"/>
          <w:numId w:val="38"/>
        </w:numPr>
      </w:pPr>
      <w:r>
        <w:t xml:space="preserve">Intégrer, dès la conception, des dispositifs de durabilité et de financement afin de garantir la pérennité des résultats. Les projets concernés devraient obligatoirement prévoir ces dispositifs dès leur conception et associer rapidement les ministères et les </w:t>
      </w:r>
      <w:r w:rsidR="00590A61">
        <w:t>a</w:t>
      </w:r>
      <w:r w:rsidR="006C73D6">
        <w:t>gences</w:t>
      </w:r>
      <w:r>
        <w:t xml:space="preserve"> techniques compétent</w:t>
      </w:r>
      <w:r w:rsidR="006C73D6">
        <w:t>es</w:t>
      </w:r>
      <w:r>
        <w:t xml:space="preserve"> afin d’intégrer les priorités environnementales dans les budgets nationaux.</w:t>
      </w:r>
    </w:p>
    <w:p w14:paraId="1230A68B" w14:textId="6ED231FD" w:rsidR="0047606E" w:rsidRPr="00C67737" w:rsidRDefault="5193A7D8" w:rsidP="000B33CF">
      <w:pPr>
        <w:pStyle w:val="ListParagraph"/>
        <w:numPr>
          <w:ilvl w:val="0"/>
          <w:numId w:val="38"/>
        </w:numPr>
      </w:pPr>
      <w:r>
        <w:t xml:space="preserve">Mener des innovations à plus haut risque, mais à fort potentiel de rendement, en prévoyant des garde-fous et des incitations appropriés, conformément au cadre du GEF relatif à l’appétence pour le risque. Le GEF devrait accorder une priorité active </w:t>
      </w:r>
      <w:r>
        <w:lastRenderedPageBreak/>
        <w:t>aux innovations — y compris les solutions fondées sur la nature — qui comportent davantage de risques, mais sont susceptibles de produire des résultats environnementaux décisifs.</w:t>
      </w:r>
    </w:p>
    <w:p w14:paraId="6F71D9DE" w14:textId="11674567" w:rsidR="0047606E" w:rsidRPr="00C67737" w:rsidRDefault="0047606E" w:rsidP="000B33CF">
      <w:pPr>
        <w:pStyle w:val="ListParagraph"/>
        <w:numPr>
          <w:ilvl w:val="0"/>
          <w:numId w:val="38"/>
        </w:numPr>
      </w:pPr>
      <w:r>
        <w:t xml:space="preserve">Mobiliser le potentiel du secteur privé et élargir le recours aux </w:t>
      </w:r>
      <w:r w:rsidR="0070208A">
        <w:t>i</w:t>
      </w:r>
      <w:r>
        <w:t>nstruments financiers autres que les aides directes afin de favoriser des changements susceptibles d’être transposés à plus grande échelle. La mobilisation du secteur privé devrait être intégrée plus systématiquement dans l’ensemble de la programmation du GEF afin de mobiliser des capitaux privés et de partager les risques.</w:t>
      </w:r>
    </w:p>
    <w:p w14:paraId="7DBFFC67" w14:textId="104AD7BD" w:rsidR="0047606E" w:rsidRPr="00C67737" w:rsidRDefault="0047606E" w:rsidP="000B33CF">
      <w:pPr>
        <w:pStyle w:val="ListParagraph"/>
        <w:numPr>
          <w:ilvl w:val="0"/>
          <w:numId w:val="38"/>
        </w:numPr>
      </w:pPr>
      <w:r>
        <w:t>Rationaliser les processus et améliorer l’effic</w:t>
      </w:r>
      <w:r w:rsidR="00590A61">
        <w:t>ience</w:t>
      </w:r>
      <w:r>
        <w:t xml:space="preserve"> dans l’ensemble de la famille de fonds du GEF afin de réduire la complexité des demandes de financement et de mieux soutenir les pays, en particulier ceux dont les capacités sont limitées.   L’harmonisation des processus opérationnels entre toutes les caisses fiduciaires et tous les guichets de financement gérés par le GEF pourrait simplifier l’accès aux financements et alléger la charge administrative.</w:t>
      </w:r>
    </w:p>
    <w:p w14:paraId="4942E4D8" w14:textId="54FEFEF7" w:rsidR="0047606E" w:rsidRPr="00C67737" w:rsidRDefault="0047606E" w:rsidP="000B33CF">
      <w:pPr>
        <w:pStyle w:val="ListParagraph"/>
        <w:numPr>
          <w:ilvl w:val="0"/>
          <w:numId w:val="38"/>
        </w:numPr>
      </w:pPr>
      <w:r>
        <w:t xml:space="preserve">Prendre des mesures décisives pour résoudre les difficultés structurelles qui se posent au sein du partenariat du GEF et mettre en place un processus d’engagement avec les pays qui soit inclusif, transparent et porteur de résultats. </w:t>
      </w:r>
      <w:r w:rsidR="00061860" w:rsidRPr="00061860">
        <w:t>Cela suppose de clarifier le double rôle des Agences, lorsqu’elles sont présentes, à la fois comme Agences d’exécution du GEF et comme entités chargées de l’exécution, ainsi que de mettre en place des mécanismes transparents permettant de gérer les conflits d’intérêts potentiels et de renforcer la confiance</w:t>
      </w:r>
    </w:p>
    <w:p w14:paraId="2651FBD3" w14:textId="222AA3C8" w:rsidR="0047606E" w:rsidRPr="00C67737" w:rsidRDefault="0047606E" w:rsidP="000B33CF">
      <w:pPr>
        <w:pStyle w:val="ListParagraph"/>
        <w:numPr>
          <w:ilvl w:val="0"/>
          <w:numId w:val="38"/>
        </w:numPr>
      </w:pPr>
      <w:r>
        <w:t xml:space="preserve">Encourager les </w:t>
      </w:r>
      <w:r w:rsidR="00F52D3D">
        <w:t>Agences</w:t>
      </w:r>
      <w:r>
        <w:t xml:space="preserve"> du GEF à communiquer, dès le début du cycle de reconstitution des ressources, les priorités et les compétences propres à chaque pays afin d’améliorer la transparence et l’inclusivité des processus nationaux de planification. Ces informations devraient éclairer la planification technique en amont menée avec les points focaux opérationnels du GEF.</w:t>
      </w:r>
    </w:p>
    <w:p w14:paraId="3236A0D3" w14:textId="628CB5E4" w:rsidR="0047606E" w:rsidRPr="00C67737" w:rsidRDefault="0047606E" w:rsidP="000B33CF">
      <w:pPr>
        <w:pStyle w:val="ListParagraph"/>
        <w:numPr>
          <w:ilvl w:val="0"/>
          <w:numId w:val="38"/>
        </w:numPr>
      </w:pPr>
      <w:r>
        <w:t>Renforcer la durabilité financière et réduire la dépendance à l’égard d’un nombre limité de donateurs en améliorant les pratiques de cofinancement et en diversifiant la base de financement. Les cibles de cofinancement devraient être réajustées afin de prévoir des attentes différenciées et réalistes selon le niveau de revenu des pays, le type de projet et les conditions de financement.</w:t>
      </w:r>
    </w:p>
    <w:p w14:paraId="6B2B4E20" w14:textId="6116DFBF" w:rsidR="0047606E" w:rsidRPr="00C67737" w:rsidRDefault="0047606E" w:rsidP="000B33CF">
      <w:pPr>
        <w:pStyle w:val="ListParagraph"/>
        <w:numPr>
          <w:ilvl w:val="0"/>
          <w:numId w:val="38"/>
        </w:numPr>
      </w:pPr>
      <w:r>
        <w:t>Intégrer les systèmes de gestion des connaissances, des résultats et d’apprentissage dans une plateforme cohérente qui favorise la gestion adaptative et l’innovation dans l’ensemble du partenariat du GEF. Cela suppose la mise en place d’une plateforme unifiée de gestion des connaissances, accessible aux Agences, aux pays, à la société civile et aux partenaires, et axée sur la collecte et le partage des enseignements tirés des programmes intégrés, des approches innovantes et de la mobilisation du secteur privé.</w:t>
      </w:r>
    </w:p>
    <w:p w14:paraId="086BCE73" w14:textId="2C23A155" w:rsidR="00273105" w:rsidRPr="00C67737" w:rsidRDefault="00CB17A4" w:rsidP="000B33CF">
      <w:pPr>
        <w:pStyle w:val="ListParagraph"/>
      </w:pPr>
      <w:r>
        <w:lastRenderedPageBreak/>
        <w:t>Le Conseil du GEF a approuvé les réponses de la direction du Secrétariat du GEF à ces recommandations</w:t>
      </w:r>
      <w:r w:rsidRPr="00921EEF">
        <w:rPr>
          <w:vertAlign w:val="superscript"/>
        </w:rPr>
        <w:footnoteReference w:id="141"/>
      </w:r>
      <w:r>
        <w:t xml:space="preserve">. </w:t>
      </w:r>
    </w:p>
    <w:p w14:paraId="29FD0790" w14:textId="6C704C91" w:rsidR="00273105" w:rsidRPr="00C67737" w:rsidRDefault="00A00525" w:rsidP="000B33CF">
      <w:pPr>
        <w:pStyle w:val="ListParagraph"/>
      </w:pPr>
      <w:r w:rsidRPr="00A00525">
        <w:t>Le Secrétariat du GEF a accepté de renforcer la capacité des programmes intégrés à susciter une transformation en profondeur, en privilégiant la sélectivité stratégique et la consolidation. À cette fin, il collaborera avec le Groupe consultatif pour la science et la technologie du GEF afin de consolider les fondements scientifiques de la transformation des systèmes par l’approche intégrée. Cette démarche comprendra également l’abandon progressif de certains programmes intégrés de GEF</w:t>
      </w:r>
      <w:r w:rsidRPr="00A00525">
        <w:noBreakHyphen/>
        <w:t>8, soit par regroupement, soit par l’intégration de leurs priorités de fond dans d’autres programmes intégrés de GEF</w:t>
      </w:r>
      <w:r w:rsidRPr="00A00525">
        <w:noBreakHyphen/>
        <w:t>9.</w:t>
      </w:r>
    </w:p>
    <w:p w14:paraId="4ACA97DF" w14:textId="230469BE" w:rsidR="00273105" w:rsidRPr="00C67737" w:rsidRDefault="16725970" w:rsidP="000B33CF">
      <w:pPr>
        <w:pStyle w:val="ListParagraph"/>
      </w:pPr>
      <w:r>
        <w:t xml:space="preserve">Le Secrétariat du GEF a également accepté d’intégrer, dès la conception, des dispositifs de durabilité et de financement afin de garantir la pérennité des résultats. Les </w:t>
      </w:r>
      <w:r w:rsidR="00F02738">
        <w:t>orientations programmatiques</w:t>
      </w:r>
      <w:r w:rsidR="00083519">
        <w:t xml:space="preserve"> </w:t>
      </w:r>
      <w:r>
        <w:t xml:space="preserve">et de politique générale de </w:t>
      </w:r>
      <w:r w:rsidR="00376C22">
        <w:t>GEF</w:t>
      </w:r>
      <w:r w:rsidR="00376C22">
        <w:noBreakHyphen/>
      </w:r>
      <w:r>
        <w:t xml:space="preserve">9 proposent des mesures concrètes pour mieux ancrer la durabilité dans le portefeuille. Il s’agit notamment de renforcer le rôle central des leviers systémiques du changement dans les programmes intégrés, de faire de la gestion adaptative un principe transversal et d’associer les ministères compétents aux projets par la création de comités directeurs nationaux et le renforcement de leur participation aux plateformes nationales, dans le cadre de la </w:t>
      </w:r>
      <w:r w:rsidR="004A799C">
        <w:t>s</w:t>
      </w:r>
      <w:r>
        <w:t xml:space="preserve">tratégie d’engagement avec les pays. </w:t>
      </w:r>
    </w:p>
    <w:p w14:paraId="0D59D695" w14:textId="42AF7A36" w:rsidR="00CB17A4" w:rsidRPr="00C67737" w:rsidRDefault="00AE62C8" w:rsidP="000B33CF">
      <w:pPr>
        <w:pStyle w:val="ListParagraph"/>
      </w:pPr>
      <w:r>
        <w:t xml:space="preserve">Le Secrétariat du GEF a en outre accepté de promouvoir des innovations à haut risque et à fort potentiel de rendement, assorties de garanties et d’incitations appropriées, conformément au cadre du GEF relatif à l’appétence pour le risque. Pendant </w:t>
      </w:r>
      <w:r w:rsidR="00376C22">
        <w:t>GEF</w:t>
      </w:r>
      <w:r w:rsidR="00376C22">
        <w:noBreakHyphen/>
      </w:r>
      <w:r>
        <w:t>8, un modeste guichet consacré à l’innovation a été mis en place dans le cadre de la huitième reconstitution des ressources du GEF pour soutenir et mettre à l’essai de nouvelles approches, de nouveaux outils et de nouveaux modèles économiques, en faisant appel à des partenaires nouveaux et diversifiés</w:t>
      </w:r>
      <w:r w:rsidR="000720E7" w:rsidRPr="004A799C">
        <w:rPr>
          <w:vertAlign w:val="superscript"/>
        </w:rPr>
        <w:footnoteReference w:id="142"/>
      </w:r>
      <w:r>
        <w:t xml:space="preserve">. Pendant </w:t>
      </w:r>
      <w:r w:rsidR="00376C22">
        <w:t>GEF</w:t>
      </w:r>
      <w:r w:rsidR="00376C22">
        <w:noBreakHyphen/>
      </w:r>
      <w:r>
        <w:t xml:space="preserve">9, l’innovation sera intégrée dans l’ensemble du portefeuille. Elle sera encouragée non seulement dans les domaines technologiques et du financement mixte, mais aussi au moyen de mesures institutionnelles et de réformes des politiques. </w:t>
      </w:r>
    </w:p>
    <w:p w14:paraId="2178D68D" w14:textId="1DBCD05F" w:rsidR="00597B32" w:rsidRPr="00C67737" w:rsidRDefault="00597B32" w:rsidP="000B33CF">
      <w:pPr>
        <w:pStyle w:val="ListParagraph"/>
      </w:pPr>
      <w:r>
        <w:t xml:space="preserve">Le Secrétariat du GEF a accepté de renforcer la mobilisation du secteur privé et d’élargir le recours aux </w:t>
      </w:r>
      <w:r w:rsidR="00980963">
        <w:t>i</w:t>
      </w:r>
      <w:r>
        <w:t xml:space="preserve">nstruments financiers autres que les aides directes afin de favoriser des changements </w:t>
      </w:r>
      <w:r w:rsidR="00B20AE0">
        <w:t xml:space="preserve">pouvant </w:t>
      </w:r>
      <w:r>
        <w:t xml:space="preserve">être </w:t>
      </w:r>
      <w:r w:rsidR="00B20AE0">
        <w:t>déployés</w:t>
      </w:r>
      <w:r>
        <w:t xml:space="preserve"> à plus grande échelle. Les </w:t>
      </w:r>
      <w:r w:rsidR="00F02738">
        <w:t>orientations programmatiques</w:t>
      </w:r>
      <w:r w:rsidR="00083519">
        <w:t xml:space="preserve"> </w:t>
      </w:r>
      <w:r>
        <w:t xml:space="preserve">de </w:t>
      </w:r>
      <w:r w:rsidR="00376C22">
        <w:t>GEF</w:t>
      </w:r>
      <w:r w:rsidR="00376C22">
        <w:noBreakHyphen/>
      </w:r>
      <w:r>
        <w:t xml:space="preserve">9 prévoient des plans spécifiques de mobilisation du secteur privé </w:t>
      </w:r>
      <w:r w:rsidR="00B20AE0">
        <w:t>dans chacun des</w:t>
      </w:r>
      <w:r>
        <w:t xml:space="preserve"> programme</w:t>
      </w:r>
      <w:r w:rsidR="00B20AE0">
        <w:t>s</w:t>
      </w:r>
      <w:r>
        <w:t xml:space="preserve"> intégré</w:t>
      </w:r>
      <w:r w:rsidR="00B20AE0">
        <w:t>s</w:t>
      </w:r>
      <w:r>
        <w:t xml:space="preserve">. </w:t>
      </w:r>
      <w:r w:rsidR="00AC32E9" w:rsidRPr="00AC32E9">
        <w:t>Elles mettent également l’accent sur l’élaboration de normes et de protocoles permettant de faire concorder les exigences du secteur privé avec la production d’avantages environnementaux mondiaux dans l’ensemble de la famille de fonds du GEF.</w:t>
      </w:r>
      <w:r>
        <w:t xml:space="preserve"> Les </w:t>
      </w:r>
      <w:r w:rsidR="00F02738">
        <w:t>orientations programmatiques</w:t>
      </w:r>
      <w:r w:rsidR="00083519">
        <w:t xml:space="preserve"> </w:t>
      </w:r>
      <w:r>
        <w:t xml:space="preserve">et les </w:t>
      </w:r>
      <w:r w:rsidR="00702D99">
        <w:t>o</w:t>
      </w:r>
      <w:r>
        <w:t xml:space="preserve">rientations </w:t>
      </w:r>
      <w:r w:rsidR="001A7128">
        <w:t>de politique générale</w:t>
      </w:r>
      <w:r>
        <w:t xml:space="preserve"> de </w:t>
      </w:r>
      <w:r w:rsidR="00376C22">
        <w:t>GEF</w:t>
      </w:r>
      <w:r w:rsidR="00376C22">
        <w:noBreakHyphen/>
      </w:r>
      <w:r>
        <w:t xml:space="preserve">9 comprennent un ensemble de mesures conçues pour accroître globalement la mobilisation de capitaux privés. Elles prévoient notamment l’élargissement du Programme de financement mixte, l’instauration d’une prime de contrepartie destinée à encourager les pays à recourir aux </w:t>
      </w:r>
      <w:r w:rsidR="0070208A">
        <w:t>i</w:t>
      </w:r>
      <w:r>
        <w:t xml:space="preserve">nstruments financiers autres que les aides directes en dehors du Programme de financement mixte, ainsi qu’un appui </w:t>
      </w:r>
      <w:r>
        <w:lastRenderedPageBreak/>
        <w:t>et un renforcement des capacités visant à améliorer l’état de préparation des pays au financement mixte.</w:t>
      </w:r>
    </w:p>
    <w:p w14:paraId="154F6501" w14:textId="5CB594D1" w:rsidR="009175F7" w:rsidRPr="00C67737" w:rsidRDefault="00456C6D" w:rsidP="000B33CF">
      <w:pPr>
        <w:pStyle w:val="ListParagraph"/>
      </w:pPr>
      <w:r w:rsidRPr="00456C6D">
        <w:t>Le GEF a accepté de rationaliser ses processus et d’améliorer l’efficience dans l’ensemble de la famille de fonds du GEF, tout en renforçant l’appui aux pays, en particulier à ceux dont les capacités sont limitées. Dans le prolongement des réformes de politique générale engagées pendant GEF</w:t>
      </w:r>
      <w:r w:rsidRPr="00456C6D">
        <w:noBreakHyphen/>
        <w:t>8 — qui ont déjà permis d’accélérer sensiblement les opérations du GEF et de renforcer les capacités des pays afin de faciliter leur accès aux financements —, les recommandations de politique générale pour GEF</w:t>
      </w:r>
      <w:r w:rsidRPr="00456C6D">
        <w:noBreakHyphen/>
        <w:t>9</w:t>
      </w:r>
      <w:r w:rsidR="000041A4" w:rsidRPr="00B97640">
        <w:rPr>
          <w:vertAlign w:val="superscript"/>
        </w:rPr>
        <w:footnoteReference w:id="143"/>
      </w:r>
      <w:r w:rsidR="00A821E2" w:rsidRPr="00B97640">
        <w:rPr>
          <w:vertAlign w:val="superscript"/>
        </w:rPr>
        <w:t xml:space="preserve"> </w:t>
      </w:r>
      <w:r>
        <w:t>ont retenu</w:t>
      </w:r>
      <w:r w:rsidR="00A821E2">
        <w:t xml:space="preserve"> </w:t>
      </w:r>
      <w:r w:rsidR="0094079E">
        <w:t>« </w:t>
      </w:r>
      <w:r w:rsidR="00A821E2">
        <w:t>l’accélération et la rationalisation de l’exécution</w:t>
      </w:r>
      <w:r w:rsidR="0094079E">
        <w:t> »</w:t>
      </w:r>
      <w:r w:rsidR="00A821E2">
        <w:t xml:space="preserve"> ainsi que de </w:t>
      </w:r>
      <w:r w:rsidR="0094079E">
        <w:t>« </w:t>
      </w:r>
      <w:r w:rsidR="00A821E2">
        <w:t xml:space="preserve">l’amélioration de l’accès et </w:t>
      </w:r>
      <w:r w:rsidR="004D1EE4">
        <w:t>l’autonomisation</w:t>
      </w:r>
      <w:r w:rsidR="00A821E2">
        <w:t xml:space="preserve"> des pays</w:t>
      </w:r>
      <w:r w:rsidR="0094079E">
        <w:t> »</w:t>
      </w:r>
      <w:r w:rsidR="00A821E2">
        <w:t xml:space="preserve"> </w:t>
      </w:r>
      <w:r>
        <w:t>comme deux priorités de politique général essentielles</w:t>
      </w:r>
      <w:r w:rsidR="00424902">
        <w:t>, c</w:t>
      </w:r>
      <w:r w:rsidR="00A821E2">
        <w:t xml:space="preserve">hacune </w:t>
      </w:r>
      <w:r w:rsidR="00424902" w:rsidRPr="00424902">
        <w:t>étayée par un ensemble complet de mesures et de réformes de politique générale.</w:t>
      </w:r>
    </w:p>
    <w:p w14:paraId="603D7AA8" w14:textId="09F4FB00" w:rsidR="00E92BDF" w:rsidRPr="00C67737" w:rsidRDefault="00E92BDF" w:rsidP="000B33CF">
      <w:pPr>
        <w:pStyle w:val="ListParagraph"/>
      </w:pPr>
      <w:r>
        <w:t>Le GEF a accepté de s’attaquer aux difficultés structurelles au sein du partenariat du GEF et de mettre en place un processus d’engagement avec les pays inclusif, transparent et porteur de résultats. S’appuyant sur les modifications apportées aux politiques et adoptées par le Conseil en 2025</w:t>
      </w:r>
      <w:r w:rsidR="0097540C" w:rsidRPr="000E36E3">
        <w:rPr>
          <w:vertAlign w:val="superscript"/>
        </w:rPr>
        <w:footnoteReference w:id="144"/>
      </w:r>
      <w:r>
        <w:t xml:space="preserve">, le Secrétariat du GEF a collaboré étroitement avec les </w:t>
      </w:r>
      <w:r w:rsidR="001B4A45">
        <w:t>points focaux</w:t>
      </w:r>
      <w:r>
        <w:t xml:space="preserve"> opérationnels et les </w:t>
      </w:r>
      <w:r w:rsidR="00D16424">
        <w:t>A</w:t>
      </w:r>
      <w:r>
        <w:t xml:space="preserve">gences afin de limiter </w:t>
      </w:r>
      <w:r w:rsidR="000723F3" w:rsidRPr="000723F3">
        <w:t>l’exercice simultané, par les Agences du GEF, de fonctions de mise en œuvre et d’exécution, et de renforcer les principes fondamentaux d’appropriation nationale et de capacités nationales d’exécution.</w:t>
      </w:r>
      <w:r>
        <w:t xml:space="preserve"> </w:t>
      </w:r>
      <w:r w:rsidR="00A90AF5" w:rsidRPr="00A90AF5">
        <w:t>Plusieurs mesures complémentaires seront mises en œuvre dans le cadre de l’objectif de politique générale «</w:t>
      </w:r>
      <w:r w:rsidR="00A90AF5">
        <w:t> </w:t>
      </w:r>
      <w:r w:rsidR="00A90AF5" w:rsidRPr="00A90AF5">
        <w:t xml:space="preserve">mise en œuvre </w:t>
      </w:r>
      <w:r w:rsidR="00A90AF5">
        <w:t>souple</w:t>
      </w:r>
      <w:r w:rsidR="00A90AF5" w:rsidRPr="00A90AF5">
        <w:t xml:space="preserve"> et efficace</w:t>
      </w:r>
      <w:r w:rsidR="00A90AF5">
        <w:t> </w:t>
      </w:r>
      <w:r w:rsidR="00A90AF5" w:rsidRPr="00A90AF5">
        <w:t>» défini dans les orientations de politique générale de GEF</w:t>
      </w:r>
      <w:r w:rsidR="00A90AF5" w:rsidRPr="00A90AF5">
        <w:noBreakHyphen/>
        <w:t>9.</w:t>
      </w:r>
      <w:r w:rsidR="00A90AF5">
        <w:t xml:space="preserve"> </w:t>
      </w:r>
      <w:r>
        <w:t xml:space="preserve">Les </w:t>
      </w:r>
      <w:r w:rsidR="00F02738">
        <w:t>orientations programmatiques</w:t>
      </w:r>
      <w:r>
        <w:t xml:space="preserve"> de </w:t>
      </w:r>
      <w:r w:rsidR="00376C22">
        <w:t>GEF</w:t>
      </w:r>
      <w:r w:rsidR="00376C22">
        <w:noBreakHyphen/>
      </w:r>
      <w:r>
        <w:t xml:space="preserve">9 renforcent également la </w:t>
      </w:r>
      <w:r w:rsidR="00A90AF5">
        <w:t>s</w:t>
      </w:r>
      <w:r>
        <w:t xml:space="preserve">tratégie d’engagement avec les pays du GEF. Elles soulignent l’importance de donner davantage de moyens d’action aux </w:t>
      </w:r>
      <w:r w:rsidR="00D16424">
        <w:t>points focaux</w:t>
      </w:r>
      <w:r>
        <w:t xml:space="preserve"> opérationnels, d’adopter une approche </w:t>
      </w:r>
      <w:r w:rsidR="00A90AF5">
        <w:t>pangouvernementale</w:t>
      </w:r>
      <w:r>
        <w:t xml:space="preserve"> grâce à la création de comités directeurs nationaux et de promouvoir des plateformes nationales. Ces dernières visent à assurer la cohérence, la complémentarité et l’effet de levier des investissements en faveur de l’environnement et du développement durable dans les pays bénéficiaires, en veillant à l’alignement des financements extérieurs destinés au développement.</w:t>
      </w:r>
    </w:p>
    <w:p w14:paraId="318F198F" w14:textId="44B14C64" w:rsidR="00273105" w:rsidRPr="00C67737" w:rsidRDefault="004011F7" w:rsidP="000B33CF">
      <w:pPr>
        <w:pStyle w:val="ListParagraph"/>
      </w:pPr>
      <w:r>
        <w:t xml:space="preserve">Enfin, le Secrétariat du GEF a accepté d’encourager les </w:t>
      </w:r>
      <w:r w:rsidR="00F52D3D">
        <w:t>Agences</w:t>
      </w:r>
      <w:r>
        <w:t xml:space="preserve"> du GEF à communiquer les priorités et les compétences propres à chaque pays afin d’améliorer la transparence et l’inclusivité des processus nationaux de planification. Il a également accepté d’améliorer les pratiques de cofinancement, de renforcer ses efforts de mobilisation des ressources et de mieux intégrer les systèmes de gestion des connaissances, des résultats et d’apprentissage afin de favoriser la gestion adaptative et l’innovation dans l’ensemble du partenariat du GEF.</w:t>
      </w:r>
    </w:p>
    <w:p w14:paraId="4EA50276" w14:textId="274FED95" w:rsidR="00C73561" w:rsidRPr="00C67737" w:rsidRDefault="0017349A" w:rsidP="00D56EFB">
      <w:pPr>
        <w:pStyle w:val="Heading2"/>
      </w:pPr>
      <w:bookmarkStart w:id="179" w:name="_Toc242184669"/>
      <w:bookmarkStart w:id="180" w:name="_Toc242184723"/>
      <w:bookmarkStart w:id="181" w:name="_Toc242185295"/>
      <w:r>
        <w:t xml:space="preserve">Évaluation formative du </w:t>
      </w:r>
      <w:r w:rsidR="00BA5516">
        <w:t>Fonds du Cadre</w:t>
      </w:r>
      <w:r>
        <w:t xml:space="preserve"> mondial de la biodiversité (GBFF)</w:t>
      </w:r>
      <w:r w:rsidRPr="00C67737">
        <w:rPr>
          <w:rStyle w:val="FootnoteReference"/>
          <w:lang w:val="en-US"/>
        </w:rPr>
        <w:footnoteReference w:id="145"/>
      </w:r>
      <w:bookmarkEnd w:id="179"/>
      <w:bookmarkEnd w:id="180"/>
      <w:bookmarkEnd w:id="181"/>
      <w:r>
        <w:t xml:space="preserve"> </w:t>
      </w:r>
      <w:bookmarkStart w:id="182" w:name="_heading=h.nlxkes3arp4q"/>
      <w:bookmarkStart w:id="183" w:name="_heading=h.ckg5kekyv6bf" w:colFirst="0" w:colLast="0"/>
      <w:bookmarkEnd w:id="182"/>
      <w:bookmarkEnd w:id="183"/>
    </w:p>
    <w:p w14:paraId="1D7C17D9" w14:textId="6C7B053C" w:rsidR="00C54B40" w:rsidRPr="00C67737" w:rsidRDefault="00C54B40" w:rsidP="000B33CF">
      <w:pPr>
        <w:pStyle w:val="ListParagraph"/>
      </w:pPr>
      <w:r>
        <w:t xml:space="preserve">Le GBFF a été lancé en 2023 en tant que mécanisme de financement spécifique destiné à appuyer la mise en œuvre du KMGBF. Cette évaluation, menée par le Bureau indépendant </w:t>
      </w:r>
      <w:r>
        <w:lastRenderedPageBreak/>
        <w:t xml:space="preserve">d’évaluation à un stade formatif, était la première évaluation indépendante du Fonds. À la date de l’évaluation, le GBFF avait </w:t>
      </w:r>
      <w:r w:rsidR="007675AC">
        <w:t>retenu</w:t>
      </w:r>
      <w:r>
        <w:t xml:space="preserve"> 40</w:t>
      </w:r>
      <w:r w:rsidR="007675AC">
        <w:t> </w:t>
      </w:r>
      <w:r>
        <w:t xml:space="preserve">projets au cours de trois cycles de sélection </w:t>
      </w:r>
      <w:r w:rsidR="009073E2" w:rsidRPr="009073E2">
        <w:t>au titre de sa tranche de programmation de 2024, dans 41 pays et quatre régions. Ces projets représentaient un financement du GBFF de 201,6 millions de dollars et un cofinancement de 530,7 millions de dollars, soit un ratio de cofinancement de 2,63 pour 1.</w:t>
      </w:r>
      <w:r w:rsidR="009073E2">
        <w:t xml:space="preserve"> </w:t>
      </w:r>
      <w:r w:rsidR="00761B66" w:rsidRPr="00761B66">
        <w:t>Le Fonds avait mobilisé 383 millions de dollars auprès de contributeurs souverains et infranationaux, au regard de l’objectif mondial fixé dans le KMGBF, soit 20 milliards de dollars par an d’ici à 2025. La taille médiane des projets, de 3,9 millions de dollars, était sensiblement inférieure à celle des projets de GEF</w:t>
      </w:r>
      <w:r w:rsidR="00761B66" w:rsidRPr="00761B66">
        <w:noBreakHyphen/>
        <w:t>8 relevant du domaine d’intervention « diversité biologique », qui s’élevait à 9,3 millions de dollars. Cette différence reflétait la capitalisation modeste du Fonds et le caractère plus ciblé de son mandat.</w:t>
      </w:r>
    </w:p>
    <w:p w14:paraId="3CAB95C8" w14:textId="394DE2E0" w:rsidR="00C54B40" w:rsidRPr="00C67737" w:rsidRDefault="48DAD315" w:rsidP="000B33CF">
      <w:pPr>
        <w:pStyle w:val="ListParagraph"/>
      </w:pPr>
      <w:r>
        <w:t>L’évaluation a conclu que le GBFF avait été opérationnalisé rapidement et administré avec efficience. Le Fonds est devenu opérationnel en neuf mois grâce à l’utilisation des infrastructures juridiques, financières et opérationnelles déjà en place au sein du GEF. Ses coûts administratifs, de 3,5</w:t>
      </w:r>
      <w:r w:rsidR="00966C17">
        <w:t> %</w:t>
      </w:r>
      <w:r>
        <w:t xml:space="preserve">, étaient les deuxièmes plus faibles parmi les partenariats mondiaux comparables axés sur l’environnement. Le délai médian entre la sélection des projets et leur agrément par le directeur général s’établissait à 5,3 mois, contre 17,4 mois pour les projets de </w:t>
      </w:r>
      <w:r w:rsidR="00376C22">
        <w:t>GEF</w:t>
      </w:r>
      <w:r w:rsidR="00376C22">
        <w:noBreakHyphen/>
      </w:r>
      <w:r>
        <w:t>8, bien que cette comparaison repose sur un échantillon limité de projets du GBFF. Le Fonds avait également atteint ou dépassé ses cibles au niveau du portefeuille</w:t>
      </w:r>
      <w:r w:rsidR="006E54C7">
        <w:t> :</w:t>
      </w:r>
      <w:r>
        <w:t xml:space="preserve">  36</w:t>
      </w:r>
      <w:r w:rsidR="00966C17">
        <w:t> %</w:t>
      </w:r>
      <w:r>
        <w:t xml:space="preserve"> des ressources étaient allouées aux pays les moins avancés et aux petits États insulaires en développement, atteignant ainsi la cible fixée, et 30</w:t>
      </w:r>
      <w:r w:rsidR="00966C17">
        <w:t> %</w:t>
      </w:r>
      <w:r>
        <w:t xml:space="preserve"> appuyaient des actions en faveur de la biodiversité menées par les peuples autochtones et communautés locales, dépassant la cible de 20</w:t>
      </w:r>
      <w:r w:rsidR="00966C17">
        <w:t> %</w:t>
      </w:r>
      <w:r>
        <w:t xml:space="preserve">. Par ailleurs, une proportion importante des ressources </w:t>
      </w:r>
      <w:r w:rsidR="00761B66">
        <w:t>(</w:t>
      </w:r>
      <w:r>
        <w:t>64</w:t>
      </w:r>
      <w:r w:rsidR="00966C17">
        <w:t> </w:t>
      </w:r>
      <w:r w:rsidR="001C4227">
        <w:t>%</w:t>
      </w:r>
      <w:r w:rsidR="00761B66">
        <w:t>)</w:t>
      </w:r>
      <w:r>
        <w:t xml:space="preserve"> était allouée aux pays </w:t>
      </w:r>
      <w:proofErr w:type="spellStart"/>
      <w:r>
        <w:t>mégadivers</w:t>
      </w:r>
      <w:proofErr w:type="spellEnd"/>
      <w:r>
        <w:t>. Les 40</w:t>
      </w:r>
      <w:r w:rsidR="001C4227">
        <w:t> </w:t>
      </w:r>
      <w:r>
        <w:t>projets sélectionnés concouraient tous à la réalisation d’au moins une cible du KMGBF et étaient explicitement fondés sur les stratégies et plans d’action nationaux pour la biodiversité. Toutefois, la part des ressources du GBFF acheminées par l’intermédiaire des institutions financières internationales, soit 20</w:t>
      </w:r>
      <w:r w:rsidR="00966C17">
        <w:t> %</w:t>
      </w:r>
      <w:r>
        <w:t>, restait inférieure à la cible de 25</w:t>
      </w:r>
      <w:r w:rsidR="00966C17">
        <w:t> %</w:t>
      </w:r>
      <w:r>
        <w:t>.</w:t>
      </w:r>
    </w:p>
    <w:p w14:paraId="1D9DEB1B" w14:textId="7F0695C9" w:rsidR="00C54B40" w:rsidRPr="00C67737" w:rsidRDefault="48DAD315" w:rsidP="000B33CF">
      <w:pPr>
        <w:pStyle w:val="ListParagraph"/>
      </w:pPr>
      <w:r>
        <w:t xml:space="preserve">L’évaluation a conclu que le GBFF était bien aligné sur les objectifs mondiaux en matière de biodiversité et présentait des perspectives opérationnelles prometteuses, </w:t>
      </w:r>
      <w:r w:rsidR="00E13473" w:rsidRPr="00E13473">
        <w:t xml:space="preserve">mais que sa programmation demeurait insuffisamment différenciée des modalités classiques de financement de la biodiversité. Au moment de l’évaluation, la conception des projets reproduisait dans une large mesure les approches habituelles </w:t>
      </w:r>
      <w:r w:rsidR="00CD3559">
        <w:t xml:space="preserve">du fonds fiduciaire </w:t>
      </w:r>
      <w:r w:rsidR="00E13473" w:rsidRPr="00E13473">
        <w:t>du GEF et témoignait de peu d’innovations véritables dans les modèles de financement, les théories du changement ou les modalités de mise en œuvre. La concentration des activités dans le domaine d’action 1 — conservation et restauration — a entraîné une mobilisation comparativement limitée dans les autres domaines d’action, notamment la cohérence des politiques et la mobilisation des ressources. La participation du secteur privé ne représentait que 4,8% du portefeuille. Les contributeurs non souverains, y compris les organisations philanthropiques, n’avaient pas encore apporté de ressources significatives, malgré la capacité officielle du Fonds à accepter de telles contributions.</w:t>
      </w:r>
    </w:p>
    <w:p w14:paraId="4E512F4B" w14:textId="12FC462C" w:rsidR="00C54B40" w:rsidRPr="00C67737" w:rsidRDefault="00C54B40" w:rsidP="000B33CF">
      <w:pPr>
        <w:pStyle w:val="ListParagraph"/>
      </w:pPr>
      <w:r>
        <w:t xml:space="preserve">L’évaluation a également conclu que les systèmes de suivi et de redevabilité restaient insuffisamment développés au regard des ambitions du Fonds. Au moment de l’évaluation, l’architecture des résultats reposait largement sur des indicateurs de processus et ne permettait pas suffisamment de mesurer les résultats effectifs en matière de biodiversité ni de démontrer </w:t>
      </w:r>
      <w:r>
        <w:lastRenderedPageBreak/>
        <w:t xml:space="preserve">l’additionnalité et la valeur ajoutée de l’innovation qui justifiaient l’existence d’un fonds spécifique aux côtés </w:t>
      </w:r>
      <w:r w:rsidR="00CD3559">
        <w:t xml:space="preserve">du fonds fiduciaire </w:t>
      </w:r>
      <w:r>
        <w:t>du GEF. Les processus de sélection des projets ne comportaient pas non plus de critères de référence clairement définis ni de critères suffisamment robustes pour évaluer la plausibilité des théories du changement à l’échelle envisagée. En l’absence d’un cadre de suivi davantage adapté aux spécificités du Fonds et d’une différenciation plus nette par rapport aux instruments existants, le risque était de fragmenter des financements déjà rares en faveur de la biodiversité plutôt que d’en multiplier l’impact. La gestion des connaissances ne reposait pas non plus sur une stratégie systématique</w:t>
      </w:r>
      <w:r w:rsidR="006E54C7">
        <w:t> :</w:t>
      </w:r>
      <w:r>
        <w:t xml:space="preserve"> l’apprentissage entre les différents fonds se faisait largement de manière ponctuelle, et l’appropriation par les pays des enseignements tirés n’était pas encore institutionnalisée.</w:t>
      </w:r>
    </w:p>
    <w:p w14:paraId="614BBB40" w14:textId="6A17A41F" w:rsidR="002A40DF" w:rsidRPr="00C67737" w:rsidRDefault="48DAD315" w:rsidP="000B33CF">
      <w:pPr>
        <w:pStyle w:val="ListParagraph"/>
      </w:pPr>
      <w:r>
        <w:t>L’évaluation a formulé trois recommandations</w:t>
      </w:r>
      <w:r w:rsidR="006E54C7">
        <w:t> :</w:t>
      </w:r>
      <w:r>
        <w:t xml:space="preserve"> 1) </w:t>
      </w:r>
      <w:r w:rsidR="006A2B96">
        <w:t>r</w:t>
      </w:r>
      <w:r>
        <w:t xml:space="preserve">enforcer la cohérence avec </w:t>
      </w:r>
      <w:r w:rsidR="00CD3559">
        <w:t>le Fonds fiduciaire</w:t>
      </w:r>
      <w:r>
        <w:t xml:space="preserve"> du GEF au moyen d’une stratégie coordonnée qui harmonise le suivi, l’établissement des rapports et la gestion des connaissances, afin d’éviter les doublons et la fragmentation du financement de la biodiversité</w:t>
      </w:r>
      <w:r w:rsidR="006E54C7">
        <w:t> ;</w:t>
      </w:r>
      <w:r>
        <w:t xml:space="preserve"> 2) </w:t>
      </w:r>
      <w:r w:rsidR="006A2B96">
        <w:t>é</w:t>
      </w:r>
      <w:r>
        <w:t>laborer une stratégie solide de mobilisation des ressources qui ne se limite pas aux donateurs souverains et permette de mobiliser systématiquement les institutions financières internationales, les acteurs du secteur privé et les organisations philanthropiques afin de contribuer à l’objectif annuel de 20 milliards de dollars fixé par le KMGBF</w:t>
      </w:r>
      <w:r w:rsidR="006E54C7">
        <w:t> ;</w:t>
      </w:r>
      <w:r>
        <w:t xml:space="preserve"> 3) </w:t>
      </w:r>
      <w:r w:rsidR="006A2B96">
        <w:t>c</w:t>
      </w:r>
      <w:r>
        <w:t>larifier les critères de sélection des projets et renforcer les indicateurs de performance en intégrant des mesures des résultats alignées sur le KMGBF et des critères de référence robustes. Il s’agit ainsi de mieux suivre les effets sur la biodiversité, de démontrer la valeur ajoutée et d’améliorer le retour d’information destiné aux porteurs de propositions non retenues.</w:t>
      </w:r>
    </w:p>
    <w:p w14:paraId="07F6B40C" w14:textId="2FB0594A" w:rsidR="004C6EF0" w:rsidRPr="00C67737" w:rsidRDefault="00A03936" w:rsidP="000B33CF">
      <w:pPr>
        <w:pStyle w:val="ListParagraph"/>
      </w:pPr>
      <w:r>
        <w:t>Le Conseil du GBFF a approuvé les réponses de la direction du Secrétariat du GEF à ces recommandations</w:t>
      </w:r>
      <w:r w:rsidRPr="006A2B96">
        <w:rPr>
          <w:vertAlign w:val="superscript"/>
        </w:rPr>
        <w:footnoteReference w:id="146"/>
      </w:r>
      <w:r>
        <w:t xml:space="preserve">. Le Secrétariat du GEF est convenu de continuer à renforcer la cohérence et la complémentarité déjà établies entre la programmation du GBFF et celle </w:t>
      </w:r>
      <w:r w:rsidR="00CD3559">
        <w:t xml:space="preserve">du fonds fiduciaire </w:t>
      </w:r>
      <w:r>
        <w:t xml:space="preserve">du GEF, notamment au moyen du positionnement stratégique et des </w:t>
      </w:r>
      <w:r w:rsidR="00F02738">
        <w:t>orientations programmatiques</w:t>
      </w:r>
      <w:r w:rsidR="00083519">
        <w:t xml:space="preserve"> </w:t>
      </w:r>
      <w:r>
        <w:t xml:space="preserve">de </w:t>
      </w:r>
      <w:r w:rsidR="00376C22">
        <w:t>GEF</w:t>
      </w:r>
      <w:r w:rsidR="00376C22">
        <w:noBreakHyphen/>
      </w:r>
      <w:r>
        <w:t xml:space="preserve">9. </w:t>
      </w:r>
      <w:r w:rsidR="0088662B">
        <w:t>Il</w:t>
      </w:r>
      <w:r>
        <w:t xml:space="preserve"> a reconnu l’importance d’élargir et de diversifier la base de financement du GBFF et a confirmé qu’une stratégie de mobilisation des ressources du GBFF était en cours d’élaboration. Il a également accepté d’améliorer les orientations relatives aux critères de sélection, notamment en fournissant des retours plus détaillés sur les propositions non retenues, et de veiller à une meilleure cohérence entre le Cadre de résultats du GBFF et le cadre de suivi du KMGBF.</w:t>
      </w:r>
    </w:p>
    <w:p w14:paraId="693FBDB2" w14:textId="61CBF07D" w:rsidR="004C6EF0" w:rsidRPr="00C67737" w:rsidRDefault="004C6EF0" w:rsidP="00D56EFB">
      <w:pPr>
        <w:pStyle w:val="Heading2"/>
      </w:pPr>
      <w:bookmarkStart w:id="184" w:name="_Toc242184670"/>
      <w:bookmarkStart w:id="185" w:name="_Toc242184724"/>
      <w:bookmarkStart w:id="186" w:name="_Toc242185296"/>
      <w:r>
        <w:t xml:space="preserve">Deuxième évaluation formative du </w:t>
      </w:r>
      <w:r w:rsidR="00BA5516">
        <w:t>Fonds du Cadre</w:t>
      </w:r>
      <w:r>
        <w:t xml:space="preserve"> mondial de la biodiversité (GBFF)</w:t>
      </w:r>
      <w:r w:rsidRPr="00C67737">
        <w:rPr>
          <w:rStyle w:val="FootnoteReference"/>
          <w:lang w:val="en-US"/>
        </w:rPr>
        <w:footnoteReference w:id="147"/>
      </w:r>
      <w:bookmarkEnd w:id="184"/>
      <w:bookmarkEnd w:id="185"/>
      <w:bookmarkEnd w:id="186"/>
      <w:r>
        <w:t xml:space="preserve"> </w:t>
      </w:r>
    </w:p>
    <w:p w14:paraId="3D25C041" w14:textId="1F3F64E6" w:rsidR="00701B0D" w:rsidRPr="00C67737" w:rsidRDefault="00701B0D" w:rsidP="000B33CF">
      <w:pPr>
        <w:pStyle w:val="ListParagraph"/>
      </w:pPr>
      <w:r>
        <w:t xml:space="preserve">La deuxième évaluation formative du GBFF a été menée par le Bureau indépendant d’évaluation afin de donner aux parties prenantes un aperçu des premières performances du Fonds et d’éclairer la sixième réunion du Conseil du GBFF. Elle a couvert la période allant du lancement du Fonds, en août 2023, à l’annonce des résultats du cinquième cycle de sélection, en </w:t>
      </w:r>
      <w:r>
        <w:lastRenderedPageBreak/>
        <w:t>mars 2026. Elle a porté sur la conception initiale du Fonds, sa gouvernance et son portefeuille. L’évaluation a appliqué un cadre d’analyse structuré fondé sur la théorie du changement, couvrant six composantes</w:t>
      </w:r>
      <w:r w:rsidR="006E54C7">
        <w:t> :</w:t>
      </w:r>
      <w:r>
        <w:t xml:space="preserve"> le portefeuille, la pertinence, la qualité à l’entrée, la gouvernance et les processus, l’approche </w:t>
      </w:r>
      <w:proofErr w:type="spellStart"/>
      <w:r w:rsidR="0088662B">
        <w:t>pansociétale</w:t>
      </w:r>
      <w:proofErr w:type="spellEnd"/>
      <w:r>
        <w:t>, ainsi que le financement et la mobilisation des ressources. Compte tenu du nombre limité de projets alors en cours de mise en œuvre, l’analyse s’est principalement concentrée sur la performance institutionnelle et l’état de préparation des projets au stade de leur conception.</w:t>
      </w:r>
    </w:p>
    <w:p w14:paraId="6D3DB907" w14:textId="0B40D4E6" w:rsidR="00701B0D" w:rsidRPr="001B71FD" w:rsidRDefault="00474D00" w:rsidP="000B33CF">
      <w:pPr>
        <w:pStyle w:val="ListParagraph"/>
      </w:pPr>
      <w:r w:rsidRPr="00474D00">
        <w:t>Au moment de l’évaluation, le portefeuille du GBFF comprenait 82</w:t>
      </w:r>
      <w:r w:rsidR="001F1D0E">
        <w:t> </w:t>
      </w:r>
      <w:r w:rsidRPr="00474D00">
        <w:t>projets sélectionnés parmi 255</w:t>
      </w:r>
      <w:r w:rsidR="001F1D0E">
        <w:t> </w:t>
      </w:r>
      <w:r w:rsidRPr="00474D00">
        <w:t>propositions soumises au cours de cinq cycles de sélection, pour un financement total du GBFF de 362,1</w:t>
      </w:r>
      <w:r w:rsidR="001F1D0E">
        <w:t> </w:t>
      </w:r>
      <w:r w:rsidRPr="00474D00">
        <w:t>millions de dollars. Le taux global de sélection, de 32</w:t>
      </w:r>
      <w:r w:rsidR="001F1D0E">
        <w:t> </w:t>
      </w:r>
      <w:r w:rsidRPr="00474D00">
        <w:t xml:space="preserve">%, témoigne du caractère concurrentiel du modèle de sélection. Les projets retenus au titre du GBFF étaient généralement de plus petite taille que ceux financés dans le domaine d’intervention « diversité biologique » </w:t>
      </w:r>
      <w:r w:rsidR="00CD3559">
        <w:t xml:space="preserve">du fonds fiduciaire </w:t>
      </w:r>
      <w:r w:rsidRPr="00474D00">
        <w:t>du GEF, mais plus importants que les propositions non retenues. Les ratios indicatifs de cofinancement des projets retenus étaient également plus élevés que ceux des propositions non retenues, bien que le cofinancement ne soit pas une condition requise.</w:t>
      </w:r>
      <w:r>
        <w:t xml:space="preserve"> </w:t>
      </w:r>
      <w:r w:rsidR="001F1D0E" w:rsidRPr="001F1D0E">
        <w:t>À la date limite considérée, seuls trois projets étaient entrés dans la phase initiale de mise en œuvre, ce qui reflète le stade encore précoce du portefeuille. Le Fonds a atteint ou dépassé ses cibles au niveau du portefeuille</w:t>
      </w:r>
      <w:r w:rsidR="001F1D0E">
        <w:t> </w:t>
      </w:r>
      <w:r w:rsidR="001F1D0E" w:rsidRPr="001F1D0E">
        <w:t>: 39</w:t>
      </w:r>
      <w:r w:rsidR="001F1D0E">
        <w:t> </w:t>
      </w:r>
      <w:r w:rsidR="001F1D0E" w:rsidRPr="001F1D0E">
        <w:t>% des ressources ont été allouées aux pays les moins avancés et aux petits États insulaires en développement, atteignant ainsi la cible fixée et dépassant les niveaux de référence de GEF</w:t>
      </w:r>
      <w:r w:rsidR="001F1D0E" w:rsidRPr="001F1D0E">
        <w:noBreakHyphen/>
        <w:t>8 dans le domaine d’intervention «</w:t>
      </w:r>
      <w:r w:rsidR="001F1D0E">
        <w:t> </w:t>
      </w:r>
      <w:r w:rsidR="001F1D0E" w:rsidRPr="001F1D0E">
        <w:t>diversité biologique</w:t>
      </w:r>
      <w:r w:rsidR="001F1D0E">
        <w:t> </w:t>
      </w:r>
      <w:r w:rsidR="001F1D0E" w:rsidRPr="001F1D0E">
        <w:t>»</w:t>
      </w:r>
      <w:r w:rsidR="001F1D0E">
        <w:t> </w:t>
      </w:r>
      <w:r w:rsidR="001F1D0E" w:rsidRPr="001F1D0E">
        <w:t>; 30</w:t>
      </w:r>
      <w:r w:rsidR="001F1D0E">
        <w:t> </w:t>
      </w:r>
      <w:r w:rsidR="001F1D0E" w:rsidRPr="001F1D0E">
        <w:t>% des ressources ont été programmées par l’intermédiaire d’institutions financières internationales, soit au-delà de la cible de 25</w:t>
      </w:r>
      <w:r w:rsidR="001F1D0E">
        <w:t> </w:t>
      </w:r>
      <w:r w:rsidR="001F1D0E" w:rsidRPr="001F1D0E">
        <w:t>%</w:t>
      </w:r>
      <w:r w:rsidR="001F1D0E">
        <w:t> </w:t>
      </w:r>
      <w:r w:rsidR="001F1D0E" w:rsidRPr="001F1D0E">
        <w:t>; et 31</w:t>
      </w:r>
      <w:r w:rsidR="001F1D0E">
        <w:t> </w:t>
      </w:r>
      <w:r w:rsidR="001F1D0E" w:rsidRPr="001F1D0E">
        <w:t>% des ressources ont appuyé des actions menées par les peuples autochtones et les communautés locales, dépassant la cible indicative de 20</w:t>
      </w:r>
      <w:r w:rsidR="001F1D0E">
        <w:t> </w:t>
      </w:r>
      <w:r w:rsidR="001F1D0E" w:rsidRPr="001F1D0E">
        <w:t>%.</w:t>
      </w:r>
      <w:r w:rsidR="00460AD1">
        <w:t xml:space="preserve"> </w:t>
      </w:r>
      <w:r w:rsidR="00460AD1" w:rsidRPr="00460AD1">
        <w:t>La participation des Agences était relativement diversifiée : 13 des 18</w:t>
      </w:r>
      <w:r w:rsidR="00460AD1">
        <w:t> </w:t>
      </w:r>
      <w:r w:rsidR="00460AD1" w:rsidRPr="00460AD1">
        <w:t>Agences du GEF mettaient en œuvre au moins un projet. La cohérence avec les cibles du KMGBF était la plus marquée en matière de conservation (cible</w:t>
      </w:r>
      <w:r w:rsidR="00460AD1">
        <w:t> </w:t>
      </w:r>
      <w:r w:rsidR="00460AD1" w:rsidRPr="00460AD1">
        <w:t>3), de participation (cible</w:t>
      </w:r>
      <w:r w:rsidR="00460AD1">
        <w:t> </w:t>
      </w:r>
      <w:r w:rsidR="00460AD1" w:rsidRPr="00460AD1">
        <w:t>22), de planification spatiale (cible</w:t>
      </w:r>
      <w:r w:rsidR="00460AD1">
        <w:t> </w:t>
      </w:r>
      <w:r w:rsidR="00460AD1" w:rsidRPr="00460AD1">
        <w:t>1) et de restauration (cible</w:t>
      </w:r>
      <w:r w:rsidR="00460AD1">
        <w:t> </w:t>
      </w:r>
      <w:r w:rsidR="00460AD1" w:rsidRPr="00460AD1">
        <w:t>2). En revanche, les cibles de priorité moyenne relatives à la réforme des subventions, à la gestion des espèces sauvages, à l’accès aux ressources génétiques et au partage des avantages, ainsi qu’à la prévention des risques biotechnologiques, n’étaient que peu couvertes.</w:t>
      </w:r>
    </w:p>
    <w:p w14:paraId="6014B0CB" w14:textId="0016CAB0" w:rsidR="00701B0D" w:rsidRPr="00C67737" w:rsidRDefault="00701B0D" w:rsidP="000B33CF">
      <w:pPr>
        <w:pStyle w:val="ListParagraph"/>
      </w:pPr>
      <w:r>
        <w:t xml:space="preserve">Les conclusions de l’évaluation indiquent que, si le GBFF s’était révélé très efficace, à ses débuts, en tant que mécanisme de financement catalytique, la maturation de son portefeuille faisait apparaître des compromis structurels nécessitant des ajustements stratégiques supplémentaires. L’évaluation a relevé que le Fonds occupait une place distincte et stratégiquement pertinente au sein de la famille de fonds du GEF. Il complétait la programmation de </w:t>
      </w:r>
      <w:r w:rsidR="00376C22">
        <w:t>GEF</w:t>
      </w:r>
      <w:r w:rsidR="00376C22">
        <w:noBreakHyphen/>
      </w:r>
      <w:r>
        <w:t xml:space="preserve">8 dans le domaine d’intervention </w:t>
      </w:r>
      <w:r w:rsidR="0094079E">
        <w:t>« </w:t>
      </w:r>
      <w:r>
        <w:t>diversité biologique</w:t>
      </w:r>
      <w:r w:rsidR="0094079E">
        <w:t> »</w:t>
      </w:r>
      <w:r>
        <w:t xml:space="preserve"> en accordant une plus grande place à la gouvernance par les peuples autochtones et communautés locales, à la gestion communautaire des ressources naturelles et au financement de la biodiversité. Les innovations opérationnelles introduites pour la première fois dans le cadre du GBFF — notamment le cycle de projets accéléré, les cibles relatives à la participation des institutions financières internationales et les allocations destinées aux actions menées par les peuples autochtones et communautés locales — étaient déjà proposées aux fins d’intégration dans les </w:t>
      </w:r>
      <w:r w:rsidR="00F02738">
        <w:t>orientations programmatiques</w:t>
      </w:r>
      <w:r w:rsidR="00083519">
        <w:t xml:space="preserve"> </w:t>
      </w:r>
      <w:r>
        <w:t xml:space="preserve">de </w:t>
      </w:r>
      <w:r w:rsidR="00376C22">
        <w:t>GEF</w:t>
      </w:r>
      <w:r w:rsidR="00376C22">
        <w:noBreakHyphen/>
      </w:r>
      <w:r>
        <w:t xml:space="preserve">9. La cohérence avec les stratégies et plans d’action nationaux pour la </w:t>
      </w:r>
      <w:r>
        <w:lastRenderedPageBreak/>
        <w:t>biodiversité s’est renforcée tout au long du cycle de projet</w:t>
      </w:r>
      <w:r w:rsidR="006E54C7">
        <w:t> :</w:t>
      </w:r>
      <w:r>
        <w:t xml:space="preserve"> la proportion de projets qui s’y référaient est passée de 54</w:t>
      </w:r>
      <w:r w:rsidR="00966C17">
        <w:t> %</w:t>
      </w:r>
      <w:r>
        <w:t xml:space="preserve"> au stade du financement </w:t>
      </w:r>
      <w:r w:rsidR="009E2445">
        <w:t>PPG</w:t>
      </w:r>
      <w:r>
        <w:t xml:space="preserve"> à 88</w:t>
      </w:r>
      <w:r w:rsidR="00966C17">
        <w:t> %</w:t>
      </w:r>
      <w:r>
        <w:t xml:space="preserve"> au stade de l’agrément par le directeur général. Les données recueillies au niveau des projets indiquaient que les investissements du GBFF étaient souvent présentés comme visant à combler des lacunes par rapport aux allocations au titre du STAR — dans 49</w:t>
      </w:r>
      <w:r w:rsidR="00966C17">
        <w:t> %</w:t>
      </w:r>
      <w:r>
        <w:t xml:space="preserve"> des propositions. Une part plus faible mettait l’accent sur l’intensification des interventions (29</w:t>
      </w:r>
      <w:r w:rsidR="00966C17">
        <w:t> %</w:t>
      </w:r>
      <w:r>
        <w:t>) ou sur l’accélération de leur mise en œuvre (13</w:t>
      </w:r>
      <w:r w:rsidR="00966C17">
        <w:t> %</w:t>
      </w:r>
      <w:r>
        <w:t>).</w:t>
      </w:r>
    </w:p>
    <w:p w14:paraId="6C0E0FC0" w14:textId="23603BDF" w:rsidR="00701B0D" w:rsidRPr="00C67737" w:rsidRDefault="00701B0D" w:rsidP="000B33CF">
      <w:pPr>
        <w:pStyle w:val="ListParagraph"/>
      </w:pPr>
      <w:r>
        <w:t xml:space="preserve">L’évaluation a conclu que le modèle opérationnel accéléré impliquait un compromis structurel entre rapidité et exigences de préparation. Elle a constaté que les délais raccourcis, combinés à des montants de financement relativement faibles, alourdissaient la charge administrative, particulièrement dans les contextes où les capacités techniques étaient limitées. Ils ne correspondaient pas toujours non plus aux cycles de prêts souverains des institutions financières internationales ni au calendrier d’intervention du Groupe consultatif pour la science et la technologie du GEF, dont la participation intervenait surtout au stade de l’agrément par le directeur général. Parmi les autres difficultés relevées figuraient les lacunes dans l’élaboration des théories du changement, la définition des situations de référence et les structures de financement. L’écart entre le nombre de cibles du KMGBF véritablement prises en compte par les projets — 8,5 en moyenne — et le nombre de cibles officiellement attribuées à l’entrée — 3,3 — limitait également la fiabilité du suivi à l’échelle du portefeuille. Le rapport a également relevé que, si les </w:t>
      </w:r>
      <w:r w:rsidR="00DB5927">
        <w:t>modalités</w:t>
      </w:r>
      <w:r>
        <w:t xml:space="preserve"> de gouvernance avaient été conçues pour être inclusives et adaptatives, leur efficacité continuait de s’affirmer dans la pratique, et un écart subsistait entre la consultation et l’influence exercée sur les décisions. Les parties prenantes ont exprimé des préoccupations quant au retour d’information limité sur le sort réservé aux propositions, à la diffusion tardive des documents et au manque de transparence concernant la manière dont les avis consultatifs éclairaient les décisions. Le Groupe consultatif et l’Organe auxiliaire n’en étaient par ailleurs encore qu’aux premières étapes de leur opérationnalisation. Des difficultés émergentes ont également été relevées dans le modèle de financement, notamment en ce qui concerne l’ampleur, la prévisibilité et la diversification des ressources</w:t>
      </w:r>
      <w:r w:rsidR="006E54C7">
        <w:t> :</w:t>
      </w:r>
      <w:r>
        <w:t xml:space="preserve"> la base de contributeurs était fortement concentrée, la quasi-totalité des ressources disponibles était déjà engagée et l’absence de mécanisme de reconstitution réduisait la prévisibilité et compliquait la planification pluriannuelle.</w:t>
      </w:r>
    </w:p>
    <w:p w14:paraId="16DFA568" w14:textId="0208257B" w:rsidR="00CE5896" w:rsidRPr="00C67737" w:rsidRDefault="00701B0D" w:rsidP="000B33CF">
      <w:pPr>
        <w:pStyle w:val="ListParagraph"/>
      </w:pPr>
      <w:r>
        <w:t>L’évaluation a donné lieu à quatre recommandations</w:t>
      </w:r>
      <w:r w:rsidR="006E54C7">
        <w:t> :</w:t>
      </w:r>
      <w:r>
        <w:t xml:space="preserve"> 1) </w:t>
      </w:r>
      <w:r w:rsidR="000E1805">
        <w:t>r</w:t>
      </w:r>
      <w:r>
        <w:t xml:space="preserve">enforcer la coordination au sein de la famille de fonds du GEF afin d’accroître la complémentarité, notamment par des examens périodiques </w:t>
      </w:r>
      <w:proofErr w:type="spellStart"/>
      <w:r>
        <w:t>interportefeuilles</w:t>
      </w:r>
      <w:proofErr w:type="spellEnd"/>
      <w:r>
        <w:t>, un suivi conjoint de la couverture des cibles du KMGBF et des orientations ainsi que des plateformes de gestion des connaissances communes, destinées à favoriser la cohérence de la programmation au niveau national</w:t>
      </w:r>
      <w:r w:rsidR="006E54C7">
        <w:t> ;</w:t>
      </w:r>
      <w:r>
        <w:t xml:space="preserve"> 2) </w:t>
      </w:r>
      <w:r w:rsidR="000E1805">
        <w:t>r</w:t>
      </w:r>
      <w:r>
        <w:t>enforcer le retour d’information et l’examen technique dans le cadre du modèle de programmation concurrentiel, en assurant un retour plus cohérent au regard des différents critères d’évaluation, en établissant périodiquement une synthèse des faiblesses et des atouts récurrents sous forme de produits de connaissance, en présentant des exemples anonymisés de nouvelles soumissions retenues avec succès et en intégrant plus tôt, lors de la préparation des projets, un examen scientifique et technique indépendant</w:t>
      </w:r>
      <w:r w:rsidR="006E54C7">
        <w:t> ;</w:t>
      </w:r>
      <w:r>
        <w:t xml:space="preserve"> 3) </w:t>
      </w:r>
      <w:r w:rsidR="000E1805">
        <w:t>r</w:t>
      </w:r>
      <w:r>
        <w:t xml:space="preserve">enforcer la mise en œuvre du Cadre de résultats renforcé du GBFF afin d’améliorer le suivi et l’apprentissage. À cette fin, il convient de fournir des orientations </w:t>
      </w:r>
      <w:r>
        <w:lastRenderedPageBreak/>
        <w:t>pratiques permettant de recenser, de façon cohérente et complète, les cibles du KMGBF dès la phase initiale, avec l’appui de conventions normalisées de marquage ainsi que d’analyses périodiques du portefeuille et d’examens des enseignements tirés</w:t>
      </w:r>
      <w:r w:rsidR="006E54C7">
        <w:t> ;</w:t>
      </w:r>
      <w:r>
        <w:t xml:space="preserve"> 4) </w:t>
      </w:r>
      <w:r w:rsidR="000E1805">
        <w:t>a</w:t>
      </w:r>
      <w:r>
        <w:t>méliorer l’établissement de rapports sur la participation de l’ensemble de la société et les résultats liés à la gouvernance, notamment en décrivant plus clairement les rôles des peuples autochtones et communautés locales, des femmes, des jeunes et des autres parties prenantes dans les structures de gouvernance, les processus de décision et les mécanismes de partage des avantages.</w:t>
      </w:r>
    </w:p>
    <w:p w14:paraId="10709E70" w14:textId="5F826EB6" w:rsidR="00CE5896" w:rsidRPr="00C67737" w:rsidRDefault="00CE5896" w:rsidP="000B33CF">
      <w:pPr>
        <w:pStyle w:val="ListParagraph"/>
        <w:rPr>
          <w:color w:val="auto"/>
        </w:rPr>
        <w:sectPr w:rsidR="00CE5896" w:rsidRPr="00C67737" w:rsidSect="00F5435A">
          <w:pgSz w:w="12240" w:h="15840"/>
          <w:pgMar w:top="1440" w:right="1440" w:bottom="1440" w:left="1440" w:header="720" w:footer="288" w:gutter="0"/>
          <w:cols w:space="720"/>
          <w:docGrid w:linePitch="360"/>
        </w:sectPr>
      </w:pPr>
      <w:r>
        <w:t>Le sixième Conseil du GBFF a approuvé les réponses de la direction du Secrétariat du GEF à ces recommandations</w:t>
      </w:r>
      <w:r w:rsidR="00325F7A" w:rsidRPr="000E1805">
        <w:rPr>
          <w:vertAlign w:val="superscript"/>
        </w:rPr>
        <w:footnoteReference w:id="148"/>
      </w:r>
      <w:r>
        <w:t xml:space="preserve">. Le Secrétariat du GEF a souscrit à l’ensemble des recommandations et a précisé ses plans visant à continuer de renforcer la complémentarité et la cohérence entre </w:t>
      </w:r>
      <w:r w:rsidR="00CD3559">
        <w:t xml:space="preserve">le fonds fiduciaire </w:t>
      </w:r>
      <w:r>
        <w:t xml:space="preserve">du GEF et le GBFF, notamment dans le cadre de l’approche de la famille de fonds prévue par la Stratégie d’engagement avec les pays de </w:t>
      </w:r>
      <w:r w:rsidR="00376C22">
        <w:t>GEF</w:t>
      </w:r>
      <w:r w:rsidR="00376C22">
        <w:noBreakHyphen/>
      </w:r>
      <w:r>
        <w:t xml:space="preserve">9. Il a également précisé les solutions qu’il entend mettre en œuvre pour renforcer le retour d’information dans le modèle de programmation concurrentiel, améliorer l’application du Cadre de résultats renforcé du GBFF et la qualité des rapports. </w:t>
      </w:r>
    </w:p>
    <w:p w14:paraId="0D488A5D" w14:textId="50075B8C" w:rsidR="0068239F" w:rsidRPr="00C67737" w:rsidRDefault="0068239F" w:rsidP="00640F63">
      <w:pPr>
        <w:pStyle w:val="Heading1"/>
        <w:numPr>
          <w:ilvl w:val="0"/>
          <w:numId w:val="0"/>
        </w:numPr>
        <w:ind w:left="720"/>
      </w:pPr>
      <w:bookmarkStart w:id="187" w:name="_Toc242184725"/>
      <w:bookmarkStart w:id="188" w:name="_Toc242185297"/>
      <w:r>
        <w:lastRenderedPageBreak/>
        <w:t>Annexe 1</w:t>
      </w:r>
      <w:r w:rsidR="006E54C7">
        <w:t> :</w:t>
      </w:r>
      <w:r>
        <w:t xml:space="preserve"> Rapport sur les activités relatives au Protocole de </w:t>
      </w:r>
      <w:r w:rsidR="003C203B">
        <w:t>Carthagène</w:t>
      </w:r>
      <w:bookmarkEnd w:id="187"/>
      <w:bookmarkEnd w:id="188"/>
    </w:p>
    <w:p w14:paraId="025A4DF3" w14:textId="3C3746F6" w:rsidR="009739F1" w:rsidRPr="00C67737" w:rsidRDefault="009739F1" w:rsidP="004E0D59">
      <w:r>
        <w:t xml:space="preserve">La présente annexe regroupe les principales informations relatives au Protocole de </w:t>
      </w:r>
      <w:r w:rsidR="00DC35E2">
        <w:t>Carthagène</w:t>
      </w:r>
      <w:r w:rsidR="00DC35E2" w:rsidDel="00DC35E2">
        <w:t xml:space="preserve"> </w:t>
      </w:r>
      <w:r>
        <w:t>qui figurent dans le corps du rapport.</w:t>
      </w:r>
    </w:p>
    <w:p w14:paraId="12627469" w14:textId="76327A68" w:rsidR="00581030" w:rsidRPr="00C67737" w:rsidRDefault="00581030" w:rsidP="00FA50E6">
      <w:pPr>
        <w:pStyle w:val="Heading3"/>
      </w:pPr>
      <w:bookmarkStart w:id="189" w:name="_Toc229646170"/>
      <w:bookmarkStart w:id="190" w:name="_Toc242184671"/>
      <w:bookmarkStart w:id="191" w:name="_Toc242184726"/>
      <w:r>
        <w:t xml:space="preserve">Appui à la mise en œuvre du Protocole de </w:t>
      </w:r>
      <w:r w:rsidR="003C203B">
        <w:t>Carthagène</w:t>
      </w:r>
      <w:r>
        <w:t xml:space="preserve"> sur la prévention des risques biotechnologiques relatif à la Convention sur la diversité biologique</w:t>
      </w:r>
      <w:bookmarkEnd w:id="189"/>
      <w:bookmarkEnd w:id="190"/>
      <w:bookmarkEnd w:id="191"/>
      <w:r>
        <w:t xml:space="preserve"> </w:t>
      </w:r>
    </w:p>
    <w:p w14:paraId="6618AB72" w14:textId="36437337" w:rsidR="00581030" w:rsidRPr="00C67737" w:rsidRDefault="49FEB107" w:rsidP="000B33CF">
      <w:pPr>
        <w:pStyle w:val="ListParagraph"/>
      </w:pPr>
      <w:r>
        <w:t xml:space="preserve">Pendant </w:t>
      </w:r>
      <w:r w:rsidR="00376C22">
        <w:t>GEF</w:t>
      </w:r>
      <w:r w:rsidR="00376C22">
        <w:noBreakHyphen/>
      </w:r>
      <w:r>
        <w:t xml:space="preserve">8, les Parties admissibles ont soumis au total huit projets relatifs à la mise en œuvre du Protocole de </w:t>
      </w:r>
      <w:r w:rsidR="003C203B">
        <w:t>Carthagène</w:t>
      </w:r>
      <w:r w:rsidR="006E54C7">
        <w:t> :</w:t>
      </w:r>
      <w:r>
        <w:t xml:space="preserve"> quatre </w:t>
      </w:r>
      <w:r w:rsidR="00CD3559">
        <w:t xml:space="preserve">au fonds fiduciaire </w:t>
      </w:r>
      <w:r>
        <w:t xml:space="preserve">du GEF et quatre demandes de financement </w:t>
      </w:r>
      <w:r w:rsidR="00061E89">
        <w:t>PPG</w:t>
      </w:r>
      <w:r>
        <w:t xml:space="preserve"> au GBFF. Toutes les propositions soumises au titre </w:t>
      </w:r>
      <w:r w:rsidR="00CD3559">
        <w:t xml:space="preserve">du fonds fiduciaire </w:t>
      </w:r>
      <w:r>
        <w:t>du GEF ont été approuvées. Trois des quatre demandes de PPG soumises au GBFF ont été retenues dans le cadre de son modèle d’allocation concurrentiel.</w:t>
      </w:r>
    </w:p>
    <w:p w14:paraId="47E16D32" w14:textId="2835D31B" w:rsidR="00863526" w:rsidRPr="00C67737" w:rsidRDefault="00863526" w:rsidP="00875886">
      <w:pPr>
        <w:pStyle w:val="Heading3"/>
      </w:pPr>
      <w:bookmarkStart w:id="192" w:name="_Toc242184672"/>
      <w:bookmarkStart w:id="193" w:name="_Toc242184727"/>
      <w:r>
        <w:t>Projets autonomes</w:t>
      </w:r>
      <w:bookmarkEnd w:id="192"/>
      <w:bookmarkEnd w:id="193"/>
    </w:p>
    <w:p w14:paraId="152B0B48" w14:textId="11267A3A" w:rsidR="002246F0" w:rsidRPr="00C67737" w:rsidRDefault="49FEB107" w:rsidP="000B33CF">
      <w:pPr>
        <w:pStyle w:val="ListParagraph"/>
      </w:pPr>
      <w:r>
        <w:t xml:space="preserve">Au titre </w:t>
      </w:r>
      <w:r w:rsidR="00CD3559">
        <w:t xml:space="preserve">du fonds fiduciaire </w:t>
      </w:r>
      <w:r>
        <w:t>du GEF et du GBFF, sept pays — l’Afrique du Sud, la Gambie, le Honduras, la Jamaïque, l’Ouzbékistan, le Soudan et Sri Lanka — bénéficient de projets autonomes visant à mettre en œuvre des mesures de prévention des risques biotechnologiques conformément à la cible 17 du KMGBF. Le financement total de ces projets du GEF s’élève à 17,8</w:t>
      </w:r>
      <w:r w:rsidR="007722D7">
        <w:t> </w:t>
      </w:r>
      <w:r>
        <w:t>millions de dollars et a permis de mobiliser 49,8 millions de dollars de cofinancement.</w:t>
      </w:r>
    </w:p>
    <w:p w14:paraId="5E3560F1" w14:textId="0ABB1A66" w:rsidR="00581030" w:rsidRPr="00C67737" w:rsidRDefault="49FEB107" w:rsidP="000B33CF">
      <w:pPr>
        <w:pStyle w:val="ListParagraph"/>
      </w:pPr>
      <w:r>
        <w:t xml:space="preserve"> À titre d’exemple, le projet </w:t>
      </w:r>
      <w:r w:rsidR="00807D98">
        <w:t xml:space="preserve">de mise en œuvre du cadre national de prévention des risques biotechnologiques en Ouzbékistan conformément au Protocole de </w:t>
      </w:r>
      <w:r w:rsidR="00DC35E2">
        <w:t>Carthagène</w:t>
      </w:r>
      <w:r w:rsidR="00807D98">
        <w:t xml:space="preserve"> sur la prévention des risques biotechnologiques (</w:t>
      </w:r>
      <w:proofErr w:type="spellStart"/>
      <w:r w:rsidRPr="00807D98">
        <w:rPr>
          <w:i/>
          <w:iCs/>
        </w:rPr>
        <w:t>Implementation</w:t>
      </w:r>
      <w:proofErr w:type="spellEnd"/>
      <w:r w:rsidRPr="00807D98">
        <w:rPr>
          <w:i/>
          <w:iCs/>
        </w:rPr>
        <w:t xml:space="preserve"> of the National </w:t>
      </w:r>
      <w:proofErr w:type="spellStart"/>
      <w:r w:rsidRPr="00807D98">
        <w:rPr>
          <w:i/>
          <w:iCs/>
        </w:rPr>
        <w:t>Biosafety</w:t>
      </w:r>
      <w:proofErr w:type="spellEnd"/>
      <w:r w:rsidRPr="00807D98">
        <w:rPr>
          <w:i/>
          <w:iCs/>
        </w:rPr>
        <w:t xml:space="preserve"> Framework in </w:t>
      </w:r>
      <w:proofErr w:type="spellStart"/>
      <w:r w:rsidRPr="00807D98">
        <w:rPr>
          <w:i/>
          <w:iCs/>
        </w:rPr>
        <w:t>Uzbekistan</w:t>
      </w:r>
      <w:proofErr w:type="spellEnd"/>
      <w:r w:rsidRPr="00807D98">
        <w:rPr>
          <w:i/>
          <w:iCs/>
        </w:rPr>
        <w:t xml:space="preserve"> in accordance </w:t>
      </w:r>
      <w:proofErr w:type="spellStart"/>
      <w:r w:rsidRPr="00807D98">
        <w:rPr>
          <w:i/>
          <w:iCs/>
        </w:rPr>
        <w:t>with</w:t>
      </w:r>
      <w:proofErr w:type="spellEnd"/>
      <w:r w:rsidRPr="00807D98">
        <w:rPr>
          <w:i/>
          <w:iCs/>
        </w:rPr>
        <w:t xml:space="preserve"> the Cartagena Protocol on </w:t>
      </w:r>
      <w:proofErr w:type="spellStart"/>
      <w:r w:rsidRPr="00807D98">
        <w:rPr>
          <w:i/>
          <w:iCs/>
        </w:rPr>
        <w:t>Biosafety</w:t>
      </w:r>
      <w:proofErr w:type="spellEnd"/>
      <w:r w:rsidR="006E54C7">
        <w:t> ;</w:t>
      </w:r>
      <w:r>
        <w:t xml:space="preserve"> N° de projet du GEF</w:t>
      </w:r>
      <w:r w:rsidR="007722D7">
        <w:t> </w:t>
      </w:r>
      <w:r>
        <w:t>11988</w:t>
      </w:r>
      <w:r w:rsidR="006E54C7">
        <w:t> ;</w:t>
      </w:r>
      <w:r>
        <w:t xml:space="preserve"> financement de projet du GEF</w:t>
      </w:r>
      <w:r w:rsidR="006E54C7">
        <w:t> :</w:t>
      </w:r>
      <w:r>
        <w:t xml:space="preserve"> 1 784 863 dollars</w:t>
      </w:r>
      <w:r w:rsidR="006E54C7">
        <w:t> ;</w:t>
      </w:r>
      <w:r>
        <w:t xml:space="preserve"> </w:t>
      </w:r>
      <w:r w:rsidR="007722D7">
        <w:rPr>
          <w:snapToGrid/>
        </w:rPr>
        <w:t>Agence de mise en œuvre</w:t>
      </w:r>
      <w:r w:rsidR="006E54C7">
        <w:rPr>
          <w:snapToGrid/>
        </w:rPr>
        <w:t> :</w:t>
      </w:r>
      <w:r>
        <w:t xml:space="preserve"> UICN) vise à lever les obstacles à la manipulation sûre des organismes vivants modifiés (OVM) en Ouzbékistan. Il appuie l’élaboration et l’opérationnalisation des cadres d’action publique, réglementaires et institutionnels relatifs à la prévention des risques biotechnologiques, tout en renforçant les capacités nationales en matière d’évaluation des risques, de gestion des risques et de suivi des OVM. Des campagnes de sensibilisation du public et des activités de renforcement des capacités favorisent le partage des connaissances entre les parties prenantes.</w:t>
      </w:r>
    </w:p>
    <w:p w14:paraId="661552A9" w14:textId="77777777" w:rsidR="00FF287B" w:rsidRPr="00C67737" w:rsidRDefault="00FF287B" w:rsidP="00FA50E6">
      <w:pPr>
        <w:pStyle w:val="Heading3"/>
      </w:pPr>
      <w:bookmarkStart w:id="194" w:name="_Toc229646172"/>
      <w:bookmarkStart w:id="195" w:name="_Toc242184673"/>
      <w:bookmarkStart w:id="196" w:name="_Toc242184728"/>
      <w:r>
        <w:t>Activités habilitantes</w:t>
      </w:r>
      <w:bookmarkEnd w:id="194"/>
      <w:bookmarkEnd w:id="195"/>
      <w:bookmarkEnd w:id="196"/>
    </w:p>
    <w:p w14:paraId="3BFDC3D4" w14:textId="42294839" w:rsidR="00CA0589" w:rsidRPr="00C67737" w:rsidRDefault="14E4C6C3" w:rsidP="000B33CF">
      <w:pPr>
        <w:pStyle w:val="ListParagraph"/>
      </w:pPr>
      <w:r>
        <w:t xml:space="preserve">Le programme d’appui à l’élaboration des cinquièmes rapports nationaux sur la mise en œuvre du Protocole de </w:t>
      </w:r>
      <w:r w:rsidR="00DC35E2">
        <w:t>Carthagène</w:t>
      </w:r>
      <w:r>
        <w:t xml:space="preserve"> sur la prévention des risques biotechnologiques, exécuté par le PNUE (financement de projet du GEF</w:t>
      </w:r>
      <w:r w:rsidR="006E54C7">
        <w:t> :</w:t>
      </w:r>
      <w:r>
        <w:t xml:space="preserve"> 4 059 825 dollars), a été approuvé en avril 2025. Il aide 105 Parties admissibles au Protocole de </w:t>
      </w:r>
      <w:r w:rsidR="00DC35E2">
        <w:t>Carthagène</w:t>
      </w:r>
      <w:r>
        <w:t xml:space="preserve"> à s’acquitter de leurs obligations nationales en matière d’établissement de rapports. 4 059 825$). Au 15 juin 2026, 88 Parties avaient soumis leur cinquième rapport national. L’annexe 8 présente la situation de chacun des pays participants.</w:t>
      </w:r>
    </w:p>
    <w:p w14:paraId="0996B58B" w14:textId="504B9065" w:rsidR="0008693F" w:rsidRDefault="0008693F" w:rsidP="00D36D3F">
      <w:pPr>
        <w:pStyle w:val="Heading3"/>
      </w:pPr>
      <w:bookmarkStart w:id="197" w:name="_Toc242184674"/>
      <w:bookmarkStart w:id="198" w:name="_Toc242184729"/>
      <w:r>
        <w:t>Suite donnée aux orientations</w:t>
      </w:r>
      <w:bookmarkEnd w:id="197"/>
      <w:bookmarkEnd w:id="198"/>
    </w:p>
    <w:tbl>
      <w:tblPr>
        <w:tblStyle w:val="TableGrid1"/>
        <w:tblW w:w="5209" w:type="pct"/>
        <w:jc w:val="center"/>
        <w:tblLayout w:type="fixed"/>
        <w:tblLook w:val="04A0" w:firstRow="1" w:lastRow="0" w:firstColumn="1" w:lastColumn="0" w:noHBand="0" w:noVBand="1"/>
      </w:tblPr>
      <w:tblGrid>
        <w:gridCol w:w="4870"/>
        <w:gridCol w:w="4871"/>
      </w:tblGrid>
      <w:tr w:rsidR="00237DDA" w:rsidRPr="00C67737" w14:paraId="7151BDAE" w14:textId="77777777" w:rsidTr="00063C52">
        <w:trPr>
          <w:tblHeader/>
          <w:jc w:val="center"/>
        </w:trPr>
        <w:tc>
          <w:tcPr>
            <w:tcW w:w="2500" w:type="pct"/>
            <w:shd w:val="clear" w:color="auto" w:fill="D0CECE" w:themeFill="background2" w:themeFillShade="E6"/>
          </w:tcPr>
          <w:p w14:paraId="5177F9EB" w14:textId="1B85CF99" w:rsidR="00237DDA" w:rsidRPr="00C67737" w:rsidRDefault="00237DDA" w:rsidP="00063C52">
            <w:pPr>
              <w:jc w:val="center"/>
              <w:rPr>
                <w:b/>
                <w:bCs/>
                <w:iCs/>
                <w:snapToGrid w:val="0"/>
                <w:kern w:val="22"/>
              </w:rPr>
            </w:pPr>
            <w:r>
              <w:rPr>
                <w:b/>
              </w:rPr>
              <w:lastRenderedPageBreak/>
              <w:t>Orientations reçues de la 16</w:t>
            </w:r>
            <w:r>
              <w:rPr>
                <w:b/>
                <w:vertAlign w:val="superscript"/>
              </w:rPr>
              <w:t>e</w:t>
            </w:r>
            <w:r>
              <w:rPr>
                <w:b/>
              </w:rPr>
              <w:t xml:space="preserve"> Conférence des Parties</w:t>
            </w:r>
          </w:p>
        </w:tc>
        <w:tc>
          <w:tcPr>
            <w:tcW w:w="2500" w:type="pct"/>
            <w:shd w:val="clear" w:color="auto" w:fill="D0CECE" w:themeFill="background2" w:themeFillShade="E6"/>
          </w:tcPr>
          <w:p w14:paraId="02BB950D" w14:textId="7779D3E8" w:rsidR="00237DDA" w:rsidRPr="00C67737" w:rsidRDefault="00237DDA" w:rsidP="00237DDA">
            <w:pPr>
              <w:keepNext/>
              <w:keepLines/>
              <w:tabs>
                <w:tab w:val="left" w:pos="567"/>
                <w:tab w:val="left" w:pos="1134"/>
                <w:tab w:val="left" w:pos="1701"/>
                <w:tab w:val="left" w:pos="2268"/>
                <w:tab w:val="left" w:pos="2835"/>
                <w:tab w:val="left" w:pos="3402"/>
              </w:tabs>
              <w:snapToGrid/>
              <w:spacing w:before="100" w:after="0"/>
              <w:jc w:val="center"/>
            </w:pPr>
            <w:r>
              <w:rPr>
                <w:b/>
                <w:color w:val="000000"/>
              </w:rPr>
              <w:t>Suite donnée par le GEF</w:t>
            </w:r>
          </w:p>
        </w:tc>
      </w:tr>
      <w:tr w:rsidR="00EC6E00" w:rsidRPr="00C67737" w14:paraId="7E7BED4E" w14:textId="77777777" w:rsidTr="00063C52">
        <w:trPr>
          <w:tblHeader/>
          <w:jc w:val="center"/>
        </w:trPr>
        <w:tc>
          <w:tcPr>
            <w:tcW w:w="2500" w:type="pct"/>
          </w:tcPr>
          <w:p w14:paraId="3E1E29FD" w14:textId="77777777" w:rsidR="00EC6E00" w:rsidRPr="00C67737" w:rsidRDefault="00EC6E00" w:rsidP="00556D75">
            <w:pPr>
              <w:rPr>
                <w:b/>
                <w:bCs/>
              </w:rPr>
            </w:pPr>
            <w:r>
              <w:rPr>
                <w:b/>
                <w:snapToGrid w:val="0"/>
              </w:rPr>
              <w:t>Pièce jointe I</w:t>
            </w:r>
          </w:p>
          <w:p w14:paraId="263D9A97" w14:textId="3870792E" w:rsidR="00EC6E00" w:rsidRPr="00C67737" w:rsidRDefault="00EC6E00" w:rsidP="00A74BDD">
            <w:pPr>
              <w:tabs>
                <w:tab w:val="left" w:pos="60"/>
                <w:tab w:val="left" w:pos="1134"/>
                <w:tab w:val="left" w:pos="1701"/>
                <w:tab w:val="left" w:pos="2268"/>
                <w:tab w:val="left" w:pos="2835"/>
                <w:tab w:val="left" w:pos="3402"/>
              </w:tabs>
              <w:snapToGrid/>
              <w:spacing w:before="0" w:after="0"/>
              <w:ind w:hanging="30"/>
              <w:contextualSpacing/>
              <w:rPr>
                <w:rFonts w:eastAsia="SimSun" w:cstheme="minorHAnsi"/>
                <w:i/>
                <w:iCs/>
                <w:caps/>
                <w:color w:val="000000"/>
              </w:rPr>
            </w:pPr>
            <w:r>
              <w:rPr>
                <w:b/>
                <w:snapToGrid w:val="0"/>
                <w:color w:val="000000"/>
              </w:rPr>
              <w:t xml:space="preserve">Éléments supplémentaires du cadre quadriennal axé sur les résultats des priorités du programme sur la biodiversité de la Convention sur la diversité biologique pour la neuvième reconstitution </w:t>
            </w:r>
            <w:r w:rsidR="00241A65">
              <w:rPr>
                <w:color w:val="000000"/>
              </w:rPr>
              <w:t xml:space="preserve">du </w:t>
            </w:r>
            <w:r w:rsidR="00241A65" w:rsidRPr="00A74BDD">
              <w:rPr>
                <w:b/>
                <w:bCs/>
              </w:rPr>
              <w:t xml:space="preserve">Fonds fiduciaire du Fonds </w:t>
            </w:r>
            <w:r w:rsidR="00241A65" w:rsidRPr="00A74BDD">
              <w:rPr>
                <w:b/>
                <w:bCs/>
                <w:color w:val="000000"/>
              </w:rPr>
              <w:t>pour l’Environnement Mondial</w:t>
            </w:r>
            <w:r w:rsidR="00A74BDD">
              <w:rPr>
                <w:color w:val="000000"/>
              </w:rPr>
              <w:t xml:space="preserve"> </w:t>
            </w:r>
            <w:r>
              <w:rPr>
                <w:b/>
                <w:snapToGrid w:val="0"/>
                <w:color w:val="000000"/>
              </w:rPr>
              <w:t>(2026</w:t>
            </w:r>
            <w:r>
              <w:rPr>
                <w:b/>
                <w:color w:val="000000"/>
              </w:rPr>
              <w:t>-</w:t>
            </w:r>
            <w:r>
              <w:rPr>
                <w:b/>
                <w:snapToGrid w:val="0"/>
                <w:color w:val="000000"/>
              </w:rPr>
              <w:t>2030)</w:t>
            </w:r>
            <w:r>
              <w:rPr>
                <w:b/>
                <w:color w:val="000000"/>
              </w:rPr>
              <w:t xml:space="preserve"> </w:t>
            </w:r>
            <w:r>
              <w:rPr>
                <w:b/>
                <w:snapToGrid w:val="0"/>
                <w:color w:val="000000"/>
              </w:rPr>
              <w:t xml:space="preserve">afin d’appuyer la mise en œuvre du Protocole de </w:t>
            </w:r>
            <w:r w:rsidR="00DC35E2">
              <w:t>Carthagène</w:t>
            </w:r>
            <w:r>
              <w:rPr>
                <w:b/>
                <w:snapToGrid w:val="0"/>
                <w:color w:val="000000"/>
              </w:rPr>
              <w:t xml:space="preserve"> sur la prévention des risques biotechnologiques</w:t>
            </w:r>
          </w:p>
          <w:p w14:paraId="246057DE" w14:textId="7D3581EC" w:rsidR="00EC6E00" w:rsidRPr="00C67737" w:rsidRDefault="00EC6E00" w:rsidP="00A74BDD">
            <w:pPr>
              <w:tabs>
                <w:tab w:val="left" w:pos="60"/>
                <w:tab w:val="left" w:pos="1134"/>
                <w:tab w:val="left" w:pos="1701"/>
                <w:tab w:val="left" w:pos="2268"/>
                <w:tab w:val="left" w:pos="2835"/>
                <w:tab w:val="left" w:pos="3402"/>
              </w:tabs>
              <w:snapToGrid/>
              <w:spacing w:before="0" w:after="0"/>
              <w:ind w:hanging="30"/>
              <w:contextualSpacing/>
              <w:rPr>
                <w:rFonts w:eastAsia="SimSun" w:cstheme="minorHAnsi"/>
                <w:snapToGrid w:val="0"/>
                <w:color w:val="000000"/>
                <w:kern w:val="22"/>
              </w:rPr>
            </w:pPr>
            <w:r>
              <w:rPr>
                <w:snapToGrid w:val="0"/>
              </w:rPr>
              <w:t xml:space="preserve">Les éléments du cadre quadriennal axé sur les résultats des priorités du programme en vue de la neuvième reconstitution </w:t>
            </w:r>
            <w:r w:rsidR="000173BB">
              <w:rPr>
                <w:color w:val="000000"/>
              </w:rPr>
              <w:t xml:space="preserve">du </w:t>
            </w:r>
            <w:r w:rsidR="000173BB">
              <w:t>Fonds fiduciaire</w:t>
            </w:r>
            <w:r w:rsidR="00241A65">
              <w:t xml:space="preserve"> du Fonds</w:t>
            </w:r>
            <w:r w:rsidR="000173BB">
              <w:t xml:space="preserve"> </w:t>
            </w:r>
            <w:r w:rsidR="000173BB">
              <w:rPr>
                <w:color w:val="000000"/>
              </w:rPr>
              <w:t xml:space="preserve">pour l’Environnement </w:t>
            </w:r>
            <w:proofErr w:type="gramStart"/>
            <w:r w:rsidR="000173BB">
              <w:rPr>
                <w:color w:val="000000"/>
              </w:rPr>
              <w:t>Mondial</w:t>
            </w:r>
            <w:r>
              <w:rPr>
                <w:snapToGrid w:val="0"/>
              </w:rPr>
              <w:t>(</w:t>
            </w:r>
            <w:proofErr w:type="gramEnd"/>
            <w:r>
              <w:rPr>
                <w:snapToGrid w:val="0"/>
              </w:rPr>
              <w:t>2026</w:t>
            </w:r>
            <w:r>
              <w:t>-</w:t>
            </w:r>
            <w:r>
              <w:rPr>
                <w:color w:val="000000"/>
              </w:rPr>
              <w:t xml:space="preserve">2030) à l’appui de la mise en œuvre du Protocole de </w:t>
            </w:r>
            <w:r w:rsidR="00DC35E2">
              <w:t>Carthagène</w:t>
            </w:r>
            <w:r>
              <w:rPr>
                <w:color w:val="000000"/>
              </w:rPr>
              <w:t xml:space="preserve"> sur la prévention des risques biotechnologiques</w:t>
            </w:r>
            <w:r w:rsidRPr="00C67737">
              <w:rPr>
                <w:rFonts w:eastAsia="SimSun" w:cstheme="minorHAnsi"/>
                <w:iCs/>
                <w:snapToGrid w:val="0"/>
                <w:color w:val="000000"/>
                <w:kern w:val="22"/>
                <w:vertAlign w:val="superscript"/>
              </w:rPr>
              <w:footnoteReference w:id="149"/>
            </w:r>
            <w:r>
              <w:rPr>
                <w:color w:val="000000"/>
              </w:rPr>
              <w:t>, tels qu’adoptés par la Conférence des Parties siégeant en tant que réunion des Parties au Protocole à sa onzième réunion, visent notamment à</w:t>
            </w:r>
            <w:r w:rsidR="006E54C7">
              <w:rPr>
                <w:color w:val="000000"/>
              </w:rPr>
              <w:t> :</w:t>
            </w:r>
            <w:r>
              <w:rPr>
                <w:color w:val="000000"/>
              </w:rPr>
              <w:t xml:space="preserve"> </w:t>
            </w:r>
            <w:r>
              <w:rPr>
                <w:snapToGrid w:val="0"/>
                <w:color w:val="000000"/>
              </w:rPr>
              <w:t xml:space="preserve"> </w:t>
            </w:r>
          </w:p>
          <w:p w14:paraId="781F3AC4" w14:textId="337C680B" w:rsidR="00EC6E00" w:rsidRPr="00C67737" w:rsidRDefault="00EC6E00" w:rsidP="003647FE">
            <w:pPr>
              <w:tabs>
                <w:tab w:val="left" w:pos="337"/>
                <w:tab w:val="left" w:pos="877"/>
                <w:tab w:val="left" w:pos="1701"/>
                <w:tab w:val="left" w:pos="2268"/>
                <w:tab w:val="left" w:pos="2835"/>
                <w:tab w:val="left" w:pos="3402"/>
              </w:tabs>
              <w:snapToGrid/>
              <w:spacing w:before="100" w:after="100"/>
              <w:rPr>
                <w:rFonts w:cstheme="minorHAnsi"/>
                <w:color w:val="000000"/>
              </w:rPr>
            </w:pPr>
            <w:r>
              <w:rPr>
                <w:snapToGrid w:val="0"/>
              </w:rPr>
              <w:t xml:space="preserve">a) Renforcer son financement affecté au Protocole de </w:t>
            </w:r>
            <w:r w:rsidR="00DC35E2">
              <w:t>Carthagène</w:t>
            </w:r>
            <w:r>
              <w:rPr>
                <w:snapToGrid w:val="0"/>
              </w:rPr>
              <w:t xml:space="preserve"> afin d’appuyer les Parties admissibles dans la mise en œuvre du Protocole, y compris son plan de mise en œuvre</w:t>
            </w:r>
            <w:r w:rsidRPr="00C67737">
              <w:rPr>
                <w:rFonts w:eastAsia="SimSun" w:cstheme="minorHAnsi"/>
                <w:snapToGrid w:val="0"/>
                <w:color w:val="000000"/>
                <w:vertAlign w:val="superscript"/>
              </w:rPr>
              <w:footnoteReference w:id="150"/>
            </w:r>
            <w:r>
              <w:rPr>
                <w:snapToGrid w:val="0"/>
              </w:rPr>
              <w:t xml:space="preserve"> et son plan d’action pour le renforcement des capacités</w:t>
            </w:r>
            <w:r w:rsidRPr="00C67737">
              <w:rPr>
                <w:rFonts w:eastAsia="SimSun" w:cstheme="minorHAnsi"/>
                <w:snapToGrid w:val="0"/>
                <w:color w:val="000000"/>
                <w:vertAlign w:val="superscript"/>
              </w:rPr>
              <w:footnoteReference w:id="151"/>
            </w:r>
            <w:r>
              <w:rPr>
                <w:snapToGrid w:val="0"/>
              </w:rPr>
              <w:t xml:space="preserve"> </w:t>
            </w:r>
            <w:r w:rsidR="006E54C7">
              <w:rPr>
                <w:snapToGrid w:val="0"/>
              </w:rPr>
              <w:t> ;</w:t>
            </w:r>
            <w:r>
              <w:rPr>
                <w:snapToGrid w:val="0"/>
                <w:color w:val="000000"/>
              </w:rPr>
              <w:t xml:space="preserve"> </w:t>
            </w:r>
          </w:p>
        </w:tc>
        <w:tc>
          <w:tcPr>
            <w:tcW w:w="2500" w:type="pct"/>
          </w:tcPr>
          <w:p w14:paraId="097A5F66" w14:textId="669C85CD" w:rsidR="007E6024" w:rsidRPr="00C67737" w:rsidRDefault="007E6024" w:rsidP="00735381">
            <w:r>
              <w:t xml:space="preserve">Au cours du cycle </w:t>
            </w:r>
            <w:r w:rsidR="00376C22">
              <w:t>GEF</w:t>
            </w:r>
            <w:r w:rsidR="00376C22">
              <w:noBreakHyphen/>
            </w:r>
            <w:r>
              <w:t xml:space="preserve">7, 13,1 millions de dollars ont été approuvés pour des projets consacrés à la mise en œuvre du Protocole de </w:t>
            </w:r>
            <w:r w:rsidR="00DC35E2">
              <w:t>Carthagène</w:t>
            </w:r>
            <w:r>
              <w:t xml:space="preserve">. Ce montant dépassait l’allocation </w:t>
            </w:r>
            <w:r w:rsidR="00A9561D">
              <w:t>théorique</w:t>
            </w:r>
            <w:r>
              <w:t xml:space="preserve"> de 7 millions de dollars prévue pour ce protocole. </w:t>
            </w:r>
          </w:p>
          <w:p w14:paraId="48247C79" w14:textId="02FE766F" w:rsidR="007E6024" w:rsidRPr="00C67737" w:rsidRDefault="007E6024" w:rsidP="007E6024">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Pr>
                <w:color w:val="000000" w:themeColor="text1"/>
              </w:rPr>
              <w:t xml:space="preserve">Comme indiqué dans le présent rapport, le financement de projet du GEF accordé, au titre </w:t>
            </w:r>
            <w:r w:rsidR="00CD3559">
              <w:rPr>
                <w:color w:val="000000" w:themeColor="text1"/>
              </w:rPr>
              <w:t xml:space="preserve">du fonds fiduciaire </w:t>
            </w:r>
            <w:r>
              <w:rPr>
                <w:color w:val="000000" w:themeColor="text1"/>
              </w:rPr>
              <w:t xml:space="preserve">du GEF et du GBFF, aux projets liés au Protocole de </w:t>
            </w:r>
            <w:r w:rsidR="00DC35E2">
              <w:t>Carthagène</w:t>
            </w:r>
            <w:r>
              <w:rPr>
                <w:color w:val="000000" w:themeColor="text1"/>
              </w:rPr>
              <w:t xml:space="preserve"> s’élevait à 17,8 millions de dollars durant </w:t>
            </w:r>
            <w:r w:rsidR="00376C22">
              <w:rPr>
                <w:color w:val="000000" w:themeColor="text1"/>
              </w:rPr>
              <w:t>GEF</w:t>
            </w:r>
            <w:r w:rsidR="00376C22">
              <w:rPr>
                <w:color w:val="000000" w:themeColor="text1"/>
              </w:rPr>
              <w:noBreakHyphen/>
            </w:r>
            <w:r>
              <w:rPr>
                <w:color w:val="000000" w:themeColor="text1"/>
              </w:rPr>
              <w:t xml:space="preserve">8. Ce montant est supérieur au financement approuvé durant </w:t>
            </w:r>
            <w:r w:rsidR="00376C22">
              <w:rPr>
                <w:color w:val="000000" w:themeColor="text1"/>
              </w:rPr>
              <w:t>GEF</w:t>
            </w:r>
            <w:r w:rsidR="00376C22">
              <w:rPr>
                <w:color w:val="000000" w:themeColor="text1"/>
              </w:rPr>
              <w:noBreakHyphen/>
            </w:r>
            <w:r>
              <w:rPr>
                <w:color w:val="000000" w:themeColor="text1"/>
              </w:rPr>
              <w:t>7. Au total, 91</w:t>
            </w:r>
            <w:r w:rsidR="00966C17">
              <w:rPr>
                <w:color w:val="000000" w:themeColor="text1"/>
              </w:rPr>
              <w:t> %</w:t>
            </w:r>
            <w:r>
              <w:rPr>
                <w:color w:val="000000" w:themeColor="text1"/>
              </w:rPr>
              <w:t xml:space="preserve"> de l’allocation </w:t>
            </w:r>
            <w:r w:rsidR="00E17865">
              <w:rPr>
                <w:color w:val="000000" w:themeColor="text1"/>
              </w:rPr>
              <w:t>théorique</w:t>
            </w:r>
            <w:r>
              <w:rPr>
                <w:color w:val="000000" w:themeColor="text1"/>
              </w:rPr>
              <w:t xml:space="preserve"> de </w:t>
            </w:r>
            <w:r w:rsidR="00376C22">
              <w:rPr>
                <w:color w:val="000000" w:themeColor="text1"/>
              </w:rPr>
              <w:t>GEF</w:t>
            </w:r>
            <w:r w:rsidR="00376C22">
              <w:rPr>
                <w:color w:val="000000" w:themeColor="text1"/>
              </w:rPr>
              <w:noBreakHyphen/>
            </w:r>
            <w:r>
              <w:rPr>
                <w:color w:val="000000" w:themeColor="text1"/>
              </w:rPr>
              <w:t>8 consacrée aux Protocoles ont été programmés. Cette allocation, d’un montant de 82</w:t>
            </w:r>
            <w:r w:rsidR="00F6389C">
              <w:rPr>
                <w:color w:val="000000" w:themeColor="text1"/>
              </w:rPr>
              <w:t> </w:t>
            </w:r>
            <w:r>
              <w:rPr>
                <w:color w:val="000000" w:themeColor="text1"/>
              </w:rPr>
              <w:t xml:space="preserve">millions de dollars, couvrait conjointement les Protocoles de Nagoya et de </w:t>
            </w:r>
            <w:r w:rsidR="00DC35E2">
              <w:t>Carthagène</w:t>
            </w:r>
            <w:r>
              <w:rPr>
                <w:color w:val="000000" w:themeColor="text1"/>
              </w:rPr>
              <w:t>.</w:t>
            </w:r>
          </w:p>
          <w:p w14:paraId="64A73A7E" w14:textId="6154ECB3" w:rsidR="00EC6E00" w:rsidRPr="00C67737" w:rsidRDefault="003045A7" w:rsidP="00556D75">
            <w:r w:rsidRPr="001539E0">
              <w:rPr>
                <w:color w:val="000000" w:themeColor="text1"/>
              </w:rPr>
              <w:t>Afin de garantir un niveau de financement adéquat à l’appui de la mise en œuvre des Protocoles au cours de GEF</w:t>
            </w:r>
            <w:r w:rsidRPr="001539E0">
              <w:rPr>
                <w:color w:val="000000" w:themeColor="text1"/>
              </w:rPr>
              <w:noBreakHyphen/>
              <w:t xml:space="preserve">9, une part des ressources du domaine d’intervention </w:t>
            </w:r>
            <w:r w:rsidR="0094079E">
              <w:rPr>
                <w:color w:val="000000" w:themeColor="text1"/>
              </w:rPr>
              <w:t>« </w:t>
            </w:r>
            <w:r w:rsidRPr="001539E0">
              <w:rPr>
                <w:color w:val="000000" w:themeColor="text1"/>
              </w:rPr>
              <w:t>diversité biologique</w:t>
            </w:r>
            <w:r w:rsidR="0094079E">
              <w:rPr>
                <w:color w:val="000000" w:themeColor="text1"/>
              </w:rPr>
              <w:t> »</w:t>
            </w:r>
            <w:r w:rsidRPr="001539E0">
              <w:rPr>
                <w:color w:val="000000" w:themeColor="text1"/>
              </w:rPr>
              <w:t xml:space="preserve"> a été réservée au financement de projets régionaux ou mondiaux qui leur sont consacrés. La priorité sera accordée aux pays qui n’ont pas bénéficié de financements du GEF à cette fin au cours des derniers cycles. Cette réserve complétera les ressources du STAR, que les pays admissibles sont encouragés à mobiliser pour mettre en œuvre les Protocoles, grâce au point d’entrée spécifiquement consacré à l’objectif suivant</w:t>
            </w:r>
            <w:r w:rsidR="006E54C7">
              <w:rPr>
                <w:color w:val="000000" w:themeColor="text1"/>
              </w:rPr>
              <w:t> :</w:t>
            </w:r>
            <w:r w:rsidRPr="001539E0">
              <w:rPr>
                <w:color w:val="000000" w:themeColor="text1"/>
              </w:rPr>
              <w:t xml:space="preserve"> </w:t>
            </w:r>
            <w:r w:rsidR="0094079E">
              <w:rPr>
                <w:color w:val="000000" w:themeColor="text1"/>
              </w:rPr>
              <w:t>« </w:t>
            </w:r>
            <w:r w:rsidR="00601D83">
              <w:t xml:space="preserve">Renforcer la prévention des risques biotechnologiques et garantir le partage juste et équitable des avantages découlant de l’utilisation des ressources génétiques, notamment par la mise en œuvre des Protocoles de </w:t>
            </w:r>
            <w:r w:rsidR="00DC35E2">
              <w:t>Carthagène</w:t>
            </w:r>
            <w:r w:rsidR="00601D83">
              <w:t xml:space="preserve"> et de Nagoya</w:t>
            </w:r>
            <w:r w:rsidRPr="001539E0">
              <w:rPr>
                <w:color w:val="000000" w:themeColor="text1"/>
              </w:rPr>
              <w:t>.</w:t>
            </w:r>
            <w:r w:rsidR="0094079E">
              <w:rPr>
                <w:color w:val="000000" w:themeColor="text1"/>
              </w:rPr>
              <w:t> »</w:t>
            </w:r>
          </w:p>
        </w:tc>
      </w:tr>
      <w:tr w:rsidR="00D915C9" w:rsidRPr="00C67737" w14:paraId="21C5BBE2" w14:textId="77777777" w:rsidTr="009619F1">
        <w:trPr>
          <w:trHeight w:val="5225"/>
          <w:tblHeader/>
          <w:jc w:val="center"/>
        </w:trPr>
        <w:tc>
          <w:tcPr>
            <w:tcW w:w="2500" w:type="pct"/>
          </w:tcPr>
          <w:p w14:paraId="15605CE2" w14:textId="6BD84DB5" w:rsidR="00D915C9" w:rsidRPr="00C67737" w:rsidRDefault="00D915C9" w:rsidP="00063C52">
            <w:pPr>
              <w:rPr>
                <w:snapToGrid w:val="0"/>
              </w:rPr>
            </w:pPr>
            <w:r>
              <w:rPr>
                <w:snapToGrid w:val="0"/>
              </w:rPr>
              <w:lastRenderedPageBreak/>
              <w:t>b) Continuer à fournir un appui aux Parties admissibles pour la réalisation d’activités dans les domaines suivants, sur la base des besoins qu’elles ont exprimés</w:t>
            </w:r>
            <w:r w:rsidR="006E54C7">
              <w:rPr>
                <w:snapToGrid w:val="0"/>
              </w:rPr>
              <w:t> :</w:t>
            </w:r>
            <w:r>
              <w:rPr>
                <w:snapToGrid w:val="0"/>
              </w:rPr>
              <w:t xml:space="preserve"> </w:t>
            </w:r>
          </w:p>
          <w:p w14:paraId="2CD81375" w14:textId="25FE1479" w:rsidR="00D915C9" w:rsidRPr="00C67737" w:rsidRDefault="00D915C9" w:rsidP="003647FE">
            <w:pPr>
              <w:rPr>
                <w:snapToGrid w:val="0"/>
              </w:rPr>
            </w:pPr>
            <w:r>
              <w:rPr>
                <w:snapToGrid w:val="0"/>
              </w:rPr>
              <w:t xml:space="preserve">i) Élaboration et mise en œuvre de mesures juridiques, administratives et autres pour mettre en œuvre le Protocole de </w:t>
            </w:r>
            <w:r w:rsidR="00DC35E2">
              <w:t>Carthagène</w:t>
            </w:r>
            <w:r w:rsidR="006E54C7">
              <w:rPr>
                <w:snapToGrid w:val="0"/>
              </w:rPr>
              <w:t> ;</w:t>
            </w:r>
            <w:r>
              <w:rPr>
                <w:snapToGrid w:val="0"/>
              </w:rPr>
              <w:t xml:space="preserve"> </w:t>
            </w:r>
          </w:p>
          <w:p w14:paraId="1E91C84A" w14:textId="273DAAA1" w:rsidR="00D915C9" w:rsidRPr="00C67737" w:rsidRDefault="00D915C9" w:rsidP="00D915C9">
            <w:pPr>
              <w:rPr>
                <w:snapToGrid w:val="0"/>
              </w:rPr>
            </w:pPr>
            <w:r>
              <w:rPr>
                <w:snapToGrid w:val="0"/>
              </w:rPr>
              <w:t>ii) Évaluation et gestion des risques</w:t>
            </w:r>
            <w:r w:rsidR="006E54C7">
              <w:rPr>
                <w:snapToGrid w:val="0"/>
              </w:rPr>
              <w:t> ;</w:t>
            </w:r>
            <w:r>
              <w:rPr>
                <w:snapToGrid w:val="0"/>
              </w:rPr>
              <w:t xml:space="preserve"> </w:t>
            </w:r>
          </w:p>
          <w:p w14:paraId="59BD738E" w14:textId="1BDF2A40" w:rsidR="00D915C9" w:rsidRPr="00C67737" w:rsidRDefault="00D915C9" w:rsidP="003647FE">
            <w:pPr>
              <w:rPr>
                <w:snapToGrid w:val="0"/>
              </w:rPr>
            </w:pPr>
            <w:r>
              <w:rPr>
                <w:snapToGrid w:val="0"/>
              </w:rPr>
              <w:t>iii) Détection et identification des organismes vivants modifiés</w:t>
            </w:r>
            <w:r w:rsidR="006E54C7">
              <w:rPr>
                <w:snapToGrid w:val="0"/>
              </w:rPr>
              <w:t> ;</w:t>
            </w:r>
            <w:r>
              <w:rPr>
                <w:snapToGrid w:val="0"/>
              </w:rPr>
              <w:t xml:space="preserve"> </w:t>
            </w:r>
          </w:p>
          <w:p w14:paraId="54070306" w14:textId="3AD6947C" w:rsidR="00D915C9" w:rsidRPr="00C67737" w:rsidRDefault="00D915C9" w:rsidP="003647FE">
            <w:pPr>
              <w:rPr>
                <w:snapToGrid w:val="0"/>
              </w:rPr>
            </w:pPr>
            <w:r>
              <w:rPr>
                <w:snapToGrid w:val="0"/>
              </w:rPr>
              <w:t>iv) Sensibilisation, éducation et participation du public</w:t>
            </w:r>
            <w:r w:rsidR="006E54C7">
              <w:rPr>
                <w:snapToGrid w:val="0"/>
              </w:rPr>
              <w:t> ;</w:t>
            </w:r>
            <w:r>
              <w:rPr>
                <w:snapToGrid w:val="0"/>
              </w:rPr>
              <w:t xml:space="preserve"> </w:t>
            </w:r>
          </w:p>
          <w:p w14:paraId="2C0BE15C" w14:textId="29B1BFE1" w:rsidR="00D915C9" w:rsidRPr="00C67737" w:rsidRDefault="00D915C9" w:rsidP="003647FE">
            <w:pPr>
              <w:rPr>
                <w:snapToGrid w:val="0"/>
              </w:rPr>
            </w:pPr>
            <w:r>
              <w:rPr>
                <w:snapToGrid w:val="0"/>
              </w:rPr>
              <w:t>v) Considération socioéconomiques</w:t>
            </w:r>
            <w:r w:rsidR="006E54C7">
              <w:rPr>
                <w:snapToGrid w:val="0"/>
              </w:rPr>
              <w:t> ;</w:t>
            </w:r>
          </w:p>
          <w:p w14:paraId="5ED15AA4" w14:textId="5AD83270" w:rsidR="00D915C9" w:rsidRPr="00C67737" w:rsidRDefault="00D915C9" w:rsidP="003647FE">
            <w:pPr>
              <w:rPr>
                <w:snapToGrid w:val="0"/>
              </w:rPr>
            </w:pPr>
            <w:r>
              <w:rPr>
                <w:snapToGrid w:val="0"/>
              </w:rPr>
              <w:t>vi) Responsabilité et réparation</w:t>
            </w:r>
            <w:r w:rsidR="006E54C7">
              <w:rPr>
                <w:snapToGrid w:val="0"/>
              </w:rPr>
              <w:t> ;</w:t>
            </w:r>
            <w:r>
              <w:rPr>
                <w:snapToGrid w:val="0"/>
              </w:rPr>
              <w:t xml:space="preserve"> </w:t>
            </w:r>
          </w:p>
          <w:p w14:paraId="208F25B7" w14:textId="1C2F4AF9" w:rsidR="00D915C9" w:rsidRPr="00C67737" w:rsidRDefault="00D915C9" w:rsidP="003647FE">
            <w:pPr>
              <w:rPr>
                <w:snapToGrid w:val="0"/>
              </w:rPr>
            </w:pPr>
            <w:r>
              <w:rPr>
                <w:snapToGrid w:val="0"/>
              </w:rPr>
              <w:t>vii) Rapports nationaux, partage de l’information et centre d’échange sur la prévention des risques biotechnologiques</w:t>
            </w:r>
            <w:r w:rsidR="006E54C7">
              <w:rPr>
                <w:snapToGrid w:val="0"/>
              </w:rPr>
              <w:t> ;</w:t>
            </w:r>
            <w:r>
              <w:rPr>
                <w:snapToGrid w:val="0"/>
              </w:rPr>
              <w:t xml:space="preserve"> </w:t>
            </w:r>
          </w:p>
          <w:p w14:paraId="2EA692AE" w14:textId="2B2EC0E0" w:rsidR="00D915C9" w:rsidRPr="00C67737" w:rsidRDefault="00D915C9" w:rsidP="003647FE">
            <w:pPr>
              <w:rPr>
                <w:snapToGrid w:val="0"/>
              </w:rPr>
            </w:pPr>
            <w:r>
              <w:rPr>
                <w:snapToGrid w:val="0"/>
              </w:rPr>
              <w:t>viii) Partage des connaissances et transfert de technologies</w:t>
            </w:r>
            <w:r w:rsidR="006E54C7">
              <w:rPr>
                <w:snapToGrid w:val="0"/>
              </w:rPr>
              <w:t> ;</w:t>
            </w:r>
          </w:p>
          <w:p w14:paraId="0A50388F" w14:textId="1F642E31" w:rsidR="00D915C9" w:rsidRPr="00C67737" w:rsidRDefault="00D915C9" w:rsidP="003647FE">
            <w:pPr>
              <w:rPr>
                <w:snapToGrid w:val="0"/>
              </w:rPr>
            </w:pPr>
            <w:r>
              <w:rPr>
                <w:snapToGrid w:val="0"/>
              </w:rPr>
              <w:t xml:space="preserve">ix) Mise en œuvre de plans d’action pour respecter le Protocole de </w:t>
            </w:r>
            <w:r w:rsidR="00DC35E2">
              <w:t>Carthagène</w:t>
            </w:r>
            <w:r>
              <w:rPr>
                <w:snapToGrid w:val="0"/>
              </w:rPr>
              <w:t>.</w:t>
            </w:r>
          </w:p>
        </w:tc>
        <w:tc>
          <w:tcPr>
            <w:tcW w:w="2500" w:type="pct"/>
          </w:tcPr>
          <w:p w14:paraId="429679A6" w14:textId="181925DD" w:rsidR="00D915C9" w:rsidRPr="00C67737" w:rsidRDefault="00D915C9" w:rsidP="003647FE">
            <w:r>
              <w:t xml:space="preserve">Ces éléments sont repris dans les </w:t>
            </w:r>
            <w:r w:rsidR="00F02738">
              <w:t>orientations programmatiques</w:t>
            </w:r>
            <w:r w:rsidR="00083519">
              <w:t xml:space="preserve"> </w:t>
            </w:r>
            <w:r>
              <w:t xml:space="preserve">de </w:t>
            </w:r>
            <w:r w:rsidR="00376C22">
              <w:t>GEF</w:t>
            </w:r>
            <w:r w:rsidR="00376C22">
              <w:noBreakHyphen/>
            </w:r>
            <w:r>
              <w:t>9</w:t>
            </w:r>
            <w:r w:rsidRPr="00C67737">
              <w:rPr>
                <w:vertAlign w:val="superscript"/>
              </w:rPr>
              <w:footnoteReference w:id="152"/>
            </w:r>
            <w:r>
              <w:t xml:space="preserve">, au titre de l’objectif de la </w:t>
            </w:r>
            <w:r w:rsidR="006F18D2">
              <w:t>s</w:t>
            </w:r>
            <w:r>
              <w:t xml:space="preserve">tratégie du domaine d’intervention </w:t>
            </w:r>
            <w:r w:rsidR="0094079E">
              <w:t>« </w:t>
            </w:r>
            <w:r>
              <w:t>diversité biologique</w:t>
            </w:r>
            <w:r w:rsidR="0094079E">
              <w:t> »</w:t>
            </w:r>
            <w:r>
              <w:t xml:space="preserve"> </w:t>
            </w:r>
            <w:r w:rsidR="005C025C">
              <w:t>suivant : « R</w:t>
            </w:r>
            <w:r w:rsidR="003D1682">
              <w:t xml:space="preserve">enforcer la prévention des risques biotechnologiques et garantir le partage juste et équitable des avantages découlant de l’utilisation des ressources génétiques, notamment par la mise en œuvre des Protocoles de </w:t>
            </w:r>
            <w:r w:rsidR="00DC35E2">
              <w:t>Carthagène</w:t>
            </w:r>
            <w:r w:rsidR="003D1682">
              <w:t xml:space="preserve"> et de Nagoya.</w:t>
            </w:r>
            <w:r w:rsidR="005C025C">
              <w:t> »</w:t>
            </w:r>
          </w:p>
        </w:tc>
      </w:tr>
    </w:tbl>
    <w:p w14:paraId="7BF33B2E" w14:textId="77777777" w:rsidR="006F18D2" w:rsidRDefault="006F18D2" w:rsidP="00640F63">
      <w:pPr>
        <w:pStyle w:val="Heading1"/>
        <w:numPr>
          <w:ilvl w:val="0"/>
          <w:numId w:val="0"/>
        </w:numPr>
        <w:ind w:left="720"/>
      </w:pPr>
    </w:p>
    <w:p w14:paraId="507EF619" w14:textId="77777777" w:rsidR="006F18D2" w:rsidRDefault="006F18D2">
      <w:pPr>
        <w:snapToGrid/>
        <w:spacing w:before="240" w:after="240"/>
        <w:rPr>
          <w:rFonts w:eastAsiaTheme="majorEastAsia" w:cstheme="minorHAnsi"/>
          <w:b/>
          <w:smallCaps/>
          <w:snapToGrid w:val="0"/>
          <w:color w:val="000000" w:themeColor="text1"/>
          <w:kern w:val="22"/>
          <w:sz w:val="28"/>
        </w:rPr>
      </w:pPr>
      <w:r>
        <w:br w:type="page"/>
      </w:r>
    </w:p>
    <w:p w14:paraId="22454346" w14:textId="3D325F4E" w:rsidR="0068239F" w:rsidRPr="00C67737" w:rsidRDefault="0068239F" w:rsidP="00640F63">
      <w:pPr>
        <w:pStyle w:val="Heading1"/>
        <w:numPr>
          <w:ilvl w:val="0"/>
          <w:numId w:val="0"/>
        </w:numPr>
        <w:ind w:left="720"/>
      </w:pPr>
      <w:bookmarkStart w:id="199" w:name="_Toc242184730"/>
      <w:bookmarkStart w:id="200" w:name="_Toc242185298"/>
      <w:r>
        <w:lastRenderedPageBreak/>
        <w:t>Annexe 2</w:t>
      </w:r>
      <w:r w:rsidR="006E54C7">
        <w:t> :</w:t>
      </w:r>
      <w:r>
        <w:t xml:space="preserve"> Rapport sur les activités liées au Protocole de Nagoya</w:t>
      </w:r>
      <w:bookmarkEnd w:id="199"/>
      <w:bookmarkEnd w:id="200"/>
    </w:p>
    <w:p w14:paraId="7E06E7B3" w14:textId="08E2BBD8" w:rsidR="002A5FD1" w:rsidRPr="00C67737" w:rsidRDefault="00F449CB" w:rsidP="00CB1784">
      <w:r>
        <w:t>La présente annexe regroupe les principales informations relatives au Protocole de Nagoya qui figurent dans le corps du rapport</w:t>
      </w:r>
    </w:p>
    <w:p w14:paraId="4A6A59D2" w14:textId="670CDA90" w:rsidR="00546FD9" w:rsidRPr="00C67737" w:rsidRDefault="00546FD9" w:rsidP="00FA50E6">
      <w:pPr>
        <w:pStyle w:val="Heading3"/>
      </w:pPr>
      <w:bookmarkStart w:id="201" w:name="_Toc229646171"/>
      <w:bookmarkStart w:id="202" w:name="_Toc242184675"/>
      <w:bookmarkStart w:id="203" w:name="_Toc242184731"/>
      <w:r>
        <w:t xml:space="preserve">Appui à la ratification et à la mise en œuvre du Protocole de Nagoya sur l’accès aux ressources génétiques et le partage juste et équitable des avantages découlant de leur utilisation </w:t>
      </w:r>
      <w:r w:rsidR="00042BD9">
        <w:t>relevant de</w:t>
      </w:r>
      <w:r>
        <w:t xml:space="preserve"> la Convention sur la diversité biologique.</w:t>
      </w:r>
      <w:bookmarkEnd w:id="201"/>
      <w:bookmarkEnd w:id="202"/>
      <w:bookmarkEnd w:id="203"/>
      <w:r>
        <w:t xml:space="preserve"> </w:t>
      </w:r>
    </w:p>
    <w:p w14:paraId="6D049E5C" w14:textId="772E44EC" w:rsidR="00546FD9" w:rsidRPr="00C67737" w:rsidRDefault="002246F0" w:rsidP="000B33CF">
      <w:pPr>
        <w:pStyle w:val="ListParagraph"/>
      </w:pPr>
      <w:r>
        <w:t xml:space="preserve">Au cours de la période </w:t>
      </w:r>
      <w:r w:rsidR="00376C22">
        <w:t>GEF</w:t>
      </w:r>
      <w:r w:rsidR="00376C22">
        <w:noBreakHyphen/>
      </w:r>
      <w:r>
        <w:t xml:space="preserve">8, huit propositions liées à la cible 13 ont été soumises </w:t>
      </w:r>
      <w:r w:rsidR="00CD3559">
        <w:t xml:space="preserve">au fonds fiduciaire </w:t>
      </w:r>
      <w:r>
        <w:t xml:space="preserve">du GEF pour financement, et toutes ont été approuvées. En outre, 17 demandes de financement </w:t>
      </w:r>
      <w:r w:rsidR="009E2445">
        <w:t>PPG</w:t>
      </w:r>
      <w:r>
        <w:t xml:space="preserve"> liées à la cible 13 ont été reçues dans le cadre des cycles de sélection du GBFF, y compris des soumissions répétées d’une même proposition lors de plusieurs cycles de sélection. Sept de ces demandes ont été retenues dans le cadre du modèle d’allocation concurrentiel du GBFF. </w:t>
      </w:r>
    </w:p>
    <w:p w14:paraId="09284585" w14:textId="5C4920C7" w:rsidR="00BA5B11" w:rsidRPr="00C67737" w:rsidRDefault="00BA5B11" w:rsidP="00CB1784">
      <w:pPr>
        <w:pStyle w:val="Heading3"/>
      </w:pPr>
      <w:bookmarkStart w:id="204" w:name="_Toc242184676"/>
      <w:bookmarkStart w:id="205" w:name="_Toc242184732"/>
      <w:r>
        <w:t>Projets autonomes</w:t>
      </w:r>
      <w:bookmarkEnd w:id="204"/>
      <w:bookmarkEnd w:id="205"/>
    </w:p>
    <w:p w14:paraId="653C1DCA" w14:textId="1CB60CC1" w:rsidR="00546FD9" w:rsidRPr="00C67737" w:rsidRDefault="00CD3559" w:rsidP="000B33CF">
      <w:pPr>
        <w:pStyle w:val="ListParagraph"/>
      </w:pPr>
      <w:r>
        <w:t xml:space="preserve">Le fonds fiduciaire </w:t>
      </w:r>
      <w:r w:rsidR="63C84661">
        <w:t>du GEF et le GBFF soutiennent 15 pays — Belize, Brésil, Burkina Faso, Cambodge, Eswatini, Guinée équatoriale, Honduras, Inde, Indonésie, Malaisie, Micronésie</w:t>
      </w:r>
      <w:r w:rsidR="00184A4E">
        <w:t xml:space="preserve"> [États fédérés de]</w:t>
      </w:r>
      <w:r w:rsidR="63C84661">
        <w:t xml:space="preserve">, Pakistan, Sri Lanka, Thaïlande et Yémen — au moyen de 15 projets autonomes visant à mettre en œuvre l’accès et le partage des avantages, conformément à la cible 13. Ces projets comprennent une aide à la ratification du Protocole de Nagoya au Belize, au Sri Lanka et en Thaïlande. </w:t>
      </w:r>
      <w:r w:rsidR="00F449CB">
        <w:t>Ils</w:t>
      </w:r>
      <w:r w:rsidR="63C84661">
        <w:t xml:space="preserve"> représentent un financement total du GEF de 57,0 millions de dollars et ont permis de mobiliser 266,3 millions de dollars de cofinancement.</w:t>
      </w:r>
    </w:p>
    <w:p w14:paraId="4235A7DF" w14:textId="2372D93F" w:rsidR="0003664A" w:rsidRPr="00C67737" w:rsidRDefault="00546FD9" w:rsidP="000B33CF">
      <w:pPr>
        <w:pStyle w:val="ListParagraph"/>
      </w:pPr>
      <w:r>
        <w:t>À titre d’exemple, le projet de renforcement du cadre malaisien relatif à l’accès et au partage des avantages, de la conformité numérique et des partenariats entre le secteur privé et les communautés (</w:t>
      </w:r>
      <w:proofErr w:type="spellStart"/>
      <w:r w:rsidRPr="002D37E2">
        <w:rPr>
          <w:i/>
          <w:iCs/>
        </w:rPr>
        <w:t>Strengthening</w:t>
      </w:r>
      <w:proofErr w:type="spellEnd"/>
      <w:r w:rsidRPr="002D37E2">
        <w:rPr>
          <w:i/>
          <w:iCs/>
        </w:rPr>
        <w:t xml:space="preserve"> </w:t>
      </w:r>
      <w:proofErr w:type="spellStart"/>
      <w:r w:rsidRPr="002D37E2">
        <w:rPr>
          <w:i/>
          <w:iCs/>
        </w:rPr>
        <w:t>Malaysia’s</w:t>
      </w:r>
      <w:proofErr w:type="spellEnd"/>
      <w:r w:rsidRPr="002D37E2">
        <w:rPr>
          <w:i/>
          <w:iCs/>
        </w:rPr>
        <w:t xml:space="preserve"> ABS Framework, Digital Compliance, and Private </w:t>
      </w:r>
      <w:proofErr w:type="spellStart"/>
      <w:r w:rsidRPr="002D37E2">
        <w:rPr>
          <w:i/>
          <w:iCs/>
        </w:rPr>
        <w:t>Sector</w:t>
      </w:r>
      <w:proofErr w:type="spellEnd"/>
      <w:r w:rsidRPr="002D37E2">
        <w:rPr>
          <w:i/>
          <w:iCs/>
        </w:rPr>
        <w:t xml:space="preserve"> - Community Partnerships</w:t>
      </w:r>
      <w:r w:rsidR="002D37E2">
        <w:rPr>
          <w:i/>
          <w:iCs/>
        </w:rPr>
        <w:t xml:space="preserve"> ; </w:t>
      </w:r>
      <w:r>
        <w:t>N° de projet du GEF 12154</w:t>
      </w:r>
      <w:r w:rsidR="006E54C7">
        <w:t> ;</w:t>
      </w:r>
      <w:r>
        <w:t xml:space="preserve"> financement de projet du GEF</w:t>
      </w:r>
      <w:r w:rsidR="006E54C7">
        <w:t> :</w:t>
      </w:r>
      <w:r>
        <w:t xml:space="preserve"> 4</w:t>
      </w:r>
      <w:r w:rsidR="00694FFE">
        <w:t> </w:t>
      </w:r>
      <w:r>
        <w:t>651 950 dollars</w:t>
      </w:r>
      <w:r w:rsidR="006E54C7">
        <w:t> ;</w:t>
      </w:r>
      <w:r>
        <w:t xml:space="preserve"> </w:t>
      </w:r>
      <w:r w:rsidR="00694FFE">
        <w:rPr>
          <w:snapToGrid/>
        </w:rPr>
        <w:t>Agence de mise en œuvre</w:t>
      </w:r>
      <w:r w:rsidR="006E54C7">
        <w:rPr>
          <w:snapToGrid/>
        </w:rPr>
        <w:t> :</w:t>
      </w:r>
      <w:r>
        <w:t xml:space="preserve"> PNUD) vise à remédier aux lacunes persistantes dans l’application de la loi malaisienne de 2017 relative à l’accès et au partage des avantages. Il vise notamment à finaliser les règlements d’application, à uniformiser les procédures opérationnelles normalisées à l’échelle des États, à mettre en place des mécanismes de diligence raisonnable aux points de contrôle et à préciser l’approche nationale à l’égard des informations de séquençage numérique, en cohérence avec le mécanisme multilatéral de la CDB. Il renforcera également les capacités du secrétariat national et des utilisateurs, ainsi que les moyens dont disposent les peuples autochtones et communautés locales pour obtenir un partage juste et équitable des avantages au service de la diversité biologique. Ce projet devrait aboutir à la mise en place d’un système d’accès aux ressources génétiques et de partage des avantages pleinement opérationnel, numérisé et </w:t>
      </w:r>
      <w:r w:rsidR="003A73E4">
        <w:t>fiable</w:t>
      </w:r>
      <w:r>
        <w:t xml:space="preserve">, qui renforce le respect des exigences applicables, garantit que les avantages profitent aux peuples autochtones et communautés locales et finance des activités de conservation sur le terrain. </w:t>
      </w:r>
    </w:p>
    <w:p w14:paraId="43EA80B3" w14:textId="734BE8FA" w:rsidR="002A5FD1" w:rsidRPr="00C67737" w:rsidRDefault="002A5FD1" w:rsidP="00FA50E6">
      <w:pPr>
        <w:pStyle w:val="Heading3"/>
      </w:pPr>
      <w:bookmarkStart w:id="206" w:name="_Toc242184677"/>
      <w:bookmarkStart w:id="207" w:name="_Toc242184733"/>
      <w:r>
        <w:t>Activités habilitantes</w:t>
      </w:r>
      <w:bookmarkEnd w:id="206"/>
      <w:bookmarkEnd w:id="207"/>
    </w:p>
    <w:p w14:paraId="2251DBDF" w14:textId="5E1812B3" w:rsidR="00C71534" w:rsidRPr="00C67737" w:rsidRDefault="00142EB5" w:rsidP="000B33CF">
      <w:pPr>
        <w:pStyle w:val="ListParagraph"/>
      </w:pPr>
      <w:r w:rsidRPr="00142EB5">
        <w:lastRenderedPageBreak/>
        <w:t>Un programme d’appui à l’établissement du premier rapport national sur la mise en œuvre du Protocole de Nagoya sur l’accès aux ressources génétiques et le partage juste et équitable des avantages découlant de leur utilisation (</w:t>
      </w:r>
      <w:r w:rsidRPr="00142EB5">
        <w:rPr>
          <w:i/>
          <w:iCs/>
        </w:rPr>
        <w:t xml:space="preserve">Support to </w:t>
      </w:r>
      <w:proofErr w:type="spellStart"/>
      <w:r w:rsidRPr="00142EB5">
        <w:rPr>
          <w:i/>
          <w:iCs/>
        </w:rPr>
        <w:t>Preparation</w:t>
      </w:r>
      <w:proofErr w:type="spellEnd"/>
      <w:r w:rsidRPr="00142EB5">
        <w:rPr>
          <w:i/>
          <w:iCs/>
        </w:rPr>
        <w:t xml:space="preserve"> of the First National Report on </w:t>
      </w:r>
      <w:proofErr w:type="spellStart"/>
      <w:r w:rsidRPr="00142EB5">
        <w:rPr>
          <w:i/>
          <w:iCs/>
        </w:rPr>
        <w:t>Implementation</w:t>
      </w:r>
      <w:proofErr w:type="spellEnd"/>
      <w:r w:rsidRPr="00142EB5">
        <w:rPr>
          <w:i/>
          <w:iCs/>
        </w:rPr>
        <w:t xml:space="preserve"> of the Nagoya Protocol on Access to </w:t>
      </w:r>
      <w:proofErr w:type="spellStart"/>
      <w:r w:rsidRPr="00142EB5">
        <w:rPr>
          <w:i/>
          <w:iCs/>
        </w:rPr>
        <w:t>Genetic</w:t>
      </w:r>
      <w:proofErr w:type="spellEnd"/>
      <w:r w:rsidRPr="00142EB5">
        <w:rPr>
          <w:i/>
          <w:iCs/>
        </w:rPr>
        <w:t xml:space="preserve"> </w:t>
      </w:r>
      <w:proofErr w:type="spellStart"/>
      <w:r w:rsidRPr="00142EB5">
        <w:rPr>
          <w:i/>
          <w:iCs/>
        </w:rPr>
        <w:t>Resources</w:t>
      </w:r>
      <w:proofErr w:type="spellEnd"/>
      <w:r w:rsidRPr="00142EB5">
        <w:rPr>
          <w:i/>
          <w:iCs/>
        </w:rPr>
        <w:t xml:space="preserve"> and the Fair and Equitable Sharing of Benefits </w:t>
      </w:r>
      <w:proofErr w:type="spellStart"/>
      <w:r w:rsidRPr="00142EB5">
        <w:rPr>
          <w:i/>
          <w:iCs/>
        </w:rPr>
        <w:t>Arising</w:t>
      </w:r>
      <w:proofErr w:type="spellEnd"/>
      <w:r w:rsidRPr="00142EB5">
        <w:rPr>
          <w:i/>
          <w:iCs/>
        </w:rPr>
        <w:t xml:space="preserve"> </w:t>
      </w:r>
      <w:proofErr w:type="spellStart"/>
      <w:r w:rsidRPr="00142EB5">
        <w:rPr>
          <w:i/>
          <w:iCs/>
        </w:rPr>
        <w:t>from</w:t>
      </w:r>
      <w:proofErr w:type="spellEnd"/>
      <w:r w:rsidRPr="00142EB5">
        <w:rPr>
          <w:i/>
          <w:iCs/>
        </w:rPr>
        <w:t xml:space="preserve"> </w:t>
      </w:r>
      <w:proofErr w:type="spellStart"/>
      <w:r w:rsidRPr="00142EB5">
        <w:rPr>
          <w:i/>
          <w:iCs/>
        </w:rPr>
        <w:t>their</w:t>
      </w:r>
      <w:proofErr w:type="spellEnd"/>
      <w:r w:rsidRPr="00142EB5">
        <w:rPr>
          <w:i/>
          <w:iCs/>
        </w:rPr>
        <w:t xml:space="preserve"> </w:t>
      </w:r>
      <w:proofErr w:type="spellStart"/>
      <w:r w:rsidRPr="00142EB5">
        <w:rPr>
          <w:i/>
          <w:iCs/>
        </w:rPr>
        <w:t>Utilization</w:t>
      </w:r>
      <w:proofErr w:type="spellEnd"/>
      <w:r w:rsidRPr="00142EB5">
        <w:t>), mis en œuvre par le PNUE (financement de projet du GEF : 3 701 250 dollars), a été approuvé en avril 2025. Il aide 96 Parties admissibles au Protocole de Nagoya à s’acquitter de leurs obligations nationales en matière d’établissement de rapports. Au 15 juin 2026, 73 d’entre elles avaient soumis leur premier rapport national. L’annexe 9 présente des informations détaillées sur la situation de chaque pays participant.</w:t>
      </w:r>
    </w:p>
    <w:p w14:paraId="6F974EE0" w14:textId="77777777" w:rsidR="0055384D" w:rsidRPr="00C67737" w:rsidRDefault="0055384D"/>
    <w:p w14:paraId="4D00B1E0" w14:textId="6575B46B" w:rsidR="002A5FD1" w:rsidRPr="00C67737" w:rsidRDefault="002A5FD1" w:rsidP="00FA50E6">
      <w:pPr>
        <w:pStyle w:val="Heading3"/>
      </w:pPr>
      <w:bookmarkStart w:id="208" w:name="_Toc242184678"/>
      <w:bookmarkStart w:id="209" w:name="_Toc242184734"/>
      <w:r>
        <w:t>Suite donnée aux orientations</w:t>
      </w:r>
      <w:bookmarkEnd w:id="208"/>
      <w:bookmarkEnd w:id="209"/>
    </w:p>
    <w:tbl>
      <w:tblPr>
        <w:tblStyle w:val="TableGrid1"/>
        <w:tblW w:w="0" w:type="auto"/>
        <w:tblInd w:w="-5" w:type="dxa"/>
        <w:tblLayout w:type="fixed"/>
        <w:tblLook w:val="04A0" w:firstRow="1" w:lastRow="0" w:firstColumn="1" w:lastColumn="0" w:noHBand="0" w:noVBand="1"/>
      </w:tblPr>
      <w:tblGrid>
        <w:gridCol w:w="4315"/>
        <w:gridCol w:w="5035"/>
      </w:tblGrid>
      <w:tr w:rsidR="002A5FD1" w:rsidRPr="00C67737" w14:paraId="61D0FBE7" w14:textId="77777777" w:rsidTr="00F41E17">
        <w:trPr>
          <w:tblHeader/>
        </w:trPr>
        <w:tc>
          <w:tcPr>
            <w:tcW w:w="4315" w:type="dxa"/>
            <w:shd w:val="clear" w:color="auto" w:fill="D0CECE" w:themeFill="background2" w:themeFillShade="E6"/>
          </w:tcPr>
          <w:p w14:paraId="2EB4BFDC" w14:textId="77777777" w:rsidR="002A5FD1" w:rsidRPr="00C67737" w:rsidRDefault="002A5FD1" w:rsidP="0004312D">
            <w:pPr>
              <w:widowControl w:val="0"/>
              <w:tabs>
                <w:tab w:val="left" w:pos="567"/>
                <w:tab w:val="left" w:pos="1134"/>
                <w:tab w:val="left" w:pos="1701"/>
                <w:tab w:val="left" w:pos="2268"/>
                <w:tab w:val="left" w:pos="2835"/>
                <w:tab w:val="left" w:pos="3402"/>
              </w:tabs>
              <w:snapToGrid/>
              <w:spacing w:before="100" w:after="0"/>
              <w:jc w:val="center"/>
              <w:rPr>
                <w:rFonts w:cstheme="minorHAnsi"/>
                <w:b/>
                <w:bCs/>
                <w:iCs/>
                <w:snapToGrid w:val="0"/>
                <w:color w:val="000000"/>
                <w:kern w:val="22"/>
              </w:rPr>
            </w:pPr>
            <w:r>
              <w:rPr>
                <w:b/>
                <w:color w:val="000000"/>
              </w:rPr>
              <w:t>Orientations reçues de la 16</w:t>
            </w:r>
            <w:r>
              <w:rPr>
                <w:b/>
                <w:color w:val="000000"/>
                <w:vertAlign w:val="superscript"/>
              </w:rPr>
              <w:t>e</w:t>
            </w:r>
            <w:r>
              <w:rPr>
                <w:b/>
                <w:color w:val="000000"/>
              </w:rPr>
              <w:t xml:space="preserve"> Conférence des Parties</w:t>
            </w:r>
          </w:p>
        </w:tc>
        <w:tc>
          <w:tcPr>
            <w:tcW w:w="5035" w:type="dxa"/>
            <w:shd w:val="clear" w:color="auto" w:fill="D0CECE" w:themeFill="background2" w:themeFillShade="E6"/>
          </w:tcPr>
          <w:p w14:paraId="67311A76" w14:textId="77777777" w:rsidR="002A5FD1" w:rsidRPr="00C67737" w:rsidRDefault="002A5FD1" w:rsidP="0004312D">
            <w:pPr>
              <w:widowControl w:val="0"/>
              <w:tabs>
                <w:tab w:val="left" w:pos="567"/>
                <w:tab w:val="left" w:pos="1134"/>
                <w:tab w:val="left" w:pos="1701"/>
                <w:tab w:val="left" w:pos="2268"/>
                <w:tab w:val="left" w:pos="2835"/>
                <w:tab w:val="left" w:pos="3402"/>
              </w:tabs>
              <w:snapToGrid/>
              <w:spacing w:before="100" w:after="0"/>
              <w:jc w:val="center"/>
            </w:pPr>
            <w:r>
              <w:rPr>
                <w:b/>
                <w:color w:val="000000"/>
              </w:rPr>
              <w:t>Suite donnée par le GEF</w:t>
            </w:r>
          </w:p>
        </w:tc>
      </w:tr>
      <w:tr w:rsidR="002A5FD1" w:rsidRPr="00C67737" w14:paraId="08744047" w14:textId="77777777" w:rsidTr="00601D83">
        <w:trPr>
          <w:trHeight w:val="1615"/>
        </w:trPr>
        <w:tc>
          <w:tcPr>
            <w:tcW w:w="4315" w:type="dxa"/>
          </w:tcPr>
          <w:p w14:paraId="12A2E206" w14:textId="77777777" w:rsidR="005E540F" w:rsidRPr="00C67737" w:rsidRDefault="005E540F" w:rsidP="0004312D">
            <w:pPr>
              <w:widowControl w:val="0"/>
              <w:tabs>
                <w:tab w:val="left" w:pos="567"/>
                <w:tab w:val="left" w:pos="1134"/>
                <w:tab w:val="left" w:pos="1701"/>
                <w:tab w:val="left" w:pos="2268"/>
                <w:tab w:val="left" w:pos="2835"/>
                <w:tab w:val="left" w:pos="3402"/>
              </w:tabs>
              <w:snapToGrid/>
              <w:spacing w:before="100" w:after="0"/>
              <w:rPr>
                <w:rFonts w:eastAsia="SimSun" w:cstheme="minorHAnsi"/>
                <w:b/>
                <w:bCs/>
                <w:iCs/>
                <w:color w:val="000000"/>
              </w:rPr>
            </w:pPr>
            <w:r>
              <w:rPr>
                <w:b/>
                <w:snapToGrid w:val="0"/>
                <w:color w:val="000000"/>
              </w:rPr>
              <w:t>Pièce jointe</w:t>
            </w:r>
            <w:r>
              <w:rPr>
                <w:b/>
                <w:color w:val="000000"/>
              </w:rPr>
              <w:t xml:space="preserve"> II</w:t>
            </w:r>
          </w:p>
          <w:p w14:paraId="744228EF" w14:textId="009CB0B9" w:rsidR="005E540F" w:rsidRPr="00C67737" w:rsidRDefault="006C62F8" w:rsidP="00FC3CC7">
            <w:pPr>
              <w:widowControl w:val="0"/>
              <w:tabs>
                <w:tab w:val="left" w:pos="567"/>
                <w:tab w:val="left" w:pos="1134"/>
                <w:tab w:val="left" w:pos="1701"/>
                <w:tab w:val="left" w:pos="2268"/>
                <w:tab w:val="left" w:pos="2835"/>
                <w:tab w:val="left" w:pos="3402"/>
              </w:tabs>
              <w:snapToGrid/>
              <w:spacing w:before="100" w:after="100"/>
              <w:rPr>
                <w:rFonts w:eastAsia="SimSun" w:cstheme="minorHAnsi"/>
                <w:snapToGrid w:val="0"/>
                <w:color w:val="000000"/>
                <w:kern w:val="22"/>
              </w:rPr>
            </w:pPr>
            <w:r>
              <w:rPr>
                <w:snapToGrid w:val="0"/>
              </w:rPr>
              <w:t xml:space="preserve">Les éléments supplémentaire </w:t>
            </w:r>
            <w:r w:rsidR="007E4E30">
              <w:rPr>
                <w:snapToGrid w:val="0"/>
              </w:rPr>
              <w:t>du</w:t>
            </w:r>
            <w:r>
              <w:rPr>
                <w:snapToGrid w:val="0"/>
              </w:rPr>
              <w:t xml:space="preserve"> cadre quadriennal axé sur les résultats des priorités du programme sur la biodiversité de la Convention sur la diversité biologique </w:t>
            </w:r>
            <w:r w:rsidR="00142EB5">
              <w:rPr>
                <w:snapToGrid w:val="0"/>
              </w:rPr>
              <w:t>pour</w:t>
            </w:r>
            <w:r>
              <w:rPr>
                <w:snapToGrid w:val="0"/>
              </w:rPr>
              <w:t xml:space="preserve"> la neuvième reconstitution </w:t>
            </w:r>
            <w:r w:rsidR="004F0850">
              <w:rPr>
                <w:color w:val="000000"/>
              </w:rPr>
              <w:t xml:space="preserve">du </w:t>
            </w:r>
            <w:r w:rsidR="004F0850">
              <w:t xml:space="preserve">Fonds fiduciaire du Fonds </w:t>
            </w:r>
            <w:r w:rsidR="004F0850">
              <w:rPr>
                <w:color w:val="000000"/>
              </w:rPr>
              <w:t>pour l’Environnement Mondial</w:t>
            </w:r>
            <w:r w:rsidR="004F0850" w:rsidDel="004F0850">
              <w:rPr>
                <w:snapToGrid w:val="0"/>
              </w:rPr>
              <w:t xml:space="preserve"> </w:t>
            </w:r>
            <w:r>
              <w:rPr>
                <w:snapToGrid w:val="0"/>
              </w:rPr>
              <w:t>(2026</w:t>
            </w:r>
            <w:r>
              <w:t>-</w:t>
            </w:r>
            <w:r>
              <w:rPr>
                <w:color w:val="000000"/>
              </w:rPr>
              <w:t>2030) visant à appuyer la mise en œuvre du Protocole de Nagoya sur l’accès aux ressources génétiques et le partage juste et équitable des avantages découlant de leur utilisation</w:t>
            </w:r>
            <w:r w:rsidR="005E540F" w:rsidRPr="00C67737">
              <w:rPr>
                <w:rFonts w:eastAsia="SimSun" w:cstheme="minorHAnsi"/>
                <w:iCs/>
                <w:snapToGrid w:val="0"/>
                <w:color w:val="000000"/>
                <w:kern w:val="22"/>
                <w:vertAlign w:val="superscript"/>
              </w:rPr>
              <w:footnoteReference w:id="153"/>
            </w:r>
            <w:r>
              <w:rPr>
                <w:color w:val="000000"/>
              </w:rPr>
              <w:t>, tel qu’il a été adopté par la Conférence des Parties en tant que réunion des Parties au Protocole lors de sa cinquième réunion, visent notamment à</w:t>
            </w:r>
            <w:r w:rsidR="006E54C7">
              <w:rPr>
                <w:color w:val="000000"/>
              </w:rPr>
              <w:t> :</w:t>
            </w:r>
            <w:r>
              <w:rPr>
                <w:color w:val="000000"/>
              </w:rPr>
              <w:t xml:space="preserve"> </w:t>
            </w:r>
            <w:r>
              <w:rPr>
                <w:snapToGrid w:val="0"/>
                <w:color w:val="000000"/>
              </w:rPr>
              <w:t xml:space="preserve"> </w:t>
            </w:r>
          </w:p>
          <w:p w14:paraId="1F1B5A8F" w14:textId="55C01003" w:rsidR="002A5FD1" w:rsidRPr="00C67737" w:rsidRDefault="005E540F" w:rsidP="0004312D">
            <w:pPr>
              <w:widowControl w:val="0"/>
              <w:tabs>
                <w:tab w:val="left" w:pos="567"/>
                <w:tab w:val="left" w:pos="1134"/>
                <w:tab w:val="left" w:pos="1701"/>
                <w:tab w:val="left" w:pos="2268"/>
                <w:tab w:val="left" w:pos="2835"/>
                <w:tab w:val="left" w:pos="3402"/>
              </w:tabs>
              <w:snapToGrid/>
              <w:spacing w:before="100" w:after="100"/>
              <w:rPr>
                <w:rFonts w:cstheme="minorHAnsi"/>
                <w:color w:val="000000"/>
              </w:rPr>
            </w:pPr>
            <w:r>
              <w:rPr>
                <w:color w:val="000000"/>
              </w:rPr>
              <w:t>a) Appuyer les Parties admissibles et fournir des ressources financières adéquates pour la mise en œuvre du Plan d’action pour la création et le renforcement des capacités du Protocole de Nagoya</w:t>
            </w:r>
            <w:r w:rsidRPr="00C67737">
              <w:rPr>
                <w:rFonts w:eastAsia="SimSun" w:cstheme="minorHAnsi"/>
                <w:color w:val="000000"/>
                <w:vertAlign w:val="superscript"/>
              </w:rPr>
              <w:footnoteReference w:id="154"/>
            </w:r>
            <w:r w:rsidR="006E54C7">
              <w:rPr>
                <w:color w:val="000000"/>
              </w:rPr>
              <w:t> ;</w:t>
            </w:r>
            <w:r>
              <w:t xml:space="preserve"> </w:t>
            </w:r>
            <w:r>
              <w:rPr>
                <w:color w:val="000000"/>
              </w:rPr>
              <w:t xml:space="preserve"> </w:t>
            </w:r>
          </w:p>
        </w:tc>
        <w:tc>
          <w:tcPr>
            <w:tcW w:w="5035" w:type="dxa"/>
          </w:tcPr>
          <w:p w14:paraId="7638AEEF" w14:textId="40C52D70" w:rsidR="00E81EE4" w:rsidRPr="00C67737" w:rsidRDefault="00E81EE4" w:rsidP="00FC3CC7">
            <w:pPr>
              <w:widowControl w:val="0"/>
            </w:pPr>
            <w:r>
              <w:t xml:space="preserve">Au cours du cycle de </w:t>
            </w:r>
            <w:r w:rsidR="00376C22">
              <w:t>GEF</w:t>
            </w:r>
            <w:r w:rsidR="00376C22">
              <w:noBreakHyphen/>
            </w:r>
            <w:r>
              <w:t xml:space="preserve">7, un financement de 32,2 millions de dollars a été approuvé pour des projets consacrés à la mise en œuvre du Protocole de Nagoya, un montant conforme à l’allocation </w:t>
            </w:r>
            <w:r w:rsidR="00BE638A">
              <w:t>théorique</w:t>
            </w:r>
            <w:r>
              <w:t xml:space="preserve"> de 37 millions de dollars prévue à cet effet. </w:t>
            </w:r>
          </w:p>
          <w:p w14:paraId="35FD5DC7" w14:textId="0F9C59B0" w:rsidR="00E81EE4" w:rsidRPr="00C67737" w:rsidRDefault="00E81EE4" w:rsidP="00915353">
            <w:pPr>
              <w:widowControl w:val="0"/>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Pr>
                <w:color w:val="000000" w:themeColor="text1"/>
              </w:rPr>
              <w:t xml:space="preserve">Comme indiqué dans le présent rapport, le financement de projet du GEF accordé, au titre </w:t>
            </w:r>
            <w:r w:rsidR="00CD3559">
              <w:rPr>
                <w:color w:val="000000" w:themeColor="text1"/>
              </w:rPr>
              <w:t xml:space="preserve">du fonds fiduciaire </w:t>
            </w:r>
            <w:r>
              <w:rPr>
                <w:color w:val="000000" w:themeColor="text1"/>
              </w:rPr>
              <w:t xml:space="preserve">du GEF et du GBFF, aux projets liés au Protocole de Nagoya s’élevait à 57,0 millions de dollars durant </w:t>
            </w:r>
            <w:r w:rsidR="00376C22">
              <w:rPr>
                <w:color w:val="000000" w:themeColor="text1"/>
              </w:rPr>
              <w:t>GEF</w:t>
            </w:r>
            <w:r w:rsidR="00376C22">
              <w:rPr>
                <w:color w:val="000000" w:themeColor="text1"/>
              </w:rPr>
              <w:noBreakHyphen/>
            </w:r>
            <w:r>
              <w:rPr>
                <w:color w:val="000000" w:themeColor="text1"/>
              </w:rPr>
              <w:t xml:space="preserve">8. Ce montant est supérieur au financement approuvé durant </w:t>
            </w:r>
            <w:r w:rsidR="00376C22">
              <w:rPr>
                <w:color w:val="000000" w:themeColor="text1"/>
              </w:rPr>
              <w:t>GEF</w:t>
            </w:r>
            <w:r w:rsidR="00376C22">
              <w:rPr>
                <w:color w:val="000000" w:themeColor="text1"/>
              </w:rPr>
              <w:noBreakHyphen/>
            </w:r>
            <w:r>
              <w:rPr>
                <w:color w:val="000000" w:themeColor="text1"/>
              </w:rPr>
              <w:t>7. Au total, 91</w:t>
            </w:r>
            <w:r w:rsidR="00966C17">
              <w:rPr>
                <w:color w:val="000000" w:themeColor="text1"/>
              </w:rPr>
              <w:t> %</w:t>
            </w:r>
            <w:r>
              <w:rPr>
                <w:color w:val="000000" w:themeColor="text1"/>
              </w:rPr>
              <w:t xml:space="preserve"> de l’allocation </w:t>
            </w:r>
            <w:r w:rsidR="00BE638A">
              <w:rPr>
                <w:color w:val="000000" w:themeColor="text1"/>
              </w:rPr>
              <w:t>théorique</w:t>
            </w:r>
            <w:r>
              <w:rPr>
                <w:color w:val="000000" w:themeColor="text1"/>
              </w:rPr>
              <w:t xml:space="preserve"> de </w:t>
            </w:r>
            <w:r w:rsidR="00376C22">
              <w:rPr>
                <w:color w:val="000000" w:themeColor="text1"/>
              </w:rPr>
              <w:t>GEF</w:t>
            </w:r>
            <w:r w:rsidR="00376C22">
              <w:rPr>
                <w:color w:val="000000" w:themeColor="text1"/>
              </w:rPr>
              <w:noBreakHyphen/>
            </w:r>
            <w:r>
              <w:rPr>
                <w:color w:val="000000" w:themeColor="text1"/>
              </w:rPr>
              <w:t xml:space="preserve">8 </w:t>
            </w:r>
            <w:proofErr w:type="gramStart"/>
            <w:r>
              <w:rPr>
                <w:color w:val="000000" w:themeColor="text1"/>
              </w:rPr>
              <w:t>destinée</w:t>
            </w:r>
            <w:proofErr w:type="gramEnd"/>
            <w:r>
              <w:rPr>
                <w:color w:val="000000" w:themeColor="text1"/>
              </w:rPr>
              <w:t xml:space="preserve"> aux Protocoles, établie à 82 millions de dollars pour les Protocoles de </w:t>
            </w:r>
            <w:r w:rsidR="00DC35E2">
              <w:t>Carthagène</w:t>
            </w:r>
            <w:r>
              <w:rPr>
                <w:color w:val="000000" w:themeColor="text1"/>
              </w:rPr>
              <w:t xml:space="preserve"> et de Nagoya réunis, avaient été programmés.</w:t>
            </w:r>
          </w:p>
          <w:p w14:paraId="4C08CB83" w14:textId="22417C4D" w:rsidR="002A5FD1" w:rsidRPr="00C67737" w:rsidRDefault="00E81EE4" w:rsidP="0004312D">
            <w:pPr>
              <w:widowControl w:val="0"/>
              <w:tabs>
                <w:tab w:val="left" w:pos="567"/>
                <w:tab w:val="left" w:pos="1134"/>
                <w:tab w:val="left" w:pos="1701"/>
                <w:tab w:val="left" w:pos="2268"/>
                <w:tab w:val="left" w:pos="2835"/>
                <w:tab w:val="left" w:pos="3402"/>
              </w:tabs>
              <w:snapToGrid/>
              <w:spacing w:before="100" w:after="100"/>
            </w:pPr>
            <w:r>
              <w:rPr>
                <w:color w:val="000000" w:themeColor="text1"/>
              </w:rPr>
              <w:t xml:space="preserve">Afin de garantir l’allocation d’un niveau de financement adéquat à l’appui des Protocoles durant </w:t>
            </w:r>
            <w:r w:rsidR="00376C22">
              <w:rPr>
                <w:color w:val="000000" w:themeColor="text1"/>
              </w:rPr>
              <w:t>GEF</w:t>
            </w:r>
            <w:r w:rsidR="00376C22">
              <w:rPr>
                <w:color w:val="000000" w:themeColor="text1"/>
              </w:rPr>
              <w:noBreakHyphen/>
            </w:r>
            <w:r>
              <w:rPr>
                <w:color w:val="000000" w:themeColor="text1"/>
              </w:rPr>
              <w:t xml:space="preserve">9, une réserve relevant du domaine d’intervention </w:t>
            </w:r>
            <w:r w:rsidR="0094079E">
              <w:rPr>
                <w:color w:val="000000" w:themeColor="text1"/>
              </w:rPr>
              <w:t>« </w:t>
            </w:r>
            <w:r>
              <w:rPr>
                <w:color w:val="000000" w:themeColor="text1"/>
              </w:rPr>
              <w:t>diversité biologique</w:t>
            </w:r>
            <w:r w:rsidR="0094079E">
              <w:rPr>
                <w:color w:val="000000" w:themeColor="text1"/>
              </w:rPr>
              <w:t> »</w:t>
            </w:r>
            <w:r>
              <w:rPr>
                <w:color w:val="000000" w:themeColor="text1"/>
              </w:rPr>
              <w:t xml:space="preserve"> a été prévue pour financer des projets régionaux ou mondiaux spécifiquement consacrés à la mise en œuvre des Protocoles. La priorité sera accordée aux pays qui n’ont pas bénéficié de financements du GEF à cette fin au cours des derniers cycles du GEF. Cette réserve complétera le STAR, que les pays admissibles sont encouragés à mobiliser aux fins de la mise en œuvre </w:t>
            </w:r>
            <w:r>
              <w:rPr>
                <w:color w:val="000000" w:themeColor="text1"/>
              </w:rPr>
              <w:lastRenderedPageBreak/>
              <w:t>des Protocoles, grâce au domaine d’intervention spécialement prévu à cet effet</w:t>
            </w:r>
            <w:r w:rsidR="006E54C7">
              <w:rPr>
                <w:color w:val="000000" w:themeColor="text1"/>
              </w:rPr>
              <w:t> :</w:t>
            </w:r>
            <w:r>
              <w:rPr>
                <w:color w:val="000000" w:themeColor="text1"/>
              </w:rPr>
              <w:t xml:space="preserve"> </w:t>
            </w:r>
            <w:r w:rsidR="0094079E">
              <w:rPr>
                <w:color w:val="000000" w:themeColor="text1"/>
              </w:rPr>
              <w:t>« </w:t>
            </w:r>
            <w:r w:rsidR="00601D83">
              <w:t xml:space="preserve">Renforcer la prévention des risques biotechnologiques et garantir le partage juste et équitable des avantages découlant de l’utilisation des ressources génétiques, notamment par la mise en œuvre des Protocoles de </w:t>
            </w:r>
            <w:r w:rsidR="00DC35E2">
              <w:t>Carthagène</w:t>
            </w:r>
            <w:r w:rsidR="00601D83">
              <w:t xml:space="preserve"> et de Nagoya</w:t>
            </w:r>
            <w:r>
              <w:rPr>
                <w:color w:val="000000" w:themeColor="text1"/>
              </w:rPr>
              <w:t>.</w:t>
            </w:r>
            <w:r w:rsidR="0094079E">
              <w:rPr>
                <w:color w:val="000000" w:themeColor="text1"/>
              </w:rPr>
              <w:t> »</w:t>
            </w:r>
          </w:p>
        </w:tc>
      </w:tr>
      <w:tr w:rsidR="00E37F07" w:rsidRPr="00C67737" w14:paraId="08D727A4" w14:textId="77777777" w:rsidTr="00F41E17">
        <w:trPr>
          <w:trHeight w:val="4896"/>
        </w:trPr>
        <w:tc>
          <w:tcPr>
            <w:tcW w:w="4315" w:type="dxa"/>
          </w:tcPr>
          <w:p w14:paraId="7DB3AA7F" w14:textId="5F0B4F76" w:rsidR="00E37F07" w:rsidRPr="00C67737" w:rsidRDefault="00E37F07" w:rsidP="0004312D">
            <w:pPr>
              <w:widowControl w:val="0"/>
              <w:tabs>
                <w:tab w:val="left" w:pos="567"/>
                <w:tab w:val="left" w:pos="1134"/>
                <w:tab w:val="left" w:pos="1701"/>
                <w:tab w:val="left" w:pos="2268"/>
                <w:tab w:val="left" w:pos="2835"/>
                <w:tab w:val="left" w:pos="3402"/>
              </w:tabs>
              <w:snapToGrid/>
              <w:spacing w:before="100" w:after="100"/>
              <w:contextualSpacing/>
              <w:rPr>
                <w:rFonts w:eastAsia="SimSun" w:cstheme="minorHAnsi"/>
                <w:color w:val="000000"/>
              </w:rPr>
            </w:pPr>
            <w:r>
              <w:rPr>
                <w:color w:val="000000"/>
              </w:rPr>
              <w:lastRenderedPageBreak/>
              <w:t>b) Continuer à fournir un appui aux Parties admissibles pour entreprendre des activités dans les domaines suivants</w:t>
            </w:r>
            <w:r w:rsidR="006E54C7">
              <w:rPr>
                <w:color w:val="000000"/>
              </w:rPr>
              <w:t> :</w:t>
            </w:r>
          </w:p>
          <w:p w14:paraId="70A0BCB3" w14:textId="79F1F0B9" w:rsidR="00E37F07" w:rsidRPr="00C67737" w:rsidRDefault="00E37F07" w:rsidP="003A2A65">
            <w:pPr>
              <w:widowControl w:val="0"/>
              <w:tabs>
                <w:tab w:val="left" w:pos="567"/>
                <w:tab w:val="left" w:pos="1134"/>
                <w:tab w:val="left" w:pos="1701"/>
                <w:tab w:val="left" w:pos="2268"/>
                <w:tab w:val="left" w:pos="2835"/>
                <w:tab w:val="left" w:pos="3402"/>
              </w:tabs>
              <w:snapToGrid/>
              <w:spacing w:before="100" w:after="100"/>
              <w:ind w:firstLine="144"/>
              <w:contextualSpacing/>
              <w:rPr>
                <w:rFonts w:eastAsia="SimSun" w:cstheme="minorHAnsi"/>
                <w:color w:val="000000"/>
              </w:rPr>
            </w:pPr>
            <w:r>
              <w:rPr>
                <w:color w:val="000000"/>
              </w:rPr>
              <w:t>i) Priorités particulières concernant la poursuite des activités de création et de renforcement des capacités afin d’appuyer la mise en œuvre du Protocole de Nagoya</w:t>
            </w:r>
            <w:r w:rsidR="006E54C7">
              <w:rPr>
                <w:color w:val="000000"/>
              </w:rPr>
              <w:t> ;</w:t>
            </w:r>
          </w:p>
          <w:p w14:paraId="617414E3" w14:textId="2299F9DF" w:rsidR="00E37F07" w:rsidRPr="00C67737" w:rsidRDefault="00E37F07" w:rsidP="003A2A65">
            <w:pPr>
              <w:widowControl w:val="0"/>
              <w:tabs>
                <w:tab w:val="left" w:pos="567"/>
                <w:tab w:val="left" w:pos="1134"/>
                <w:tab w:val="left" w:pos="1701"/>
                <w:tab w:val="left" w:pos="2268"/>
                <w:tab w:val="left" w:pos="2835"/>
                <w:tab w:val="left" w:pos="3402"/>
              </w:tabs>
              <w:snapToGrid/>
              <w:spacing w:before="100" w:after="100"/>
              <w:ind w:firstLine="144"/>
              <w:contextualSpacing/>
              <w:rPr>
                <w:rFonts w:eastAsia="SimSun" w:cstheme="minorHAnsi"/>
                <w:color w:val="000000"/>
              </w:rPr>
            </w:pPr>
            <w:r>
              <w:rPr>
                <w:snapToGrid w:val="0"/>
                <w:color w:val="000000"/>
              </w:rPr>
              <w:t>ii) Intégration</w:t>
            </w:r>
            <w:r>
              <w:rPr>
                <w:color w:val="000000"/>
              </w:rPr>
              <w:t xml:space="preserve"> de l’accès et du partage des avantages découlant de l’utilisation des ressources génétiques et des connaissances traditionnelles associées aux ressources génétiques dans les politiques et les activités liées à la biodiversité et au développement durable</w:t>
            </w:r>
            <w:r w:rsidR="006E54C7">
              <w:rPr>
                <w:color w:val="000000"/>
              </w:rPr>
              <w:t> ;</w:t>
            </w:r>
          </w:p>
          <w:p w14:paraId="3A503D4A" w14:textId="545901C2" w:rsidR="00E37F07" w:rsidRPr="00C67737" w:rsidRDefault="00E37F07" w:rsidP="003A2A65">
            <w:pPr>
              <w:widowControl w:val="0"/>
              <w:tabs>
                <w:tab w:val="left" w:pos="567"/>
                <w:tab w:val="left" w:pos="1134"/>
                <w:tab w:val="left" w:pos="1701"/>
                <w:tab w:val="left" w:pos="2268"/>
                <w:tab w:val="left" w:pos="2835"/>
                <w:tab w:val="left" w:pos="3402"/>
              </w:tabs>
              <w:snapToGrid/>
              <w:spacing w:before="100" w:after="0"/>
              <w:ind w:firstLine="144"/>
              <w:rPr>
                <w:rFonts w:cstheme="minorHAnsi"/>
                <w:b/>
                <w:bCs/>
                <w:iCs/>
                <w:snapToGrid w:val="0"/>
                <w:color w:val="000000"/>
                <w:kern w:val="22"/>
              </w:rPr>
            </w:pPr>
            <w:r>
              <w:rPr>
                <w:color w:val="000000"/>
              </w:rPr>
              <w:t>iii) Développement de capacités institutionnelles à long terme pour la gestion, le suivi et l’évaluation des cadres nationaux d’accès et de partage des avantages.</w:t>
            </w:r>
          </w:p>
        </w:tc>
        <w:tc>
          <w:tcPr>
            <w:tcW w:w="5035" w:type="dxa"/>
          </w:tcPr>
          <w:p w14:paraId="334C153A" w14:textId="694F3635" w:rsidR="00E37F07" w:rsidRPr="00C67737" w:rsidRDefault="00735381" w:rsidP="00826404">
            <w:pPr>
              <w:widowControl w:val="0"/>
            </w:pPr>
            <w:r>
              <w:t xml:space="preserve">Ces éléments sont repris dans les </w:t>
            </w:r>
            <w:r w:rsidR="00F02738">
              <w:t>orientations programmatiques</w:t>
            </w:r>
            <w:r w:rsidR="00083519">
              <w:t xml:space="preserve"> </w:t>
            </w:r>
            <w:r>
              <w:t xml:space="preserve">de </w:t>
            </w:r>
            <w:r w:rsidR="00376C22">
              <w:t>GEF</w:t>
            </w:r>
            <w:r w:rsidR="00376C22">
              <w:noBreakHyphen/>
            </w:r>
            <w:r>
              <w:t>9</w:t>
            </w:r>
            <w:r w:rsidRPr="00C67737">
              <w:rPr>
                <w:vertAlign w:val="superscript"/>
              </w:rPr>
              <w:footnoteReference w:id="155"/>
            </w:r>
            <w:r>
              <w:t xml:space="preserve">, au titre de l’objectif de la Stratégie du domaine d’intervention </w:t>
            </w:r>
            <w:r w:rsidR="0094079E">
              <w:t>« </w:t>
            </w:r>
            <w:r>
              <w:t>diversité biologique</w:t>
            </w:r>
            <w:r w:rsidR="0094079E">
              <w:t> »</w:t>
            </w:r>
            <w:r>
              <w:t xml:space="preserve"> </w:t>
            </w:r>
            <w:r w:rsidR="003A2A65">
              <w:t xml:space="preserve">suivant : </w:t>
            </w:r>
            <w:r w:rsidR="003A2A65">
              <w:rPr>
                <w:color w:val="000000" w:themeColor="text1"/>
              </w:rPr>
              <w:t>« </w:t>
            </w:r>
            <w:r w:rsidR="003A2A65">
              <w:t xml:space="preserve">Renforcer la prévention des risques biotechnologiques et garantir le partage juste et équitable des avantages découlant de l’utilisation des ressources génétiques, notamment par la mise en œuvre des Protocoles de </w:t>
            </w:r>
            <w:r w:rsidR="00DC35E2">
              <w:t>Carthagène</w:t>
            </w:r>
            <w:r w:rsidR="003A2A65">
              <w:t xml:space="preserve"> et de Nagoya</w:t>
            </w:r>
            <w:r w:rsidR="003A2A65">
              <w:rPr>
                <w:color w:val="000000" w:themeColor="text1"/>
              </w:rPr>
              <w:t>. »</w:t>
            </w:r>
          </w:p>
        </w:tc>
      </w:tr>
    </w:tbl>
    <w:p w14:paraId="6ED2958B" w14:textId="77777777" w:rsidR="002A5FD1" w:rsidRPr="00C67737" w:rsidRDefault="002A5FD1" w:rsidP="000063B6"/>
    <w:p w14:paraId="3BF50391" w14:textId="77777777" w:rsidR="003D1A26" w:rsidRPr="00C67737" w:rsidRDefault="003D1A26" w:rsidP="003D1A26">
      <w:pPr>
        <w:snapToGrid/>
        <w:spacing w:before="240" w:after="240"/>
        <w:rPr>
          <w:rFonts w:eastAsiaTheme="majorEastAsia" w:cstheme="minorHAnsi"/>
          <w:b/>
          <w:smallCaps/>
          <w:snapToGrid w:val="0"/>
          <w:color w:val="0070C0"/>
          <w:kern w:val="22"/>
          <w:sz w:val="24"/>
        </w:rPr>
      </w:pPr>
      <w:r w:rsidRPr="00C67737">
        <w:rPr>
          <w:color w:val="0070C0"/>
        </w:rPr>
        <w:br w:type="page"/>
      </w:r>
    </w:p>
    <w:p w14:paraId="4196970F" w14:textId="77777777" w:rsidR="003D1A26" w:rsidRPr="00364741" w:rsidRDefault="003D1A26" w:rsidP="00640F63">
      <w:pPr>
        <w:pStyle w:val="Heading1"/>
        <w:sectPr w:rsidR="003D1A26" w:rsidRPr="00364741" w:rsidSect="003D1A26">
          <w:pgSz w:w="12240" w:h="15840"/>
          <w:pgMar w:top="1440" w:right="1440" w:bottom="1440" w:left="1440" w:header="720" w:footer="288" w:gutter="0"/>
          <w:cols w:space="720"/>
          <w:docGrid w:linePitch="360"/>
        </w:sectPr>
      </w:pPr>
    </w:p>
    <w:p w14:paraId="16D2CF1C" w14:textId="77777777" w:rsidR="003A6DDB" w:rsidRPr="00C67737" w:rsidRDefault="003A6DDB" w:rsidP="00640F63">
      <w:pPr>
        <w:pStyle w:val="Heading1"/>
        <w:numPr>
          <w:ilvl w:val="0"/>
          <w:numId w:val="0"/>
        </w:numPr>
        <w:rPr>
          <w:bCs/>
          <w:kern w:val="2"/>
          <w:lang w:val="en-US"/>
          <w14:ligatures w14:val="standardContextual"/>
        </w:rPr>
      </w:pPr>
      <w:bookmarkStart w:id="210" w:name="_Toc239237102"/>
      <w:bookmarkStart w:id="211" w:name="_Toc242184735"/>
      <w:bookmarkStart w:id="212" w:name="_Toc242185299"/>
      <w:r w:rsidRPr="00C67737">
        <w:rPr>
          <w:lang w:val="en-US"/>
        </w:rPr>
        <w:lastRenderedPageBreak/>
        <w:t>Annex 3: GEF-8 Biodiversity and Multi Focal Area Projects: Approved</w:t>
      </w:r>
      <w:bookmarkEnd w:id="210"/>
      <w:bookmarkEnd w:id="211"/>
      <w:bookmarkEnd w:id="212"/>
      <w:r w:rsidRPr="00C67737">
        <w:rPr>
          <w:lang w:val="en-US"/>
        </w:rPr>
        <w:t xml:space="preserve"> </w:t>
      </w:r>
    </w:p>
    <w:p w14:paraId="4C6F7578" w14:textId="0243BDA2" w:rsidR="005576FA" w:rsidRPr="005576FA" w:rsidRDefault="005576FA" w:rsidP="005576FA">
      <w:pPr>
        <w:rPr>
          <w:lang w:val="en-US"/>
        </w:rPr>
      </w:pPr>
      <w:r w:rsidRPr="005576FA">
        <w:rPr>
          <w:lang w:val="en-US"/>
        </w:rPr>
        <w:t xml:space="preserve">This annex lists all projects approved for GEF funding from July 1, 2022, to June 30, 2026.  During that time, a total of $524 million resources from the Biodiversity Focal Area were allocated to 83 Biodiversity Focal Area projects. In addition, a total of $1,271 million resources from the BDFA were programmed in 317 Multi-Focal Area projects (including 206 child projects under 21 IPs and programs). There were 82 GBFF projects and PPGs approved during this period, totaling $362 million in financing. All related project documents are available on the GEF website: </w:t>
      </w:r>
      <w:hyperlink r:id="rId66" w:history="1">
        <w:r w:rsidR="00B47A75" w:rsidRPr="00B47A75">
          <w:rPr>
            <w:rStyle w:val="Hyperlink"/>
            <w:lang w:val="en-US"/>
          </w:rPr>
          <w:t>https://www.thegef.org/projects-operations/database</w:t>
        </w:r>
      </w:hyperlink>
    </w:p>
    <w:p w14:paraId="6AFA5BE6" w14:textId="77777777" w:rsidR="005576FA" w:rsidRPr="005576FA" w:rsidRDefault="005576FA" w:rsidP="005576FA">
      <w:pPr>
        <w:rPr>
          <w:lang w:val="en-US"/>
        </w:rPr>
      </w:pPr>
    </w:p>
    <w:tbl>
      <w:tblPr>
        <w:tblStyle w:val="PlainTable31"/>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400"/>
        <w:gridCol w:w="810"/>
        <w:gridCol w:w="990"/>
        <w:gridCol w:w="990"/>
        <w:gridCol w:w="630"/>
        <w:gridCol w:w="810"/>
        <w:gridCol w:w="990"/>
        <w:gridCol w:w="990"/>
        <w:gridCol w:w="900"/>
      </w:tblGrid>
      <w:tr w:rsidR="00C0269A" w:rsidRPr="00C67737" w14:paraId="76B37DDD" w14:textId="77777777" w:rsidTr="00D22022">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625" w:type="dxa"/>
            <w:shd w:val="clear" w:color="auto" w:fill="DEEAF6" w:themeFill="accent5" w:themeFillTint="33"/>
            <w:noWrap/>
            <w:vAlign w:val="center"/>
          </w:tcPr>
          <w:p w14:paraId="593D5EC2" w14:textId="77777777" w:rsidR="00C0269A" w:rsidRPr="00C67737" w:rsidRDefault="00C0269A" w:rsidP="00D22022">
            <w:pPr>
              <w:snapToGrid/>
              <w:spacing w:before="0" w:after="0"/>
              <w:jc w:val="center"/>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GEFID</w:t>
            </w:r>
          </w:p>
        </w:tc>
        <w:tc>
          <w:tcPr>
            <w:tcW w:w="5400" w:type="dxa"/>
            <w:shd w:val="clear" w:color="auto" w:fill="DEEAF6" w:themeFill="accent5" w:themeFillTint="33"/>
            <w:noWrap/>
            <w:vAlign w:val="center"/>
          </w:tcPr>
          <w:p w14:paraId="226922A7" w14:textId="77777777" w:rsidR="00C0269A" w:rsidRPr="00C67737" w:rsidRDefault="00C0269A" w:rsidP="00D2202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Project Title</w:t>
            </w:r>
          </w:p>
        </w:tc>
        <w:tc>
          <w:tcPr>
            <w:tcW w:w="810" w:type="dxa"/>
            <w:shd w:val="clear" w:color="auto" w:fill="DEEAF6" w:themeFill="accent5" w:themeFillTint="33"/>
            <w:noWrap/>
            <w:vAlign w:val="center"/>
          </w:tcPr>
          <w:p w14:paraId="366322E8" w14:textId="77777777" w:rsidR="00C0269A" w:rsidRPr="00C67737" w:rsidRDefault="00C0269A" w:rsidP="00D2202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Lead Agency Name</w:t>
            </w:r>
          </w:p>
        </w:tc>
        <w:tc>
          <w:tcPr>
            <w:tcW w:w="990" w:type="dxa"/>
            <w:shd w:val="clear" w:color="auto" w:fill="DEEAF6" w:themeFill="accent5" w:themeFillTint="33"/>
            <w:noWrap/>
            <w:vAlign w:val="center"/>
          </w:tcPr>
          <w:p w14:paraId="143EE7A4" w14:textId="77777777" w:rsidR="00C0269A" w:rsidRPr="00C67737" w:rsidRDefault="00C0269A" w:rsidP="00D2202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Country Name</w:t>
            </w:r>
          </w:p>
        </w:tc>
        <w:tc>
          <w:tcPr>
            <w:tcW w:w="990" w:type="dxa"/>
            <w:shd w:val="clear" w:color="auto" w:fill="DEEAF6" w:themeFill="accent5" w:themeFillTint="33"/>
            <w:noWrap/>
            <w:vAlign w:val="center"/>
          </w:tcPr>
          <w:p w14:paraId="4C492B63" w14:textId="77777777" w:rsidR="00C0269A" w:rsidRPr="00C67737" w:rsidRDefault="00C0269A" w:rsidP="00D2202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Focal Area Name</w:t>
            </w:r>
          </w:p>
        </w:tc>
        <w:tc>
          <w:tcPr>
            <w:tcW w:w="630" w:type="dxa"/>
            <w:shd w:val="clear" w:color="auto" w:fill="DEEAF6" w:themeFill="accent5" w:themeFillTint="33"/>
            <w:vAlign w:val="center"/>
          </w:tcPr>
          <w:p w14:paraId="2E124045" w14:textId="77777777" w:rsidR="00C0269A" w:rsidRPr="00C67737" w:rsidRDefault="00C0269A" w:rsidP="00D2202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trust fund</w:t>
            </w:r>
            <w:r w:rsidRPr="00C67737">
              <w:rPr>
                <w:rStyle w:val="FootnoteReference"/>
                <w:rFonts w:eastAsia="Times New Roman" w:cstheme="minorHAnsi"/>
                <w:color w:val="000000" w:themeColor="text1"/>
                <w:sz w:val="15"/>
                <w:szCs w:val="15"/>
              </w:rPr>
              <w:footnoteReference w:id="156"/>
            </w:r>
          </w:p>
        </w:tc>
        <w:tc>
          <w:tcPr>
            <w:tcW w:w="810" w:type="dxa"/>
            <w:shd w:val="clear" w:color="auto" w:fill="DEEAF6" w:themeFill="accent5" w:themeFillTint="33"/>
            <w:noWrap/>
            <w:vAlign w:val="center"/>
          </w:tcPr>
          <w:p w14:paraId="0D385F9A" w14:textId="77777777" w:rsidR="00C0269A" w:rsidRPr="00C67737" w:rsidRDefault="00C0269A" w:rsidP="00D2202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Project Type</w:t>
            </w:r>
            <w:r w:rsidRPr="00C67737">
              <w:rPr>
                <w:rStyle w:val="FootnoteReference"/>
                <w:rFonts w:eastAsia="Times New Roman" w:cstheme="minorHAnsi"/>
                <w:color w:val="000000" w:themeColor="text1"/>
                <w:sz w:val="15"/>
                <w:szCs w:val="15"/>
              </w:rPr>
              <w:footnoteReference w:id="157"/>
            </w:r>
          </w:p>
        </w:tc>
        <w:tc>
          <w:tcPr>
            <w:tcW w:w="990" w:type="dxa"/>
            <w:shd w:val="clear" w:color="auto" w:fill="DEEAF6" w:themeFill="accent5" w:themeFillTint="33"/>
            <w:noWrap/>
            <w:vAlign w:val="center"/>
          </w:tcPr>
          <w:p w14:paraId="46B843D4" w14:textId="77777777" w:rsidR="00C0269A" w:rsidRPr="00C67737" w:rsidRDefault="00C0269A" w:rsidP="00D2202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Total GEF Resources ($ million)</w:t>
            </w:r>
          </w:p>
        </w:tc>
        <w:tc>
          <w:tcPr>
            <w:tcW w:w="990" w:type="dxa"/>
            <w:shd w:val="clear" w:color="auto" w:fill="DEEAF6" w:themeFill="accent5" w:themeFillTint="33"/>
            <w:noWrap/>
            <w:vAlign w:val="center"/>
          </w:tcPr>
          <w:p w14:paraId="260EEE4A" w14:textId="77777777" w:rsidR="00C0269A" w:rsidRPr="00C67737" w:rsidRDefault="00C0269A" w:rsidP="00D2202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Co-financing</w:t>
            </w:r>
          </w:p>
        </w:tc>
        <w:tc>
          <w:tcPr>
            <w:tcW w:w="900" w:type="dxa"/>
            <w:shd w:val="clear" w:color="auto" w:fill="DEEAF6" w:themeFill="accent5" w:themeFillTint="33"/>
            <w:noWrap/>
            <w:vAlign w:val="center"/>
          </w:tcPr>
          <w:p w14:paraId="25D8514B" w14:textId="77777777" w:rsidR="00C0269A" w:rsidRPr="00C67737" w:rsidRDefault="00C0269A" w:rsidP="00D2202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Total Project Costs ($ million)</w:t>
            </w:r>
          </w:p>
        </w:tc>
      </w:tr>
      <w:tr w:rsidR="00C0269A" w:rsidRPr="00C67737" w14:paraId="487886F9"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F07C6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12248</w:t>
            </w:r>
          </w:p>
        </w:tc>
        <w:tc>
          <w:tcPr>
            <w:tcW w:w="5400" w:type="dxa"/>
            <w:noWrap/>
            <w:hideMark/>
          </w:tcPr>
          <w:p w14:paraId="4AE12B4C"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 xml:space="preserve">A Conservation Trust Fund for the Kavango Zambezi Transfrontier Conservation Area </w:t>
            </w:r>
          </w:p>
        </w:tc>
        <w:tc>
          <w:tcPr>
            <w:tcW w:w="810" w:type="dxa"/>
            <w:noWrap/>
            <w:hideMark/>
          </w:tcPr>
          <w:p w14:paraId="3B46DF1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28E894E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DA6045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650158F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FBDFF9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702851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3.63</w:t>
            </w:r>
          </w:p>
        </w:tc>
        <w:tc>
          <w:tcPr>
            <w:tcW w:w="990" w:type="dxa"/>
            <w:noWrap/>
            <w:hideMark/>
          </w:tcPr>
          <w:p w14:paraId="76B7AEE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6.60</w:t>
            </w:r>
          </w:p>
        </w:tc>
        <w:tc>
          <w:tcPr>
            <w:tcW w:w="900" w:type="dxa"/>
            <w:noWrap/>
            <w:hideMark/>
          </w:tcPr>
          <w:p w14:paraId="7FBE741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10.23</w:t>
            </w:r>
          </w:p>
        </w:tc>
      </w:tr>
      <w:tr w:rsidR="00C0269A" w:rsidRPr="00C67737" w14:paraId="11E9C650"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DED89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12241</w:t>
            </w:r>
          </w:p>
        </w:tc>
        <w:tc>
          <w:tcPr>
            <w:tcW w:w="5400" w:type="dxa"/>
            <w:noWrap/>
            <w:hideMark/>
          </w:tcPr>
          <w:p w14:paraId="4A282CC3"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Mountain Ecosystems in Central Asia –Results-based Financing Mechanism Development</w:t>
            </w:r>
          </w:p>
        </w:tc>
        <w:tc>
          <w:tcPr>
            <w:tcW w:w="810" w:type="dxa"/>
            <w:noWrap/>
            <w:hideMark/>
          </w:tcPr>
          <w:p w14:paraId="024A241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15815E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B4CD63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2DC325F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295609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7A70FC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5.42</w:t>
            </w:r>
          </w:p>
        </w:tc>
        <w:tc>
          <w:tcPr>
            <w:tcW w:w="990" w:type="dxa"/>
            <w:noWrap/>
            <w:hideMark/>
          </w:tcPr>
          <w:p w14:paraId="4F14B1A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38.00</w:t>
            </w:r>
          </w:p>
        </w:tc>
        <w:tc>
          <w:tcPr>
            <w:tcW w:w="900" w:type="dxa"/>
            <w:noWrap/>
            <w:hideMark/>
          </w:tcPr>
          <w:p w14:paraId="67F089F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43.42</w:t>
            </w:r>
          </w:p>
        </w:tc>
      </w:tr>
      <w:tr w:rsidR="00C0269A" w:rsidRPr="00C67737" w14:paraId="0FE8D4B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69AF0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12237</w:t>
            </w:r>
          </w:p>
        </w:tc>
        <w:tc>
          <w:tcPr>
            <w:tcW w:w="5400" w:type="dxa"/>
            <w:noWrap/>
            <w:hideMark/>
          </w:tcPr>
          <w:p w14:paraId="016C495B"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Mexico Blue Prosperity, IPLC-led Conservation in the Gulf of California</w:t>
            </w:r>
          </w:p>
        </w:tc>
        <w:tc>
          <w:tcPr>
            <w:tcW w:w="810" w:type="dxa"/>
            <w:noWrap/>
            <w:hideMark/>
          </w:tcPr>
          <w:p w14:paraId="3246E92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656C10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7DD1640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64F7CE5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1B4B40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C6A6B9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90" w:type="dxa"/>
            <w:noWrap/>
            <w:hideMark/>
          </w:tcPr>
          <w:p w14:paraId="79AF83C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115.81</w:t>
            </w:r>
          </w:p>
        </w:tc>
        <w:tc>
          <w:tcPr>
            <w:tcW w:w="900" w:type="dxa"/>
            <w:noWrap/>
            <w:hideMark/>
          </w:tcPr>
          <w:p w14:paraId="5D5E90E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125.81</w:t>
            </w:r>
          </w:p>
        </w:tc>
      </w:tr>
      <w:tr w:rsidR="00C0269A" w:rsidRPr="00C67737" w14:paraId="0B2F6D1F"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3452A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12234</w:t>
            </w:r>
          </w:p>
        </w:tc>
        <w:tc>
          <w:tcPr>
            <w:tcW w:w="5400" w:type="dxa"/>
            <w:noWrap/>
            <w:hideMark/>
          </w:tcPr>
          <w:p w14:paraId="5C54C8E2"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Promoting OECMs into the Network of Biodiversity Conservation Areas in Burkina Faso</w:t>
            </w:r>
          </w:p>
        </w:tc>
        <w:tc>
          <w:tcPr>
            <w:tcW w:w="810" w:type="dxa"/>
            <w:noWrap/>
            <w:hideMark/>
          </w:tcPr>
          <w:p w14:paraId="3BAB60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38A930E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Burkina Faso</w:t>
            </w:r>
          </w:p>
        </w:tc>
        <w:tc>
          <w:tcPr>
            <w:tcW w:w="990" w:type="dxa"/>
            <w:noWrap/>
            <w:hideMark/>
          </w:tcPr>
          <w:p w14:paraId="4DC6F1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641885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BC003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045602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7087B85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00" w:type="dxa"/>
            <w:noWrap/>
            <w:hideMark/>
          </w:tcPr>
          <w:p w14:paraId="21B72C6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r>
      <w:tr w:rsidR="00C0269A" w:rsidRPr="00C67737" w14:paraId="1B7598A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7A01D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12224</w:t>
            </w:r>
          </w:p>
        </w:tc>
        <w:tc>
          <w:tcPr>
            <w:tcW w:w="5400" w:type="dxa"/>
            <w:noWrap/>
            <w:hideMark/>
          </w:tcPr>
          <w:p w14:paraId="24A5B587"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Strengthening Jamaica’s Fish Sanctuaries: A Scalable Model for Biodiversity and Coastal Livelihoods</w:t>
            </w:r>
          </w:p>
        </w:tc>
        <w:tc>
          <w:tcPr>
            <w:tcW w:w="810" w:type="dxa"/>
            <w:noWrap/>
            <w:hideMark/>
          </w:tcPr>
          <w:p w14:paraId="0431D1C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0648F7E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Jamaica</w:t>
            </w:r>
          </w:p>
        </w:tc>
        <w:tc>
          <w:tcPr>
            <w:tcW w:w="990" w:type="dxa"/>
            <w:noWrap/>
            <w:hideMark/>
          </w:tcPr>
          <w:p w14:paraId="385A95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61FBDD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AC394E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C348F6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3.25</w:t>
            </w:r>
          </w:p>
        </w:tc>
        <w:tc>
          <w:tcPr>
            <w:tcW w:w="990" w:type="dxa"/>
            <w:noWrap/>
            <w:hideMark/>
          </w:tcPr>
          <w:p w14:paraId="576D42D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3.45</w:t>
            </w:r>
          </w:p>
        </w:tc>
        <w:tc>
          <w:tcPr>
            <w:tcW w:w="900" w:type="dxa"/>
            <w:noWrap/>
            <w:hideMark/>
          </w:tcPr>
          <w:p w14:paraId="15A9502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6.70</w:t>
            </w:r>
          </w:p>
        </w:tc>
      </w:tr>
      <w:tr w:rsidR="00C0269A" w:rsidRPr="00C67737" w14:paraId="67A3615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6F05E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12218</w:t>
            </w:r>
          </w:p>
        </w:tc>
        <w:tc>
          <w:tcPr>
            <w:tcW w:w="5400" w:type="dxa"/>
            <w:noWrap/>
            <w:hideMark/>
          </w:tcPr>
          <w:p w14:paraId="03416B33"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Agricultural OECMs for Biodiversity Conservation: A Demonstration on Santo Antão Island</w:t>
            </w:r>
          </w:p>
        </w:tc>
        <w:tc>
          <w:tcPr>
            <w:tcW w:w="810" w:type="dxa"/>
            <w:noWrap/>
            <w:hideMark/>
          </w:tcPr>
          <w:p w14:paraId="7FBA2A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3FFC88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Cabo Verde</w:t>
            </w:r>
          </w:p>
        </w:tc>
        <w:tc>
          <w:tcPr>
            <w:tcW w:w="990" w:type="dxa"/>
            <w:noWrap/>
            <w:hideMark/>
          </w:tcPr>
          <w:p w14:paraId="26BBE6E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11956D2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C885C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654B8E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4.79</w:t>
            </w:r>
          </w:p>
        </w:tc>
        <w:tc>
          <w:tcPr>
            <w:tcW w:w="990" w:type="dxa"/>
            <w:noWrap/>
            <w:hideMark/>
          </w:tcPr>
          <w:p w14:paraId="7B46BB5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4.50</w:t>
            </w:r>
          </w:p>
        </w:tc>
        <w:tc>
          <w:tcPr>
            <w:tcW w:w="900" w:type="dxa"/>
            <w:noWrap/>
            <w:hideMark/>
          </w:tcPr>
          <w:p w14:paraId="638E5D6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9.29</w:t>
            </w:r>
          </w:p>
        </w:tc>
      </w:tr>
      <w:tr w:rsidR="00C0269A" w:rsidRPr="00C67737" w14:paraId="20511F1C"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D9FD4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12213</w:t>
            </w:r>
          </w:p>
        </w:tc>
        <w:tc>
          <w:tcPr>
            <w:tcW w:w="5400" w:type="dxa"/>
            <w:noWrap/>
            <w:hideMark/>
          </w:tcPr>
          <w:p w14:paraId="22D763BE"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Building Nature-Positive Future for Lake Sevan</w:t>
            </w:r>
          </w:p>
        </w:tc>
        <w:tc>
          <w:tcPr>
            <w:tcW w:w="810" w:type="dxa"/>
            <w:noWrap/>
            <w:hideMark/>
          </w:tcPr>
          <w:p w14:paraId="3C1A31A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53F015B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Armenia</w:t>
            </w:r>
          </w:p>
        </w:tc>
        <w:tc>
          <w:tcPr>
            <w:tcW w:w="990" w:type="dxa"/>
            <w:noWrap/>
            <w:hideMark/>
          </w:tcPr>
          <w:p w14:paraId="3C7E920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5EB41FD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F36F93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B027E1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w:t>
            </w:r>
          </w:p>
        </w:tc>
        <w:tc>
          <w:tcPr>
            <w:tcW w:w="990" w:type="dxa"/>
            <w:noWrap/>
            <w:hideMark/>
          </w:tcPr>
          <w:p w14:paraId="69AC993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w:t>
            </w:r>
          </w:p>
        </w:tc>
        <w:tc>
          <w:tcPr>
            <w:tcW w:w="900" w:type="dxa"/>
            <w:noWrap/>
            <w:hideMark/>
          </w:tcPr>
          <w:p w14:paraId="1D7EB0C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2.90</w:t>
            </w:r>
          </w:p>
        </w:tc>
      </w:tr>
      <w:tr w:rsidR="00C0269A" w:rsidRPr="00C67737" w14:paraId="572998F5"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2333F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12210</w:t>
            </w:r>
          </w:p>
        </w:tc>
        <w:tc>
          <w:tcPr>
            <w:tcW w:w="5400" w:type="dxa"/>
            <w:noWrap/>
            <w:hideMark/>
          </w:tcPr>
          <w:p w14:paraId="588D4672"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 xml:space="preserve">PRESERVE Indonesia: Mobilizing Blended Biodiversity Finance for Community-Led Preservation Areas (Areal </w:t>
            </w:r>
            <w:proofErr w:type="spellStart"/>
            <w:r w:rsidRPr="00CA5A8A">
              <w:rPr>
                <w:rFonts w:eastAsia="Times New Roman" w:cstheme="minorHAnsi"/>
                <w:color w:val="000000"/>
                <w:sz w:val="16"/>
                <w:szCs w:val="16"/>
                <w:lang w:val="en-US"/>
              </w:rPr>
              <w:t>Preservasi</w:t>
            </w:r>
            <w:proofErr w:type="spellEnd"/>
            <w:r w:rsidRPr="00CA5A8A">
              <w:rPr>
                <w:rFonts w:eastAsia="Times New Roman" w:cstheme="minorHAnsi"/>
                <w:color w:val="000000"/>
                <w:sz w:val="16"/>
                <w:szCs w:val="16"/>
                <w:lang w:val="en-US"/>
              </w:rPr>
              <w:t>/OECMs)</w:t>
            </w:r>
          </w:p>
        </w:tc>
        <w:tc>
          <w:tcPr>
            <w:tcW w:w="810" w:type="dxa"/>
            <w:noWrap/>
            <w:hideMark/>
          </w:tcPr>
          <w:p w14:paraId="3ED47AB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87405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160250F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1E7F5B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AC9F78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129905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8.50</w:t>
            </w:r>
          </w:p>
        </w:tc>
        <w:tc>
          <w:tcPr>
            <w:tcW w:w="990" w:type="dxa"/>
            <w:noWrap/>
            <w:hideMark/>
          </w:tcPr>
          <w:p w14:paraId="1293508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3.14</w:t>
            </w:r>
          </w:p>
        </w:tc>
        <w:tc>
          <w:tcPr>
            <w:tcW w:w="900" w:type="dxa"/>
            <w:noWrap/>
            <w:hideMark/>
          </w:tcPr>
          <w:p w14:paraId="3884BBE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11.64</w:t>
            </w:r>
          </w:p>
        </w:tc>
      </w:tr>
      <w:tr w:rsidR="00C0269A" w:rsidRPr="00C67737" w14:paraId="7B203BB3"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DDDB7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12208</w:t>
            </w:r>
          </w:p>
        </w:tc>
        <w:tc>
          <w:tcPr>
            <w:tcW w:w="5400" w:type="dxa"/>
            <w:noWrap/>
            <w:hideMark/>
          </w:tcPr>
          <w:p w14:paraId="673A97F0"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Implementation of Biological Corridors in the Eastern Coastal Region of El Salvador</w:t>
            </w:r>
          </w:p>
        </w:tc>
        <w:tc>
          <w:tcPr>
            <w:tcW w:w="810" w:type="dxa"/>
            <w:noWrap/>
            <w:hideMark/>
          </w:tcPr>
          <w:p w14:paraId="4DE3B55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3AFCA2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El Salvador</w:t>
            </w:r>
          </w:p>
        </w:tc>
        <w:tc>
          <w:tcPr>
            <w:tcW w:w="990" w:type="dxa"/>
            <w:noWrap/>
            <w:hideMark/>
          </w:tcPr>
          <w:p w14:paraId="79EC13C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0C0E8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3B2E32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0C1C3F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w:t>
            </w:r>
          </w:p>
        </w:tc>
        <w:tc>
          <w:tcPr>
            <w:tcW w:w="990" w:type="dxa"/>
            <w:noWrap/>
            <w:hideMark/>
          </w:tcPr>
          <w:p w14:paraId="548777F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0.97</w:t>
            </w:r>
          </w:p>
        </w:tc>
        <w:tc>
          <w:tcPr>
            <w:tcW w:w="900" w:type="dxa"/>
            <w:noWrap/>
            <w:hideMark/>
          </w:tcPr>
          <w:p w14:paraId="6C119F7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2.47</w:t>
            </w:r>
          </w:p>
        </w:tc>
      </w:tr>
      <w:tr w:rsidR="00C0269A" w:rsidRPr="00C67737" w14:paraId="45318D3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9F325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12201</w:t>
            </w:r>
          </w:p>
        </w:tc>
        <w:tc>
          <w:tcPr>
            <w:tcW w:w="5400" w:type="dxa"/>
            <w:noWrap/>
            <w:hideMark/>
          </w:tcPr>
          <w:p w14:paraId="5C5B3E99"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Suriname Coastal Marine Ecosystem Protection and Governance Program</w:t>
            </w:r>
          </w:p>
        </w:tc>
        <w:tc>
          <w:tcPr>
            <w:tcW w:w="810" w:type="dxa"/>
            <w:noWrap/>
            <w:hideMark/>
          </w:tcPr>
          <w:p w14:paraId="337D4B4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68BC9DA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Suriname</w:t>
            </w:r>
          </w:p>
        </w:tc>
        <w:tc>
          <w:tcPr>
            <w:tcW w:w="990" w:type="dxa"/>
            <w:noWrap/>
            <w:hideMark/>
          </w:tcPr>
          <w:p w14:paraId="26F913D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3C7B08D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70E922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50A5DB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0.84</w:t>
            </w:r>
          </w:p>
        </w:tc>
        <w:tc>
          <w:tcPr>
            <w:tcW w:w="990" w:type="dxa"/>
            <w:noWrap/>
            <w:hideMark/>
          </w:tcPr>
          <w:p w14:paraId="59B9935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0.38</w:t>
            </w:r>
          </w:p>
        </w:tc>
        <w:tc>
          <w:tcPr>
            <w:tcW w:w="900" w:type="dxa"/>
            <w:noWrap/>
            <w:hideMark/>
          </w:tcPr>
          <w:p w14:paraId="3F55447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1.22</w:t>
            </w:r>
          </w:p>
        </w:tc>
      </w:tr>
      <w:tr w:rsidR="00C0269A" w:rsidRPr="00C67737" w14:paraId="06F8045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0318A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12196</w:t>
            </w:r>
          </w:p>
        </w:tc>
        <w:tc>
          <w:tcPr>
            <w:tcW w:w="5400" w:type="dxa"/>
            <w:noWrap/>
            <w:hideMark/>
          </w:tcPr>
          <w:p w14:paraId="26D47AF5"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Partnership for Ecological Advancement and Conservation of Endangered Big Cats in India</w:t>
            </w:r>
          </w:p>
        </w:tc>
        <w:tc>
          <w:tcPr>
            <w:tcW w:w="810" w:type="dxa"/>
            <w:noWrap/>
            <w:hideMark/>
          </w:tcPr>
          <w:p w14:paraId="407DD1C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5E4E7A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2996D16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19EBFB9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D1F98E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03A004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w:t>
            </w:r>
          </w:p>
        </w:tc>
        <w:tc>
          <w:tcPr>
            <w:tcW w:w="990" w:type="dxa"/>
            <w:noWrap/>
            <w:hideMark/>
          </w:tcPr>
          <w:p w14:paraId="1C2A8C2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274E6EA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w:t>
            </w:r>
          </w:p>
        </w:tc>
      </w:tr>
      <w:tr w:rsidR="00C0269A" w:rsidRPr="00C67737" w14:paraId="352F5D53"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CC3BC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12191</w:t>
            </w:r>
          </w:p>
        </w:tc>
        <w:tc>
          <w:tcPr>
            <w:tcW w:w="5400" w:type="dxa"/>
            <w:noWrap/>
            <w:hideMark/>
          </w:tcPr>
          <w:p w14:paraId="7D1D1807"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Accessing the Benefits of Biodiversity for Pakistan’s IPLCs: Working Towards the National Legislation and Implementation of the Nagoya Protocol</w:t>
            </w:r>
          </w:p>
        </w:tc>
        <w:tc>
          <w:tcPr>
            <w:tcW w:w="810" w:type="dxa"/>
            <w:noWrap/>
            <w:hideMark/>
          </w:tcPr>
          <w:p w14:paraId="602FB84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21BE7A9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Pakistan</w:t>
            </w:r>
          </w:p>
        </w:tc>
        <w:tc>
          <w:tcPr>
            <w:tcW w:w="990" w:type="dxa"/>
            <w:noWrap/>
            <w:hideMark/>
          </w:tcPr>
          <w:p w14:paraId="23723FD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108B38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5DD70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B34D2E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w:t>
            </w:r>
          </w:p>
        </w:tc>
        <w:tc>
          <w:tcPr>
            <w:tcW w:w="990" w:type="dxa"/>
            <w:noWrap/>
            <w:hideMark/>
          </w:tcPr>
          <w:p w14:paraId="448AD7F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1D8C94A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w:t>
            </w:r>
          </w:p>
        </w:tc>
      </w:tr>
      <w:tr w:rsidR="00C0269A" w:rsidRPr="00C67737" w14:paraId="435F965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1C1BC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12189</w:t>
            </w:r>
          </w:p>
        </w:tc>
        <w:tc>
          <w:tcPr>
            <w:tcW w:w="5400" w:type="dxa"/>
            <w:noWrap/>
            <w:hideMark/>
          </w:tcPr>
          <w:p w14:paraId="5261BC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Vituke</w:t>
            </w:r>
            <w:proofErr w:type="spellEnd"/>
            <w:r w:rsidRPr="00C67737">
              <w:rPr>
                <w:rFonts w:eastAsia="Times New Roman" w:cstheme="minorHAnsi"/>
                <w:color w:val="000000"/>
                <w:sz w:val="16"/>
                <w:szCs w:val="16"/>
              </w:rPr>
              <w:t xml:space="preserve"> Financial </w:t>
            </w:r>
            <w:proofErr w:type="spellStart"/>
            <w:r w:rsidRPr="00C67737">
              <w:rPr>
                <w:rFonts w:eastAsia="Times New Roman" w:cstheme="minorHAnsi"/>
                <w:color w:val="000000"/>
                <w:sz w:val="16"/>
                <w:szCs w:val="16"/>
              </w:rPr>
              <w:t>Mechanism</w:t>
            </w:r>
            <w:proofErr w:type="spellEnd"/>
            <w:r w:rsidRPr="00C67737">
              <w:rPr>
                <w:rFonts w:eastAsia="Times New Roman" w:cstheme="minorHAnsi"/>
                <w:color w:val="000000"/>
                <w:sz w:val="16"/>
                <w:szCs w:val="16"/>
              </w:rPr>
              <w:t xml:space="preserve"> Project</w:t>
            </w:r>
          </w:p>
        </w:tc>
        <w:tc>
          <w:tcPr>
            <w:tcW w:w="810" w:type="dxa"/>
            <w:noWrap/>
            <w:hideMark/>
          </w:tcPr>
          <w:p w14:paraId="0A95619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1FCD922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2C6CDA2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66F8F66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811EC7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2AA692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7.14</w:t>
            </w:r>
          </w:p>
        </w:tc>
        <w:tc>
          <w:tcPr>
            <w:tcW w:w="990" w:type="dxa"/>
            <w:noWrap/>
            <w:hideMark/>
          </w:tcPr>
          <w:p w14:paraId="3E90CCD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14.00</w:t>
            </w:r>
          </w:p>
        </w:tc>
        <w:tc>
          <w:tcPr>
            <w:tcW w:w="900" w:type="dxa"/>
            <w:noWrap/>
            <w:hideMark/>
          </w:tcPr>
          <w:p w14:paraId="540E4AF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21.14</w:t>
            </w:r>
          </w:p>
        </w:tc>
      </w:tr>
      <w:tr w:rsidR="00C0269A" w:rsidRPr="00C67737" w14:paraId="607418BE"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16631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12185</w:t>
            </w:r>
          </w:p>
        </w:tc>
        <w:tc>
          <w:tcPr>
            <w:tcW w:w="5400" w:type="dxa"/>
            <w:noWrap/>
            <w:hideMark/>
          </w:tcPr>
          <w:p w14:paraId="06E33B27"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GIAHS+: Integration of Biodiversity into Agrifood Systems for Responsible Ecological and Economic Transformation in Morocco</w:t>
            </w:r>
          </w:p>
        </w:tc>
        <w:tc>
          <w:tcPr>
            <w:tcW w:w="810" w:type="dxa"/>
            <w:noWrap/>
            <w:hideMark/>
          </w:tcPr>
          <w:p w14:paraId="5660EE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FAD926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Morocco</w:t>
            </w:r>
          </w:p>
        </w:tc>
        <w:tc>
          <w:tcPr>
            <w:tcW w:w="990" w:type="dxa"/>
            <w:noWrap/>
            <w:hideMark/>
          </w:tcPr>
          <w:p w14:paraId="20D7910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8E3982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E51E00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60B17D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2.44</w:t>
            </w:r>
          </w:p>
        </w:tc>
        <w:tc>
          <w:tcPr>
            <w:tcW w:w="990" w:type="dxa"/>
            <w:noWrap/>
            <w:hideMark/>
          </w:tcPr>
          <w:p w14:paraId="329DB97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00" w:type="dxa"/>
            <w:noWrap/>
            <w:hideMark/>
          </w:tcPr>
          <w:p w14:paraId="67E1E75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10.44</w:t>
            </w:r>
          </w:p>
        </w:tc>
      </w:tr>
      <w:tr w:rsidR="00C0269A" w:rsidRPr="00C67737" w14:paraId="624BE21D"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E616B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12178</w:t>
            </w:r>
          </w:p>
        </w:tc>
        <w:tc>
          <w:tcPr>
            <w:tcW w:w="5400" w:type="dxa"/>
            <w:noWrap/>
            <w:hideMark/>
          </w:tcPr>
          <w:p w14:paraId="7601BD85"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Strengthening Institutional and Policy Capacity for Effective Implementation of the Nagoya Protocol in the Kingdom of Eswatini</w:t>
            </w:r>
          </w:p>
        </w:tc>
        <w:tc>
          <w:tcPr>
            <w:tcW w:w="810" w:type="dxa"/>
            <w:noWrap/>
            <w:hideMark/>
          </w:tcPr>
          <w:p w14:paraId="3BD0981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C689A0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Eswatini</w:t>
            </w:r>
          </w:p>
        </w:tc>
        <w:tc>
          <w:tcPr>
            <w:tcW w:w="990" w:type="dxa"/>
            <w:noWrap/>
            <w:hideMark/>
          </w:tcPr>
          <w:p w14:paraId="63E9E44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1EE804B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60990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7F6D5C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w:t>
            </w:r>
          </w:p>
        </w:tc>
        <w:tc>
          <w:tcPr>
            <w:tcW w:w="990" w:type="dxa"/>
            <w:noWrap/>
            <w:hideMark/>
          </w:tcPr>
          <w:p w14:paraId="5373286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w:t>
            </w:r>
          </w:p>
        </w:tc>
        <w:tc>
          <w:tcPr>
            <w:tcW w:w="900" w:type="dxa"/>
            <w:noWrap/>
            <w:hideMark/>
          </w:tcPr>
          <w:p w14:paraId="03E0CE0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8.50</w:t>
            </w:r>
          </w:p>
        </w:tc>
      </w:tr>
      <w:tr w:rsidR="00C0269A" w:rsidRPr="00C67737" w14:paraId="6DB8A64F"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2E660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12170</w:t>
            </w:r>
          </w:p>
        </w:tc>
        <w:tc>
          <w:tcPr>
            <w:tcW w:w="5400" w:type="dxa"/>
            <w:noWrap/>
            <w:hideMark/>
          </w:tcPr>
          <w:p w14:paraId="530BE451"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proofErr w:type="spellStart"/>
            <w:r w:rsidRPr="00CA5A8A">
              <w:rPr>
                <w:rFonts w:eastAsia="Times New Roman" w:cstheme="minorHAnsi"/>
                <w:color w:val="000000"/>
                <w:sz w:val="16"/>
                <w:szCs w:val="16"/>
                <w:lang w:val="en-US"/>
              </w:rPr>
              <w:t>BioSecure</w:t>
            </w:r>
            <w:proofErr w:type="spellEnd"/>
            <w:r w:rsidRPr="00CA5A8A">
              <w:rPr>
                <w:rFonts w:eastAsia="Times New Roman" w:cstheme="minorHAnsi"/>
                <w:color w:val="000000"/>
                <w:sz w:val="16"/>
                <w:szCs w:val="16"/>
                <w:lang w:val="en-US"/>
              </w:rPr>
              <w:t xml:space="preserve"> Sri Lanka: Operationalizing Biosafety and Access and Benefit-Sharing</w:t>
            </w:r>
          </w:p>
        </w:tc>
        <w:tc>
          <w:tcPr>
            <w:tcW w:w="810" w:type="dxa"/>
            <w:noWrap/>
            <w:hideMark/>
          </w:tcPr>
          <w:p w14:paraId="0A42DAD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1D2DE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51BB014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E2C8BE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DFF327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23F14F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6914CBA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10.52</w:t>
            </w:r>
          </w:p>
        </w:tc>
        <w:tc>
          <w:tcPr>
            <w:tcW w:w="900" w:type="dxa"/>
            <w:noWrap/>
            <w:hideMark/>
          </w:tcPr>
          <w:p w14:paraId="5DD5CA2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14.52</w:t>
            </w:r>
          </w:p>
        </w:tc>
      </w:tr>
      <w:tr w:rsidR="00C0269A" w:rsidRPr="00C67737" w14:paraId="0D3E5F4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D11FB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12167</w:t>
            </w:r>
          </w:p>
        </w:tc>
        <w:tc>
          <w:tcPr>
            <w:tcW w:w="5400" w:type="dxa"/>
            <w:noWrap/>
            <w:hideMark/>
          </w:tcPr>
          <w:p w14:paraId="74BB2CA9"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Consolidating and Securing Guinea-Bissau’s National System of Protected Areas through Strengthening Institutions and Sustainable Finance</w:t>
            </w:r>
          </w:p>
        </w:tc>
        <w:tc>
          <w:tcPr>
            <w:tcW w:w="810" w:type="dxa"/>
            <w:noWrap/>
            <w:hideMark/>
          </w:tcPr>
          <w:p w14:paraId="4BAD468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177A20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Guinea-Bissau</w:t>
            </w:r>
            <w:proofErr w:type="spellEnd"/>
          </w:p>
        </w:tc>
        <w:tc>
          <w:tcPr>
            <w:tcW w:w="990" w:type="dxa"/>
            <w:noWrap/>
            <w:hideMark/>
          </w:tcPr>
          <w:p w14:paraId="7590B3F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4B553C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00BAE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B2FF09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792D3B3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0.25</w:t>
            </w:r>
          </w:p>
        </w:tc>
        <w:tc>
          <w:tcPr>
            <w:tcW w:w="900" w:type="dxa"/>
            <w:noWrap/>
            <w:hideMark/>
          </w:tcPr>
          <w:p w14:paraId="574500D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2.25</w:t>
            </w:r>
          </w:p>
        </w:tc>
      </w:tr>
      <w:tr w:rsidR="00C0269A" w:rsidRPr="00C67737" w14:paraId="671F10BF"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D9BD2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12162</w:t>
            </w:r>
          </w:p>
        </w:tc>
        <w:tc>
          <w:tcPr>
            <w:tcW w:w="5400" w:type="dxa"/>
            <w:noWrap/>
            <w:hideMark/>
          </w:tcPr>
          <w:p w14:paraId="38392D0C"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Restoring Ecosystems: Tackling Invasive Alien Species to Preserve Biodiversity in Fiji</w:t>
            </w:r>
          </w:p>
        </w:tc>
        <w:tc>
          <w:tcPr>
            <w:tcW w:w="810" w:type="dxa"/>
            <w:noWrap/>
            <w:hideMark/>
          </w:tcPr>
          <w:p w14:paraId="0481F6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8DD88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Fiji</w:t>
            </w:r>
          </w:p>
        </w:tc>
        <w:tc>
          <w:tcPr>
            <w:tcW w:w="990" w:type="dxa"/>
            <w:noWrap/>
            <w:hideMark/>
          </w:tcPr>
          <w:p w14:paraId="35BA017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3BD8084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9C26C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2D89CF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1.67</w:t>
            </w:r>
          </w:p>
        </w:tc>
        <w:tc>
          <w:tcPr>
            <w:tcW w:w="990" w:type="dxa"/>
            <w:noWrap/>
            <w:hideMark/>
          </w:tcPr>
          <w:p w14:paraId="2B0B127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0.04</w:t>
            </w:r>
          </w:p>
        </w:tc>
        <w:tc>
          <w:tcPr>
            <w:tcW w:w="900" w:type="dxa"/>
            <w:noWrap/>
            <w:hideMark/>
          </w:tcPr>
          <w:p w14:paraId="62D02B6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1.71</w:t>
            </w:r>
          </w:p>
        </w:tc>
      </w:tr>
      <w:tr w:rsidR="00C0269A" w:rsidRPr="00C67737" w14:paraId="256EAF65"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D25DE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12161</w:t>
            </w:r>
          </w:p>
        </w:tc>
        <w:tc>
          <w:tcPr>
            <w:tcW w:w="5400" w:type="dxa"/>
            <w:noWrap/>
            <w:hideMark/>
          </w:tcPr>
          <w:p w14:paraId="7A69640C"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 xml:space="preserve">Promoting Partnerships and Nature-Positive Economy for KM-GBF Implementation in Thailand from Policy to Action </w:t>
            </w:r>
          </w:p>
        </w:tc>
        <w:tc>
          <w:tcPr>
            <w:tcW w:w="810" w:type="dxa"/>
            <w:noWrap/>
            <w:hideMark/>
          </w:tcPr>
          <w:p w14:paraId="3830073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59271C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7E237EC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32C2E3C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9A8C9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B533B2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5.82</w:t>
            </w:r>
          </w:p>
        </w:tc>
        <w:tc>
          <w:tcPr>
            <w:tcW w:w="990" w:type="dxa"/>
            <w:noWrap/>
            <w:hideMark/>
          </w:tcPr>
          <w:p w14:paraId="23122F0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8.23</w:t>
            </w:r>
          </w:p>
        </w:tc>
        <w:tc>
          <w:tcPr>
            <w:tcW w:w="900" w:type="dxa"/>
            <w:noWrap/>
            <w:hideMark/>
          </w:tcPr>
          <w:p w14:paraId="0BA3C95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14.05</w:t>
            </w:r>
          </w:p>
        </w:tc>
      </w:tr>
      <w:tr w:rsidR="00C0269A" w:rsidRPr="00C67737" w14:paraId="5C2B7A5E"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4B8B6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12136</w:t>
            </w:r>
          </w:p>
        </w:tc>
        <w:tc>
          <w:tcPr>
            <w:tcW w:w="5400" w:type="dxa"/>
            <w:noWrap/>
            <w:hideMark/>
          </w:tcPr>
          <w:p w14:paraId="47300D31"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Evolving and Strengthening Institutional Capacity, Biosafety Tools and Measures for the Sustainable Use of Living Modified Organisms in South Africa</w:t>
            </w:r>
          </w:p>
        </w:tc>
        <w:tc>
          <w:tcPr>
            <w:tcW w:w="810" w:type="dxa"/>
            <w:noWrap/>
            <w:hideMark/>
          </w:tcPr>
          <w:p w14:paraId="1976E6A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17C0E1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Africa</w:t>
            </w:r>
            <w:proofErr w:type="spellEnd"/>
          </w:p>
        </w:tc>
        <w:tc>
          <w:tcPr>
            <w:tcW w:w="990" w:type="dxa"/>
            <w:noWrap/>
            <w:hideMark/>
          </w:tcPr>
          <w:p w14:paraId="0F35EF7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232F560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A054F8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8C900F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3.39</w:t>
            </w:r>
          </w:p>
        </w:tc>
        <w:tc>
          <w:tcPr>
            <w:tcW w:w="990" w:type="dxa"/>
            <w:noWrap/>
            <w:hideMark/>
          </w:tcPr>
          <w:p w14:paraId="0235E85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691EC2F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3.39</w:t>
            </w:r>
          </w:p>
        </w:tc>
      </w:tr>
      <w:tr w:rsidR="00C0269A" w:rsidRPr="00C67737" w14:paraId="38CCB6D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024EC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12056</w:t>
            </w:r>
          </w:p>
        </w:tc>
        <w:tc>
          <w:tcPr>
            <w:tcW w:w="5400" w:type="dxa"/>
            <w:noWrap/>
            <w:hideMark/>
          </w:tcPr>
          <w:p w14:paraId="7295E27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Joint Capital </w:t>
            </w:r>
            <w:proofErr w:type="spellStart"/>
            <w:r w:rsidRPr="00C67737">
              <w:rPr>
                <w:rFonts w:eastAsia="Times New Roman" w:cstheme="minorHAnsi"/>
                <w:color w:val="000000"/>
                <w:sz w:val="16"/>
                <w:szCs w:val="16"/>
              </w:rPr>
              <w:t>Markets</w:t>
            </w:r>
            <w:proofErr w:type="spellEnd"/>
            <w:r w:rsidRPr="00C67737">
              <w:rPr>
                <w:rFonts w:eastAsia="Times New Roman" w:cstheme="minorHAnsi"/>
                <w:color w:val="000000"/>
                <w:sz w:val="16"/>
                <w:szCs w:val="16"/>
              </w:rPr>
              <w:t xml:space="preserve"> Program WAEMU</w:t>
            </w:r>
          </w:p>
        </w:tc>
        <w:tc>
          <w:tcPr>
            <w:tcW w:w="810" w:type="dxa"/>
            <w:noWrap/>
            <w:hideMark/>
          </w:tcPr>
          <w:p w14:paraId="7B1DE0D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4446C03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948D56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2A3069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E3CCE4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DC17C3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4.86</w:t>
            </w:r>
          </w:p>
        </w:tc>
        <w:tc>
          <w:tcPr>
            <w:tcW w:w="990" w:type="dxa"/>
            <w:noWrap/>
            <w:hideMark/>
          </w:tcPr>
          <w:p w14:paraId="22C7135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210.06</w:t>
            </w:r>
          </w:p>
        </w:tc>
        <w:tc>
          <w:tcPr>
            <w:tcW w:w="900" w:type="dxa"/>
            <w:noWrap/>
            <w:hideMark/>
          </w:tcPr>
          <w:p w14:paraId="4A3D9D6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214.92</w:t>
            </w:r>
          </w:p>
        </w:tc>
      </w:tr>
      <w:tr w:rsidR="00C0269A" w:rsidRPr="00C67737" w14:paraId="695D44A9"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8E121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12051</w:t>
            </w:r>
          </w:p>
        </w:tc>
        <w:tc>
          <w:tcPr>
            <w:tcW w:w="5400" w:type="dxa"/>
            <w:noWrap/>
            <w:hideMark/>
          </w:tcPr>
          <w:p w14:paraId="0558F5F8"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Joint Capital Markets Program Philippines and Environment Department Work on Biodiversity Bonds</w:t>
            </w:r>
          </w:p>
        </w:tc>
        <w:tc>
          <w:tcPr>
            <w:tcW w:w="810" w:type="dxa"/>
            <w:noWrap/>
            <w:hideMark/>
          </w:tcPr>
          <w:p w14:paraId="40E0D7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0CA505C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31DB508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45ADFFF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F41C9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9E0D49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w:t>
            </w:r>
          </w:p>
        </w:tc>
        <w:tc>
          <w:tcPr>
            <w:tcW w:w="990" w:type="dxa"/>
            <w:noWrap/>
            <w:hideMark/>
          </w:tcPr>
          <w:p w14:paraId="214994E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95.93</w:t>
            </w:r>
          </w:p>
        </w:tc>
        <w:tc>
          <w:tcPr>
            <w:tcW w:w="900" w:type="dxa"/>
            <w:noWrap/>
            <w:hideMark/>
          </w:tcPr>
          <w:p w14:paraId="1EE2442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100.93</w:t>
            </w:r>
          </w:p>
        </w:tc>
      </w:tr>
      <w:tr w:rsidR="00C0269A" w:rsidRPr="00C67737" w14:paraId="7367D1F3"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2005F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12048</w:t>
            </w:r>
          </w:p>
        </w:tc>
        <w:tc>
          <w:tcPr>
            <w:tcW w:w="5400" w:type="dxa"/>
            <w:noWrap/>
            <w:hideMark/>
          </w:tcPr>
          <w:p w14:paraId="79910D19"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Restoring Biodiversity and Cultural Resilience in the Cook Islands through Native Species Recovery, Invasive Species Control, and Biodiversity Assessment</w:t>
            </w:r>
          </w:p>
        </w:tc>
        <w:tc>
          <w:tcPr>
            <w:tcW w:w="810" w:type="dxa"/>
            <w:noWrap/>
            <w:hideMark/>
          </w:tcPr>
          <w:p w14:paraId="4CB05F6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549053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Cook </w:t>
            </w:r>
            <w:proofErr w:type="spellStart"/>
            <w:r w:rsidRPr="00C67737">
              <w:rPr>
                <w:rFonts w:eastAsia="Times New Roman" w:cstheme="minorHAnsi"/>
                <w:color w:val="000000"/>
                <w:sz w:val="16"/>
                <w:szCs w:val="16"/>
              </w:rPr>
              <w:t>Islands</w:t>
            </w:r>
            <w:proofErr w:type="spellEnd"/>
          </w:p>
        </w:tc>
        <w:tc>
          <w:tcPr>
            <w:tcW w:w="990" w:type="dxa"/>
            <w:noWrap/>
            <w:hideMark/>
          </w:tcPr>
          <w:p w14:paraId="7D596F5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6B12039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D20E31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1B3DEF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4C7D70C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7.37</w:t>
            </w:r>
          </w:p>
        </w:tc>
        <w:tc>
          <w:tcPr>
            <w:tcW w:w="900" w:type="dxa"/>
            <w:noWrap/>
            <w:hideMark/>
          </w:tcPr>
          <w:p w14:paraId="035BCA2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9.37</w:t>
            </w:r>
          </w:p>
        </w:tc>
      </w:tr>
      <w:tr w:rsidR="00C0269A" w:rsidRPr="00C67737" w14:paraId="3BEBB884"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EE3A8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12047</w:t>
            </w:r>
          </w:p>
        </w:tc>
        <w:tc>
          <w:tcPr>
            <w:tcW w:w="5400" w:type="dxa"/>
            <w:noWrap/>
            <w:hideMark/>
          </w:tcPr>
          <w:p w14:paraId="7E494D59"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Transforming the Global Biodiversity Framework into Tangible Action in Zambia</w:t>
            </w:r>
          </w:p>
        </w:tc>
        <w:tc>
          <w:tcPr>
            <w:tcW w:w="810" w:type="dxa"/>
            <w:noWrap/>
            <w:hideMark/>
          </w:tcPr>
          <w:p w14:paraId="5D29419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12C664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Zambia</w:t>
            </w:r>
            <w:proofErr w:type="spellEnd"/>
          </w:p>
        </w:tc>
        <w:tc>
          <w:tcPr>
            <w:tcW w:w="990" w:type="dxa"/>
            <w:noWrap/>
            <w:hideMark/>
          </w:tcPr>
          <w:p w14:paraId="600D14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0DDF57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E1E321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7756DC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3.90</w:t>
            </w:r>
          </w:p>
        </w:tc>
        <w:tc>
          <w:tcPr>
            <w:tcW w:w="990" w:type="dxa"/>
            <w:noWrap/>
            <w:hideMark/>
          </w:tcPr>
          <w:p w14:paraId="2F00828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6.86</w:t>
            </w:r>
          </w:p>
        </w:tc>
        <w:tc>
          <w:tcPr>
            <w:tcW w:w="900" w:type="dxa"/>
            <w:noWrap/>
            <w:hideMark/>
          </w:tcPr>
          <w:p w14:paraId="419CEAE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10.76</w:t>
            </w:r>
          </w:p>
        </w:tc>
      </w:tr>
      <w:tr w:rsidR="00C0269A" w:rsidRPr="00C67737" w14:paraId="5A4CD97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1286A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12046</w:t>
            </w:r>
          </w:p>
        </w:tc>
        <w:tc>
          <w:tcPr>
            <w:tcW w:w="5400" w:type="dxa"/>
            <w:noWrap/>
            <w:hideMark/>
          </w:tcPr>
          <w:p w14:paraId="2AC59C2D"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Regional Conservation Strategy for the Organization of Eastern Caribbean States to Deliver Global Environmental Benefits</w:t>
            </w:r>
          </w:p>
        </w:tc>
        <w:tc>
          <w:tcPr>
            <w:tcW w:w="810" w:type="dxa"/>
            <w:noWrap/>
            <w:hideMark/>
          </w:tcPr>
          <w:p w14:paraId="7A05317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44717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65B1DE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1096BDD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1FDF7A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711FED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9.49</w:t>
            </w:r>
          </w:p>
        </w:tc>
        <w:tc>
          <w:tcPr>
            <w:tcW w:w="990" w:type="dxa"/>
            <w:noWrap/>
            <w:hideMark/>
          </w:tcPr>
          <w:p w14:paraId="586A0A5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17.00</w:t>
            </w:r>
          </w:p>
        </w:tc>
        <w:tc>
          <w:tcPr>
            <w:tcW w:w="900" w:type="dxa"/>
            <w:noWrap/>
            <w:hideMark/>
          </w:tcPr>
          <w:p w14:paraId="771ACD8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26.49</w:t>
            </w:r>
          </w:p>
        </w:tc>
      </w:tr>
      <w:tr w:rsidR="00C0269A" w:rsidRPr="00C67737" w14:paraId="5408CFE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3E8C8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12044</w:t>
            </w:r>
          </w:p>
        </w:tc>
        <w:tc>
          <w:tcPr>
            <w:tcW w:w="5400" w:type="dxa"/>
            <w:noWrap/>
            <w:hideMark/>
          </w:tcPr>
          <w:p w14:paraId="67A12380"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Advancing Biodiversity Conservation in Terrestrial and Marine Areas through Strengthened Governance and Sustainable Financing in Seychelles</w:t>
            </w:r>
          </w:p>
        </w:tc>
        <w:tc>
          <w:tcPr>
            <w:tcW w:w="810" w:type="dxa"/>
            <w:noWrap/>
            <w:hideMark/>
          </w:tcPr>
          <w:p w14:paraId="2BDBE24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D83C20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Seychelles</w:t>
            </w:r>
          </w:p>
        </w:tc>
        <w:tc>
          <w:tcPr>
            <w:tcW w:w="990" w:type="dxa"/>
            <w:noWrap/>
            <w:hideMark/>
          </w:tcPr>
          <w:p w14:paraId="32B6C43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2892EEC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7DF8FA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697C6F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3.41</w:t>
            </w:r>
          </w:p>
        </w:tc>
        <w:tc>
          <w:tcPr>
            <w:tcW w:w="990" w:type="dxa"/>
            <w:noWrap/>
            <w:hideMark/>
          </w:tcPr>
          <w:p w14:paraId="47B82FB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14.79</w:t>
            </w:r>
          </w:p>
        </w:tc>
        <w:tc>
          <w:tcPr>
            <w:tcW w:w="900" w:type="dxa"/>
            <w:noWrap/>
            <w:hideMark/>
          </w:tcPr>
          <w:p w14:paraId="000B7EB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18.20</w:t>
            </w:r>
          </w:p>
        </w:tc>
      </w:tr>
      <w:tr w:rsidR="00C0269A" w:rsidRPr="00C67737" w14:paraId="33B48BF5"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1D9FB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12043</w:t>
            </w:r>
          </w:p>
        </w:tc>
        <w:tc>
          <w:tcPr>
            <w:tcW w:w="5400" w:type="dxa"/>
            <w:noWrap/>
            <w:hideMark/>
          </w:tcPr>
          <w:p w14:paraId="18846D06"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Strengthening Wetland Conservation Policy in Uruguay: Integrated Management with Sustainable Funding</w:t>
            </w:r>
          </w:p>
        </w:tc>
        <w:tc>
          <w:tcPr>
            <w:tcW w:w="810" w:type="dxa"/>
            <w:noWrap/>
            <w:hideMark/>
          </w:tcPr>
          <w:p w14:paraId="2B572E5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4A98703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Uruguay</w:t>
            </w:r>
          </w:p>
        </w:tc>
        <w:tc>
          <w:tcPr>
            <w:tcW w:w="990" w:type="dxa"/>
            <w:noWrap/>
            <w:hideMark/>
          </w:tcPr>
          <w:p w14:paraId="55155D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2FA24D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075767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54E11F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1.68</w:t>
            </w:r>
          </w:p>
        </w:tc>
        <w:tc>
          <w:tcPr>
            <w:tcW w:w="990" w:type="dxa"/>
            <w:noWrap/>
            <w:hideMark/>
          </w:tcPr>
          <w:p w14:paraId="0F13F1B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6.30</w:t>
            </w:r>
          </w:p>
        </w:tc>
        <w:tc>
          <w:tcPr>
            <w:tcW w:w="900" w:type="dxa"/>
            <w:noWrap/>
            <w:hideMark/>
          </w:tcPr>
          <w:p w14:paraId="0B2C0B2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7.98</w:t>
            </w:r>
          </w:p>
        </w:tc>
      </w:tr>
      <w:tr w:rsidR="00C0269A" w:rsidRPr="00C67737" w14:paraId="399A11B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69FB5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12042</w:t>
            </w:r>
          </w:p>
        </w:tc>
        <w:tc>
          <w:tcPr>
            <w:tcW w:w="5400" w:type="dxa"/>
            <w:noWrap/>
            <w:hideMark/>
          </w:tcPr>
          <w:p w14:paraId="6CDC7682"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Mainstreaming Ecological Planning for Biodiversity Conservation through Territorial Planning Instruments and the Operation of Financing Mechanisms with the Effective Participation of Indigenous Peoples and Local Communities</w:t>
            </w:r>
          </w:p>
        </w:tc>
        <w:tc>
          <w:tcPr>
            <w:tcW w:w="810" w:type="dxa"/>
            <w:noWrap/>
            <w:hideMark/>
          </w:tcPr>
          <w:p w14:paraId="60BB545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0DA09B6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65767E8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DE1FA0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140F23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3984F5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4.76</w:t>
            </w:r>
          </w:p>
        </w:tc>
        <w:tc>
          <w:tcPr>
            <w:tcW w:w="990" w:type="dxa"/>
            <w:noWrap/>
            <w:hideMark/>
          </w:tcPr>
          <w:p w14:paraId="25289B0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15.50</w:t>
            </w:r>
          </w:p>
        </w:tc>
        <w:tc>
          <w:tcPr>
            <w:tcW w:w="900" w:type="dxa"/>
            <w:noWrap/>
            <w:hideMark/>
          </w:tcPr>
          <w:p w14:paraId="21CFBD3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20.26</w:t>
            </w:r>
          </w:p>
        </w:tc>
      </w:tr>
      <w:tr w:rsidR="00C0269A" w:rsidRPr="00C67737" w14:paraId="21BFE174"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A6583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12040</w:t>
            </w:r>
          </w:p>
        </w:tc>
        <w:tc>
          <w:tcPr>
            <w:tcW w:w="5400" w:type="dxa"/>
            <w:noWrap/>
            <w:hideMark/>
          </w:tcPr>
          <w:p w14:paraId="16925148"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BIOFISH-SMART: Biodiversity and Ocean Fisheries for Integrated Stewardship and Habitat Sustainability in Mauritius</w:t>
            </w:r>
          </w:p>
        </w:tc>
        <w:tc>
          <w:tcPr>
            <w:tcW w:w="810" w:type="dxa"/>
            <w:noWrap/>
            <w:hideMark/>
          </w:tcPr>
          <w:p w14:paraId="0644E5D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C3222C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Mauritius</w:t>
            </w:r>
          </w:p>
        </w:tc>
        <w:tc>
          <w:tcPr>
            <w:tcW w:w="990" w:type="dxa"/>
            <w:noWrap/>
            <w:hideMark/>
          </w:tcPr>
          <w:p w14:paraId="4A6DE71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54653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609335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A036B0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2.89</w:t>
            </w:r>
          </w:p>
        </w:tc>
        <w:tc>
          <w:tcPr>
            <w:tcW w:w="990" w:type="dxa"/>
            <w:noWrap/>
            <w:hideMark/>
          </w:tcPr>
          <w:p w14:paraId="002E680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00" w:type="dxa"/>
            <w:noWrap/>
            <w:hideMark/>
          </w:tcPr>
          <w:p w14:paraId="0F5A998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4.89</w:t>
            </w:r>
          </w:p>
        </w:tc>
      </w:tr>
      <w:tr w:rsidR="00C0269A" w:rsidRPr="00C67737" w14:paraId="7852351A"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38DD1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12038</w:t>
            </w:r>
          </w:p>
        </w:tc>
        <w:tc>
          <w:tcPr>
            <w:tcW w:w="5400" w:type="dxa"/>
            <w:noWrap/>
            <w:hideMark/>
          </w:tcPr>
          <w:p w14:paraId="75867F03"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Establishing and Protecting Major River Buffer Zones in Vanuatu</w:t>
            </w:r>
          </w:p>
        </w:tc>
        <w:tc>
          <w:tcPr>
            <w:tcW w:w="810" w:type="dxa"/>
            <w:noWrap/>
            <w:hideMark/>
          </w:tcPr>
          <w:p w14:paraId="43C3971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1892B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Vanuatu</w:t>
            </w:r>
          </w:p>
        </w:tc>
        <w:tc>
          <w:tcPr>
            <w:tcW w:w="990" w:type="dxa"/>
            <w:noWrap/>
            <w:hideMark/>
          </w:tcPr>
          <w:p w14:paraId="465C394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5B0F09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ADC106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76DBB2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2.65</w:t>
            </w:r>
          </w:p>
        </w:tc>
        <w:tc>
          <w:tcPr>
            <w:tcW w:w="990" w:type="dxa"/>
            <w:noWrap/>
            <w:hideMark/>
          </w:tcPr>
          <w:p w14:paraId="67B16D2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7.41</w:t>
            </w:r>
          </w:p>
        </w:tc>
        <w:tc>
          <w:tcPr>
            <w:tcW w:w="900" w:type="dxa"/>
            <w:noWrap/>
            <w:hideMark/>
          </w:tcPr>
          <w:p w14:paraId="1CB574E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10.06</w:t>
            </w:r>
          </w:p>
        </w:tc>
      </w:tr>
      <w:tr w:rsidR="00C0269A" w:rsidRPr="00C67737" w14:paraId="68AD599F"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CC245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12037</w:t>
            </w:r>
          </w:p>
        </w:tc>
        <w:tc>
          <w:tcPr>
            <w:tcW w:w="5400" w:type="dxa"/>
            <w:noWrap/>
            <w:hideMark/>
          </w:tcPr>
          <w:p w14:paraId="269A63FD"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 xml:space="preserve">Panama Sustainable Rural Development </w:t>
            </w:r>
            <w:proofErr w:type="gramStart"/>
            <w:r w:rsidRPr="003A6DDB">
              <w:rPr>
                <w:rFonts w:eastAsia="Times New Roman" w:cstheme="minorHAnsi"/>
                <w:color w:val="000000"/>
                <w:sz w:val="16"/>
                <w:szCs w:val="16"/>
                <w:lang w:val="en-US"/>
              </w:rPr>
              <w:t>And</w:t>
            </w:r>
            <w:proofErr w:type="gramEnd"/>
            <w:r w:rsidRPr="003A6DDB">
              <w:rPr>
                <w:rFonts w:eastAsia="Times New Roman" w:cstheme="minorHAnsi"/>
                <w:color w:val="000000"/>
                <w:sz w:val="16"/>
                <w:szCs w:val="16"/>
                <w:lang w:val="en-US"/>
              </w:rPr>
              <w:t xml:space="preserve"> Biodiversity Conservation Project II</w:t>
            </w:r>
          </w:p>
        </w:tc>
        <w:tc>
          <w:tcPr>
            <w:tcW w:w="810" w:type="dxa"/>
            <w:noWrap/>
            <w:hideMark/>
          </w:tcPr>
          <w:p w14:paraId="0BFAA0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28EFF68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Panama</w:t>
            </w:r>
          </w:p>
        </w:tc>
        <w:tc>
          <w:tcPr>
            <w:tcW w:w="990" w:type="dxa"/>
            <w:noWrap/>
            <w:hideMark/>
          </w:tcPr>
          <w:p w14:paraId="18D291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612F8A9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7E469A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0B6A26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3.50</w:t>
            </w:r>
          </w:p>
        </w:tc>
        <w:tc>
          <w:tcPr>
            <w:tcW w:w="990" w:type="dxa"/>
            <w:noWrap/>
            <w:hideMark/>
          </w:tcPr>
          <w:p w14:paraId="49814F2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21.20</w:t>
            </w:r>
          </w:p>
        </w:tc>
        <w:tc>
          <w:tcPr>
            <w:tcW w:w="900" w:type="dxa"/>
            <w:noWrap/>
            <w:hideMark/>
          </w:tcPr>
          <w:p w14:paraId="00C6E0D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24.70</w:t>
            </w:r>
          </w:p>
        </w:tc>
      </w:tr>
      <w:tr w:rsidR="00C0269A" w:rsidRPr="00C67737" w14:paraId="298D2BFC"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5412B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12036</w:t>
            </w:r>
          </w:p>
        </w:tc>
        <w:tc>
          <w:tcPr>
            <w:tcW w:w="5400" w:type="dxa"/>
            <w:noWrap/>
            <w:hideMark/>
          </w:tcPr>
          <w:p w14:paraId="7D5EAF46"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Strengthening Biodiversity Conservation in Malawi Through Establishment of Other Effective Conservation Measures</w:t>
            </w:r>
          </w:p>
        </w:tc>
        <w:tc>
          <w:tcPr>
            <w:tcW w:w="810" w:type="dxa"/>
            <w:noWrap/>
            <w:hideMark/>
          </w:tcPr>
          <w:p w14:paraId="347704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4F43D8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Malawi</w:t>
            </w:r>
          </w:p>
        </w:tc>
        <w:tc>
          <w:tcPr>
            <w:tcW w:w="990" w:type="dxa"/>
            <w:noWrap/>
            <w:hideMark/>
          </w:tcPr>
          <w:p w14:paraId="38EA13A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700C7C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3FE176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5D3D38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2.20</w:t>
            </w:r>
          </w:p>
        </w:tc>
        <w:tc>
          <w:tcPr>
            <w:tcW w:w="990" w:type="dxa"/>
            <w:noWrap/>
            <w:hideMark/>
          </w:tcPr>
          <w:p w14:paraId="2A65F1F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w:t>
            </w:r>
          </w:p>
        </w:tc>
        <w:tc>
          <w:tcPr>
            <w:tcW w:w="900" w:type="dxa"/>
            <w:noWrap/>
            <w:hideMark/>
          </w:tcPr>
          <w:p w14:paraId="23FFDB4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5.20</w:t>
            </w:r>
          </w:p>
        </w:tc>
      </w:tr>
      <w:tr w:rsidR="00C0269A" w:rsidRPr="00C67737" w14:paraId="2B69F7BD"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DD248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12032</w:t>
            </w:r>
          </w:p>
        </w:tc>
        <w:tc>
          <w:tcPr>
            <w:tcW w:w="5400" w:type="dxa"/>
            <w:noWrap/>
            <w:hideMark/>
          </w:tcPr>
          <w:p w14:paraId="69D05CC3"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Developing Innovative and Sustainable Financing Mechanisms for Guinea’s Natural Resources and Biodiversity Conservation</w:t>
            </w:r>
          </w:p>
        </w:tc>
        <w:tc>
          <w:tcPr>
            <w:tcW w:w="810" w:type="dxa"/>
            <w:noWrap/>
            <w:hideMark/>
          </w:tcPr>
          <w:p w14:paraId="7983845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457A210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Guinea</w:t>
            </w:r>
            <w:proofErr w:type="spellEnd"/>
          </w:p>
        </w:tc>
        <w:tc>
          <w:tcPr>
            <w:tcW w:w="990" w:type="dxa"/>
            <w:noWrap/>
            <w:hideMark/>
          </w:tcPr>
          <w:p w14:paraId="7952E95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CCE342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DB380B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A5E413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2.77</w:t>
            </w:r>
          </w:p>
        </w:tc>
        <w:tc>
          <w:tcPr>
            <w:tcW w:w="990" w:type="dxa"/>
            <w:noWrap/>
            <w:hideMark/>
          </w:tcPr>
          <w:p w14:paraId="4CF8355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c>
          <w:tcPr>
            <w:tcW w:w="900" w:type="dxa"/>
            <w:noWrap/>
            <w:hideMark/>
          </w:tcPr>
          <w:p w14:paraId="692429F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14.77</w:t>
            </w:r>
          </w:p>
        </w:tc>
      </w:tr>
      <w:tr w:rsidR="00C0269A" w:rsidRPr="00C67737" w14:paraId="00CD0A9C"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51EAC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12031</w:t>
            </w:r>
          </w:p>
        </w:tc>
        <w:tc>
          <w:tcPr>
            <w:tcW w:w="5400" w:type="dxa"/>
            <w:noWrap/>
            <w:hideMark/>
          </w:tcPr>
          <w:p w14:paraId="30A9657C"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Towards Resilient Ecosystems and Communities in South Ari Atoll, Maldives</w:t>
            </w:r>
          </w:p>
        </w:tc>
        <w:tc>
          <w:tcPr>
            <w:tcW w:w="810" w:type="dxa"/>
            <w:noWrap/>
            <w:hideMark/>
          </w:tcPr>
          <w:p w14:paraId="6DA7038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B408A0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Maldives</w:t>
            </w:r>
          </w:p>
        </w:tc>
        <w:tc>
          <w:tcPr>
            <w:tcW w:w="990" w:type="dxa"/>
            <w:noWrap/>
            <w:hideMark/>
          </w:tcPr>
          <w:p w14:paraId="35FBD26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18C4C66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FFBAA8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4CA638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6358DB0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0.08</w:t>
            </w:r>
          </w:p>
        </w:tc>
        <w:tc>
          <w:tcPr>
            <w:tcW w:w="900" w:type="dxa"/>
            <w:noWrap/>
            <w:hideMark/>
          </w:tcPr>
          <w:p w14:paraId="62D7831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2.08</w:t>
            </w:r>
          </w:p>
        </w:tc>
      </w:tr>
      <w:tr w:rsidR="00C0269A" w:rsidRPr="00C67737" w14:paraId="38DDE59F"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1CC2C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12029</w:t>
            </w:r>
          </w:p>
        </w:tc>
        <w:tc>
          <w:tcPr>
            <w:tcW w:w="5400" w:type="dxa"/>
            <w:noWrap/>
            <w:hideMark/>
          </w:tcPr>
          <w:p w14:paraId="4B6A6B9F"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Mainstreaming Biodiversity in Productive Sectors: Responsible Sand Value Chain for Coastal Resilience in West Africa</w:t>
            </w:r>
          </w:p>
        </w:tc>
        <w:tc>
          <w:tcPr>
            <w:tcW w:w="810" w:type="dxa"/>
            <w:noWrap/>
            <w:hideMark/>
          </w:tcPr>
          <w:p w14:paraId="4CAF91B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67538D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A11C4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6A6986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031438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CF7FD4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4.32</w:t>
            </w:r>
          </w:p>
        </w:tc>
        <w:tc>
          <w:tcPr>
            <w:tcW w:w="990" w:type="dxa"/>
            <w:noWrap/>
            <w:hideMark/>
          </w:tcPr>
          <w:p w14:paraId="40BCCDB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3.13</w:t>
            </w:r>
          </w:p>
        </w:tc>
        <w:tc>
          <w:tcPr>
            <w:tcW w:w="900" w:type="dxa"/>
            <w:noWrap/>
            <w:hideMark/>
          </w:tcPr>
          <w:p w14:paraId="262D749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7.45</w:t>
            </w:r>
          </w:p>
        </w:tc>
      </w:tr>
      <w:tr w:rsidR="00C0269A" w:rsidRPr="00C67737" w14:paraId="157FC36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BEE3C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12025</w:t>
            </w:r>
          </w:p>
        </w:tc>
        <w:tc>
          <w:tcPr>
            <w:tcW w:w="5400" w:type="dxa"/>
            <w:noWrap/>
            <w:hideMark/>
          </w:tcPr>
          <w:p w14:paraId="3D34E2B2"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Accelerating Inclusive Climate-Biodiversity Finance through Policy Coherence, Institutional Strengthening and IPLC-Led Conservation</w:t>
            </w:r>
          </w:p>
        </w:tc>
        <w:tc>
          <w:tcPr>
            <w:tcW w:w="810" w:type="dxa"/>
            <w:noWrap/>
            <w:hideMark/>
          </w:tcPr>
          <w:p w14:paraId="30E9903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0B4F829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Uganda</w:t>
            </w:r>
          </w:p>
        </w:tc>
        <w:tc>
          <w:tcPr>
            <w:tcW w:w="990" w:type="dxa"/>
            <w:noWrap/>
            <w:hideMark/>
          </w:tcPr>
          <w:p w14:paraId="04520CE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5AC52A1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8EDAFF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18391B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2.81</w:t>
            </w:r>
          </w:p>
        </w:tc>
        <w:tc>
          <w:tcPr>
            <w:tcW w:w="990" w:type="dxa"/>
            <w:noWrap/>
            <w:hideMark/>
          </w:tcPr>
          <w:p w14:paraId="1F7AA35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13.13</w:t>
            </w:r>
          </w:p>
        </w:tc>
        <w:tc>
          <w:tcPr>
            <w:tcW w:w="900" w:type="dxa"/>
            <w:noWrap/>
            <w:hideMark/>
          </w:tcPr>
          <w:p w14:paraId="3ED892A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15.94</w:t>
            </w:r>
          </w:p>
        </w:tc>
      </w:tr>
      <w:tr w:rsidR="00C0269A" w:rsidRPr="00C67737" w14:paraId="7B70C65D"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78F88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12024</w:t>
            </w:r>
          </w:p>
        </w:tc>
        <w:tc>
          <w:tcPr>
            <w:tcW w:w="5400" w:type="dxa"/>
            <w:noWrap/>
            <w:hideMark/>
          </w:tcPr>
          <w:p w14:paraId="78E22069"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proofErr w:type="spellStart"/>
            <w:r w:rsidRPr="003A6DDB">
              <w:rPr>
                <w:rFonts w:eastAsia="Times New Roman" w:cstheme="minorHAnsi"/>
                <w:color w:val="000000"/>
                <w:sz w:val="16"/>
                <w:szCs w:val="16"/>
                <w:lang w:val="en-US"/>
              </w:rPr>
              <w:t>EcoConnect</w:t>
            </w:r>
            <w:proofErr w:type="spellEnd"/>
            <w:r w:rsidRPr="003A6DDB">
              <w:rPr>
                <w:rFonts w:eastAsia="Times New Roman" w:cstheme="minorHAnsi"/>
                <w:color w:val="000000"/>
                <w:sz w:val="16"/>
                <w:szCs w:val="16"/>
                <w:lang w:val="en-US"/>
              </w:rPr>
              <w:t>: Advancing Natura 2000 Readiness and Biodiversity Restoration in Southeast and Eastern Europe</w:t>
            </w:r>
          </w:p>
        </w:tc>
        <w:tc>
          <w:tcPr>
            <w:tcW w:w="810" w:type="dxa"/>
            <w:noWrap/>
            <w:hideMark/>
          </w:tcPr>
          <w:p w14:paraId="16025B2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36F962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AE0056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1F3AF82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44E1C6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3A44C0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9.00</w:t>
            </w:r>
          </w:p>
        </w:tc>
        <w:tc>
          <w:tcPr>
            <w:tcW w:w="990" w:type="dxa"/>
            <w:noWrap/>
            <w:hideMark/>
          </w:tcPr>
          <w:p w14:paraId="41063DC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18.00</w:t>
            </w:r>
          </w:p>
        </w:tc>
        <w:tc>
          <w:tcPr>
            <w:tcW w:w="900" w:type="dxa"/>
            <w:noWrap/>
            <w:hideMark/>
          </w:tcPr>
          <w:p w14:paraId="277CD7D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27.00</w:t>
            </w:r>
          </w:p>
        </w:tc>
      </w:tr>
      <w:tr w:rsidR="00C0269A" w:rsidRPr="00C67737" w14:paraId="58B3999E"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76E2A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12021</w:t>
            </w:r>
          </w:p>
        </w:tc>
        <w:tc>
          <w:tcPr>
            <w:tcW w:w="5400" w:type="dxa"/>
            <w:noWrap/>
            <w:hideMark/>
          </w:tcPr>
          <w:p w14:paraId="5BE13CA3"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 xml:space="preserve">Indigenous Governance and Direct Financing in the Amazon and </w:t>
            </w:r>
            <w:proofErr w:type="spellStart"/>
            <w:r w:rsidRPr="003A6DDB">
              <w:rPr>
                <w:rFonts w:eastAsia="Times New Roman" w:cstheme="minorHAnsi"/>
                <w:color w:val="000000"/>
                <w:sz w:val="16"/>
                <w:szCs w:val="16"/>
                <w:lang w:val="en-US"/>
              </w:rPr>
              <w:t>Orinoquia</w:t>
            </w:r>
            <w:proofErr w:type="spellEnd"/>
            <w:r w:rsidRPr="003A6DDB">
              <w:rPr>
                <w:rFonts w:eastAsia="Times New Roman" w:cstheme="minorHAnsi"/>
                <w:color w:val="000000"/>
                <w:sz w:val="16"/>
                <w:szCs w:val="16"/>
                <w:lang w:val="en-US"/>
              </w:rPr>
              <w:t xml:space="preserve"> regions</w:t>
            </w:r>
          </w:p>
        </w:tc>
        <w:tc>
          <w:tcPr>
            <w:tcW w:w="810" w:type="dxa"/>
            <w:noWrap/>
            <w:hideMark/>
          </w:tcPr>
          <w:p w14:paraId="6AE0269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343610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1910CE6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34CB2FA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1F07C5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1DE67C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90" w:type="dxa"/>
            <w:noWrap/>
            <w:hideMark/>
          </w:tcPr>
          <w:p w14:paraId="3C3F044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151.29</w:t>
            </w:r>
          </w:p>
        </w:tc>
        <w:tc>
          <w:tcPr>
            <w:tcW w:w="900" w:type="dxa"/>
            <w:noWrap/>
            <w:hideMark/>
          </w:tcPr>
          <w:p w14:paraId="58949F6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161.29</w:t>
            </w:r>
          </w:p>
        </w:tc>
      </w:tr>
      <w:tr w:rsidR="00C0269A" w:rsidRPr="00C67737" w14:paraId="56FC158B"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19178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12019</w:t>
            </w:r>
          </w:p>
        </w:tc>
        <w:tc>
          <w:tcPr>
            <w:tcW w:w="5400" w:type="dxa"/>
            <w:noWrap/>
            <w:hideMark/>
          </w:tcPr>
          <w:p w14:paraId="46A809FB"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Protection and Sustainable Management of Terrestrial and Marine Ecosystems for Enhanced Community Resilience in the Union of Comoros</w:t>
            </w:r>
          </w:p>
        </w:tc>
        <w:tc>
          <w:tcPr>
            <w:tcW w:w="810" w:type="dxa"/>
            <w:noWrap/>
            <w:hideMark/>
          </w:tcPr>
          <w:p w14:paraId="3793B2B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83C93E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Comoros</w:t>
            </w:r>
            <w:proofErr w:type="spellEnd"/>
          </w:p>
        </w:tc>
        <w:tc>
          <w:tcPr>
            <w:tcW w:w="990" w:type="dxa"/>
            <w:noWrap/>
            <w:hideMark/>
          </w:tcPr>
          <w:p w14:paraId="0702512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EEFBE9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E6EE7D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FC1063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2.04</w:t>
            </w:r>
          </w:p>
        </w:tc>
        <w:tc>
          <w:tcPr>
            <w:tcW w:w="990" w:type="dxa"/>
            <w:noWrap/>
            <w:hideMark/>
          </w:tcPr>
          <w:p w14:paraId="7B19118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19.30</w:t>
            </w:r>
          </w:p>
        </w:tc>
        <w:tc>
          <w:tcPr>
            <w:tcW w:w="900" w:type="dxa"/>
            <w:noWrap/>
            <w:hideMark/>
          </w:tcPr>
          <w:p w14:paraId="0BC31B5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21.34</w:t>
            </w:r>
          </w:p>
        </w:tc>
      </w:tr>
      <w:tr w:rsidR="00C0269A" w:rsidRPr="00C67737" w14:paraId="4E2EF89E"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D35FE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12018</w:t>
            </w:r>
          </w:p>
        </w:tc>
        <w:tc>
          <w:tcPr>
            <w:tcW w:w="5400" w:type="dxa"/>
            <w:noWrap/>
            <w:hideMark/>
          </w:tcPr>
          <w:p w14:paraId="0B12AB56"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Establishing New Terrestrial Protected Areas in Djibouti</w:t>
            </w:r>
          </w:p>
        </w:tc>
        <w:tc>
          <w:tcPr>
            <w:tcW w:w="810" w:type="dxa"/>
            <w:noWrap/>
            <w:hideMark/>
          </w:tcPr>
          <w:p w14:paraId="6643BF3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00C351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Djibouti</w:t>
            </w:r>
          </w:p>
        </w:tc>
        <w:tc>
          <w:tcPr>
            <w:tcW w:w="990" w:type="dxa"/>
            <w:noWrap/>
            <w:hideMark/>
          </w:tcPr>
          <w:p w14:paraId="7F5D9A7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44FB51F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88389D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94C615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323F04D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36AAB6A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r>
      <w:tr w:rsidR="00C0269A" w:rsidRPr="00C67737" w14:paraId="63965945"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04A33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12015</w:t>
            </w:r>
          </w:p>
        </w:tc>
        <w:tc>
          <w:tcPr>
            <w:tcW w:w="5400" w:type="dxa"/>
            <w:noWrap/>
            <w:hideMark/>
          </w:tcPr>
          <w:p w14:paraId="7BF611F9"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Restoring Degraded Landscapes for Biodiversity and Resilient Livelihoods through Building Biodiversity-friendly Agrifood Systems in Timor-Leste</w:t>
            </w:r>
          </w:p>
        </w:tc>
        <w:tc>
          <w:tcPr>
            <w:tcW w:w="810" w:type="dxa"/>
            <w:noWrap/>
            <w:hideMark/>
          </w:tcPr>
          <w:p w14:paraId="2A1C890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3C27A7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Timor Leste</w:t>
            </w:r>
          </w:p>
        </w:tc>
        <w:tc>
          <w:tcPr>
            <w:tcW w:w="990" w:type="dxa"/>
            <w:noWrap/>
            <w:hideMark/>
          </w:tcPr>
          <w:p w14:paraId="76E1BA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4CC8C09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C92150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B3DD77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2E80620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w:t>
            </w:r>
          </w:p>
        </w:tc>
        <w:tc>
          <w:tcPr>
            <w:tcW w:w="900" w:type="dxa"/>
            <w:noWrap/>
            <w:hideMark/>
          </w:tcPr>
          <w:p w14:paraId="0E3D5FF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3.20</w:t>
            </w:r>
          </w:p>
        </w:tc>
      </w:tr>
      <w:tr w:rsidR="00C0269A" w:rsidRPr="00C67737" w14:paraId="58C4236B"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EB992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12008</w:t>
            </w:r>
          </w:p>
        </w:tc>
        <w:tc>
          <w:tcPr>
            <w:tcW w:w="5400" w:type="dxa"/>
            <w:noWrap/>
            <w:hideMark/>
          </w:tcPr>
          <w:p w14:paraId="7E5FA5B6"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Protecting Yemen’s Coastal and Marine Ecosystems through Protected Area Network, Habitat Restoration, and Community Co-management</w:t>
            </w:r>
          </w:p>
        </w:tc>
        <w:tc>
          <w:tcPr>
            <w:tcW w:w="810" w:type="dxa"/>
            <w:noWrap/>
            <w:hideMark/>
          </w:tcPr>
          <w:p w14:paraId="366545E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6389D6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Yemen</w:t>
            </w:r>
            <w:proofErr w:type="spellEnd"/>
          </w:p>
        </w:tc>
        <w:tc>
          <w:tcPr>
            <w:tcW w:w="990" w:type="dxa"/>
            <w:noWrap/>
            <w:hideMark/>
          </w:tcPr>
          <w:p w14:paraId="24FAEEA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49A34B8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89524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C93096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3.80</w:t>
            </w:r>
          </w:p>
        </w:tc>
        <w:tc>
          <w:tcPr>
            <w:tcW w:w="990" w:type="dxa"/>
            <w:noWrap/>
            <w:hideMark/>
          </w:tcPr>
          <w:p w14:paraId="1FDCF33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w:t>
            </w:r>
          </w:p>
        </w:tc>
        <w:tc>
          <w:tcPr>
            <w:tcW w:w="900" w:type="dxa"/>
            <w:noWrap/>
            <w:hideMark/>
          </w:tcPr>
          <w:p w14:paraId="7A6A3D7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4.80</w:t>
            </w:r>
          </w:p>
        </w:tc>
      </w:tr>
      <w:tr w:rsidR="00C0269A" w:rsidRPr="00C67737" w14:paraId="7D894B8B"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8F940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11818</w:t>
            </w:r>
          </w:p>
        </w:tc>
        <w:tc>
          <w:tcPr>
            <w:tcW w:w="5400" w:type="dxa"/>
            <w:noWrap/>
            <w:hideMark/>
          </w:tcPr>
          <w:p w14:paraId="5A2E369E"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 xml:space="preserve">Conservation of Endangered Cold Water Fish Species for Sustainable Livelihoods of Fishing Communities in Middle </w:t>
            </w:r>
            <w:proofErr w:type="spellStart"/>
            <w:r w:rsidRPr="003A6DDB">
              <w:rPr>
                <w:rFonts w:eastAsia="Times New Roman" w:cstheme="minorHAnsi"/>
                <w:color w:val="000000"/>
                <w:sz w:val="16"/>
                <w:szCs w:val="16"/>
                <w:lang w:val="en-US"/>
              </w:rPr>
              <w:t>Trishuli</w:t>
            </w:r>
            <w:proofErr w:type="spellEnd"/>
            <w:r w:rsidRPr="003A6DDB">
              <w:rPr>
                <w:rFonts w:eastAsia="Times New Roman" w:cstheme="minorHAnsi"/>
                <w:color w:val="000000"/>
                <w:sz w:val="16"/>
                <w:szCs w:val="16"/>
                <w:lang w:val="en-US"/>
              </w:rPr>
              <w:t xml:space="preserve"> River Basin, Central Nepal</w:t>
            </w:r>
          </w:p>
        </w:tc>
        <w:tc>
          <w:tcPr>
            <w:tcW w:w="810" w:type="dxa"/>
            <w:noWrap/>
            <w:hideMark/>
          </w:tcPr>
          <w:p w14:paraId="39F22B3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A715C7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Nepal</w:t>
            </w:r>
            <w:proofErr w:type="spellEnd"/>
          </w:p>
        </w:tc>
        <w:tc>
          <w:tcPr>
            <w:tcW w:w="990" w:type="dxa"/>
            <w:noWrap/>
            <w:hideMark/>
          </w:tcPr>
          <w:p w14:paraId="09F5EA0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3A1FAE0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C638E0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24C22F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1.51</w:t>
            </w:r>
          </w:p>
        </w:tc>
        <w:tc>
          <w:tcPr>
            <w:tcW w:w="990" w:type="dxa"/>
            <w:noWrap/>
            <w:hideMark/>
          </w:tcPr>
          <w:p w14:paraId="7DE747B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00" w:type="dxa"/>
            <w:noWrap/>
            <w:hideMark/>
          </w:tcPr>
          <w:p w14:paraId="2CB6D80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11.51</w:t>
            </w:r>
          </w:p>
        </w:tc>
      </w:tr>
      <w:tr w:rsidR="00C0269A" w:rsidRPr="00C67737" w14:paraId="20CB16BA"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2401A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11811</w:t>
            </w:r>
          </w:p>
        </w:tc>
        <w:tc>
          <w:tcPr>
            <w:tcW w:w="5400" w:type="dxa"/>
            <w:noWrap/>
            <w:hideMark/>
          </w:tcPr>
          <w:p w14:paraId="5B5FCB04" w14:textId="78786EFD"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Capacity Building for the Implementation of the Kunming-Montreal Global Biodiversity Framework, the Nagoya Protocol, the Cartagena Protocol, and the Promotion of Sustainable Bio-Businesses in Honduras</w:t>
            </w:r>
          </w:p>
        </w:tc>
        <w:tc>
          <w:tcPr>
            <w:tcW w:w="810" w:type="dxa"/>
            <w:noWrap/>
            <w:hideMark/>
          </w:tcPr>
          <w:p w14:paraId="04FC3B8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5B83C90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Honduras</w:t>
            </w:r>
          </w:p>
        </w:tc>
        <w:tc>
          <w:tcPr>
            <w:tcW w:w="990" w:type="dxa"/>
            <w:noWrap/>
            <w:hideMark/>
          </w:tcPr>
          <w:p w14:paraId="69C3494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3E0580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09D055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2E1BDE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3.72</w:t>
            </w:r>
          </w:p>
        </w:tc>
        <w:tc>
          <w:tcPr>
            <w:tcW w:w="990" w:type="dxa"/>
            <w:noWrap/>
            <w:hideMark/>
          </w:tcPr>
          <w:p w14:paraId="1940349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23.50</w:t>
            </w:r>
          </w:p>
        </w:tc>
        <w:tc>
          <w:tcPr>
            <w:tcW w:w="900" w:type="dxa"/>
            <w:noWrap/>
            <w:hideMark/>
          </w:tcPr>
          <w:p w14:paraId="4F2D881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27.22</w:t>
            </w:r>
          </w:p>
        </w:tc>
      </w:tr>
      <w:tr w:rsidR="00C0269A" w:rsidRPr="00C67737" w14:paraId="59CBC8A8"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33A9C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11810</w:t>
            </w:r>
          </w:p>
        </w:tc>
        <w:tc>
          <w:tcPr>
            <w:tcW w:w="5400" w:type="dxa"/>
            <w:noWrap/>
            <w:hideMark/>
          </w:tcPr>
          <w:p w14:paraId="1B04E05B"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'Strengthening the Ecological and Economic Functions of Critical Biodiversity Habitats of the N’ZI Voluntary Nature Reserve</w:t>
            </w:r>
          </w:p>
        </w:tc>
        <w:tc>
          <w:tcPr>
            <w:tcW w:w="810" w:type="dxa"/>
            <w:noWrap/>
            <w:hideMark/>
          </w:tcPr>
          <w:p w14:paraId="251FCB3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DBSA</w:t>
            </w:r>
          </w:p>
        </w:tc>
        <w:tc>
          <w:tcPr>
            <w:tcW w:w="990" w:type="dxa"/>
            <w:noWrap/>
            <w:hideMark/>
          </w:tcPr>
          <w:p w14:paraId="4FC3D3B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Cote d'Ivoire</w:t>
            </w:r>
          </w:p>
        </w:tc>
        <w:tc>
          <w:tcPr>
            <w:tcW w:w="990" w:type="dxa"/>
            <w:noWrap/>
            <w:hideMark/>
          </w:tcPr>
          <w:p w14:paraId="269F2D4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43984C3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4B1A56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E22B00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2.21</w:t>
            </w:r>
          </w:p>
        </w:tc>
        <w:tc>
          <w:tcPr>
            <w:tcW w:w="990" w:type="dxa"/>
            <w:noWrap/>
            <w:hideMark/>
          </w:tcPr>
          <w:p w14:paraId="43C7564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3.25</w:t>
            </w:r>
          </w:p>
        </w:tc>
        <w:tc>
          <w:tcPr>
            <w:tcW w:w="900" w:type="dxa"/>
            <w:noWrap/>
            <w:hideMark/>
          </w:tcPr>
          <w:p w14:paraId="5144DC7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5.46</w:t>
            </w:r>
          </w:p>
        </w:tc>
      </w:tr>
      <w:tr w:rsidR="00C0269A" w:rsidRPr="00C67737" w14:paraId="2074048E"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DDAAA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11804</w:t>
            </w:r>
          </w:p>
        </w:tc>
        <w:tc>
          <w:tcPr>
            <w:tcW w:w="5400" w:type="dxa"/>
            <w:noWrap/>
            <w:hideMark/>
          </w:tcPr>
          <w:p w14:paraId="47E979ED"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proofErr w:type="spellStart"/>
            <w:r w:rsidRPr="003A6DDB">
              <w:rPr>
                <w:rFonts w:eastAsia="Times New Roman" w:cstheme="minorHAnsi"/>
                <w:color w:val="000000"/>
                <w:sz w:val="16"/>
                <w:szCs w:val="16"/>
                <w:lang w:val="en-US"/>
              </w:rPr>
              <w:t>EcoHarmony</w:t>
            </w:r>
            <w:proofErr w:type="spellEnd"/>
            <w:r w:rsidRPr="003A6DDB">
              <w:rPr>
                <w:rFonts w:eastAsia="Times New Roman" w:cstheme="minorHAnsi"/>
                <w:color w:val="000000"/>
                <w:sz w:val="16"/>
                <w:szCs w:val="16"/>
                <w:lang w:val="en-US"/>
              </w:rPr>
              <w:t xml:space="preserve"> RD: Advancing OECMs for Biodiversity Integration in Dominican Landscapes</w:t>
            </w:r>
          </w:p>
        </w:tc>
        <w:tc>
          <w:tcPr>
            <w:tcW w:w="810" w:type="dxa"/>
            <w:noWrap/>
            <w:hideMark/>
          </w:tcPr>
          <w:p w14:paraId="62F7533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541125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Dominican</w:t>
            </w:r>
            <w:proofErr w:type="spellEnd"/>
            <w:r w:rsidRPr="00C67737">
              <w:rPr>
                <w:rFonts w:eastAsia="Times New Roman" w:cstheme="minorHAnsi"/>
                <w:color w:val="000000"/>
                <w:sz w:val="16"/>
                <w:szCs w:val="16"/>
              </w:rPr>
              <w:t xml:space="preserve"> Republic</w:t>
            </w:r>
          </w:p>
        </w:tc>
        <w:tc>
          <w:tcPr>
            <w:tcW w:w="990" w:type="dxa"/>
            <w:noWrap/>
            <w:hideMark/>
          </w:tcPr>
          <w:p w14:paraId="6C6982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26CE9B1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F20F21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DF508D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2.11</w:t>
            </w:r>
          </w:p>
        </w:tc>
        <w:tc>
          <w:tcPr>
            <w:tcW w:w="990" w:type="dxa"/>
            <w:noWrap/>
            <w:hideMark/>
          </w:tcPr>
          <w:p w14:paraId="0C60224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5F10BEC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2.11</w:t>
            </w:r>
          </w:p>
        </w:tc>
      </w:tr>
      <w:tr w:rsidR="00C0269A" w:rsidRPr="00C67737" w14:paraId="760F2169"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DF85C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11802</w:t>
            </w:r>
          </w:p>
        </w:tc>
        <w:tc>
          <w:tcPr>
            <w:tcW w:w="5400" w:type="dxa"/>
            <w:noWrap/>
            <w:hideMark/>
          </w:tcPr>
          <w:p w14:paraId="231B834D"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Sustainable Financing and Inclusive Management to Perpetuate Madagascar’s Locally Managed Marine Areas</w:t>
            </w:r>
          </w:p>
        </w:tc>
        <w:tc>
          <w:tcPr>
            <w:tcW w:w="810" w:type="dxa"/>
            <w:noWrap/>
            <w:hideMark/>
          </w:tcPr>
          <w:p w14:paraId="7188E54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2BD1D4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2BCC53A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58B1975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007B98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364359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5.93</w:t>
            </w:r>
          </w:p>
        </w:tc>
        <w:tc>
          <w:tcPr>
            <w:tcW w:w="990" w:type="dxa"/>
            <w:noWrap/>
            <w:hideMark/>
          </w:tcPr>
          <w:p w14:paraId="2669F19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3.30</w:t>
            </w:r>
          </w:p>
        </w:tc>
        <w:tc>
          <w:tcPr>
            <w:tcW w:w="900" w:type="dxa"/>
            <w:noWrap/>
            <w:hideMark/>
          </w:tcPr>
          <w:p w14:paraId="4966567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9.24</w:t>
            </w:r>
          </w:p>
        </w:tc>
      </w:tr>
      <w:tr w:rsidR="00C0269A" w:rsidRPr="00C67737" w14:paraId="37ECDA82"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81BCB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11800</w:t>
            </w:r>
          </w:p>
        </w:tc>
        <w:tc>
          <w:tcPr>
            <w:tcW w:w="5400" w:type="dxa"/>
            <w:noWrap/>
            <w:hideMark/>
          </w:tcPr>
          <w:p w14:paraId="3531B72F"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Enhancing Participatory Conservation and Restoration of Biodiversity and Ecosystem Services in Ethiopia</w:t>
            </w:r>
          </w:p>
        </w:tc>
        <w:tc>
          <w:tcPr>
            <w:tcW w:w="810" w:type="dxa"/>
            <w:noWrap/>
            <w:hideMark/>
          </w:tcPr>
          <w:p w14:paraId="4F4D65D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7487B7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Ethiopia</w:t>
            </w:r>
            <w:proofErr w:type="spellEnd"/>
          </w:p>
        </w:tc>
        <w:tc>
          <w:tcPr>
            <w:tcW w:w="990" w:type="dxa"/>
            <w:noWrap/>
            <w:hideMark/>
          </w:tcPr>
          <w:p w14:paraId="62B54AF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6009AB3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DF938E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D083E4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4.32</w:t>
            </w:r>
          </w:p>
        </w:tc>
        <w:tc>
          <w:tcPr>
            <w:tcW w:w="990" w:type="dxa"/>
            <w:noWrap/>
            <w:hideMark/>
          </w:tcPr>
          <w:p w14:paraId="1048D26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13.20</w:t>
            </w:r>
          </w:p>
        </w:tc>
        <w:tc>
          <w:tcPr>
            <w:tcW w:w="900" w:type="dxa"/>
            <w:noWrap/>
            <w:hideMark/>
          </w:tcPr>
          <w:p w14:paraId="54BB7E6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17.52</w:t>
            </w:r>
          </w:p>
        </w:tc>
      </w:tr>
      <w:tr w:rsidR="00C0269A" w:rsidRPr="00C67737" w14:paraId="6285EE59"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8783B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11798</w:t>
            </w:r>
          </w:p>
        </w:tc>
        <w:tc>
          <w:tcPr>
            <w:tcW w:w="5400" w:type="dxa"/>
            <w:noWrap/>
            <w:hideMark/>
          </w:tcPr>
          <w:p w14:paraId="2DD40EAB"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Sustainable Management of Biodiversity and Natural Resources in the Bolivian Altiplano associated to the production of South American camelids</w:t>
            </w:r>
          </w:p>
        </w:tc>
        <w:tc>
          <w:tcPr>
            <w:tcW w:w="810" w:type="dxa"/>
            <w:noWrap/>
            <w:hideMark/>
          </w:tcPr>
          <w:p w14:paraId="3B43892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28F10DC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Bolivia</w:t>
            </w:r>
          </w:p>
        </w:tc>
        <w:tc>
          <w:tcPr>
            <w:tcW w:w="990" w:type="dxa"/>
            <w:noWrap/>
            <w:hideMark/>
          </w:tcPr>
          <w:p w14:paraId="42AB8EF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4A98B8F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FFC41F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B7B1B4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4.53</w:t>
            </w:r>
          </w:p>
        </w:tc>
        <w:tc>
          <w:tcPr>
            <w:tcW w:w="990" w:type="dxa"/>
            <w:noWrap/>
            <w:hideMark/>
          </w:tcPr>
          <w:p w14:paraId="6CD1A93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26.94</w:t>
            </w:r>
          </w:p>
        </w:tc>
        <w:tc>
          <w:tcPr>
            <w:tcW w:w="900" w:type="dxa"/>
            <w:noWrap/>
            <w:hideMark/>
          </w:tcPr>
          <w:p w14:paraId="42556EB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31.47</w:t>
            </w:r>
          </w:p>
        </w:tc>
      </w:tr>
      <w:tr w:rsidR="00C0269A" w:rsidRPr="00C67737" w14:paraId="539A073F"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15B42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11797</w:t>
            </w:r>
          </w:p>
        </w:tc>
        <w:tc>
          <w:tcPr>
            <w:tcW w:w="5400" w:type="dxa"/>
            <w:noWrap/>
            <w:hideMark/>
          </w:tcPr>
          <w:p w14:paraId="26AE3F79"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proofErr w:type="spellStart"/>
            <w:r w:rsidRPr="003A6DDB">
              <w:rPr>
                <w:rFonts w:eastAsia="Times New Roman" w:cstheme="minorHAnsi"/>
                <w:color w:val="000000"/>
                <w:sz w:val="16"/>
                <w:szCs w:val="16"/>
                <w:lang w:val="en-US"/>
              </w:rPr>
              <w:t>Biomanglar</w:t>
            </w:r>
            <w:proofErr w:type="spellEnd"/>
            <w:r w:rsidRPr="003A6DDB">
              <w:rPr>
                <w:rFonts w:eastAsia="Times New Roman" w:cstheme="minorHAnsi"/>
                <w:color w:val="000000"/>
                <w:sz w:val="16"/>
                <w:szCs w:val="16"/>
                <w:lang w:val="en-US"/>
              </w:rPr>
              <w:t>: Empowering Collective Territories through Conservation, Sustainable Use, and Restoration Initiatives of Mangroves to Contribute to Colombia’s National Biodiversity Strategy</w:t>
            </w:r>
          </w:p>
        </w:tc>
        <w:tc>
          <w:tcPr>
            <w:tcW w:w="810" w:type="dxa"/>
            <w:noWrap/>
            <w:hideMark/>
          </w:tcPr>
          <w:p w14:paraId="05C5DAF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126E706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31D9FE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1309FB3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0F85F6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371B3A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16.06</w:t>
            </w:r>
          </w:p>
        </w:tc>
        <w:tc>
          <w:tcPr>
            <w:tcW w:w="990" w:type="dxa"/>
            <w:noWrap/>
            <w:hideMark/>
          </w:tcPr>
          <w:p w14:paraId="4C05424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32.76</w:t>
            </w:r>
          </w:p>
        </w:tc>
        <w:tc>
          <w:tcPr>
            <w:tcW w:w="900" w:type="dxa"/>
            <w:noWrap/>
            <w:hideMark/>
          </w:tcPr>
          <w:p w14:paraId="00CD008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48.82</w:t>
            </w:r>
          </w:p>
        </w:tc>
      </w:tr>
      <w:tr w:rsidR="00C0269A" w:rsidRPr="00C67737" w14:paraId="6046B33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14CB5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11795</w:t>
            </w:r>
          </w:p>
        </w:tc>
        <w:tc>
          <w:tcPr>
            <w:tcW w:w="5400" w:type="dxa"/>
            <w:noWrap/>
            <w:hideMark/>
          </w:tcPr>
          <w:p w14:paraId="53C88FAE"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Empowering Indigenous Peoples and Local Communities for Improved Biodiversity Stewardship in the Solomon Islands</w:t>
            </w:r>
          </w:p>
        </w:tc>
        <w:tc>
          <w:tcPr>
            <w:tcW w:w="810" w:type="dxa"/>
            <w:noWrap/>
            <w:hideMark/>
          </w:tcPr>
          <w:p w14:paraId="503CFB5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E82755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Solomon Islands</w:t>
            </w:r>
          </w:p>
        </w:tc>
        <w:tc>
          <w:tcPr>
            <w:tcW w:w="990" w:type="dxa"/>
            <w:noWrap/>
            <w:hideMark/>
          </w:tcPr>
          <w:p w14:paraId="7DDBA04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6DA0CD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CFEAE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17E0F0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2.71</w:t>
            </w:r>
          </w:p>
        </w:tc>
        <w:tc>
          <w:tcPr>
            <w:tcW w:w="990" w:type="dxa"/>
            <w:noWrap/>
            <w:hideMark/>
          </w:tcPr>
          <w:p w14:paraId="3C14919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7.35</w:t>
            </w:r>
          </w:p>
        </w:tc>
        <w:tc>
          <w:tcPr>
            <w:tcW w:w="900" w:type="dxa"/>
            <w:noWrap/>
            <w:hideMark/>
          </w:tcPr>
          <w:p w14:paraId="7C22DB5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10.06</w:t>
            </w:r>
          </w:p>
        </w:tc>
      </w:tr>
      <w:tr w:rsidR="00C0269A" w:rsidRPr="00C67737" w14:paraId="3B9479CB"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56077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11793</w:t>
            </w:r>
          </w:p>
        </w:tc>
        <w:tc>
          <w:tcPr>
            <w:tcW w:w="5400" w:type="dxa"/>
            <w:noWrap/>
            <w:hideMark/>
          </w:tcPr>
          <w:p w14:paraId="6668584F"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Strengthening Biodiversity in Agriculture, Restoring Ecosystem Resilience, and Empowering Indigenous Peoples and Local Communities in Lao PDR</w:t>
            </w:r>
          </w:p>
        </w:tc>
        <w:tc>
          <w:tcPr>
            <w:tcW w:w="810" w:type="dxa"/>
            <w:noWrap/>
            <w:hideMark/>
          </w:tcPr>
          <w:p w14:paraId="4C10BB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904267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Lao PDR</w:t>
            </w:r>
          </w:p>
        </w:tc>
        <w:tc>
          <w:tcPr>
            <w:tcW w:w="990" w:type="dxa"/>
            <w:noWrap/>
            <w:hideMark/>
          </w:tcPr>
          <w:p w14:paraId="6F437B0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AD32A9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2167AB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36E825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1.96</w:t>
            </w:r>
          </w:p>
        </w:tc>
        <w:tc>
          <w:tcPr>
            <w:tcW w:w="990" w:type="dxa"/>
            <w:noWrap/>
            <w:hideMark/>
          </w:tcPr>
          <w:p w14:paraId="118C195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0.70</w:t>
            </w:r>
          </w:p>
        </w:tc>
        <w:tc>
          <w:tcPr>
            <w:tcW w:w="900" w:type="dxa"/>
            <w:noWrap/>
            <w:hideMark/>
          </w:tcPr>
          <w:p w14:paraId="46B57D4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2.66</w:t>
            </w:r>
          </w:p>
        </w:tc>
      </w:tr>
      <w:tr w:rsidR="00C0269A" w:rsidRPr="00C67737" w14:paraId="4D2F134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11288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11792</w:t>
            </w:r>
          </w:p>
        </w:tc>
        <w:tc>
          <w:tcPr>
            <w:tcW w:w="5400" w:type="dxa"/>
            <w:noWrap/>
            <w:hideMark/>
          </w:tcPr>
          <w:p w14:paraId="0F4C9D56"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Conservation and Sustainable Use of Threatened Coastal and Inland Fish Species for Sustainable Livelihood of Fishing and Farming Communities</w:t>
            </w:r>
          </w:p>
        </w:tc>
        <w:tc>
          <w:tcPr>
            <w:tcW w:w="810" w:type="dxa"/>
            <w:noWrap/>
            <w:hideMark/>
          </w:tcPr>
          <w:p w14:paraId="093C9B0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5130F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Cuba</w:t>
            </w:r>
          </w:p>
        </w:tc>
        <w:tc>
          <w:tcPr>
            <w:tcW w:w="990" w:type="dxa"/>
            <w:noWrap/>
            <w:hideMark/>
          </w:tcPr>
          <w:p w14:paraId="774CBD3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56045D9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0867B7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23C2EE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3.51</w:t>
            </w:r>
          </w:p>
        </w:tc>
        <w:tc>
          <w:tcPr>
            <w:tcW w:w="990" w:type="dxa"/>
            <w:noWrap/>
            <w:hideMark/>
          </w:tcPr>
          <w:p w14:paraId="19DFE1C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18.55</w:t>
            </w:r>
          </w:p>
        </w:tc>
        <w:tc>
          <w:tcPr>
            <w:tcW w:w="900" w:type="dxa"/>
            <w:noWrap/>
            <w:hideMark/>
          </w:tcPr>
          <w:p w14:paraId="3CE58BC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22.06</w:t>
            </w:r>
          </w:p>
        </w:tc>
      </w:tr>
      <w:tr w:rsidR="00C0269A" w:rsidRPr="00C67737" w14:paraId="23CDA3A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034C0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11787</w:t>
            </w:r>
          </w:p>
        </w:tc>
        <w:tc>
          <w:tcPr>
            <w:tcW w:w="5400" w:type="dxa"/>
            <w:noWrap/>
            <w:hideMark/>
          </w:tcPr>
          <w:p w14:paraId="738996F1"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Empowering Indigenous Peoples and Local Communities for Sustainable Management and Conservation of 700,000 ha of Critical Ecosystems in Three Highland Provinces in Papua New Guinea</w:t>
            </w:r>
          </w:p>
        </w:tc>
        <w:tc>
          <w:tcPr>
            <w:tcW w:w="810" w:type="dxa"/>
            <w:noWrap/>
            <w:hideMark/>
          </w:tcPr>
          <w:p w14:paraId="00707DF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69C005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Papua New </w:t>
            </w:r>
            <w:proofErr w:type="spellStart"/>
            <w:r w:rsidRPr="00C67737">
              <w:rPr>
                <w:rFonts w:eastAsia="Times New Roman" w:cstheme="minorHAnsi"/>
                <w:color w:val="000000"/>
                <w:sz w:val="16"/>
                <w:szCs w:val="16"/>
              </w:rPr>
              <w:t>Guinea</w:t>
            </w:r>
            <w:proofErr w:type="spellEnd"/>
          </w:p>
        </w:tc>
        <w:tc>
          <w:tcPr>
            <w:tcW w:w="990" w:type="dxa"/>
            <w:noWrap/>
            <w:hideMark/>
          </w:tcPr>
          <w:p w14:paraId="59C593C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BC3D31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28645B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42C687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7.27</w:t>
            </w:r>
          </w:p>
        </w:tc>
        <w:tc>
          <w:tcPr>
            <w:tcW w:w="990" w:type="dxa"/>
            <w:noWrap/>
            <w:hideMark/>
          </w:tcPr>
          <w:p w14:paraId="56AFD2D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30.20</w:t>
            </w:r>
          </w:p>
        </w:tc>
        <w:tc>
          <w:tcPr>
            <w:tcW w:w="900" w:type="dxa"/>
            <w:noWrap/>
            <w:hideMark/>
          </w:tcPr>
          <w:p w14:paraId="3237DAB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37.47</w:t>
            </w:r>
          </w:p>
        </w:tc>
      </w:tr>
      <w:tr w:rsidR="00C0269A" w:rsidRPr="00C67737" w14:paraId="6C7632CB"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0CE27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11784</w:t>
            </w:r>
          </w:p>
        </w:tc>
        <w:tc>
          <w:tcPr>
            <w:tcW w:w="5400" w:type="dxa"/>
            <w:noWrap/>
            <w:hideMark/>
          </w:tcPr>
          <w:p w14:paraId="4059A98E"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Conservation of Biodiversity, its Sustainable Use, Fair and Equitable Sharing of Benefits in India</w:t>
            </w:r>
          </w:p>
        </w:tc>
        <w:tc>
          <w:tcPr>
            <w:tcW w:w="810" w:type="dxa"/>
            <w:noWrap/>
            <w:hideMark/>
          </w:tcPr>
          <w:p w14:paraId="4ACA85C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679F6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1FEFD8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4F4F31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C3A565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51019C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13.82</w:t>
            </w:r>
          </w:p>
        </w:tc>
        <w:tc>
          <w:tcPr>
            <w:tcW w:w="990" w:type="dxa"/>
            <w:noWrap/>
            <w:hideMark/>
          </w:tcPr>
          <w:p w14:paraId="65B8F77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100.00</w:t>
            </w:r>
          </w:p>
        </w:tc>
        <w:tc>
          <w:tcPr>
            <w:tcW w:w="900" w:type="dxa"/>
            <w:noWrap/>
            <w:hideMark/>
          </w:tcPr>
          <w:p w14:paraId="03FBC30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113.82</w:t>
            </w:r>
          </w:p>
        </w:tc>
      </w:tr>
      <w:tr w:rsidR="00C0269A" w:rsidRPr="00C67737" w14:paraId="5BF3A52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877FA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11780</w:t>
            </w:r>
          </w:p>
        </w:tc>
        <w:tc>
          <w:tcPr>
            <w:tcW w:w="5400" w:type="dxa"/>
            <w:noWrap/>
            <w:hideMark/>
          </w:tcPr>
          <w:p w14:paraId="2237C391"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Blue Corridor: Connectivity for the Conservation, Restoration and Sustainable Use of Marine Ecosystems of Global Importance in the Southern Caribbean of Costa Rica.</w:t>
            </w:r>
          </w:p>
        </w:tc>
        <w:tc>
          <w:tcPr>
            <w:tcW w:w="810" w:type="dxa"/>
            <w:noWrap/>
            <w:hideMark/>
          </w:tcPr>
          <w:p w14:paraId="50564C1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19B30ED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Costa Rica</w:t>
            </w:r>
          </w:p>
        </w:tc>
        <w:tc>
          <w:tcPr>
            <w:tcW w:w="990" w:type="dxa"/>
            <w:noWrap/>
            <w:hideMark/>
          </w:tcPr>
          <w:p w14:paraId="054C1B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53C1303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563B1D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CAAEC6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4.05</w:t>
            </w:r>
          </w:p>
        </w:tc>
        <w:tc>
          <w:tcPr>
            <w:tcW w:w="990" w:type="dxa"/>
            <w:noWrap/>
            <w:hideMark/>
          </w:tcPr>
          <w:p w14:paraId="543C476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0.92</w:t>
            </w:r>
          </w:p>
        </w:tc>
        <w:tc>
          <w:tcPr>
            <w:tcW w:w="900" w:type="dxa"/>
            <w:noWrap/>
            <w:hideMark/>
          </w:tcPr>
          <w:p w14:paraId="278CB47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4.97</w:t>
            </w:r>
          </w:p>
        </w:tc>
      </w:tr>
      <w:tr w:rsidR="00C0269A" w:rsidRPr="00C67737" w14:paraId="6ACF0E84"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1388E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11778</w:t>
            </w:r>
          </w:p>
        </w:tc>
        <w:tc>
          <w:tcPr>
            <w:tcW w:w="5400" w:type="dxa"/>
            <w:noWrap/>
            <w:hideMark/>
          </w:tcPr>
          <w:p w14:paraId="61790267"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Mainstreaming Biodiversity into the Botswana's Financial Sector (MBBF)</w:t>
            </w:r>
          </w:p>
        </w:tc>
        <w:tc>
          <w:tcPr>
            <w:tcW w:w="810" w:type="dxa"/>
            <w:noWrap/>
            <w:hideMark/>
          </w:tcPr>
          <w:p w14:paraId="7A5E117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5D1F41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Botswana</w:t>
            </w:r>
          </w:p>
        </w:tc>
        <w:tc>
          <w:tcPr>
            <w:tcW w:w="990" w:type="dxa"/>
            <w:noWrap/>
            <w:hideMark/>
          </w:tcPr>
          <w:p w14:paraId="628D6CE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6698626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F045DB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58B195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0.87</w:t>
            </w:r>
          </w:p>
        </w:tc>
        <w:tc>
          <w:tcPr>
            <w:tcW w:w="990" w:type="dxa"/>
            <w:noWrap/>
            <w:hideMark/>
          </w:tcPr>
          <w:p w14:paraId="2457970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0.25</w:t>
            </w:r>
          </w:p>
        </w:tc>
        <w:tc>
          <w:tcPr>
            <w:tcW w:w="900" w:type="dxa"/>
            <w:noWrap/>
            <w:hideMark/>
          </w:tcPr>
          <w:p w14:paraId="4F4A273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1.12</w:t>
            </w:r>
          </w:p>
        </w:tc>
      </w:tr>
      <w:tr w:rsidR="00C0269A" w:rsidRPr="00C67737" w14:paraId="4F837E23"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6CDE3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11775</w:t>
            </w:r>
          </w:p>
        </w:tc>
        <w:tc>
          <w:tcPr>
            <w:tcW w:w="5400" w:type="dxa"/>
            <w:noWrap/>
            <w:hideMark/>
          </w:tcPr>
          <w:p w14:paraId="7F965612"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Transforming the Global Biodiversity Framework into Tangible Action in Madagascar</w:t>
            </w:r>
          </w:p>
        </w:tc>
        <w:tc>
          <w:tcPr>
            <w:tcW w:w="810" w:type="dxa"/>
            <w:noWrap/>
            <w:hideMark/>
          </w:tcPr>
          <w:p w14:paraId="4570EC2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182122B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4A3E5C7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556E16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B6A9AB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3BE1A5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8.78</w:t>
            </w:r>
          </w:p>
        </w:tc>
        <w:tc>
          <w:tcPr>
            <w:tcW w:w="990" w:type="dxa"/>
            <w:noWrap/>
            <w:hideMark/>
          </w:tcPr>
          <w:p w14:paraId="6F05A74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41.71</w:t>
            </w:r>
          </w:p>
        </w:tc>
        <w:tc>
          <w:tcPr>
            <w:tcW w:w="900" w:type="dxa"/>
            <w:noWrap/>
            <w:hideMark/>
          </w:tcPr>
          <w:p w14:paraId="46EEBAD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50.50</w:t>
            </w:r>
          </w:p>
        </w:tc>
      </w:tr>
      <w:tr w:rsidR="00C0269A" w:rsidRPr="00C67737" w14:paraId="41D736EA"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8AD3F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11769</w:t>
            </w:r>
          </w:p>
        </w:tc>
        <w:tc>
          <w:tcPr>
            <w:tcW w:w="5400" w:type="dxa"/>
            <w:noWrap/>
            <w:hideMark/>
          </w:tcPr>
          <w:p w14:paraId="22F3717F"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 xml:space="preserve">Sustainable Restoration and Conservation of </w:t>
            </w:r>
            <w:proofErr w:type="spellStart"/>
            <w:r w:rsidRPr="003A6DDB">
              <w:rPr>
                <w:rFonts w:eastAsia="Times New Roman" w:cstheme="minorHAnsi"/>
                <w:color w:val="000000"/>
                <w:sz w:val="16"/>
                <w:szCs w:val="16"/>
                <w:lang w:val="en-US"/>
              </w:rPr>
              <w:t>Malagarasi</w:t>
            </w:r>
            <w:proofErr w:type="spellEnd"/>
            <w:r w:rsidRPr="003A6DDB">
              <w:rPr>
                <w:rFonts w:eastAsia="Times New Roman" w:cstheme="minorHAnsi"/>
                <w:color w:val="000000"/>
                <w:sz w:val="16"/>
                <w:szCs w:val="16"/>
                <w:lang w:val="en-US"/>
              </w:rPr>
              <w:t xml:space="preserve"> – </w:t>
            </w:r>
            <w:proofErr w:type="spellStart"/>
            <w:r w:rsidRPr="003A6DDB">
              <w:rPr>
                <w:rFonts w:eastAsia="Times New Roman" w:cstheme="minorHAnsi"/>
                <w:color w:val="000000"/>
                <w:sz w:val="16"/>
                <w:szCs w:val="16"/>
                <w:lang w:val="en-US"/>
              </w:rPr>
              <w:t>Moyowosi</w:t>
            </w:r>
            <w:proofErr w:type="spellEnd"/>
            <w:r w:rsidRPr="003A6DDB">
              <w:rPr>
                <w:rFonts w:eastAsia="Times New Roman" w:cstheme="minorHAnsi"/>
                <w:color w:val="000000"/>
                <w:sz w:val="16"/>
                <w:szCs w:val="16"/>
                <w:lang w:val="en-US"/>
              </w:rPr>
              <w:t xml:space="preserve"> Wetland Ecosystem through an Integrated Approach</w:t>
            </w:r>
          </w:p>
        </w:tc>
        <w:tc>
          <w:tcPr>
            <w:tcW w:w="810" w:type="dxa"/>
            <w:noWrap/>
            <w:hideMark/>
          </w:tcPr>
          <w:p w14:paraId="7055CD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6C46EC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58DAFC0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640428D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E9F505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0DAE99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6.95</w:t>
            </w:r>
          </w:p>
        </w:tc>
        <w:tc>
          <w:tcPr>
            <w:tcW w:w="990" w:type="dxa"/>
            <w:noWrap/>
            <w:hideMark/>
          </w:tcPr>
          <w:p w14:paraId="393FE54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00" w:type="dxa"/>
            <w:noWrap/>
            <w:hideMark/>
          </w:tcPr>
          <w:p w14:paraId="634AA63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16.95</w:t>
            </w:r>
          </w:p>
        </w:tc>
      </w:tr>
      <w:tr w:rsidR="00C0269A" w:rsidRPr="00C67737" w14:paraId="5612122E"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628BE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11766</w:t>
            </w:r>
          </w:p>
        </w:tc>
        <w:tc>
          <w:tcPr>
            <w:tcW w:w="5400" w:type="dxa"/>
            <w:noWrap/>
            <w:hideMark/>
          </w:tcPr>
          <w:p w14:paraId="779E9933"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Restoration and Conservation of Urban Biodiversity in the Baghdad Area</w:t>
            </w:r>
          </w:p>
        </w:tc>
        <w:tc>
          <w:tcPr>
            <w:tcW w:w="810" w:type="dxa"/>
            <w:noWrap/>
            <w:hideMark/>
          </w:tcPr>
          <w:p w14:paraId="1A6829D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91A281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Iraq</w:t>
            </w:r>
          </w:p>
        </w:tc>
        <w:tc>
          <w:tcPr>
            <w:tcW w:w="990" w:type="dxa"/>
            <w:noWrap/>
            <w:hideMark/>
          </w:tcPr>
          <w:p w14:paraId="6B811EB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5385732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19FA36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44D0A3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0.87</w:t>
            </w:r>
          </w:p>
        </w:tc>
        <w:tc>
          <w:tcPr>
            <w:tcW w:w="990" w:type="dxa"/>
            <w:noWrap/>
            <w:hideMark/>
          </w:tcPr>
          <w:p w14:paraId="3A8D278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0.12</w:t>
            </w:r>
          </w:p>
        </w:tc>
        <w:tc>
          <w:tcPr>
            <w:tcW w:w="900" w:type="dxa"/>
            <w:noWrap/>
            <w:hideMark/>
          </w:tcPr>
          <w:p w14:paraId="54337B6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0.99</w:t>
            </w:r>
          </w:p>
        </w:tc>
      </w:tr>
      <w:tr w:rsidR="00C0269A" w:rsidRPr="00C67737" w14:paraId="1356E2AB"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5060E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11642</w:t>
            </w:r>
          </w:p>
        </w:tc>
        <w:tc>
          <w:tcPr>
            <w:tcW w:w="5400" w:type="dxa"/>
            <w:noWrap/>
            <w:hideMark/>
          </w:tcPr>
          <w:p w14:paraId="3CA250DD"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Support for the Development of Protected Areas for the Conservation of Biodiversity</w:t>
            </w:r>
          </w:p>
        </w:tc>
        <w:tc>
          <w:tcPr>
            <w:tcW w:w="810" w:type="dxa"/>
            <w:noWrap/>
            <w:hideMark/>
          </w:tcPr>
          <w:p w14:paraId="3A050B0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E85A04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1761AFB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199F9C2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B35A03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3502BF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1.75</w:t>
            </w:r>
          </w:p>
        </w:tc>
        <w:tc>
          <w:tcPr>
            <w:tcW w:w="990" w:type="dxa"/>
            <w:noWrap/>
            <w:hideMark/>
          </w:tcPr>
          <w:p w14:paraId="65B4196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1.12</w:t>
            </w:r>
          </w:p>
        </w:tc>
        <w:tc>
          <w:tcPr>
            <w:tcW w:w="900" w:type="dxa"/>
            <w:noWrap/>
            <w:hideMark/>
          </w:tcPr>
          <w:p w14:paraId="493F100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2.87</w:t>
            </w:r>
          </w:p>
        </w:tc>
      </w:tr>
      <w:tr w:rsidR="00C0269A" w:rsidRPr="00C67737" w14:paraId="7A4D485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4272D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11640</w:t>
            </w:r>
          </w:p>
        </w:tc>
        <w:tc>
          <w:tcPr>
            <w:tcW w:w="5400" w:type="dxa"/>
            <w:noWrap/>
            <w:hideMark/>
          </w:tcPr>
          <w:p w14:paraId="1B3C8F34"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Strengthening the Protected Area System in Angola Through Innovation and Capacity Development</w:t>
            </w:r>
          </w:p>
        </w:tc>
        <w:tc>
          <w:tcPr>
            <w:tcW w:w="810" w:type="dxa"/>
            <w:noWrap/>
            <w:hideMark/>
          </w:tcPr>
          <w:p w14:paraId="7D4E835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811D5C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Angola</w:t>
            </w:r>
          </w:p>
        </w:tc>
        <w:tc>
          <w:tcPr>
            <w:tcW w:w="990" w:type="dxa"/>
            <w:noWrap/>
            <w:hideMark/>
          </w:tcPr>
          <w:p w14:paraId="6F433B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151D2D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B126AE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C9D0AB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3.26</w:t>
            </w:r>
          </w:p>
        </w:tc>
        <w:tc>
          <w:tcPr>
            <w:tcW w:w="990" w:type="dxa"/>
            <w:noWrap/>
            <w:hideMark/>
          </w:tcPr>
          <w:p w14:paraId="3FB12D7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5.64</w:t>
            </w:r>
          </w:p>
        </w:tc>
        <w:tc>
          <w:tcPr>
            <w:tcW w:w="900" w:type="dxa"/>
            <w:noWrap/>
            <w:hideMark/>
          </w:tcPr>
          <w:p w14:paraId="0B2A8C1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8.90</w:t>
            </w:r>
          </w:p>
        </w:tc>
      </w:tr>
      <w:tr w:rsidR="00C0269A" w:rsidRPr="00C67737" w14:paraId="7EF0E63C"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DD005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11638</w:t>
            </w:r>
          </w:p>
        </w:tc>
        <w:tc>
          <w:tcPr>
            <w:tcW w:w="5400" w:type="dxa"/>
            <w:noWrap/>
            <w:hideMark/>
          </w:tcPr>
          <w:p w14:paraId="1663794E"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 xml:space="preserve">Enhancing Co-Benefits of Conservation Area Management through an Inclusive Wildlife-Based Ecotourism Strategy </w:t>
            </w:r>
          </w:p>
        </w:tc>
        <w:tc>
          <w:tcPr>
            <w:tcW w:w="810" w:type="dxa"/>
            <w:noWrap/>
            <w:hideMark/>
          </w:tcPr>
          <w:p w14:paraId="01315B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D8DA7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1E67CA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ED676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492ECE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396A2D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w:t>
            </w:r>
          </w:p>
        </w:tc>
        <w:tc>
          <w:tcPr>
            <w:tcW w:w="990" w:type="dxa"/>
            <w:noWrap/>
            <w:hideMark/>
          </w:tcPr>
          <w:p w14:paraId="64F2254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21.00</w:t>
            </w:r>
          </w:p>
        </w:tc>
        <w:tc>
          <w:tcPr>
            <w:tcW w:w="900" w:type="dxa"/>
            <w:noWrap/>
            <w:hideMark/>
          </w:tcPr>
          <w:p w14:paraId="388C71A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28.00</w:t>
            </w:r>
          </w:p>
        </w:tc>
      </w:tr>
      <w:tr w:rsidR="00C0269A" w:rsidRPr="00C67737" w14:paraId="27BE4FA4"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BD927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11636</w:t>
            </w:r>
          </w:p>
        </w:tc>
        <w:tc>
          <w:tcPr>
            <w:tcW w:w="5400" w:type="dxa"/>
            <w:noWrap/>
            <w:hideMark/>
          </w:tcPr>
          <w:p w14:paraId="55A7E2A0"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Sustainable Management and Restoration of Threatened Ecological Corridors in Kenya</w:t>
            </w:r>
          </w:p>
        </w:tc>
        <w:tc>
          <w:tcPr>
            <w:tcW w:w="810" w:type="dxa"/>
            <w:noWrap/>
            <w:hideMark/>
          </w:tcPr>
          <w:p w14:paraId="24ADEB6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3F2D32C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4402AE8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35EE328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E155BC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46FC3D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3.90</w:t>
            </w:r>
          </w:p>
        </w:tc>
        <w:tc>
          <w:tcPr>
            <w:tcW w:w="990" w:type="dxa"/>
            <w:noWrap/>
            <w:hideMark/>
          </w:tcPr>
          <w:p w14:paraId="2EB9701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9.80</w:t>
            </w:r>
          </w:p>
        </w:tc>
        <w:tc>
          <w:tcPr>
            <w:tcW w:w="900" w:type="dxa"/>
            <w:noWrap/>
            <w:hideMark/>
          </w:tcPr>
          <w:p w14:paraId="1B0EF44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13.70</w:t>
            </w:r>
          </w:p>
        </w:tc>
      </w:tr>
      <w:tr w:rsidR="00C0269A" w:rsidRPr="00C67737" w14:paraId="2909F5F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02061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11626</w:t>
            </w:r>
          </w:p>
        </w:tc>
        <w:tc>
          <w:tcPr>
            <w:tcW w:w="5400" w:type="dxa"/>
            <w:noWrap/>
            <w:hideMark/>
          </w:tcPr>
          <w:p w14:paraId="27B187F0"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Effective Protection of Mozambique’s Miombo Woodlands and Marine Hotspot Conservation Areas Enhancing Global Coping Mechanisms to Climate Change</w:t>
            </w:r>
          </w:p>
        </w:tc>
        <w:tc>
          <w:tcPr>
            <w:tcW w:w="810" w:type="dxa"/>
            <w:noWrap/>
            <w:hideMark/>
          </w:tcPr>
          <w:p w14:paraId="60B8D0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2D1A7E8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Mozambique</w:t>
            </w:r>
          </w:p>
        </w:tc>
        <w:tc>
          <w:tcPr>
            <w:tcW w:w="990" w:type="dxa"/>
            <w:noWrap/>
            <w:hideMark/>
          </w:tcPr>
          <w:p w14:paraId="6C7488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4DA6CF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382AC8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722A30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4.88</w:t>
            </w:r>
          </w:p>
        </w:tc>
        <w:tc>
          <w:tcPr>
            <w:tcW w:w="990" w:type="dxa"/>
            <w:noWrap/>
            <w:hideMark/>
          </w:tcPr>
          <w:p w14:paraId="26D5C69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16.97</w:t>
            </w:r>
          </w:p>
        </w:tc>
        <w:tc>
          <w:tcPr>
            <w:tcW w:w="900" w:type="dxa"/>
            <w:noWrap/>
            <w:hideMark/>
          </w:tcPr>
          <w:p w14:paraId="722FA64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21.85</w:t>
            </w:r>
          </w:p>
        </w:tc>
      </w:tr>
      <w:tr w:rsidR="00C0269A" w:rsidRPr="00C67737" w14:paraId="77E3AFB8"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2CC86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11616</w:t>
            </w:r>
          </w:p>
        </w:tc>
        <w:tc>
          <w:tcPr>
            <w:tcW w:w="5400" w:type="dxa"/>
            <w:noWrap/>
            <w:hideMark/>
          </w:tcPr>
          <w:p w14:paraId="171238C5"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Restoring Forest Ecosystem Functions Through Community-Based Management in the Royal Botanic Garden of Jordan</w:t>
            </w:r>
          </w:p>
        </w:tc>
        <w:tc>
          <w:tcPr>
            <w:tcW w:w="810" w:type="dxa"/>
            <w:noWrap/>
            <w:hideMark/>
          </w:tcPr>
          <w:p w14:paraId="3118AD8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AC5738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Jordan</w:t>
            </w:r>
          </w:p>
        </w:tc>
        <w:tc>
          <w:tcPr>
            <w:tcW w:w="990" w:type="dxa"/>
            <w:noWrap/>
            <w:hideMark/>
          </w:tcPr>
          <w:p w14:paraId="23EDBBF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250B5D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D5DD5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3E3A0B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0.87</w:t>
            </w:r>
          </w:p>
        </w:tc>
        <w:tc>
          <w:tcPr>
            <w:tcW w:w="990" w:type="dxa"/>
            <w:noWrap/>
            <w:hideMark/>
          </w:tcPr>
          <w:p w14:paraId="3E993CE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0.12</w:t>
            </w:r>
          </w:p>
        </w:tc>
        <w:tc>
          <w:tcPr>
            <w:tcW w:w="900" w:type="dxa"/>
            <w:noWrap/>
            <w:hideMark/>
          </w:tcPr>
          <w:p w14:paraId="17C190F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0.99</w:t>
            </w:r>
          </w:p>
        </w:tc>
      </w:tr>
      <w:tr w:rsidR="00C0269A" w:rsidRPr="00C67737" w14:paraId="51B2403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D90B1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11612</w:t>
            </w:r>
          </w:p>
        </w:tc>
        <w:tc>
          <w:tcPr>
            <w:tcW w:w="5400" w:type="dxa"/>
            <w:noWrap/>
            <w:hideMark/>
          </w:tcPr>
          <w:p w14:paraId="458A9AAA"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Empowering Indigenous Peoples for Sustainable Development: Inclusive Biodiversity Management through a Social and Solidarity Economy Approach</w:t>
            </w:r>
          </w:p>
        </w:tc>
        <w:tc>
          <w:tcPr>
            <w:tcW w:w="810" w:type="dxa"/>
            <w:noWrap/>
            <w:hideMark/>
          </w:tcPr>
          <w:p w14:paraId="715C3F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B00DA9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Suriname</w:t>
            </w:r>
          </w:p>
        </w:tc>
        <w:tc>
          <w:tcPr>
            <w:tcW w:w="990" w:type="dxa"/>
            <w:noWrap/>
            <w:hideMark/>
          </w:tcPr>
          <w:p w14:paraId="6ACF0FE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24A1CF2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E9615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ECFC14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c>
          <w:tcPr>
            <w:tcW w:w="990" w:type="dxa"/>
            <w:noWrap/>
            <w:hideMark/>
          </w:tcPr>
          <w:p w14:paraId="533780D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13557D3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r>
      <w:tr w:rsidR="00C0269A" w:rsidRPr="00C67737" w14:paraId="1B24AC02"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553FA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11609</w:t>
            </w:r>
          </w:p>
        </w:tc>
        <w:tc>
          <w:tcPr>
            <w:tcW w:w="5400" w:type="dxa"/>
            <w:noWrap/>
            <w:hideMark/>
          </w:tcPr>
          <w:p w14:paraId="67782882"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 xml:space="preserve">Strengthening Transboundary Conserved Area Management of the Sangha Tri-National </w:t>
            </w:r>
          </w:p>
        </w:tc>
        <w:tc>
          <w:tcPr>
            <w:tcW w:w="810" w:type="dxa"/>
            <w:noWrap/>
            <w:hideMark/>
          </w:tcPr>
          <w:p w14:paraId="07B6F59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10F79C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63DEE7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10F2473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9A3BA3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92C902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7.26</w:t>
            </w:r>
          </w:p>
        </w:tc>
        <w:tc>
          <w:tcPr>
            <w:tcW w:w="990" w:type="dxa"/>
            <w:noWrap/>
            <w:hideMark/>
          </w:tcPr>
          <w:p w14:paraId="1DA2E16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0.46</w:t>
            </w:r>
          </w:p>
        </w:tc>
        <w:tc>
          <w:tcPr>
            <w:tcW w:w="900" w:type="dxa"/>
            <w:noWrap/>
            <w:hideMark/>
          </w:tcPr>
          <w:p w14:paraId="0CAE70A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7.72</w:t>
            </w:r>
          </w:p>
        </w:tc>
      </w:tr>
      <w:tr w:rsidR="00C0269A" w:rsidRPr="00C67737" w14:paraId="379D471C"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E78D6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11606</w:t>
            </w:r>
          </w:p>
        </w:tc>
        <w:tc>
          <w:tcPr>
            <w:tcW w:w="5400" w:type="dxa"/>
            <w:noWrap/>
            <w:hideMark/>
          </w:tcPr>
          <w:p w14:paraId="1629CAD2"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Responding to Pacific Priorities for Ecosystem Management and NBSAP Implementation through Strengthening Capacities for Effective Planning and Monitoring of Ecosystems</w:t>
            </w:r>
          </w:p>
        </w:tc>
        <w:tc>
          <w:tcPr>
            <w:tcW w:w="810" w:type="dxa"/>
            <w:noWrap/>
            <w:hideMark/>
          </w:tcPr>
          <w:p w14:paraId="5C56988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127574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D4B200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26183DA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B01185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40E923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4.63</w:t>
            </w:r>
          </w:p>
        </w:tc>
        <w:tc>
          <w:tcPr>
            <w:tcW w:w="990" w:type="dxa"/>
            <w:noWrap/>
            <w:hideMark/>
          </w:tcPr>
          <w:p w14:paraId="7E0B7FE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w:t>
            </w:r>
          </w:p>
        </w:tc>
        <w:tc>
          <w:tcPr>
            <w:tcW w:w="900" w:type="dxa"/>
            <w:noWrap/>
            <w:hideMark/>
          </w:tcPr>
          <w:p w14:paraId="1A367E7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5.63</w:t>
            </w:r>
          </w:p>
        </w:tc>
      </w:tr>
      <w:tr w:rsidR="00C0269A" w:rsidRPr="00C67737" w14:paraId="15EDB883"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BDCE6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11604</w:t>
            </w:r>
          </w:p>
        </w:tc>
        <w:tc>
          <w:tcPr>
            <w:tcW w:w="5400" w:type="dxa"/>
            <w:noWrap/>
            <w:hideMark/>
          </w:tcPr>
          <w:p w14:paraId="37A3CEA3"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Advancing ABS Implementation in Cambodia</w:t>
            </w:r>
          </w:p>
        </w:tc>
        <w:tc>
          <w:tcPr>
            <w:tcW w:w="810" w:type="dxa"/>
            <w:noWrap/>
            <w:hideMark/>
          </w:tcPr>
          <w:p w14:paraId="223B03C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D0DBF5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Cambodia</w:t>
            </w:r>
            <w:proofErr w:type="spellEnd"/>
          </w:p>
        </w:tc>
        <w:tc>
          <w:tcPr>
            <w:tcW w:w="990" w:type="dxa"/>
            <w:noWrap/>
            <w:hideMark/>
          </w:tcPr>
          <w:p w14:paraId="23724DB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31C288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A4C25C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6520FA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w:t>
            </w:r>
          </w:p>
        </w:tc>
        <w:tc>
          <w:tcPr>
            <w:tcW w:w="990" w:type="dxa"/>
            <w:noWrap/>
            <w:hideMark/>
          </w:tcPr>
          <w:p w14:paraId="452F0A4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38AB126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w:t>
            </w:r>
          </w:p>
        </w:tc>
      </w:tr>
      <w:tr w:rsidR="00C0269A" w:rsidRPr="00C67737" w14:paraId="233C7BA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CC2AD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11600</w:t>
            </w:r>
          </w:p>
        </w:tc>
        <w:tc>
          <w:tcPr>
            <w:tcW w:w="5400" w:type="dxa"/>
            <w:noWrap/>
            <w:hideMark/>
          </w:tcPr>
          <w:p w14:paraId="42937AB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Philippines </w:t>
            </w:r>
            <w:proofErr w:type="spellStart"/>
            <w:r w:rsidRPr="00C67737">
              <w:rPr>
                <w:rFonts w:eastAsia="Times New Roman" w:cstheme="minorHAnsi"/>
                <w:color w:val="000000"/>
                <w:sz w:val="16"/>
                <w:szCs w:val="16"/>
              </w:rPr>
              <w:t>Biodiversity</w:t>
            </w:r>
            <w:proofErr w:type="spell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Financing</w:t>
            </w:r>
            <w:proofErr w:type="spellEnd"/>
            <w:r w:rsidRPr="00C67737">
              <w:rPr>
                <w:rFonts w:eastAsia="Times New Roman" w:cstheme="minorHAnsi"/>
                <w:color w:val="000000"/>
                <w:sz w:val="16"/>
                <w:szCs w:val="16"/>
              </w:rPr>
              <w:t xml:space="preserve"> Program</w:t>
            </w:r>
          </w:p>
        </w:tc>
        <w:tc>
          <w:tcPr>
            <w:tcW w:w="810" w:type="dxa"/>
            <w:noWrap/>
            <w:hideMark/>
          </w:tcPr>
          <w:p w14:paraId="2ED8138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270FE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33EDB38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410C528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0C7BA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941DB1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4E7F862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31.23</w:t>
            </w:r>
          </w:p>
        </w:tc>
        <w:tc>
          <w:tcPr>
            <w:tcW w:w="900" w:type="dxa"/>
            <w:noWrap/>
            <w:hideMark/>
          </w:tcPr>
          <w:p w14:paraId="0D4B77B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35.23</w:t>
            </w:r>
          </w:p>
        </w:tc>
      </w:tr>
      <w:tr w:rsidR="00C0269A" w:rsidRPr="00C67737" w14:paraId="4040C021"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5F824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11598</w:t>
            </w:r>
          </w:p>
        </w:tc>
        <w:tc>
          <w:tcPr>
            <w:tcW w:w="5400" w:type="dxa"/>
            <w:noWrap/>
            <w:hideMark/>
          </w:tcPr>
          <w:p w14:paraId="05163092"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Support for the Development of a National Policy, Institutional and Monitoring Framework to Effectively Implement the Nagoya Protocol in Belize</w:t>
            </w:r>
          </w:p>
        </w:tc>
        <w:tc>
          <w:tcPr>
            <w:tcW w:w="810" w:type="dxa"/>
            <w:noWrap/>
            <w:hideMark/>
          </w:tcPr>
          <w:p w14:paraId="3F5202C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841F09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Belize</w:t>
            </w:r>
          </w:p>
        </w:tc>
        <w:tc>
          <w:tcPr>
            <w:tcW w:w="990" w:type="dxa"/>
            <w:noWrap/>
            <w:hideMark/>
          </w:tcPr>
          <w:p w14:paraId="24B8090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433F3D8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C27C0F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C23105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c>
          <w:tcPr>
            <w:tcW w:w="990" w:type="dxa"/>
            <w:noWrap/>
            <w:hideMark/>
          </w:tcPr>
          <w:p w14:paraId="783775A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02A99EE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r>
      <w:tr w:rsidR="00C0269A" w:rsidRPr="00C67737" w14:paraId="04A43A1F"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179A2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11595</w:t>
            </w:r>
          </w:p>
        </w:tc>
        <w:tc>
          <w:tcPr>
            <w:tcW w:w="5400" w:type="dxa"/>
            <w:noWrap/>
            <w:hideMark/>
          </w:tcPr>
          <w:p w14:paraId="178133FE"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 xml:space="preserve">Delivering Target 3 at the Regional Scale in Peru: Applying the Ecosystem Approach in the Northern Transversal Economic Corridor of Peru </w:t>
            </w:r>
          </w:p>
        </w:tc>
        <w:tc>
          <w:tcPr>
            <w:tcW w:w="810" w:type="dxa"/>
            <w:noWrap/>
            <w:hideMark/>
          </w:tcPr>
          <w:p w14:paraId="52B453B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AFD69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16D4A08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61E49C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30069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1DFEF6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12.57</w:t>
            </w:r>
          </w:p>
        </w:tc>
        <w:tc>
          <w:tcPr>
            <w:tcW w:w="990" w:type="dxa"/>
            <w:noWrap/>
            <w:hideMark/>
          </w:tcPr>
          <w:p w14:paraId="46F0B7B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30.07</w:t>
            </w:r>
          </w:p>
        </w:tc>
        <w:tc>
          <w:tcPr>
            <w:tcW w:w="900" w:type="dxa"/>
            <w:noWrap/>
            <w:hideMark/>
          </w:tcPr>
          <w:p w14:paraId="1BC58C4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42.64</w:t>
            </w:r>
          </w:p>
        </w:tc>
      </w:tr>
      <w:tr w:rsidR="00C0269A" w:rsidRPr="00C67737" w14:paraId="4EBD7FDF"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566A1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11590</w:t>
            </w:r>
          </w:p>
        </w:tc>
        <w:tc>
          <w:tcPr>
            <w:tcW w:w="5400" w:type="dxa"/>
            <w:noWrap/>
            <w:hideMark/>
          </w:tcPr>
          <w:p w14:paraId="2D2FC77F"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Community-Based Conservation for Biodiversity and Livelihoods in the Context of Climate Change in DRC</w:t>
            </w:r>
          </w:p>
        </w:tc>
        <w:tc>
          <w:tcPr>
            <w:tcW w:w="810" w:type="dxa"/>
            <w:noWrap/>
            <w:hideMark/>
          </w:tcPr>
          <w:p w14:paraId="1D052B4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A59277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Congo DR</w:t>
            </w:r>
          </w:p>
        </w:tc>
        <w:tc>
          <w:tcPr>
            <w:tcW w:w="990" w:type="dxa"/>
            <w:noWrap/>
            <w:hideMark/>
          </w:tcPr>
          <w:p w14:paraId="794BEBA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09D37D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A73436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2ED0D8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6.56</w:t>
            </w:r>
          </w:p>
        </w:tc>
        <w:tc>
          <w:tcPr>
            <w:tcW w:w="990" w:type="dxa"/>
            <w:noWrap/>
            <w:hideMark/>
          </w:tcPr>
          <w:p w14:paraId="2B2D92D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c>
          <w:tcPr>
            <w:tcW w:w="900" w:type="dxa"/>
            <w:noWrap/>
            <w:hideMark/>
          </w:tcPr>
          <w:p w14:paraId="0E6834C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18.56</w:t>
            </w:r>
          </w:p>
        </w:tc>
      </w:tr>
      <w:tr w:rsidR="00C0269A" w:rsidRPr="00C67737" w14:paraId="2567C04A"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DF761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11589</w:t>
            </w:r>
          </w:p>
        </w:tc>
        <w:tc>
          <w:tcPr>
            <w:tcW w:w="5400" w:type="dxa"/>
            <w:noWrap/>
            <w:hideMark/>
          </w:tcPr>
          <w:p w14:paraId="55C20F4B"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Strengthening Globally Significant Biodiversity Corridors in the Philippines through Local Community Empowerment</w:t>
            </w:r>
          </w:p>
        </w:tc>
        <w:tc>
          <w:tcPr>
            <w:tcW w:w="810" w:type="dxa"/>
            <w:noWrap/>
            <w:hideMark/>
          </w:tcPr>
          <w:p w14:paraId="10D1A04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54FE19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3320A5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684DA0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1ADE9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7F24FA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w:t>
            </w:r>
          </w:p>
        </w:tc>
        <w:tc>
          <w:tcPr>
            <w:tcW w:w="990" w:type="dxa"/>
            <w:noWrap/>
            <w:hideMark/>
          </w:tcPr>
          <w:p w14:paraId="25E7921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1.29</w:t>
            </w:r>
          </w:p>
        </w:tc>
        <w:tc>
          <w:tcPr>
            <w:tcW w:w="900" w:type="dxa"/>
            <w:noWrap/>
            <w:hideMark/>
          </w:tcPr>
          <w:p w14:paraId="3FDD3C8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4.29</w:t>
            </w:r>
          </w:p>
        </w:tc>
      </w:tr>
      <w:tr w:rsidR="00C0269A" w:rsidRPr="00C67737" w14:paraId="493F23B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48A80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11588</w:t>
            </w:r>
          </w:p>
        </w:tc>
        <w:tc>
          <w:tcPr>
            <w:tcW w:w="5400" w:type="dxa"/>
            <w:noWrap/>
            <w:hideMark/>
          </w:tcPr>
          <w:p w14:paraId="366309E2"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Reimagining National Parks for People and Nature – Leveraging Durable Financing Mechanisms for Mega Living Landscapes to achieve Target 3 in South Africa</w:t>
            </w:r>
          </w:p>
        </w:tc>
        <w:tc>
          <w:tcPr>
            <w:tcW w:w="810" w:type="dxa"/>
            <w:noWrap/>
            <w:hideMark/>
          </w:tcPr>
          <w:p w14:paraId="107EE7D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F8FDF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Africa</w:t>
            </w:r>
            <w:proofErr w:type="spellEnd"/>
          </w:p>
        </w:tc>
        <w:tc>
          <w:tcPr>
            <w:tcW w:w="990" w:type="dxa"/>
            <w:noWrap/>
            <w:hideMark/>
          </w:tcPr>
          <w:p w14:paraId="7D856DE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2D71B3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13B685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F1EB24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w:t>
            </w:r>
          </w:p>
        </w:tc>
        <w:tc>
          <w:tcPr>
            <w:tcW w:w="990" w:type="dxa"/>
            <w:noWrap/>
            <w:hideMark/>
          </w:tcPr>
          <w:p w14:paraId="47A9B15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54046FB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w:t>
            </w:r>
          </w:p>
        </w:tc>
      </w:tr>
      <w:tr w:rsidR="00C0269A" w:rsidRPr="00C67737" w14:paraId="6350A61A"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49E19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11583</w:t>
            </w:r>
          </w:p>
        </w:tc>
        <w:tc>
          <w:tcPr>
            <w:tcW w:w="5400" w:type="dxa"/>
            <w:noWrap/>
            <w:hideMark/>
          </w:tcPr>
          <w:p w14:paraId="2B607450"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Scaling up Biodiversity-Positive and Culturally Inclusive Agrifood and Agritourism Systems in Palau</w:t>
            </w:r>
          </w:p>
        </w:tc>
        <w:tc>
          <w:tcPr>
            <w:tcW w:w="810" w:type="dxa"/>
            <w:noWrap/>
            <w:hideMark/>
          </w:tcPr>
          <w:p w14:paraId="2E5AF0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1D1532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Palau</w:t>
            </w:r>
          </w:p>
        </w:tc>
        <w:tc>
          <w:tcPr>
            <w:tcW w:w="990" w:type="dxa"/>
            <w:noWrap/>
            <w:hideMark/>
          </w:tcPr>
          <w:p w14:paraId="0670D61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31D2FE9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67E8BF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FCCBF7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c>
          <w:tcPr>
            <w:tcW w:w="990" w:type="dxa"/>
            <w:noWrap/>
            <w:hideMark/>
          </w:tcPr>
          <w:p w14:paraId="2CDA740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00" w:type="dxa"/>
            <w:noWrap/>
            <w:hideMark/>
          </w:tcPr>
          <w:p w14:paraId="53A1052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3.16</w:t>
            </w:r>
          </w:p>
        </w:tc>
      </w:tr>
      <w:tr w:rsidR="00C0269A" w:rsidRPr="00C67737" w14:paraId="79335EE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011EF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11582</w:t>
            </w:r>
          </w:p>
        </w:tc>
        <w:tc>
          <w:tcPr>
            <w:tcW w:w="5400" w:type="dxa"/>
            <w:noWrap/>
            <w:hideMark/>
          </w:tcPr>
          <w:p w14:paraId="4E0DDCAC"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Advancing Integrated Participatory Spatial Planning to Enhance Samoa’s Globally Significant Biodiversity at a National Scale</w:t>
            </w:r>
          </w:p>
        </w:tc>
        <w:tc>
          <w:tcPr>
            <w:tcW w:w="810" w:type="dxa"/>
            <w:noWrap/>
            <w:hideMark/>
          </w:tcPr>
          <w:p w14:paraId="04D77E6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A1875E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Samoa</w:t>
            </w:r>
          </w:p>
        </w:tc>
        <w:tc>
          <w:tcPr>
            <w:tcW w:w="990" w:type="dxa"/>
            <w:noWrap/>
            <w:hideMark/>
          </w:tcPr>
          <w:p w14:paraId="776F11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7AFA8B8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8C6C8F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D18F50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c>
          <w:tcPr>
            <w:tcW w:w="990" w:type="dxa"/>
            <w:noWrap/>
            <w:hideMark/>
          </w:tcPr>
          <w:p w14:paraId="417E435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00" w:type="dxa"/>
            <w:noWrap/>
            <w:hideMark/>
          </w:tcPr>
          <w:p w14:paraId="23EA93C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3.83</w:t>
            </w:r>
          </w:p>
        </w:tc>
      </w:tr>
      <w:tr w:rsidR="00C0269A" w:rsidRPr="00C67737" w14:paraId="1E7DE38C"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CDA80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11512</w:t>
            </w:r>
          </w:p>
        </w:tc>
        <w:tc>
          <w:tcPr>
            <w:tcW w:w="5400" w:type="dxa"/>
            <w:noWrap/>
            <w:hideMark/>
          </w:tcPr>
          <w:p w14:paraId="66B4E199"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Addressing Outstanding Barriers and Leveraging Durable Financial Mechanisms to Achieve Target 3 in Gabon</w:t>
            </w:r>
          </w:p>
        </w:tc>
        <w:tc>
          <w:tcPr>
            <w:tcW w:w="810" w:type="dxa"/>
            <w:noWrap/>
            <w:hideMark/>
          </w:tcPr>
          <w:p w14:paraId="443F937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5609BAE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Gabon</w:t>
            </w:r>
          </w:p>
        </w:tc>
        <w:tc>
          <w:tcPr>
            <w:tcW w:w="990" w:type="dxa"/>
            <w:noWrap/>
            <w:hideMark/>
          </w:tcPr>
          <w:p w14:paraId="4E5465B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16CE2A7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E3FF80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71B652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1.52</w:t>
            </w:r>
          </w:p>
        </w:tc>
        <w:tc>
          <w:tcPr>
            <w:tcW w:w="990" w:type="dxa"/>
            <w:noWrap/>
            <w:hideMark/>
          </w:tcPr>
          <w:p w14:paraId="710595E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7E5503C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1.52</w:t>
            </w:r>
          </w:p>
        </w:tc>
      </w:tr>
      <w:tr w:rsidR="00C0269A" w:rsidRPr="00C67737" w14:paraId="16AE2E74"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8F430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11510</w:t>
            </w:r>
          </w:p>
        </w:tc>
        <w:tc>
          <w:tcPr>
            <w:tcW w:w="5400" w:type="dxa"/>
            <w:noWrap/>
            <w:hideMark/>
          </w:tcPr>
          <w:p w14:paraId="390A72B4"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Mex30x30: Conserving Mexican Biodiversity through Communities and their Protected Areas</w:t>
            </w:r>
          </w:p>
        </w:tc>
        <w:tc>
          <w:tcPr>
            <w:tcW w:w="810" w:type="dxa"/>
            <w:noWrap/>
            <w:hideMark/>
          </w:tcPr>
          <w:p w14:paraId="60DF281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C1236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11C48A0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3BF02CA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7EDAAA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3B9AEE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18.50</w:t>
            </w:r>
          </w:p>
        </w:tc>
        <w:tc>
          <w:tcPr>
            <w:tcW w:w="990" w:type="dxa"/>
            <w:noWrap/>
            <w:hideMark/>
          </w:tcPr>
          <w:p w14:paraId="457797A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115.55</w:t>
            </w:r>
          </w:p>
        </w:tc>
        <w:tc>
          <w:tcPr>
            <w:tcW w:w="900" w:type="dxa"/>
            <w:noWrap/>
            <w:hideMark/>
          </w:tcPr>
          <w:p w14:paraId="1801C34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134.05</w:t>
            </w:r>
          </w:p>
        </w:tc>
      </w:tr>
      <w:tr w:rsidR="00C0269A" w:rsidRPr="00C67737" w14:paraId="41E29964"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38C49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11509</w:t>
            </w:r>
          </w:p>
        </w:tc>
        <w:tc>
          <w:tcPr>
            <w:tcW w:w="5400" w:type="dxa"/>
            <w:noWrap/>
            <w:hideMark/>
          </w:tcPr>
          <w:p w14:paraId="23DA0A3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Caatinga </w:t>
            </w:r>
            <w:proofErr w:type="spellStart"/>
            <w:r w:rsidRPr="00C67737">
              <w:rPr>
                <w:rFonts w:eastAsia="Times New Roman" w:cstheme="minorHAnsi"/>
                <w:color w:val="000000"/>
                <w:sz w:val="16"/>
                <w:szCs w:val="16"/>
              </w:rPr>
              <w:t>Protected</w:t>
            </w:r>
            <w:proofErr w:type="spellEnd"/>
            <w:r w:rsidRPr="00C67737">
              <w:rPr>
                <w:rFonts w:eastAsia="Times New Roman" w:cstheme="minorHAnsi"/>
                <w:color w:val="000000"/>
                <w:sz w:val="16"/>
                <w:szCs w:val="16"/>
              </w:rPr>
              <w:t xml:space="preserve"> Areas Program </w:t>
            </w:r>
          </w:p>
        </w:tc>
        <w:tc>
          <w:tcPr>
            <w:tcW w:w="810" w:type="dxa"/>
            <w:noWrap/>
            <w:hideMark/>
          </w:tcPr>
          <w:p w14:paraId="7EC7303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3A9132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6F50082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6C55AC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DD3901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84B84D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9.88</w:t>
            </w:r>
          </w:p>
        </w:tc>
        <w:tc>
          <w:tcPr>
            <w:tcW w:w="990" w:type="dxa"/>
            <w:noWrap/>
            <w:hideMark/>
          </w:tcPr>
          <w:p w14:paraId="7433242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69000C3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9.88</w:t>
            </w:r>
          </w:p>
        </w:tc>
      </w:tr>
      <w:tr w:rsidR="00C0269A" w:rsidRPr="00C67737" w14:paraId="24760FC3"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23564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11508</w:t>
            </w:r>
          </w:p>
        </w:tc>
        <w:tc>
          <w:tcPr>
            <w:tcW w:w="5400" w:type="dxa"/>
            <w:noWrap/>
            <w:hideMark/>
          </w:tcPr>
          <w:p w14:paraId="3FB126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r w:rsidRPr="00C67737">
              <w:rPr>
                <w:rFonts w:eastAsia="Times New Roman" w:cstheme="minorHAnsi"/>
                <w:color w:val="000000"/>
                <w:sz w:val="16"/>
                <w:szCs w:val="16"/>
              </w:rPr>
              <w:t xml:space="preserve"> Conservation in </w:t>
            </w:r>
            <w:proofErr w:type="spellStart"/>
            <w:r w:rsidRPr="00C67737">
              <w:rPr>
                <w:rFonts w:eastAsia="Times New Roman" w:cstheme="minorHAnsi"/>
                <w:color w:val="000000"/>
                <w:sz w:val="16"/>
                <w:szCs w:val="16"/>
              </w:rPr>
              <w:t>Indigenous</w:t>
            </w:r>
            <w:proofErr w:type="spellEnd"/>
            <w:r w:rsidRPr="00C67737">
              <w:rPr>
                <w:rFonts w:eastAsia="Times New Roman" w:cstheme="minorHAnsi"/>
                <w:color w:val="000000"/>
                <w:sz w:val="16"/>
                <w:szCs w:val="16"/>
              </w:rPr>
              <w:t xml:space="preserve"> Lands</w:t>
            </w:r>
          </w:p>
        </w:tc>
        <w:tc>
          <w:tcPr>
            <w:tcW w:w="810" w:type="dxa"/>
            <w:noWrap/>
            <w:hideMark/>
          </w:tcPr>
          <w:p w14:paraId="0A1A09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Funbio</w:t>
            </w:r>
            <w:proofErr w:type="spellEnd"/>
          </w:p>
        </w:tc>
        <w:tc>
          <w:tcPr>
            <w:tcW w:w="990" w:type="dxa"/>
            <w:noWrap/>
            <w:hideMark/>
          </w:tcPr>
          <w:p w14:paraId="23DD82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03F261D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tcPr>
          <w:p w14:paraId="04A0D4E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915045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654C76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9.88</w:t>
            </w:r>
          </w:p>
        </w:tc>
        <w:tc>
          <w:tcPr>
            <w:tcW w:w="990" w:type="dxa"/>
            <w:noWrap/>
            <w:hideMark/>
          </w:tcPr>
          <w:p w14:paraId="1D7200E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17.90</w:t>
            </w:r>
          </w:p>
        </w:tc>
        <w:tc>
          <w:tcPr>
            <w:tcW w:w="900" w:type="dxa"/>
            <w:noWrap/>
            <w:hideMark/>
          </w:tcPr>
          <w:p w14:paraId="3998580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27.78</w:t>
            </w:r>
          </w:p>
        </w:tc>
      </w:tr>
      <w:tr w:rsidR="00C0269A" w:rsidRPr="00C67737" w14:paraId="39E0CE05"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47720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11085</w:t>
            </w:r>
          </w:p>
        </w:tc>
        <w:tc>
          <w:tcPr>
            <w:tcW w:w="5400" w:type="dxa"/>
            <w:noWrap/>
            <w:hideMark/>
          </w:tcPr>
          <w:p w14:paraId="2FEF17C4"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3A6DDB">
              <w:rPr>
                <w:rFonts w:eastAsia="Times New Roman" w:cstheme="minorHAnsi"/>
                <w:b/>
                <w:bCs/>
                <w:color w:val="000000"/>
                <w:sz w:val="16"/>
                <w:szCs w:val="16"/>
                <w:lang w:val="en-US"/>
              </w:rPr>
              <w:t>Net-Zero Nature-Positive Accelerator Integrated Programme</w:t>
            </w:r>
          </w:p>
        </w:tc>
        <w:tc>
          <w:tcPr>
            <w:tcW w:w="810" w:type="dxa"/>
            <w:noWrap/>
            <w:hideMark/>
          </w:tcPr>
          <w:p w14:paraId="026F992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UNEP</w:t>
            </w:r>
          </w:p>
        </w:tc>
        <w:tc>
          <w:tcPr>
            <w:tcW w:w="990" w:type="dxa"/>
            <w:noWrap/>
            <w:hideMark/>
          </w:tcPr>
          <w:p w14:paraId="0E52B2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15A5091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775A1C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5708461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7374D96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64C565D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03DFC04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C0269A" w:rsidRPr="00C67737" w14:paraId="63D4722F"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4C685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11098</w:t>
            </w:r>
          </w:p>
        </w:tc>
        <w:tc>
          <w:tcPr>
            <w:tcW w:w="5400" w:type="dxa"/>
            <w:noWrap/>
            <w:hideMark/>
          </w:tcPr>
          <w:p w14:paraId="0E4A9E6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Net-</w:t>
            </w:r>
            <w:proofErr w:type="spellStart"/>
            <w:r w:rsidRPr="00C67737">
              <w:rPr>
                <w:rFonts w:eastAsia="Times New Roman" w:cstheme="minorHAnsi"/>
                <w:color w:val="000000"/>
                <w:sz w:val="16"/>
                <w:szCs w:val="16"/>
              </w:rPr>
              <w:t>Zero</w:t>
            </w:r>
            <w:proofErr w:type="spellEnd"/>
            <w:r w:rsidRPr="00C67737">
              <w:rPr>
                <w:rFonts w:eastAsia="Times New Roman" w:cstheme="minorHAnsi"/>
                <w:color w:val="000000"/>
                <w:sz w:val="16"/>
                <w:szCs w:val="16"/>
              </w:rPr>
              <w:t xml:space="preserve"> Nature-Positive Global Platform</w:t>
            </w:r>
          </w:p>
        </w:tc>
        <w:tc>
          <w:tcPr>
            <w:tcW w:w="810" w:type="dxa"/>
            <w:noWrap/>
            <w:hideMark/>
          </w:tcPr>
          <w:p w14:paraId="5FAAB6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328046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13CCBE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4679F3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6538D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E7660C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10.90</w:t>
            </w:r>
          </w:p>
        </w:tc>
        <w:tc>
          <w:tcPr>
            <w:tcW w:w="990" w:type="dxa"/>
            <w:noWrap/>
            <w:hideMark/>
          </w:tcPr>
          <w:p w14:paraId="2E6B980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289.88</w:t>
            </w:r>
          </w:p>
        </w:tc>
        <w:tc>
          <w:tcPr>
            <w:tcW w:w="900" w:type="dxa"/>
            <w:noWrap/>
            <w:hideMark/>
          </w:tcPr>
          <w:p w14:paraId="70B4D17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300.78</w:t>
            </w:r>
          </w:p>
        </w:tc>
      </w:tr>
      <w:tr w:rsidR="00C0269A" w:rsidRPr="00C67737" w14:paraId="22C461E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2D588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11097</w:t>
            </w:r>
          </w:p>
        </w:tc>
        <w:tc>
          <w:tcPr>
            <w:tcW w:w="5400" w:type="dxa"/>
            <w:noWrap/>
            <w:hideMark/>
          </w:tcPr>
          <w:p w14:paraId="2EA92821"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Green Journey: Achieving Net Zero through Nature Positive Solutions in Morocco</w:t>
            </w:r>
          </w:p>
        </w:tc>
        <w:tc>
          <w:tcPr>
            <w:tcW w:w="810" w:type="dxa"/>
            <w:noWrap/>
            <w:hideMark/>
          </w:tcPr>
          <w:p w14:paraId="2A75369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DBCB0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Morocco</w:t>
            </w:r>
          </w:p>
        </w:tc>
        <w:tc>
          <w:tcPr>
            <w:tcW w:w="990" w:type="dxa"/>
            <w:noWrap/>
            <w:hideMark/>
          </w:tcPr>
          <w:p w14:paraId="7ABD90F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56F4FB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A52D0D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6219C8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6.00</w:t>
            </w:r>
          </w:p>
        </w:tc>
        <w:tc>
          <w:tcPr>
            <w:tcW w:w="990" w:type="dxa"/>
            <w:noWrap/>
            <w:hideMark/>
          </w:tcPr>
          <w:p w14:paraId="127E75C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7.50</w:t>
            </w:r>
          </w:p>
        </w:tc>
        <w:tc>
          <w:tcPr>
            <w:tcW w:w="900" w:type="dxa"/>
            <w:noWrap/>
            <w:hideMark/>
          </w:tcPr>
          <w:p w14:paraId="187A315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13.50</w:t>
            </w:r>
          </w:p>
        </w:tc>
      </w:tr>
      <w:tr w:rsidR="00C0269A" w:rsidRPr="00C67737" w14:paraId="6D98D91E"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EBA4D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11096</w:t>
            </w:r>
          </w:p>
        </w:tc>
        <w:tc>
          <w:tcPr>
            <w:tcW w:w="5400" w:type="dxa"/>
            <w:noWrap/>
            <w:hideMark/>
          </w:tcPr>
          <w:p w14:paraId="051FBD7A"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Decarbonization of Industry and the Building Sector in Thailand through the Adoption of Integrated Net-Zero and Nature-Positive Solutions</w:t>
            </w:r>
          </w:p>
        </w:tc>
        <w:tc>
          <w:tcPr>
            <w:tcW w:w="810" w:type="dxa"/>
            <w:noWrap/>
            <w:hideMark/>
          </w:tcPr>
          <w:p w14:paraId="2DB49DF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051D638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5380E8F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377512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3705EA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8EC8D6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55F8921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47.13</w:t>
            </w:r>
          </w:p>
        </w:tc>
        <w:tc>
          <w:tcPr>
            <w:tcW w:w="900" w:type="dxa"/>
            <w:noWrap/>
            <w:hideMark/>
          </w:tcPr>
          <w:p w14:paraId="3C0A2E2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53.79</w:t>
            </w:r>
          </w:p>
        </w:tc>
      </w:tr>
      <w:tr w:rsidR="00C0269A" w:rsidRPr="00C67737" w14:paraId="1D9D2E1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CE3D0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11095</w:t>
            </w:r>
          </w:p>
        </w:tc>
        <w:tc>
          <w:tcPr>
            <w:tcW w:w="5400" w:type="dxa"/>
            <w:noWrap/>
            <w:hideMark/>
          </w:tcPr>
          <w:p w14:paraId="5207E306" w14:textId="77777777" w:rsidR="00C0269A" w:rsidRPr="003A6DDB"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Indonesia’s Net-Zero and Nature-Positive Acceleration through Integrated Actions in the Energy and Industrial Sectors</w:t>
            </w:r>
          </w:p>
        </w:tc>
        <w:tc>
          <w:tcPr>
            <w:tcW w:w="810" w:type="dxa"/>
            <w:noWrap/>
            <w:hideMark/>
          </w:tcPr>
          <w:p w14:paraId="139D40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2CD1B8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61A6A0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067414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43F72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109CD6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17.33</w:t>
            </w:r>
          </w:p>
        </w:tc>
        <w:tc>
          <w:tcPr>
            <w:tcW w:w="990" w:type="dxa"/>
            <w:noWrap/>
            <w:hideMark/>
          </w:tcPr>
          <w:p w14:paraId="6018CBF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38.80</w:t>
            </w:r>
          </w:p>
        </w:tc>
        <w:tc>
          <w:tcPr>
            <w:tcW w:w="900" w:type="dxa"/>
            <w:noWrap/>
            <w:hideMark/>
          </w:tcPr>
          <w:p w14:paraId="3255B8B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56.14</w:t>
            </w:r>
          </w:p>
        </w:tc>
      </w:tr>
      <w:tr w:rsidR="00C0269A" w:rsidRPr="00C67737" w14:paraId="59BB51F5"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FDCC6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11094</w:t>
            </w:r>
          </w:p>
        </w:tc>
        <w:tc>
          <w:tcPr>
            <w:tcW w:w="5400" w:type="dxa"/>
            <w:noWrap/>
            <w:hideMark/>
          </w:tcPr>
          <w:p w14:paraId="709726B0"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Supporting the Implementation of Net-Zero Nature-Positive Solutions in Viet Nam</w:t>
            </w:r>
          </w:p>
        </w:tc>
        <w:tc>
          <w:tcPr>
            <w:tcW w:w="810" w:type="dxa"/>
            <w:noWrap/>
            <w:hideMark/>
          </w:tcPr>
          <w:p w14:paraId="71B432A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907651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1BBD0C8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E96583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8C3AA5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569F24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7C80ED4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132.09</w:t>
            </w:r>
          </w:p>
        </w:tc>
        <w:tc>
          <w:tcPr>
            <w:tcW w:w="900" w:type="dxa"/>
            <w:noWrap/>
            <w:hideMark/>
          </w:tcPr>
          <w:p w14:paraId="791C9CE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140.09</w:t>
            </w:r>
          </w:p>
        </w:tc>
      </w:tr>
      <w:tr w:rsidR="00C0269A" w:rsidRPr="00C67737" w14:paraId="5C2376CA"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44055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11093</w:t>
            </w:r>
          </w:p>
        </w:tc>
        <w:tc>
          <w:tcPr>
            <w:tcW w:w="5400" w:type="dxa"/>
            <w:noWrap/>
            <w:hideMark/>
          </w:tcPr>
          <w:p w14:paraId="068D8C3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Côte d'Ivoire Net-</w:t>
            </w:r>
            <w:proofErr w:type="spellStart"/>
            <w:r w:rsidRPr="00C67737">
              <w:rPr>
                <w:rFonts w:eastAsia="Times New Roman" w:cstheme="minorHAnsi"/>
                <w:color w:val="000000"/>
                <w:sz w:val="16"/>
                <w:szCs w:val="16"/>
              </w:rPr>
              <w:t>Zero</w:t>
            </w:r>
            <w:proofErr w:type="spellEnd"/>
            <w:r w:rsidRPr="00C67737">
              <w:rPr>
                <w:rFonts w:eastAsia="Times New Roman" w:cstheme="minorHAnsi"/>
                <w:color w:val="000000"/>
                <w:sz w:val="16"/>
                <w:szCs w:val="16"/>
              </w:rPr>
              <w:t xml:space="preserve"> Nature-Positive Integrated Program</w:t>
            </w:r>
          </w:p>
        </w:tc>
        <w:tc>
          <w:tcPr>
            <w:tcW w:w="810" w:type="dxa"/>
            <w:noWrap/>
            <w:hideMark/>
          </w:tcPr>
          <w:p w14:paraId="7F48B08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2A95C1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Cote d'Ivoire</w:t>
            </w:r>
          </w:p>
        </w:tc>
        <w:tc>
          <w:tcPr>
            <w:tcW w:w="990" w:type="dxa"/>
            <w:noWrap/>
            <w:hideMark/>
          </w:tcPr>
          <w:p w14:paraId="563EB14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E24B3B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110083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F1711E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3317679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56.10</w:t>
            </w:r>
          </w:p>
        </w:tc>
        <w:tc>
          <w:tcPr>
            <w:tcW w:w="900" w:type="dxa"/>
            <w:noWrap/>
            <w:hideMark/>
          </w:tcPr>
          <w:p w14:paraId="23ED27F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62.77</w:t>
            </w:r>
          </w:p>
        </w:tc>
      </w:tr>
      <w:tr w:rsidR="00C0269A" w:rsidRPr="00C67737" w14:paraId="435E7514"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90FC7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11092</w:t>
            </w:r>
          </w:p>
        </w:tc>
        <w:tc>
          <w:tcPr>
            <w:tcW w:w="5400" w:type="dxa"/>
            <w:noWrap/>
            <w:hideMark/>
          </w:tcPr>
          <w:p w14:paraId="703286AB" w14:textId="77777777" w:rsidR="00C0269A" w:rsidRPr="003A6DDB"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3A6DDB">
              <w:rPr>
                <w:rFonts w:eastAsia="Times New Roman" w:cstheme="minorHAnsi"/>
                <w:color w:val="000000"/>
                <w:sz w:val="16"/>
                <w:szCs w:val="16"/>
                <w:lang w:val="en-US"/>
              </w:rPr>
              <w:t>Accelerating Nature and Climate Action to Advance Nigeria’s Net Zero and ‘30x30’ Targets</w:t>
            </w:r>
          </w:p>
        </w:tc>
        <w:tc>
          <w:tcPr>
            <w:tcW w:w="810" w:type="dxa"/>
            <w:noWrap/>
            <w:hideMark/>
          </w:tcPr>
          <w:p w14:paraId="5D6550B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2D693C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Nigeria</w:t>
            </w:r>
          </w:p>
        </w:tc>
        <w:tc>
          <w:tcPr>
            <w:tcW w:w="990" w:type="dxa"/>
            <w:noWrap/>
            <w:hideMark/>
          </w:tcPr>
          <w:p w14:paraId="4CEF6F6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8920B9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5D3E17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C7DA03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1A78663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93.85</w:t>
            </w:r>
          </w:p>
        </w:tc>
        <w:tc>
          <w:tcPr>
            <w:tcW w:w="900" w:type="dxa"/>
            <w:noWrap/>
            <w:hideMark/>
          </w:tcPr>
          <w:p w14:paraId="17F594E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101.85</w:t>
            </w:r>
          </w:p>
        </w:tc>
      </w:tr>
      <w:tr w:rsidR="00C0269A" w:rsidRPr="00C67737" w14:paraId="31CBFC1A"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BE503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11091</w:t>
            </w:r>
          </w:p>
        </w:tc>
        <w:tc>
          <w:tcPr>
            <w:tcW w:w="5400" w:type="dxa"/>
            <w:noWrap/>
            <w:hideMark/>
          </w:tcPr>
          <w:p w14:paraId="3518208D"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Accelerating Action to Achieve a Net-Zero, Nature-Positive and Climate-Just Mexico</w:t>
            </w:r>
          </w:p>
        </w:tc>
        <w:tc>
          <w:tcPr>
            <w:tcW w:w="810" w:type="dxa"/>
            <w:noWrap/>
            <w:hideMark/>
          </w:tcPr>
          <w:p w14:paraId="79A5A18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231BB5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28EDAF0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160B4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5F3B07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0C6BCC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4344BA1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145.09</w:t>
            </w:r>
          </w:p>
        </w:tc>
        <w:tc>
          <w:tcPr>
            <w:tcW w:w="900" w:type="dxa"/>
            <w:noWrap/>
            <w:hideMark/>
          </w:tcPr>
          <w:p w14:paraId="3EA3ED1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158.42</w:t>
            </w:r>
          </w:p>
        </w:tc>
      </w:tr>
      <w:tr w:rsidR="00C0269A" w:rsidRPr="00C67737" w14:paraId="0C4E2C5B"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933C5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11090</w:t>
            </w:r>
          </w:p>
        </w:tc>
        <w:tc>
          <w:tcPr>
            <w:tcW w:w="5400" w:type="dxa"/>
            <w:noWrap/>
            <w:hideMark/>
          </w:tcPr>
          <w:p w14:paraId="207FFAEE"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Integrated Net-Zero Nature-Positive Solutions for Climate and Biodiversity Protection</w:t>
            </w:r>
          </w:p>
        </w:tc>
        <w:tc>
          <w:tcPr>
            <w:tcW w:w="810" w:type="dxa"/>
            <w:noWrap/>
            <w:hideMark/>
          </w:tcPr>
          <w:p w14:paraId="68CA3E0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1BA438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51BE23C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66E916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ACD2B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BF7B89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3971D3B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32.07</w:t>
            </w:r>
          </w:p>
        </w:tc>
        <w:tc>
          <w:tcPr>
            <w:tcW w:w="900" w:type="dxa"/>
            <w:noWrap/>
            <w:hideMark/>
          </w:tcPr>
          <w:p w14:paraId="5ED429A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37.41</w:t>
            </w:r>
          </w:p>
        </w:tc>
      </w:tr>
      <w:tr w:rsidR="00C0269A" w:rsidRPr="00C67737" w14:paraId="48C40A89"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08663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11089</w:t>
            </w:r>
          </w:p>
        </w:tc>
        <w:tc>
          <w:tcPr>
            <w:tcW w:w="5400" w:type="dxa"/>
            <w:noWrap/>
            <w:hideMark/>
          </w:tcPr>
          <w:p w14:paraId="1347216F"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Accelerating the Transition to a Net-Zero, Nature-Positive Economy in Costa Rica</w:t>
            </w:r>
          </w:p>
        </w:tc>
        <w:tc>
          <w:tcPr>
            <w:tcW w:w="810" w:type="dxa"/>
            <w:noWrap/>
            <w:hideMark/>
          </w:tcPr>
          <w:p w14:paraId="2ADA48B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323459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Costa Rica</w:t>
            </w:r>
          </w:p>
        </w:tc>
        <w:tc>
          <w:tcPr>
            <w:tcW w:w="990" w:type="dxa"/>
            <w:noWrap/>
            <w:hideMark/>
          </w:tcPr>
          <w:p w14:paraId="4B32119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AD9B63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D30D03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4B1E06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36FB597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99.11</w:t>
            </w:r>
          </w:p>
        </w:tc>
        <w:tc>
          <w:tcPr>
            <w:tcW w:w="900" w:type="dxa"/>
            <w:noWrap/>
            <w:hideMark/>
          </w:tcPr>
          <w:p w14:paraId="63A4EA7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112.44</w:t>
            </w:r>
          </w:p>
        </w:tc>
      </w:tr>
      <w:tr w:rsidR="00C0269A" w:rsidRPr="00C67737" w14:paraId="3AC265C5"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D4F6C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11088</w:t>
            </w:r>
          </w:p>
        </w:tc>
        <w:tc>
          <w:tcPr>
            <w:tcW w:w="5400" w:type="dxa"/>
            <w:noWrap/>
            <w:hideMark/>
          </w:tcPr>
          <w:p w14:paraId="3C0CBF76"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Accelerating the Transition to a Net-Zero, Nature-Positive Economy in Chile</w:t>
            </w:r>
          </w:p>
        </w:tc>
        <w:tc>
          <w:tcPr>
            <w:tcW w:w="810" w:type="dxa"/>
            <w:noWrap/>
            <w:hideMark/>
          </w:tcPr>
          <w:p w14:paraId="5019D30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9C29AF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09C028F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BF02B6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7BEC81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D0E1B5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113C2A1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37.15</w:t>
            </w:r>
          </w:p>
        </w:tc>
        <w:tc>
          <w:tcPr>
            <w:tcW w:w="900" w:type="dxa"/>
            <w:noWrap/>
            <w:hideMark/>
          </w:tcPr>
          <w:p w14:paraId="4C28228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42.48</w:t>
            </w:r>
          </w:p>
        </w:tc>
      </w:tr>
      <w:tr w:rsidR="00C0269A" w:rsidRPr="00C67737" w14:paraId="31FE349F"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C71BA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11087</w:t>
            </w:r>
          </w:p>
        </w:tc>
        <w:tc>
          <w:tcPr>
            <w:tcW w:w="5400" w:type="dxa"/>
            <w:noWrap/>
            <w:hideMark/>
          </w:tcPr>
          <w:p w14:paraId="477C640E"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Accelerating the Transition to a Net-Zero, Nature-Positive Economy in Mauritius</w:t>
            </w:r>
          </w:p>
        </w:tc>
        <w:tc>
          <w:tcPr>
            <w:tcW w:w="810" w:type="dxa"/>
            <w:noWrap/>
            <w:hideMark/>
          </w:tcPr>
          <w:p w14:paraId="0A17422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950CC0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Mauritius</w:t>
            </w:r>
          </w:p>
        </w:tc>
        <w:tc>
          <w:tcPr>
            <w:tcW w:w="990" w:type="dxa"/>
            <w:noWrap/>
            <w:hideMark/>
          </w:tcPr>
          <w:p w14:paraId="6BB0BCF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64DB94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EC8B99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583F07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3.67</w:t>
            </w:r>
          </w:p>
        </w:tc>
        <w:tc>
          <w:tcPr>
            <w:tcW w:w="990" w:type="dxa"/>
            <w:noWrap/>
            <w:hideMark/>
          </w:tcPr>
          <w:p w14:paraId="01AD5B6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18.38</w:t>
            </w:r>
          </w:p>
        </w:tc>
        <w:tc>
          <w:tcPr>
            <w:tcW w:w="900" w:type="dxa"/>
            <w:noWrap/>
            <w:hideMark/>
          </w:tcPr>
          <w:p w14:paraId="729750A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22.04</w:t>
            </w:r>
          </w:p>
        </w:tc>
      </w:tr>
      <w:tr w:rsidR="00C0269A" w:rsidRPr="00C67737" w14:paraId="6DA9E0D0"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357E6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11086</w:t>
            </w:r>
          </w:p>
        </w:tc>
        <w:tc>
          <w:tcPr>
            <w:tcW w:w="5400" w:type="dxa"/>
            <w:noWrap/>
            <w:hideMark/>
          </w:tcPr>
          <w:p w14:paraId="1F3FB3BA"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Accelerating the Transition to a Net-Zero, Nature-Positive Economy in Trinidad and Tobago</w:t>
            </w:r>
          </w:p>
        </w:tc>
        <w:tc>
          <w:tcPr>
            <w:tcW w:w="810" w:type="dxa"/>
            <w:noWrap/>
            <w:hideMark/>
          </w:tcPr>
          <w:p w14:paraId="69DEACC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E973E1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Trinidad and Tobago</w:t>
            </w:r>
          </w:p>
        </w:tc>
        <w:tc>
          <w:tcPr>
            <w:tcW w:w="990" w:type="dxa"/>
            <w:noWrap/>
            <w:hideMark/>
          </w:tcPr>
          <w:p w14:paraId="2B35AC2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5195B8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8D95FA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6383F9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5.40</w:t>
            </w:r>
          </w:p>
        </w:tc>
        <w:tc>
          <w:tcPr>
            <w:tcW w:w="990" w:type="dxa"/>
            <w:noWrap/>
            <w:hideMark/>
          </w:tcPr>
          <w:p w14:paraId="76EBA81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7.35</w:t>
            </w:r>
          </w:p>
        </w:tc>
        <w:tc>
          <w:tcPr>
            <w:tcW w:w="900" w:type="dxa"/>
            <w:noWrap/>
            <w:hideMark/>
          </w:tcPr>
          <w:p w14:paraId="499B80D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12.75</w:t>
            </w:r>
          </w:p>
        </w:tc>
      </w:tr>
      <w:tr w:rsidR="00C0269A" w:rsidRPr="00C67737" w14:paraId="78C9704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22745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11102</w:t>
            </w:r>
          </w:p>
        </w:tc>
        <w:tc>
          <w:tcPr>
            <w:tcW w:w="5400" w:type="dxa"/>
            <w:noWrap/>
            <w:hideMark/>
          </w:tcPr>
          <w:p w14:paraId="29D4F881"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CA5A8A">
              <w:rPr>
                <w:rFonts w:eastAsia="Times New Roman" w:cstheme="minorHAnsi"/>
                <w:b/>
                <w:bCs/>
                <w:color w:val="000000"/>
                <w:sz w:val="16"/>
                <w:szCs w:val="16"/>
                <w:lang w:val="en-US"/>
              </w:rPr>
              <w:t>Indo-Malaya Critical Forest Biome Integrated Program</w:t>
            </w:r>
          </w:p>
        </w:tc>
        <w:tc>
          <w:tcPr>
            <w:tcW w:w="810" w:type="dxa"/>
            <w:noWrap/>
            <w:hideMark/>
          </w:tcPr>
          <w:p w14:paraId="6A4E45B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IUCN</w:t>
            </w:r>
          </w:p>
        </w:tc>
        <w:tc>
          <w:tcPr>
            <w:tcW w:w="990" w:type="dxa"/>
            <w:noWrap/>
            <w:hideMark/>
          </w:tcPr>
          <w:p w14:paraId="57D5DAB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423593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1C6D2A7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230383D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58E633D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12606DD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1861BE2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C0269A" w:rsidRPr="00C67737" w14:paraId="2F3FB561"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E4586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11107</w:t>
            </w:r>
          </w:p>
        </w:tc>
        <w:tc>
          <w:tcPr>
            <w:tcW w:w="5400" w:type="dxa"/>
            <w:noWrap/>
            <w:hideMark/>
          </w:tcPr>
          <w:p w14:paraId="6D1FA1A8"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Indo-Malaya Critical Forest Biome Regional Coordination Project</w:t>
            </w:r>
          </w:p>
        </w:tc>
        <w:tc>
          <w:tcPr>
            <w:tcW w:w="810" w:type="dxa"/>
            <w:noWrap/>
            <w:hideMark/>
          </w:tcPr>
          <w:p w14:paraId="7189A61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48B6789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B3CC2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4EE13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C6E924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8EE8EE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7.17</w:t>
            </w:r>
          </w:p>
        </w:tc>
        <w:tc>
          <w:tcPr>
            <w:tcW w:w="990" w:type="dxa"/>
            <w:noWrap/>
            <w:hideMark/>
          </w:tcPr>
          <w:p w14:paraId="72ECF6F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46.80</w:t>
            </w:r>
          </w:p>
        </w:tc>
        <w:tc>
          <w:tcPr>
            <w:tcW w:w="900" w:type="dxa"/>
            <w:noWrap/>
            <w:hideMark/>
          </w:tcPr>
          <w:p w14:paraId="07CBC48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53.97</w:t>
            </w:r>
          </w:p>
        </w:tc>
      </w:tr>
      <w:tr w:rsidR="00C0269A" w:rsidRPr="00C67737" w14:paraId="60EDF773"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1E1C8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11105</w:t>
            </w:r>
          </w:p>
        </w:tc>
        <w:tc>
          <w:tcPr>
            <w:tcW w:w="5400" w:type="dxa"/>
            <w:noWrap/>
            <w:hideMark/>
          </w:tcPr>
          <w:p w14:paraId="30389200"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Maintaining the Integrity of Globally Significant Intact Tropical Forest Landscapes in the Gulf Province and Western Province of Papua New Guinea</w:t>
            </w:r>
          </w:p>
        </w:tc>
        <w:tc>
          <w:tcPr>
            <w:tcW w:w="810" w:type="dxa"/>
            <w:noWrap/>
            <w:hideMark/>
          </w:tcPr>
          <w:p w14:paraId="0545DD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453EB8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Papua New </w:t>
            </w:r>
            <w:proofErr w:type="spellStart"/>
            <w:r w:rsidRPr="00C67737">
              <w:rPr>
                <w:rFonts w:eastAsia="Times New Roman" w:cstheme="minorHAnsi"/>
                <w:color w:val="000000"/>
                <w:sz w:val="16"/>
                <w:szCs w:val="16"/>
              </w:rPr>
              <w:t>Guinea</w:t>
            </w:r>
            <w:proofErr w:type="spellEnd"/>
          </w:p>
        </w:tc>
        <w:tc>
          <w:tcPr>
            <w:tcW w:w="990" w:type="dxa"/>
            <w:noWrap/>
            <w:hideMark/>
          </w:tcPr>
          <w:p w14:paraId="027ED6C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701A5F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548FE9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C5C2CD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18.00</w:t>
            </w:r>
          </w:p>
        </w:tc>
        <w:tc>
          <w:tcPr>
            <w:tcW w:w="990" w:type="dxa"/>
            <w:noWrap/>
            <w:hideMark/>
          </w:tcPr>
          <w:p w14:paraId="473023D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43.50</w:t>
            </w:r>
          </w:p>
        </w:tc>
        <w:tc>
          <w:tcPr>
            <w:tcW w:w="900" w:type="dxa"/>
            <w:noWrap/>
            <w:hideMark/>
          </w:tcPr>
          <w:p w14:paraId="1CDCE29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61.50</w:t>
            </w:r>
          </w:p>
        </w:tc>
      </w:tr>
      <w:tr w:rsidR="00C0269A" w:rsidRPr="00C67737" w14:paraId="49C676D0"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3AD7E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11104</w:t>
            </w:r>
          </w:p>
        </w:tc>
        <w:tc>
          <w:tcPr>
            <w:tcW w:w="5400" w:type="dxa"/>
            <w:noWrap/>
            <w:hideMark/>
          </w:tcPr>
          <w:p w14:paraId="0078E288"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“Forests for life - Intact Tropical Forest Landscape Conservation in Thailand</w:t>
            </w:r>
          </w:p>
        </w:tc>
        <w:tc>
          <w:tcPr>
            <w:tcW w:w="810" w:type="dxa"/>
            <w:noWrap/>
            <w:hideMark/>
          </w:tcPr>
          <w:p w14:paraId="38971E5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873225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13F9D7F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2DE456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419DFE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FB0810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7.47</w:t>
            </w:r>
          </w:p>
        </w:tc>
        <w:tc>
          <w:tcPr>
            <w:tcW w:w="990" w:type="dxa"/>
            <w:noWrap/>
            <w:hideMark/>
          </w:tcPr>
          <w:p w14:paraId="3151F18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81.22</w:t>
            </w:r>
          </w:p>
        </w:tc>
        <w:tc>
          <w:tcPr>
            <w:tcW w:w="900" w:type="dxa"/>
            <w:noWrap/>
            <w:hideMark/>
          </w:tcPr>
          <w:p w14:paraId="2FAAE2A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88.68</w:t>
            </w:r>
          </w:p>
        </w:tc>
      </w:tr>
      <w:tr w:rsidR="00C0269A" w:rsidRPr="00C67737" w14:paraId="3472F49F"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C8E85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11103</w:t>
            </w:r>
          </w:p>
        </w:tc>
        <w:tc>
          <w:tcPr>
            <w:tcW w:w="5400" w:type="dxa"/>
            <w:noWrap/>
            <w:hideMark/>
          </w:tcPr>
          <w:p w14:paraId="7F866F8D"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Generating Multiple Benefits through Strengthened Protection of Intact Forest Landscapes in Lao PDR </w:t>
            </w:r>
          </w:p>
        </w:tc>
        <w:tc>
          <w:tcPr>
            <w:tcW w:w="810" w:type="dxa"/>
            <w:noWrap/>
            <w:hideMark/>
          </w:tcPr>
          <w:p w14:paraId="6372708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853D21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Lao PDR</w:t>
            </w:r>
          </w:p>
        </w:tc>
        <w:tc>
          <w:tcPr>
            <w:tcW w:w="990" w:type="dxa"/>
            <w:noWrap/>
            <w:hideMark/>
          </w:tcPr>
          <w:p w14:paraId="02AECD0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6FBC91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45DC7B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CC3212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90" w:type="dxa"/>
            <w:noWrap/>
            <w:hideMark/>
          </w:tcPr>
          <w:p w14:paraId="04DB4E1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41.63</w:t>
            </w:r>
          </w:p>
        </w:tc>
        <w:tc>
          <w:tcPr>
            <w:tcW w:w="900" w:type="dxa"/>
            <w:noWrap/>
            <w:hideMark/>
          </w:tcPr>
          <w:p w14:paraId="6C4F2CB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51.63</w:t>
            </w:r>
          </w:p>
        </w:tc>
      </w:tr>
      <w:tr w:rsidR="00C0269A" w:rsidRPr="00C67737" w14:paraId="1125820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1F3BB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11118</w:t>
            </w:r>
          </w:p>
        </w:tc>
        <w:tc>
          <w:tcPr>
            <w:tcW w:w="5400" w:type="dxa"/>
            <w:noWrap/>
            <w:hideMark/>
          </w:tcPr>
          <w:p w14:paraId="7E42F8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roofErr w:type="spellStart"/>
            <w:r w:rsidRPr="00C67737">
              <w:rPr>
                <w:rFonts w:eastAsia="Times New Roman" w:cstheme="minorHAnsi"/>
                <w:b/>
                <w:bCs/>
                <w:color w:val="000000"/>
                <w:sz w:val="16"/>
                <w:szCs w:val="16"/>
              </w:rPr>
              <w:t>Ecosystem</w:t>
            </w:r>
            <w:proofErr w:type="spellEnd"/>
            <w:r w:rsidRPr="00C67737">
              <w:rPr>
                <w:rFonts w:eastAsia="Times New Roman" w:cstheme="minorHAnsi"/>
                <w:b/>
                <w:bCs/>
                <w:color w:val="000000"/>
                <w:sz w:val="16"/>
                <w:szCs w:val="16"/>
              </w:rPr>
              <w:t xml:space="preserve"> </w:t>
            </w:r>
            <w:proofErr w:type="spellStart"/>
            <w:r w:rsidRPr="00C67737">
              <w:rPr>
                <w:rFonts w:eastAsia="Times New Roman" w:cstheme="minorHAnsi"/>
                <w:b/>
                <w:bCs/>
                <w:color w:val="000000"/>
                <w:sz w:val="16"/>
                <w:szCs w:val="16"/>
              </w:rPr>
              <w:t>Restoration</w:t>
            </w:r>
            <w:proofErr w:type="spellEnd"/>
          </w:p>
        </w:tc>
        <w:tc>
          <w:tcPr>
            <w:tcW w:w="810" w:type="dxa"/>
            <w:noWrap/>
            <w:hideMark/>
          </w:tcPr>
          <w:p w14:paraId="6A3F88B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CI</w:t>
            </w:r>
          </w:p>
        </w:tc>
        <w:tc>
          <w:tcPr>
            <w:tcW w:w="990" w:type="dxa"/>
            <w:noWrap/>
            <w:hideMark/>
          </w:tcPr>
          <w:p w14:paraId="226CA87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3D881B8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2995B1C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ED2436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136FFED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4A912C4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3E5D021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C0269A" w:rsidRPr="00C67737" w14:paraId="4012FAEB"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F9E1F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11139</w:t>
            </w:r>
          </w:p>
        </w:tc>
        <w:tc>
          <w:tcPr>
            <w:tcW w:w="5400" w:type="dxa"/>
            <w:noWrap/>
            <w:hideMark/>
          </w:tcPr>
          <w:p w14:paraId="1B5EAD01"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Strengthening Ecosystem Restoration Investments in Madagascar</w:t>
            </w:r>
          </w:p>
        </w:tc>
        <w:tc>
          <w:tcPr>
            <w:tcW w:w="810" w:type="dxa"/>
            <w:noWrap/>
            <w:hideMark/>
          </w:tcPr>
          <w:p w14:paraId="1A1FC4E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FD1749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317362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29032A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0F4912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171668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1676147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69.37</w:t>
            </w:r>
          </w:p>
        </w:tc>
        <w:tc>
          <w:tcPr>
            <w:tcW w:w="900" w:type="dxa"/>
            <w:noWrap/>
            <w:hideMark/>
          </w:tcPr>
          <w:p w14:paraId="4AFBFC8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85.37</w:t>
            </w:r>
          </w:p>
        </w:tc>
      </w:tr>
      <w:tr w:rsidR="00C0269A" w:rsidRPr="00C67737" w14:paraId="30531131"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30CE3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11138</w:t>
            </w:r>
          </w:p>
        </w:tc>
        <w:tc>
          <w:tcPr>
            <w:tcW w:w="5400" w:type="dxa"/>
            <w:noWrap/>
            <w:hideMark/>
          </w:tcPr>
          <w:p w14:paraId="7264847F"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Restoration of the Ecological Corridors of Mayo-Kebbi, </w:t>
            </w:r>
            <w:proofErr w:type="spellStart"/>
            <w:r w:rsidRPr="00750129">
              <w:rPr>
                <w:rFonts w:eastAsia="Times New Roman" w:cstheme="minorHAnsi"/>
                <w:color w:val="000000"/>
                <w:sz w:val="16"/>
                <w:szCs w:val="16"/>
                <w:lang w:val="en-US"/>
              </w:rPr>
              <w:t>Tandjilé</w:t>
            </w:r>
            <w:proofErr w:type="spellEnd"/>
            <w:r w:rsidRPr="00750129">
              <w:rPr>
                <w:rFonts w:eastAsia="Times New Roman" w:cstheme="minorHAnsi"/>
                <w:color w:val="000000"/>
                <w:sz w:val="16"/>
                <w:szCs w:val="16"/>
                <w:lang w:val="en-US"/>
              </w:rPr>
              <w:t xml:space="preserve"> and </w:t>
            </w:r>
            <w:proofErr w:type="spellStart"/>
            <w:r w:rsidRPr="00750129">
              <w:rPr>
                <w:rFonts w:eastAsia="Times New Roman" w:cstheme="minorHAnsi"/>
                <w:color w:val="000000"/>
                <w:sz w:val="16"/>
                <w:szCs w:val="16"/>
                <w:lang w:val="en-US"/>
              </w:rPr>
              <w:t>Fitri</w:t>
            </w:r>
            <w:proofErr w:type="spellEnd"/>
            <w:r w:rsidRPr="00750129">
              <w:rPr>
                <w:rFonts w:eastAsia="Times New Roman" w:cstheme="minorHAnsi"/>
                <w:color w:val="000000"/>
                <w:sz w:val="16"/>
                <w:szCs w:val="16"/>
                <w:lang w:val="en-US"/>
              </w:rPr>
              <w:t xml:space="preserve"> in Chad, in Support of Multiple Land and Forest Benefits</w:t>
            </w:r>
          </w:p>
        </w:tc>
        <w:tc>
          <w:tcPr>
            <w:tcW w:w="810" w:type="dxa"/>
            <w:noWrap/>
            <w:hideMark/>
          </w:tcPr>
          <w:p w14:paraId="153BFEE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39AE22F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Chad</w:t>
            </w:r>
          </w:p>
        </w:tc>
        <w:tc>
          <w:tcPr>
            <w:tcW w:w="990" w:type="dxa"/>
            <w:noWrap/>
            <w:hideMark/>
          </w:tcPr>
          <w:p w14:paraId="687FD8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B9B321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BDD3D7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18C2FB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4.67</w:t>
            </w:r>
          </w:p>
        </w:tc>
        <w:tc>
          <w:tcPr>
            <w:tcW w:w="990" w:type="dxa"/>
            <w:noWrap/>
            <w:hideMark/>
          </w:tcPr>
          <w:p w14:paraId="0A1024E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3.78</w:t>
            </w:r>
          </w:p>
        </w:tc>
        <w:tc>
          <w:tcPr>
            <w:tcW w:w="900" w:type="dxa"/>
            <w:noWrap/>
            <w:hideMark/>
          </w:tcPr>
          <w:p w14:paraId="2864711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8.45</w:t>
            </w:r>
          </w:p>
        </w:tc>
      </w:tr>
      <w:tr w:rsidR="00C0269A" w:rsidRPr="00C67737" w14:paraId="4A97CBAF"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C7411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11137</w:t>
            </w:r>
          </w:p>
        </w:tc>
        <w:tc>
          <w:tcPr>
            <w:tcW w:w="5400" w:type="dxa"/>
            <w:noWrap/>
            <w:hideMark/>
          </w:tcPr>
          <w:p w14:paraId="6019FE34"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Integrated Conservation Management and Restoration of High-Value Landscapes in Uzbekistan</w:t>
            </w:r>
          </w:p>
        </w:tc>
        <w:tc>
          <w:tcPr>
            <w:tcW w:w="810" w:type="dxa"/>
            <w:noWrap/>
            <w:hideMark/>
          </w:tcPr>
          <w:p w14:paraId="6039F6B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ABAC4E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Uzbekistan</w:t>
            </w:r>
            <w:proofErr w:type="spellEnd"/>
          </w:p>
        </w:tc>
        <w:tc>
          <w:tcPr>
            <w:tcW w:w="990" w:type="dxa"/>
            <w:noWrap/>
            <w:hideMark/>
          </w:tcPr>
          <w:p w14:paraId="5A21173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28409B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E74C96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15F692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6.83</w:t>
            </w:r>
          </w:p>
        </w:tc>
        <w:tc>
          <w:tcPr>
            <w:tcW w:w="990" w:type="dxa"/>
            <w:noWrap/>
            <w:hideMark/>
          </w:tcPr>
          <w:p w14:paraId="0451FD3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140.96</w:t>
            </w:r>
          </w:p>
        </w:tc>
        <w:tc>
          <w:tcPr>
            <w:tcW w:w="900" w:type="dxa"/>
            <w:noWrap/>
            <w:hideMark/>
          </w:tcPr>
          <w:p w14:paraId="586C377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147.78</w:t>
            </w:r>
          </w:p>
        </w:tc>
      </w:tr>
      <w:tr w:rsidR="00C0269A" w:rsidRPr="00C67737" w14:paraId="5540E3C3"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6DC60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11136</w:t>
            </w:r>
          </w:p>
        </w:tc>
        <w:tc>
          <w:tcPr>
            <w:tcW w:w="5400" w:type="dxa"/>
            <w:noWrap/>
            <w:hideMark/>
          </w:tcPr>
          <w:p w14:paraId="5A53B384"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Accelerating Ecosystems Restoration by Mobilizing Communities along the Great Green Wall Corridor</w:t>
            </w:r>
          </w:p>
        </w:tc>
        <w:tc>
          <w:tcPr>
            <w:tcW w:w="810" w:type="dxa"/>
            <w:noWrap/>
            <w:hideMark/>
          </w:tcPr>
          <w:p w14:paraId="581AC42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5E3763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Mali</w:t>
            </w:r>
          </w:p>
        </w:tc>
        <w:tc>
          <w:tcPr>
            <w:tcW w:w="990" w:type="dxa"/>
            <w:noWrap/>
            <w:hideMark/>
          </w:tcPr>
          <w:p w14:paraId="523AED5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9B079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234DB1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0C6B1C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619F6C7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186.24</w:t>
            </w:r>
          </w:p>
        </w:tc>
        <w:tc>
          <w:tcPr>
            <w:tcW w:w="900" w:type="dxa"/>
            <w:noWrap/>
            <w:hideMark/>
          </w:tcPr>
          <w:p w14:paraId="3C1037F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194.24</w:t>
            </w:r>
          </w:p>
        </w:tc>
      </w:tr>
      <w:tr w:rsidR="00C0269A" w:rsidRPr="00C67737" w14:paraId="05E14133"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6E9D8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11135</w:t>
            </w:r>
          </w:p>
        </w:tc>
        <w:tc>
          <w:tcPr>
            <w:tcW w:w="5400" w:type="dxa"/>
            <w:noWrap/>
            <w:hideMark/>
          </w:tcPr>
          <w:p w14:paraId="6F9E679C"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Enhancing Sustainable Land Management and Biodiversity Conservation through Innovative Financing for an Integrated Climate Resilience in </w:t>
            </w:r>
            <w:proofErr w:type="spellStart"/>
            <w:r w:rsidRPr="00750129">
              <w:rPr>
                <w:rFonts w:eastAsia="Times New Roman" w:cstheme="minorHAnsi"/>
                <w:color w:val="000000"/>
                <w:sz w:val="16"/>
                <w:szCs w:val="16"/>
                <w:lang w:val="en-US"/>
              </w:rPr>
              <w:t>Koinadugu</w:t>
            </w:r>
            <w:proofErr w:type="spellEnd"/>
            <w:r w:rsidRPr="00750129">
              <w:rPr>
                <w:rFonts w:eastAsia="Times New Roman" w:cstheme="minorHAnsi"/>
                <w:color w:val="000000"/>
                <w:sz w:val="16"/>
                <w:szCs w:val="16"/>
                <w:lang w:val="en-US"/>
              </w:rPr>
              <w:t xml:space="preserve"> District</w:t>
            </w:r>
          </w:p>
        </w:tc>
        <w:tc>
          <w:tcPr>
            <w:tcW w:w="810" w:type="dxa"/>
            <w:noWrap/>
            <w:hideMark/>
          </w:tcPr>
          <w:p w14:paraId="2AF9B98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94EE1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Sierra Leone</w:t>
            </w:r>
          </w:p>
        </w:tc>
        <w:tc>
          <w:tcPr>
            <w:tcW w:w="990" w:type="dxa"/>
            <w:noWrap/>
            <w:hideMark/>
          </w:tcPr>
          <w:p w14:paraId="723C68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279491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1F563A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DFCB9E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4.80</w:t>
            </w:r>
          </w:p>
        </w:tc>
        <w:tc>
          <w:tcPr>
            <w:tcW w:w="990" w:type="dxa"/>
            <w:noWrap/>
            <w:hideMark/>
          </w:tcPr>
          <w:p w14:paraId="7374FAF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20.00</w:t>
            </w:r>
          </w:p>
        </w:tc>
        <w:tc>
          <w:tcPr>
            <w:tcW w:w="900" w:type="dxa"/>
            <w:noWrap/>
            <w:hideMark/>
          </w:tcPr>
          <w:p w14:paraId="69CD592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24.80</w:t>
            </w:r>
          </w:p>
        </w:tc>
      </w:tr>
      <w:tr w:rsidR="00C0269A" w:rsidRPr="00C67737" w14:paraId="04551E6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8EFED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11134</w:t>
            </w:r>
          </w:p>
        </w:tc>
        <w:tc>
          <w:tcPr>
            <w:tcW w:w="5400" w:type="dxa"/>
            <w:noWrap/>
            <w:hideMark/>
          </w:tcPr>
          <w:p w14:paraId="61D28817"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Ecosystem-Based Restoration Approach for Nyungwe-</w:t>
            </w:r>
            <w:proofErr w:type="spellStart"/>
            <w:r w:rsidRPr="00750129">
              <w:rPr>
                <w:rFonts w:eastAsia="Times New Roman" w:cstheme="minorHAnsi"/>
                <w:color w:val="000000"/>
                <w:sz w:val="16"/>
                <w:szCs w:val="16"/>
                <w:lang w:val="en-US"/>
              </w:rPr>
              <w:t>Ruhango</w:t>
            </w:r>
            <w:proofErr w:type="spellEnd"/>
            <w:r w:rsidRPr="00750129">
              <w:rPr>
                <w:rFonts w:eastAsia="Times New Roman" w:cstheme="minorHAnsi"/>
                <w:color w:val="000000"/>
                <w:sz w:val="16"/>
                <w:szCs w:val="16"/>
                <w:lang w:val="en-US"/>
              </w:rPr>
              <w:t xml:space="preserve"> Corridor</w:t>
            </w:r>
          </w:p>
        </w:tc>
        <w:tc>
          <w:tcPr>
            <w:tcW w:w="810" w:type="dxa"/>
            <w:noWrap/>
            <w:hideMark/>
          </w:tcPr>
          <w:p w14:paraId="64BBD7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1540D72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Rwanda</w:t>
            </w:r>
          </w:p>
        </w:tc>
        <w:tc>
          <w:tcPr>
            <w:tcW w:w="990" w:type="dxa"/>
            <w:noWrap/>
            <w:hideMark/>
          </w:tcPr>
          <w:p w14:paraId="738BF0D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AA3BFA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6FD19A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6CDF24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10.15</w:t>
            </w:r>
          </w:p>
        </w:tc>
        <w:tc>
          <w:tcPr>
            <w:tcW w:w="990" w:type="dxa"/>
            <w:noWrap/>
            <w:hideMark/>
          </w:tcPr>
          <w:p w14:paraId="65D4B37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303.00</w:t>
            </w:r>
          </w:p>
        </w:tc>
        <w:tc>
          <w:tcPr>
            <w:tcW w:w="900" w:type="dxa"/>
            <w:noWrap/>
            <w:hideMark/>
          </w:tcPr>
          <w:p w14:paraId="2BF580A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313.15</w:t>
            </w:r>
          </w:p>
        </w:tc>
      </w:tr>
      <w:tr w:rsidR="00C0269A" w:rsidRPr="00C67737" w14:paraId="12F8A263"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7CDEF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11133</w:t>
            </w:r>
          </w:p>
        </w:tc>
        <w:tc>
          <w:tcPr>
            <w:tcW w:w="5400" w:type="dxa"/>
            <w:noWrap/>
            <w:hideMark/>
          </w:tcPr>
          <w:p w14:paraId="61827961"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Northern Mozambique Rural Resilience Project</w:t>
            </w:r>
          </w:p>
        </w:tc>
        <w:tc>
          <w:tcPr>
            <w:tcW w:w="810" w:type="dxa"/>
            <w:noWrap/>
            <w:hideMark/>
          </w:tcPr>
          <w:p w14:paraId="65775B4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2EF6636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Mozambique</w:t>
            </w:r>
          </w:p>
        </w:tc>
        <w:tc>
          <w:tcPr>
            <w:tcW w:w="990" w:type="dxa"/>
            <w:noWrap/>
            <w:hideMark/>
          </w:tcPr>
          <w:p w14:paraId="3D4F41E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49F0C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4B76FE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C4C6C8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6AEB28D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150.00</w:t>
            </w:r>
          </w:p>
        </w:tc>
        <w:tc>
          <w:tcPr>
            <w:tcW w:w="900" w:type="dxa"/>
            <w:noWrap/>
            <w:hideMark/>
          </w:tcPr>
          <w:p w14:paraId="5A8A9EB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166.00</w:t>
            </w:r>
          </w:p>
        </w:tc>
      </w:tr>
      <w:tr w:rsidR="00C0269A" w:rsidRPr="00C67737" w14:paraId="25DDEE47"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7A6EC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11132</w:t>
            </w:r>
          </w:p>
        </w:tc>
        <w:tc>
          <w:tcPr>
            <w:tcW w:w="5400" w:type="dxa"/>
            <w:noWrap/>
            <w:hideMark/>
          </w:tcPr>
          <w:p w14:paraId="5EF7C431"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Ecosystem Restoration in Northern &amp; Central Savannas of Côte d’Ivoire</w:t>
            </w:r>
          </w:p>
        </w:tc>
        <w:tc>
          <w:tcPr>
            <w:tcW w:w="810" w:type="dxa"/>
            <w:noWrap/>
            <w:hideMark/>
          </w:tcPr>
          <w:p w14:paraId="622E831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D67C36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Cote d'Ivoire</w:t>
            </w:r>
          </w:p>
        </w:tc>
        <w:tc>
          <w:tcPr>
            <w:tcW w:w="990" w:type="dxa"/>
            <w:noWrap/>
            <w:hideMark/>
          </w:tcPr>
          <w:p w14:paraId="00C0FDA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6D077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684E59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3693F9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4.27</w:t>
            </w:r>
          </w:p>
        </w:tc>
        <w:tc>
          <w:tcPr>
            <w:tcW w:w="990" w:type="dxa"/>
            <w:noWrap/>
            <w:hideMark/>
          </w:tcPr>
          <w:p w14:paraId="67B86E1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123.62</w:t>
            </w:r>
          </w:p>
        </w:tc>
        <w:tc>
          <w:tcPr>
            <w:tcW w:w="900" w:type="dxa"/>
            <w:noWrap/>
            <w:hideMark/>
          </w:tcPr>
          <w:p w14:paraId="296514D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127.89</w:t>
            </w:r>
          </w:p>
        </w:tc>
      </w:tr>
      <w:tr w:rsidR="00C0269A" w:rsidRPr="00C67737" w14:paraId="3A4D1B5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0ACFA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11131</w:t>
            </w:r>
          </w:p>
        </w:tc>
        <w:tc>
          <w:tcPr>
            <w:tcW w:w="5400" w:type="dxa"/>
            <w:noWrap/>
            <w:hideMark/>
          </w:tcPr>
          <w:p w14:paraId="0FCD9D9A"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Enhancing Water Security, Biodiversity and Resilience of Livelihoods through Integrated Water Resources Management and Ecosystem Restoration in Viet Nam’s Red River Basin</w:t>
            </w:r>
          </w:p>
        </w:tc>
        <w:tc>
          <w:tcPr>
            <w:tcW w:w="810" w:type="dxa"/>
            <w:noWrap/>
            <w:hideMark/>
          </w:tcPr>
          <w:p w14:paraId="5E23E58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22A2C7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46F792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2C906E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51A28E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7A0EC9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11.84</w:t>
            </w:r>
          </w:p>
        </w:tc>
        <w:tc>
          <w:tcPr>
            <w:tcW w:w="990" w:type="dxa"/>
            <w:noWrap/>
            <w:hideMark/>
          </w:tcPr>
          <w:p w14:paraId="63A1CE5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82.05</w:t>
            </w:r>
          </w:p>
        </w:tc>
        <w:tc>
          <w:tcPr>
            <w:tcW w:w="900" w:type="dxa"/>
            <w:noWrap/>
            <w:hideMark/>
          </w:tcPr>
          <w:p w14:paraId="5176169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93.89</w:t>
            </w:r>
          </w:p>
        </w:tc>
      </w:tr>
      <w:tr w:rsidR="00C0269A" w:rsidRPr="00C67737" w14:paraId="2E7211D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1E777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11130</w:t>
            </w:r>
          </w:p>
        </w:tc>
        <w:tc>
          <w:tcPr>
            <w:tcW w:w="5400" w:type="dxa"/>
            <w:noWrap/>
            <w:hideMark/>
          </w:tcPr>
          <w:p w14:paraId="1ADA56DE"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Enabling Large-Scale Ecosystem Restoration in Haiti through the Piloting and Implementation of Payments for Environmental Services Schemes</w:t>
            </w:r>
          </w:p>
        </w:tc>
        <w:tc>
          <w:tcPr>
            <w:tcW w:w="810" w:type="dxa"/>
            <w:noWrap/>
            <w:hideMark/>
          </w:tcPr>
          <w:p w14:paraId="45434A6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18B384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Haiti</w:t>
            </w:r>
          </w:p>
        </w:tc>
        <w:tc>
          <w:tcPr>
            <w:tcW w:w="990" w:type="dxa"/>
            <w:noWrap/>
            <w:hideMark/>
          </w:tcPr>
          <w:p w14:paraId="14F9C45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CEF312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F3E5B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655644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74F4BB3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36.37</w:t>
            </w:r>
          </w:p>
        </w:tc>
        <w:tc>
          <w:tcPr>
            <w:tcW w:w="900" w:type="dxa"/>
            <w:noWrap/>
            <w:hideMark/>
          </w:tcPr>
          <w:p w14:paraId="6BBF8C3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41.70</w:t>
            </w:r>
          </w:p>
        </w:tc>
      </w:tr>
      <w:tr w:rsidR="00C0269A" w:rsidRPr="00C67737" w14:paraId="6CCA0A6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23171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11129</w:t>
            </w:r>
          </w:p>
        </w:tc>
        <w:tc>
          <w:tcPr>
            <w:tcW w:w="5400" w:type="dxa"/>
            <w:noWrap/>
            <w:hideMark/>
          </w:tcPr>
          <w:p w14:paraId="02396064"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Integrated Sustainable and Adaptive Management of Natural Resources to Support Ecosystem Restoration and Livelihoods in the Miombo Landscapes of Southern Kwango</w:t>
            </w:r>
          </w:p>
        </w:tc>
        <w:tc>
          <w:tcPr>
            <w:tcW w:w="810" w:type="dxa"/>
            <w:noWrap/>
            <w:hideMark/>
          </w:tcPr>
          <w:p w14:paraId="6E33950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4BE9DA7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Congo DR</w:t>
            </w:r>
          </w:p>
        </w:tc>
        <w:tc>
          <w:tcPr>
            <w:tcW w:w="990" w:type="dxa"/>
            <w:noWrap/>
            <w:hideMark/>
          </w:tcPr>
          <w:p w14:paraId="656E970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EA540F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4BAE20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07E289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52E91BD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70.00</w:t>
            </w:r>
          </w:p>
        </w:tc>
        <w:tc>
          <w:tcPr>
            <w:tcW w:w="900" w:type="dxa"/>
            <w:noWrap/>
            <w:hideMark/>
          </w:tcPr>
          <w:p w14:paraId="53DD531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80.67</w:t>
            </w:r>
          </w:p>
        </w:tc>
      </w:tr>
      <w:tr w:rsidR="00C0269A" w:rsidRPr="00C67737" w14:paraId="244991D4"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FDD1D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11127</w:t>
            </w:r>
          </w:p>
        </w:tc>
        <w:tc>
          <w:tcPr>
            <w:tcW w:w="5400" w:type="dxa"/>
            <w:noWrap/>
            <w:hideMark/>
          </w:tcPr>
          <w:p w14:paraId="2D68A07E"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A Transdisciplinary Approach towards Restoring Selected South African Peatland Ecosystems and their Catchments</w:t>
            </w:r>
          </w:p>
        </w:tc>
        <w:tc>
          <w:tcPr>
            <w:tcW w:w="810" w:type="dxa"/>
            <w:noWrap/>
            <w:hideMark/>
          </w:tcPr>
          <w:p w14:paraId="21E1C4C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D462F2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Africa</w:t>
            </w:r>
            <w:proofErr w:type="spellEnd"/>
          </w:p>
        </w:tc>
        <w:tc>
          <w:tcPr>
            <w:tcW w:w="990" w:type="dxa"/>
            <w:noWrap/>
            <w:hideMark/>
          </w:tcPr>
          <w:p w14:paraId="388BBB7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3A49F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D942D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89BDAE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7.47</w:t>
            </w:r>
          </w:p>
        </w:tc>
        <w:tc>
          <w:tcPr>
            <w:tcW w:w="990" w:type="dxa"/>
            <w:noWrap/>
            <w:hideMark/>
          </w:tcPr>
          <w:p w14:paraId="0E291B7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42.82</w:t>
            </w:r>
          </w:p>
        </w:tc>
        <w:tc>
          <w:tcPr>
            <w:tcW w:w="900" w:type="dxa"/>
            <w:noWrap/>
            <w:hideMark/>
          </w:tcPr>
          <w:p w14:paraId="5A0F9EB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50.29</w:t>
            </w:r>
          </w:p>
        </w:tc>
      </w:tr>
      <w:tr w:rsidR="00C0269A" w:rsidRPr="00C67737" w14:paraId="340A63FF"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6C2B5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11126</w:t>
            </w:r>
          </w:p>
        </w:tc>
        <w:tc>
          <w:tcPr>
            <w:tcW w:w="5400" w:type="dxa"/>
            <w:noWrap/>
            <w:hideMark/>
          </w:tcPr>
          <w:p w14:paraId="11C75A5C"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Restoration of Forests and Mountain Ecosystems in Far-West Nepal</w:t>
            </w:r>
          </w:p>
        </w:tc>
        <w:tc>
          <w:tcPr>
            <w:tcW w:w="810" w:type="dxa"/>
            <w:noWrap/>
            <w:hideMark/>
          </w:tcPr>
          <w:p w14:paraId="27E2464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EAED6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Nepal</w:t>
            </w:r>
            <w:proofErr w:type="spellEnd"/>
          </w:p>
        </w:tc>
        <w:tc>
          <w:tcPr>
            <w:tcW w:w="990" w:type="dxa"/>
            <w:noWrap/>
            <w:hideMark/>
          </w:tcPr>
          <w:p w14:paraId="04763B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6CF955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4A19D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727D2B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7DCCACE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14.00</w:t>
            </w:r>
          </w:p>
        </w:tc>
        <w:tc>
          <w:tcPr>
            <w:tcW w:w="900" w:type="dxa"/>
            <w:noWrap/>
            <w:hideMark/>
          </w:tcPr>
          <w:p w14:paraId="3011C04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16.67</w:t>
            </w:r>
          </w:p>
        </w:tc>
      </w:tr>
      <w:tr w:rsidR="00C0269A" w:rsidRPr="00C67737" w14:paraId="45754435"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AAFF5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11125</w:t>
            </w:r>
          </w:p>
        </w:tc>
        <w:tc>
          <w:tcPr>
            <w:tcW w:w="5400" w:type="dxa"/>
            <w:noWrap/>
            <w:hideMark/>
          </w:tcPr>
          <w:p w14:paraId="74115316"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High Andean Ecosystem Restoration in Peru</w:t>
            </w:r>
          </w:p>
        </w:tc>
        <w:tc>
          <w:tcPr>
            <w:tcW w:w="810" w:type="dxa"/>
            <w:noWrap/>
            <w:hideMark/>
          </w:tcPr>
          <w:p w14:paraId="57AD67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26B8AE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62BBCC1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990FC2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A26125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199CFC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9.60</w:t>
            </w:r>
          </w:p>
        </w:tc>
        <w:tc>
          <w:tcPr>
            <w:tcW w:w="990" w:type="dxa"/>
            <w:noWrap/>
            <w:hideMark/>
          </w:tcPr>
          <w:p w14:paraId="54C5903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65.94</w:t>
            </w:r>
          </w:p>
        </w:tc>
        <w:tc>
          <w:tcPr>
            <w:tcW w:w="900" w:type="dxa"/>
            <w:noWrap/>
            <w:hideMark/>
          </w:tcPr>
          <w:p w14:paraId="3A395B6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75.54</w:t>
            </w:r>
          </w:p>
        </w:tc>
      </w:tr>
      <w:tr w:rsidR="00C0269A" w:rsidRPr="00C67737" w14:paraId="608147CC"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C6766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11124</w:t>
            </w:r>
          </w:p>
        </w:tc>
        <w:tc>
          <w:tcPr>
            <w:tcW w:w="5400" w:type="dxa"/>
            <w:noWrap/>
            <w:hideMark/>
          </w:tcPr>
          <w:p w14:paraId="5EB91C64"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Union for Restoration - Enabling Large-Scale Restoration through National Policy in Brazil</w:t>
            </w:r>
          </w:p>
        </w:tc>
        <w:tc>
          <w:tcPr>
            <w:tcW w:w="810" w:type="dxa"/>
            <w:noWrap/>
            <w:hideMark/>
          </w:tcPr>
          <w:p w14:paraId="7E83136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058C1F8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6BA3227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C6EED1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689DFD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25C671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14.93</w:t>
            </w:r>
          </w:p>
        </w:tc>
        <w:tc>
          <w:tcPr>
            <w:tcW w:w="990" w:type="dxa"/>
            <w:noWrap/>
            <w:hideMark/>
          </w:tcPr>
          <w:p w14:paraId="4DEC85B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149.30</w:t>
            </w:r>
          </w:p>
        </w:tc>
        <w:tc>
          <w:tcPr>
            <w:tcW w:w="900" w:type="dxa"/>
            <w:noWrap/>
            <w:hideMark/>
          </w:tcPr>
          <w:p w14:paraId="05D1E66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164.23</w:t>
            </w:r>
          </w:p>
        </w:tc>
      </w:tr>
      <w:tr w:rsidR="00C0269A" w:rsidRPr="00C67737" w14:paraId="487E506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AC4E6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11123</w:t>
            </w:r>
          </w:p>
        </w:tc>
        <w:tc>
          <w:tcPr>
            <w:tcW w:w="5400" w:type="dxa"/>
            <w:noWrap/>
            <w:hideMark/>
          </w:tcPr>
          <w:p w14:paraId="1F489179"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Ecosystem Restoration in Angola’s Extended Central Plateau</w:t>
            </w:r>
          </w:p>
        </w:tc>
        <w:tc>
          <w:tcPr>
            <w:tcW w:w="810" w:type="dxa"/>
            <w:noWrap/>
            <w:hideMark/>
          </w:tcPr>
          <w:p w14:paraId="3E01907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D0F35D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Angola</w:t>
            </w:r>
          </w:p>
        </w:tc>
        <w:tc>
          <w:tcPr>
            <w:tcW w:w="990" w:type="dxa"/>
            <w:noWrap/>
            <w:hideMark/>
          </w:tcPr>
          <w:p w14:paraId="2B90429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85715A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FE7C65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9B0194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13C651F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121.78</w:t>
            </w:r>
          </w:p>
        </w:tc>
        <w:tc>
          <w:tcPr>
            <w:tcW w:w="900" w:type="dxa"/>
            <w:noWrap/>
            <w:hideMark/>
          </w:tcPr>
          <w:p w14:paraId="3A43722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137.78</w:t>
            </w:r>
          </w:p>
        </w:tc>
      </w:tr>
      <w:tr w:rsidR="00C0269A" w:rsidRPr="00C67737" w14:paraId="21029AA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E049C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11122</w:t>
            </w:r>
          </w:p>
        </w:tc>
        <w:tc>
          <w:tcPr>
            <w:tcW w:w="5400" w:type="dxa"/>
            <w:noWrap/>
            <w:hideMark/>
          </w:tcPr>
          <w:p w14:paraId="277B2B84"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Ecosystem Restoration Global Coordination Project</w:t>
            </w:r>
          </w:p>
        </w:tc>
        <w:tc>
          <w:tcPr>
            <w:tcW w:w="810" w:type="dxa"/>
            <w:noWrap/>
            <w:hideMark/>
          </w:tcPr>
          <w:p w14:paraId="3B4120B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4C9134C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79A2420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0CD00C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3A3CF8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E5C28F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19.74</w:t>
            </w:r>
          </w:p>
        </w:tc>
        <w:tc>
          <w:tcPr>
            <w:tcW w:w="990" w:type="dxa"/>
            <w:noWrap/>
            <w:hideMark/>
          </w:tcPr>
          <w:p w14:paraId="209D09F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86.42</w:t>
            </w:r>
          </w:p>
        </w:tc>
        <w:tc>
          <w:tcPr>
            <w:tcW w:w="900" w:type="dxa"/>
            <w:noWrap/>
            <w:hideMark/>
          </w:tcPr>
          <w:p w14:paraId="439407F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106.16</w:t>
            </w:r>
          </w:p>
        </w:tc>
      </w:tr>
      <w:tr w:rsidR="00C0269A" w:rsidRPr="00C67737" w14:paraId="64C7EA38"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F2A45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11121</w:t>
            </w:r>
          </w:p>
        </w:tc>
        <w:tc>
          <w:tcPr>
            <w:tcW w:w="5400" w:type="dxa"/>
            <w:noWrap/>
            <w:hideMark/>
          </w:tcPr>
          <w:p w14:paraId="2696C079"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ORIGEN: Restoring Watersheds for Ecosystems and Communities</w:t>
            </w:r>
          </w:p>
        </w:tc>
        <w:tc>
          <w:tcPr>
            <w:tcW w:w="810" w:type="dxa"/>
            <w:noWrap/>
            <w:hideMark/>
          </w:tcPr>
          <w:p w14:paraId="00629DF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253464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2FBAFB9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351A44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E17C68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129071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2E0288A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145.15</w:t>
            </w:r>
          </w:p>
        </w:tc>
        <w:tc>
          <w:tcPr>
            <w:tcW w:w="900" w:type="dxa"/>
            <w:noWrap/>
            <w:hideMark/>
          </w:tcPr>
          <w:p w14:paraId="3240389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161.15</w:t>
            </w:r>
          </w:p>
        </w:tc>
      </w:tr>
      <w:tr w:rsidR="00C0269A" w:rsidRPr="00C67737" w14:paraId="6BC932E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715FB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11120</w:t>
            </w:r>
          </w:p>
        </w:tc>
        <w:tc>
          <w:tcPr>
            <w:tcW w:w="5400" w:type="dxa"/>
            <w:noWrap/>
            <w:hideMark/>
          </w:tcPr>
          <w:p w14:paraId="6C72464C"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Ecosystem Restoration for Enhanced Biodiversity, Productive Landscapes and Sustainable Livelihoods in Sao Tome e Principe</w:t>
            </w:r>
          </w:p>
        </w:tc>
        <w:tc>
          <w:tcPr>
            <w:tcW w:w="810" w:type="dxa"/>
            <w:noWrap/>
            <w:hideMark/>
          </w:tcPr>
          <w:p w14:paraId="76FFC8B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DC51A0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Sao Tome and Principe</w:t>
            </w:r>
          </w:p>
        </w:tc>
        <w:tc>
          <w:tcPr>
            <w:tcW w:w="990" w:type="dxa"/>
            <w:noWrap/>
            <w:hideMark/>
          </w:tcPr>
          <w:p w14:paraId="1D848C3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1049F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972882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9DE51D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50F61B8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39.46</w:t>
            </w:r>
          </w:p>
        </w:tc>
        <w:tc>
          <w:tcPr>
            <w:tcW w:w="900" w:type="dxa"/>
            <w:noWrap/>
            <w:hideMark/>
          </w:tcPr>
          <w:p w14:paraId="0C8BD72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44.79</w:t>
            </w:r>
          </w:p>
        </w:tc>
      </w:tr>
      <w:tr w:rsidR="00C0269A" w:rsidRPr="00C67737" w14:paraId="429878D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B1C16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11119</w:t>
            </w:r>
          </w:p>
        </w:tc>
        <w:tc>
          <w:tcPr>
            <w:tcW w:w="5400" w:type="dxa"/>
            <w:noWrap/>
            <w:hideMark/>
          </w:tcPr>
          <w:p w14:paraId="5E56246C"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Restoring Ecosystems for Sustainable Development in the Tonle Sap Basin and Siem Reap/Phnom Kulen Landscape</w:t>
            </w:r>
          </w:p>
        </w:tc>
        <w:tc>
          <w:tcPr>
            <w:tcW w:w="810" w:type="dxa"/>
            <w:noWrap/>
            <w:hideMark/>
          </w:tcPr>
          <w:p w14:paraId="29C03B6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EB45F3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Cambodia</w:t>
            </w:r>
            <w:proofErr w:type="spellEnd"/>
          </w:p>
        </w:tc>
        <w:tc>
          <w:tcPr>
            <w:tcW w:w="990" w:type="dxa"/>
            <w:noWrap/>
            <w:hideMark/>
          </w:tcPr>
          <w:p w14:paraId="78B4ED8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008871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23368B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9458C9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8.75</w:t>
            </w:r>
          </w:p>
        </w:tc>
        <w:tc>
          <w:tcPr>
            <w:tcW w:w="990" w:type="dxa"/>
            <w:noWrap/>
            <w:hideMark/>
          </w:tcPr>
          <w:p w14:paraId="3C2EB78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44.05</w:t>
            </w:r>
          </w:p>
        </w:tc>
        <w:tc>
          <w:tcPr>
            <w:tcW w:w="900" w:type="dxa"/>
            <w:noWrap/>
            <w:hideMark/>
          </w:tcPr>
          <w:p w14:paraId="67444F0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52.80</w:t>
            </w:r>
          </w:p>
        </w:tc>
      </w:tr>
      <w:tr w:rsidR="00C0269A" w:rsidRPr="00C67737" w14:paraId="4435AE9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618E6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11142</w:t>
            </w:r>
          </w:p>
        </w:tc>
        <w:tc>
          <w:tcPr>
            <w:tcW w:w="5400" w:type="dxa"/>
            <w:noWrap/>
            <w:hideMark/>
          </w:tcPr>
          <w:p w14:paraId="2FA0D046"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750129">
              <w:rPr>
                <w:rFonts w:eastAsia="Times New Roman" w:cstheme="minorHAnsi"/>
                <w:b/>
                <w:bCs/>
                <w:color w:val="000000"/>
                <w:sz w:val="16"/>
                <w:szCs w:val="16"/>
                <w:lang w:val="en-US"/>
              </w:rPr>
              <w:t>Guinean Forests (GEF-8 Amazon, Congo and Critical Forest Biomes Integrated Program)</w:t>
            </w:r>
          </w:p>
        </w:tc>
        <w:tc>
          <w:tcPr>
            <w:tcW w:w="810" w:type="dxa"/>
            <w:noWrap/>
            <w:hideMark/>
          </w:tcPr>
          <w:p w14:paraId="4762D29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CI</w:t>
            </w:r>
          </w:p>
        </w:tc>
        <w:tc>
          <w:tcPr>
            <w:tcW w:w="990" w:type="dxa"/>
            <w:noWrap/>
            <w:hideMark/>
          </w:tcPr>
          <w:p w14:paraId="3535B7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68CAE93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4B622FF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10D7AF3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3D6899B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70DD835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7D05024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C0269A" w:rsidRPr="00C67737" w14:paraId="6B138897"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78C63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11147</w:t>
            </w:r>
          </w:p>
        </w:tc>
        <w:tc>
          <w:tcPr>
            <w:tcW w:w="5400" w:type="dxa"/>
            <w:noWrap/>
            <w:hideMark/>
          </w:tcPr>
          <w:p w14:paraId="66598F50"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Guinean Forests Regional Coordination and Learning Project</w:t>
            </w:r>
          </w:p>
        </w:tc>
        <w:tc>
          <w:tcPr>
            <w:tcW w:w="810" w:type="dxa"/>
            <w:noWrap/>
            <w:hideMark/>
          </w:tcPr>
          <w:p w14:paraId="14DBCDA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4F6D2E1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A8F4CC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6814F4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9CA25B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B16952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w:t>
            </w:r>
          </w:p>
        </w:tc>
        <w:tc>
          <w:tcPr>
            <w:tcW w:w="990" w:type="dxa"/>
            <w:noWrap/>
            <w:hideMark/>
          </w:tcPr>
          <w:p w14:paraId="4C65F78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40.66</w:t>
            </w:r>
          </w:p>
        </w:tc>
        <w:tc>
          <w:tcPr>
            <w:tcW w:w="900" w:type="dxa"/>
            <w:noWrap/>
            <w:hideMark/>
          </w:tcPr>
          <w:p w14:paraId="7ED5CC8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47.66</w:t>
            </w:r>
          </w:p>
        </w:tc>
      </w:tr>
      <w:tr w:rsidR="00C0269A" w:rsidRPr="00C67737" w14:paraId="4A42C0E9"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6C025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11146</w:t>
            </w:r>
          </w:p>
        </w:tc>
        <w:tc>
          <w:tcPr>
            <w:tcW w:w="5400" w:type="dxa"/>
            <w:noWrap/>
            <w:hideMark/>
          </w:tcPr>
          <w:p w14:paraId="35A1A1D6"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Strengthening Restoration and Conservation of the Ecological Corridor of Mount Nimba (</w:t>
            </w:r>
            <w:proofErr w:type="spellStart"/>
            <w:r w:rsidRPr="00750129">
              <w:rPr>
                <w:rFonts w:eastAsia="Times New Roman" w:cstheme="minorHAnsi"/>
                <w:color w:val="000000"/>
                <w:sz w:val="16"/>
                <w:szCs w:val="16"/>
                <w:lang w:val="en-US"/>
              </w:rPr>
              <w:t>Bossou</w:t>
            </w:r>
            <w:proofErr w:type="spellEnd"/>
            <w:r w:rsidRPr="00750129">
              <w:rPr>
                <w:rFonts w:eastAsia="Times New Roman" w:cstheme="minorHAnsi"/>
                <w:color w:val="000000"/>
                <w:sz w:val="16"/>
                <w:szCs w:val="16"/>
                <w:lang w:val="en-US"/>
              </w:rPr>
              <w:t xml:space="preserve">) and </w:t>
            </w:r>
            <w:proofErr w:type="spellStart"/>
            <w:r w:rsidRPr="00750129">
              <w:rPr>
                <w:rFonts w:eastAsia="Times New Roman" w:cstheme="minorHAnsi"/>
                <w:color w:val="000000"/>
                <w:sz w:val="16"/>
                <w:szCs w:val="16"/>
                <w:lang w:val="en-US"/>
              </w:rPr>
              <w:t>Ziama</w:t>
            </w:r>
            <w:proofErr w:type="spellEnd"/>
            <w:r w:rsidRPr="00750129">
              <w:rPr>
                <w:rFonts w:eastAsia="Times New Roman" w:cstheme="minorHAnsi"/>
                <w:color w:val="000000"/>
                <w:sz w:val="16"/>
                <w:szCs w:val="16"/>
                <w:lang w:val="en-US"/>
              </w:rPr>
              <w:t xml:space="preserve"> National Park in Guinea</w:t>
            </w:r>
          </w:p>
        </w:tc>
        <w:tc>
          <w:tcPr>
            <w:tcW w:w="810" w:type="dxa"/>
            <w:noWrap/>
            <w:hideMark/>
          </w:tcPr>
          <w:p w14:paraId="14CA625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332C58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Guinea</w:t>
            </w:r>
            <w:proofErr w:type="spellEnd"/>
          </w:p>
        </w:tc>
        <w:tc>
          <w:tcPr>
            <w:tcW w:w="990" w:type="dxa"/>
            <w:noWrap/>
            <w:hideMark/>
          </w:tcPr>
          <w:p w14:paraId="474D55F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CE6ADA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8A1CFB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2AA81B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5.83</w:t>
            </w:r>
          </w:p>
        </w:tc>
        <w:tc>
          <w:tcPr>
            <w:tcW w:w="990" w:type="dxa"/>
            <w:noWrap/>
            <w:hideMark/>
          </w:tcPr>
          <w:p w14:paraId="523F01F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16.28</w:t>
            </w:r>
          </w:p>
        </w:tc>
        <w:tc>
          <w:tcPr>
            <w:tcW w:w="900" w:type="dxa"/>
            <w:noWrap/>
            <w:hideMark/>
          </w:tcPr>
          <w:p w14:paraId="563BAC0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22.11</w:t>
            </w:r>
          </w:p>
        </w:tc>
      </w:tr>
      <w:tr w:rsidR="00C0269A" w:rsidRPr="00C67737" w14:paraId="6D16B665"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EF91F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11144</w:t>
            </w:r>
          </w:p>
        </w:tc>
        <w:tc>
          <w:tcPr>
            <w:tcW w:w="5400" w:type="dxa"/>
            <w:noWrap/>
            <w:hideMark/>
          </w:tcPr>
          <w:p w14:paraId="6ABFC370"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Strengthening Conservation and Effective Governance of Liberia’s Critical Forests in the Northwest Liberia Landscape</w:t>
            </w:r>
          </w:p>
        </w:tc>
        <w:tc>
          <w:tcPr>
            <w:tcW w:w="810" w:type="dxa"/>
            <w:noWrap/>
            <w:hideMark/>
          </w:tcPr>
          <w:p w14:paraId="59B992B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F3DD64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Liberia</w:t>
            </w:r>
          </w:p>
        </w:tc>
        <w:tc>
          <w:tcPr>
            <w:tcW w:w="990" w:type="dxa"/>
            <w:noWrap/>
            <w:hideMark/>
          </w:tcPr>
          <w:p w14:paraId="42519E2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02C575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02082E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A4A6B8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3.55</w:t>
            </w:r>
          </w:p>
        </w:tc>
        <w:tc>
          <w:tcPr>
            <w:tcW w:w="990" w:type="dxa"/>
            <w:noWrap/>
            <w:hideMark/>
          </w:tcPr>
          <w:p w14:paraId="640CCA5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15.09</w:t>
            </w:r>
          </w:p>
        </w:tc>
        <w:tc>
          <w:tcPr>
            <w:tcW w:w="900" w:type="dxa"/>
            <w:noWrap/>
            <w:hideMark/>
          </w:tcPr>
          <w:p w14:paraId="59BAC4A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18.64</w:t>
            </w:r>
          </w:p>
        </w:tc>
      </w:tr>
      <w:tr w:rsidR="00C0269A" w:rsidRPr="00C67737" w14:paraId="7E89EF08"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60335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11143</w:t>
            </w:r>
          </w:p>
        </w:tc>
        <w:tc>
          <w:tcPr>
            <w:tcW w:w="5400" w:type="dxa"/>
            <w:noWrap/>
            <w:hideMark/>
          </w:tcPr>
          <w:p w14:paraId="549E1A6C"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Strengthening Conservation and Effective Governance of Sierra Leone’s Critical Forests in the Gola Forest Landscape</w:t>
            </w:r>
          </w:p>
        </w:tc>
        <w:tc>
          <w:tcPr>
            <w:tcW w:w="810" w:type="dxa"/>
            <w:noWrap/>
            <w:hideMark/>
          </w:tcPr>
          <w:p w14:paraId="5068733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5218872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Sierra Leone</w:t>
            </w:r>
          </w:p>
        </w:tc>
        <w:tc>
          <w:tcPr>
            <w:tcW w:w="990" w:type="dxa"/>
            <w:noWrap/>
            <w:hideMark/>
          </w:tcPr>
          <w:p w14:paraId="1205C7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2BA95A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B0D187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070686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6.21</w:t>
            </w:r>
          </w:p>
        </w:tc>
        <w:tc>
          <w:tcPr>
            <w:tcW w:w="990" w:type="dxa"/>
            <w:noWrap/>
            <w:hideMark/>
          </w:tcPr>
          <w:p w14:paraId="0362C3E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00" w:type="dxa"/>
            <w:noWrap/>
            <w:hideMark/>
          </w:tcPr>
          <w:p w14:paraId="7F01AE5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14.21</w:t>
            </w:r>
          </w:p>
        </w:tc>
      </w:tr>
      <w:tr w:rsidR="00C0269A" w:rsidRPr="00C67737" w14:paraId="7E30B2BB"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A4055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11148</w:t>
            </w:r>
          </w:p>
        </w:tc>
        <w:tc>
          <w:tcPr>
            <w:tcW w:w="5400" w:type="dxa"/>
            <w:noWrap/>
            <w:hideMark/>
          </w:tcPr>
          <w:p w14:paraId="0B6E7337"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750129">
              <w:rPr>
                <w:rFonts w:eastAsia="Times New Roman" w:cstheme="minorHAnsi"/>
                <w:b/>
                <w:bCs/>
                <w:color w:val="000000"/>
                <w:sz w:val="16"/>
                <w:szCs w:val="16"/>
                <w:lang w:val="en-US"/>
              </w:rPr>
              <w:t>Wildlife Conservation for Development Integrated Program</w:t>
            </w:r>
          </w:p>
        </w:tc>
        <w:tc>
          <w:tcPr>
            <w:tcW w:w="810" w:type="dxa"/>
            <w:noWrap/>
            <w:hideMark/>
          </w:tcPr>
          <w:p w14:paraId="2746C1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World Bank</w:t>
            </w:r>
          </w:p>
        </w:tc>
        <w:tc>
          <w:tcPr>
            <w:tcW w:w="990" w:type="dxa"/>
            <w:noWrap/>
            <w:hideMark/>
          </w:tcPr>
          <w:p w14:paraId="6086820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2336761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7B5C673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22F1225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17BF50A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2184EEF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03D0D96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C0269A" w:rsidRPr="00C67737" w14:paraId="3BB13329"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45B53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11164</w:t>
            </w:r>
          </w:p>
        </w:tc>
        <w:tc>
          <w:tcPr>
            <w:tcW w:w="5400" w:type="dxa"/>
            <w:noWrap/>
            <w:hideMark/>
          </w:tcPr>
          <w:p w14:paraId="664677AA"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Global Coordination, Monitoring and Learning Platform for Wildlife Conservation for Development Integrated Program</w:t>
            </w:r>
          </w:p>
        </w:tc>
        <w:tc>
          <w:tcPr>
            <w:tcW w:w="810" w:type="dxa"/>
            <w:noWrap/>
            <w:hideMark/>
          </w:tcPr>
          <w:p w14:paraId="3869AFC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4989BBF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3FCB59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0CE566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6D5F91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9C11C3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16.02</w:t>
            </w:r>
          </w:p>
        </w:tc>
        <w:tc>
          <w:tcPr>
            <w:tcW w:w="990" w:type="dxa"/>
            <w:noWrap/>
            <w:hideMark/>
          </w:tcPr>
          <w:p w14:paraId="7063C99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35.94</w:t>
            </w:r>
          </w:p>
        </w:tc>
        <w:tc>
          <w:tcPr>
            <w:tcW w:w="900" w:type="dxa"/>
            <w:noWrap/>
            <w:hideMark/>
          </w:tcPr>
          <w:p w14:paraId="3F3A53E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51.96</w:t>
            </w:r>
          </w:p>
        </w:tc>
      </w:tr>
      <w:tr w:rsidR="00C0269A" w:rsidRPr="00C67737" w14:paraId="489C0573"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0483D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11163</w:t>
            </w:r>
          </w:p>
        </w:tc>
        <w:tc>
          <w:tcPr>
            <w:tcW w:w="5400" w:type="dxa"/>
            <w:noWrap/>
            <w:hideMark/>
          </w:tcPr>
          <w:p w14:paraId="00437235"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Recovering Tiger Population and Landscape through the Sustainable Land Use and Ecosystem Restoration</w:t>
            </w:r>
          </w:p>
        </w:tc>
        <w:tc>
          <w:tcPr>
            <w:tcW w:w="810" w:type="dxa"/>
            <w:noWrap/>
            <w:hideMark/>
          </w:tcPr>
          <w:p w14:paraId="3681023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E3EE33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1D9F275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DB5328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B617EC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6486DA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4.93</w:t>
            </w:r>
          </w:p>
        </w:tc>
        <w:tc>
          <w:tcPr>
            <w:tcW w:w="990" w:type="dxa"/>
            <w:noWrap/>
            <w:hideMark/>
          </w:tcPr>
          <w:p w14:paraId="33A4959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55.21</w:t>
            </w:r>
          </w:p>
        </w:tc>
        <w:tc>
          <w:tcPr>
            <w:tcW w:w="900" w:type="dxa"/>
            <w:noWrap/>
            <w:hideMark/>
          </w:tcPr>
          <w:p w14:paraId="4C0A77A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60.15</w:t>
            </w:r>
          </w:p>
        </w:tc>
      </w:tr>
      <w:tr w:rsidR="00C0269A" w:rsidRPr="00C67737" w14:paraId="1208CAC3"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89DBD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11162</w:t>
            </w:r>
          </w:p>
        </w:tc>
        <w:tc>
          <w:tcPr>
            <w:tcW w:w="5400" w:type="dxa"/>
            <w:noWrap/>
            <w:hideMark/>
          </w:tcPr>
          <w:p w14:paraId="57C31FB1"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Investing in Wildlife Conservation through Enforcement, Livelihoods and Tourism </w:t>
            </w:r>
          </w:p>
        </w:tc>
        <w:tc>
          <w:tcPr>
            <w:tcW w:w="810" w:type="dxa"/>
            <w:noWrap/>
            <w:hideMark/>
          </w:tcPr>
          <w:p w14:paraId="73A3B4A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6A570F7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28FA028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A40DAC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514D7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B99957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5E06DAE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35.05</w:t>
            </w:r>
          </w:p>
        </w:tc>
        <w:tc>
          <w:tcPr>
            <w:tcW w:w="900" w:type="dxa"/>
            <w:noWrap/>
            <w:hideMark/>
          </w:tcPr>
          <w:p w14:paraId="4808BB5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43.05</w:t>
            </w:r>
          </w:p>
        </w:tc>
      </w:tr>
      <w:tr w:rsidR="00C0269A" w:rsidRPr="00C67737" w14:paraId="12848657"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57447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11161</w:t>
            </w:r>
          </w:p>
        </w:tc>
        <w:tc>
          <w:tcPr>
            <w:tcW w:w="5400" w:type="dxa"/>
            <w:noWrap/>
            <w:hideMark/>
          </w:tcPr>
          <w:p w14:paraId="0CEBBC0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The Jaguar Corridor</w:t>
            </w:r>
          </w:p>
        </w:tc>
        <w:tc>
          <w:tcPr>
            <w:tcW w:w="810" w:type="dxa"/>
            <w:noWrap/>
            <w:hideMark/>
          </w:tcPr>
          <w:p w14:paraId="4A99A7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3C9E0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72B60A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CB9057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113014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1255F0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11BB862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30.34</w:t>
            </w:r>
          </w:p>
        </w:tc>
        <w:tc>
          <w:tcPr>
            <w:tcW w:w="900" w:type="dxa"/>
            <w:noWrap/>
            <w:hideMark/>
          </w:tcPr>
          <w:p w14:paraId="6216749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39.68</w:t>
            </w:r>
          </w:p>
        </w:tc>
      </w:tr>
      <w:tr w:rsidR="00C0269A" w:rsidRPr="00C67737" w14:paraId="3EF035D8"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22649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11160</w:t>
            </w:r>
          </w:p>
        </w:tc>
        <w:tc>
          <w:tcPr>
            <w:tcW w:w="5400" w:type="dxa"/>
            <w:noWrap/>
            <w:hideMark/>
          </w:tcPr>
          <w:p w14:paraId="1F78C18E"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Law Enforcement for Sustainable Viable Ecosystems and Biodiversity Resilience through Multi Sectors Engagement </w:t>
            </w:r>
          </w:p>
        </w:tc>
        <w:tc>
          <w:tcPr>
            <w:tcW w:w="810" w:type="dxa"/>
            <w:noWrap/>
            <w:hideMark/>
          </w:tcPr>
          <w:p w14:paraId="76A624D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EE184D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0CB3390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29E949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8B7F5D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45E484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20071D6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56.86</w:t>
            </w:r>
          </w:p>
        </w:tc>
        <w:tc>
          <w:tcPr>
            <w:tcW w:w="900" w:type="dxa"/>
            <w:noWrap/>
            <w:hideMark/>
          </w:tcPr>
          <w:p w14:paraId="4C0034A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72.86</w:t>
            </w:r>
          </w:p>
        </w:tc>
      </w:tr>
      <w:tr w:rsidR="00C0269A" w:rsidRPr="00C67737" w14:paraId="290FF423"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4E772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11159</w:t>
            </w:r>
          </w:p>
        </w:tc>
        <w:tc>
          <w:tcPr>
            <w:tcW w:w="5400" w:type="dxa"/>
            <w:noWrap/>
            <w:hideMark/>
          </w:tcPr>
          <w:p w14:paraId="7D3D411E"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proofErr w:type="spellStart"/>
            <w:r w:rsidRPr="00750129">
              <w:rPr>
                <w:rFonts w:eastAsia="Times New Roman" w:cstheme="minorHAnsi"/>
                <w:color w:val="000000"/>
                <w:sz w:val="16"/>
                <w:szCs w:val="16"/>
                <w:lang w:val="en-US"/>
              </w:rPr>
              <w:t>Kidepo</w:t>
            </w:r>
            <w:proofErr w:type="spellEnd"/>
            <w:r w:rsidRPr="00750129">
              <w:rPr>
                <w:rFonts w:eastAsia="Times New Roman" w:cstheme="minorHAnsi"/>
                <w:color w:val="000000"/>
                <w:sz w:val="16"/>
                <w:szCs w:val="16"/>
                <w:lang w:val="en-US"/>
              </w:rPr>
              <w:t xml:space="preserve"> Landscape Integrated Conservation and Development Project </w:t>
            </w:r>
          </w:p>
        </w:tc>
        <w:tc>
          <w:tcPr>
            <w:tcW w:w="810" w:type="dxa"/>
            <w:noWrap/>
            <w:hideMark/>
          </w:tcPr>
          <w:p w14:paraId="31F820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6F33C4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Uganda</w:t>
            </w:r>
          </w:p>
        </w:tc>
        <w:tc>
          <w:tcPr>
            <w:tcW w:w="990" w:type="dxa"/>
            <w:noWrap/>
            <w:hideMark/>
          </w:tcPr>
          <w:p w14:paraId="0C5BBB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634B2D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EBE4C7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588EB1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70B0AEF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18.68</w:t>
            </w:r>
          </w:p>
        </w:tc>
        <w:tc>
          <w:tcPr>
            <w:tcW w:w="900" w:type="dxa"/>
            <w:noWrap/>
            <w:hideMark/>
          </w:tcPr>
          <w:p w14:paraId="45354E7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22.68</w:t>
            </w:r>
          </w:p>
        </w:tc>
      </w:tr>
      <w:tr w:rsidR="00C0269A" w:rsidRPr="00C67737" w14:paraId="55C47B4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15B27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11158</w:t>
            </w:r>
          </w:p>
        </w:tc>
        <w:tc>
          <w:tcPr>
            <w:tcW w:w="5400" w:type="dxa"/>
            <w:noWrap/>
            <w:hideMark/>
          </w:tcPr>
          <w:p w14:paraId="2F6B56B8"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Conserving the Paraguayan Chaco for the Benefit of Jaguars and for People</w:t>
            </w:r>
          </w:p>
        </w:tc>
        <w:tc>
          <w:tcPr>
            <w:tcW w:w="810" w:type="dxa"/>
            <w:noWrap/>
            <w:hideMark/>
          </w:tcPr>
          <w:p w14:paraId="43EA972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19B48F0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Paraguay</w:t>
            </w:r>
          </w:p>
        </w:tc>
        <w:tc>
          <w:tcPr>
            <w:tcW w:w="990" w:type="dxa"/>
            <w:noWrap/>
            <w:hideMark/>
          </w:tcPr>
          <w:p w14:paraId="3EDECD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48A84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0FA7D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4A4467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2.88</w:t>
            </w:r>
          </w:p>
        </w:tc>
        <w:tc>
          <w:tcPr>
            <w:tcW w:w="990" w:type="dxa"/>
            <w:noWrap/>
            <w:hideMark/>
          </w:tcPr>
          <w:p w14:paraId="1D2EFB0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15.41</w:t>
            </w:r>
          </w:p>
        </w:tc>
        <w:tc>
          <w:tcPr>
            <w:tcW w:w="900" w:type="dxa"/>
            <w:noWrap/>
            <w:hideMark/>
          </w:tcPr>
          <w:p w14:paraId="2E60E1D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18.29</w:t>
            </w:r>
          </w:p>
        </w:tc>
      </w:tr>
      <w:tr w:rsidR="00C0269A" w:rsidRPr="00C67737" w14:paraId="1E1C01BF"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B91C0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11157</w:t>
            </w:r>
          </w:p>
        </w:tc>
        <w:tc>
          <w:tcPr>
            <w:tcW w:w="5400" w:type="dxa"/>
            <w:noWrap/>
            <w:hideMark/>
          </w:tcPr>
          <w:p w14:paraId="7175AB02"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 xml:space="preserve">Managing the Human Tiger Interface </w:t>
            </w:r>
            <w:proofErr w:type="gramStart"/>
            <w:r w:rsidRPr="00CA5A8A">
              <w:rPr>
                <w:rFonts w:eastAsia="Times New Roman" w:cstheme="minorHAnsi"/>
                <w:color w:val="000000"/>
                <w:sz w:val="16"/>
                <w:szCs w:val="16"/>
                <w:lang w:val="en-US"/>
              </w:rPr>
              <w:t>In</w:t>
            </w:r>
            <w:proofErr w:type="gramEnd"/>
            <w:r w:rsidRPr="00CA5A8A">
              <w:rPr>
                <w:rFonts w:eastAsia="Times New Roman" w:cstheme="minorHAnsi"/>
                <w:color w:val="000000"/>
                <w:sz w:val="16"/>
                <w:szCs w:val="16"/>
                <w:lang w:val="en-US"/>
              </w:rPr>
              <w:t xml:space="preserve"> Nepal</w:t>
            </w:r>
          </w:p>
        </w:tc>
        <w:tc>
          <w:tcPr>
            <w:tcW w:w="810" w:type="dxa"/>
            <w:noWrap/>
            <w:hideMark/>
          </w:tcPr>
          <w:p w14:paraId="4A2E63D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70B8E92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Nepal</w:t>
            </w:r>
            <w:proofErr w:type="spellEnd"/>
          </w:p>
        </w:tc>
        <w:tc>
          <w:tcPr>
            <w:tcW w:w="990" w:type="dxa"/>
            <w:noWrap/>
            <w:hideMark/>
          </w:tcPr>
          <w:p w14:paraId="00D6346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4A5DB6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9DE621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366251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5.07</w:t>
            </w:r>
          </w:p>
        </w:tc>
        <w:tc>
          <w:tcPr>
            <w:tcW w:w="990" w:type="dxa"/>
            <w:noWrap/>
            <w:hideMark/>
          </w:tcPr>
          <w:p w14:paraId="40AA014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8.09</w:t>
            </w:r>
          </w:p>
        </w:tc>
        <w:tc>
          <w:tcPr>
            <w:tcW w:w="900" w:type="dxa"/>
            <w:noWrap/>
            <w:hideMark/>
          </w:tcPr>
          <w:p w14:paraId="5500E34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13.16</w:t>
            </w:r>
          </w:p>
        </w:tc>
      </w:tr>
      <w:tr w:rsidR="00C0269A" w:rsidRPr="00C67737" w14:paraId="4D7D6B49"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7BC5E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11156</w:t>
            </w:r>
          </w:p>
        </w:tc>
        <w:tc>
          <w:tcPr>
            <w:tcW w:w="5400" w:type="dxa"/>
            <w:noWrap/>
            <w:hideMark/>
          </w:tcPr>
          <w:p w14:paraId="2E639CF0"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From Conflict to Coexistence, Safeguarding Wildlife Corridors in Mexico for Sustainable Development</w:t>
            </w:r>
          </w:p>
        </w:tc>
        <w:tc>
          <w:tcPr>
            <w:tcW w:w="810" w:type="dxa"/>
            <w:noWrap/>
            <w:hideMark/>
          </w:tcPr>
          <w:p w14:paraId="3E88664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11C76E8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2AE8239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6AAE71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570723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5DB64E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0CBBBEF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36.27</w:t>
            </w:r>
          </w:p>
        </w:tc>
        <w:tc>
          <w:tcPr>
            <w:tcW w:w="900" w:type="dxa"/>
            <w:noWrap/>
            <w:hideMark/>
          </w:tcPr>
          <w:p w14:paraId="199A3F5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49.60</w:t>
            </w:r>
          </w:p>
        </w:tc>
      </w:tr>
      <w:tr w:rsidR="00C0269A" w:rsidRPr="00C67737" w14:paraId="2033A9D2"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89B89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11155</w:t>
            </w:r>
          </w:p>
        </w:tc>
        <w:tc>
          <w:tcPr>
            <w:tcW w:w="5400" w:type="dxa"/>
            <w:noWrap/>
            <w:hideMark/>
          </w:tcPr>
          <w:p w14:paraId="417A85D7"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Protection of Wildlife in the </w:t>
            </w:r>
            <w:proofErr w:type="spellStart"/>
            <w:r w:rsidRPr="00750129">
              <w:rPr>
                <w:rFonts w:eastAsia="Times New Roman" w:cstheme="minorHAnsi"/>
                <w:color w:val="000000"/>
                <w:sz w:val="16"/>
                <w:szCs w:val="16"/>
                <w:lang w:val="en-US"/>
              </w:rPr>
              <w:t>Folonigbè</w:t>
            </w:r>
            <w:proofErr w:type="spellEnd"/>
            <w:r w:rsidRPr="00750129">
              <w:rPr>
                <w:rFonts w:eastAsia="Times New Roman" w:cstheme="minorHAnsi"/>
                <w:color w:val="000000"/>
                <w:sz w:val="16"/>
                <w:szCs w:val="16"/>
                <w:lang w:val="en-US"/>
              </w:rPr>
              <w:t xml:space="preserve"> Reserve through Participatory and Integrated Management</w:t>
            </w:r>
          </w:p>
        </w:tc>
        <w:tc>
          <w:tcPr>
            <w:tcW w:w="810" w:type="dxa"/>
            <w:noWrap/>
            <w:hideMark/>
          </w:tcPr>
          <w:p w14:paraId="146D69E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485038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Guinea</w:t>
            </w:r>
            <w:proofErr w:type="spellEnd"/>
          </w:p>
        </w:tc>
        <w:tc>
          <w:tcPr>
            <w:tcW w:w="990" w:type="dxa"/>
            <w:noWrap/>
            <w:hideMark/>
          </w:tcPr>
          <w:p w14:paraId="3DE65EB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9CC5D2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01FB1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AEC955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9.55</w:t>
            </w:r>
          </w:p>
        </w:tc>
        <w:tc>
          <w:tcPr>
            <w:tcW w:w="990" w:type="dxa"/>
            <w:noWrap/>
            <w:hideMark/>
          </w:tcPr>
          <w:p w14:paraId="012A203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43.87</w:t>
            </w:r>
          </w:p>
        </w:tc>
        <w:tc>
          <w:tcPr>
            <w:tcW w:w="900" w:type="dxa"/>
            <w:noWrap/>
            <w:hideMark/>
          </w:tcPr>
          <w:p w14:paraId="4823CB1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53.41</w:t>
            </w:r>
          </w:p>
        </w:tc>
      </w:tr>
      <w:tr w:rsidR="00C0269A" w:rsidRPr="00C67737" w14:paraId="377716E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06A88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11154</w:t>
            </w:r>
          </w:p>
        </w:tc>
        <w:tc>
          <w:tcPr>
            <w:tcW w:w="5400" w:type="dxa"/>
            <w:noWrap/>
            <w:hideMark/>
          </w:tcPr>
          <w:p w14:paraId="0F7BB7E2"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Securing the Species, Habitat, Health, and Livelihoods of the Lower Kafue Ecosystem</w:t>
            </w:r>
          </w:p>
        </w:tc>
        <w:tc>
          <w:tcPr>
            <w:tcW w:w="810" w:type="dxa"/>
            <w:noWrap/>
            <w:hideMark/>
          </w:tcPr>
          <w:p w14:paraId="184A0A2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B755F9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Zambia</w:t>
            </w:r>
            <w:proofErr w:type="spellEnd"/>
          </w:p>
        </w:tc>
        <w:tc>
          <w:tcPr>
            <w:tcW w:w="990" w:type="dxa"/>
            <w:noWrap/>
            <w:hideMark/>
          </w:tcPr>
          <w:p w14:paraId="10E0749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DE5141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840139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D3C56E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4EDECDF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3.15</w:t>
            </w:r>
          </w:p>
        </w:tc>
        <w:tc>
          <w:tcPr>
            <w:tcW w:w="900" w:type="dxa"/>
            <w:noWrap/>
            <w:hideMark/>
          </w:tcPr>
          <w:p w14:paraId="54901B6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9.82</w:t>
            </w:r>
          </w:p>
        </w:tc>
      </w:tr>
      <w:tr w:rsidR="00C0269A" w:rsidRPr="00C67737" w14:paraId="35C009AB"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B589E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11153</w:t>
            </w:r>
          </w:p>
        </w:tc>
        <w:tc>
          <w:tcPr>
            <w:tcW w:w="5400" w:type="dxa"/>
            <w:noWrap/>
            <w:hideMark/>
          </w:tcPr>
          <w:p w14:paraId="45777C44"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Advancing Human-Wildlife Conflict Management Effectiveness in Kenya through an Integrated Approach</w:t>
            </w:r>
          </w:p>
        </w:tc>
        <w:tc>
          <w:tcPr>
            <w:tcW w:w="810" w:type="dxa"/>
            <w:noWrap/>
            <w:hideMark/>
          </w:tcPr>
          <w:p w14:paraId="13E71C8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243E99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109FF64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3B7548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B32F0B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C48D03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5068382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54.43</w:t>
            </w:r>
          </w:p>
        </w:tc>
        <w:tc>
          <w:tcPr>
            <w:tcW w:w="900" w:type="dxa"/>
            <w:noWrap/>
            <w:hideMark/>
          </w:tcPr>
          <w:p w14:paraId="493FF5A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65.09</w:t>
            </w:r>
          </w:p>
        </w:tc>
      </w:tr>
      <w:tr w:rsidR="00C0269A" w:rsidRPr="00C67737" w14:paraId="0C273333"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3FC49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11152</w:t>
            </w:r>
          </w:p>
        </w:tc>
        <w:tc>
          <w:tcPr>
            <w:tcW w:w="5400" w:type="dxa"/>
            <w:noWrap/>
            <w:hideMark/>
          </w:tcPr>
          <w:p w14:paraId="60654B57"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Promoting Integrated Conservation of Wildlife and Landscapes for Sustainable Development of Ethiopia</w:t>
            </w:r>
          </w:p>
        </w:tc>
        <w:tc>
          <w:tcPr>
            <w:tcW w:w="810" w:type="dxa"/>
            <w:noWrap/>
            <w:hideMark/>
          </w:tcPr>
          <w:p w14:paraId="29081FD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7B9A59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Ethiopia</w:t>
            </w:r>
            <w:proofErr w:type="spellEnd"/>
          </w:p>
        </w:tc>
        <w:tc>
          <w:tcPr>
            <w:tcW w:w="990" w:type="dxa"/>
            <w:noWrap/>
            <w:hideMark/>
          </w:tcPr>
          <w:p w14:paraId="6813483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6C600B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516D9D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8B06AD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32FEBFF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59.68</w:t>
            </w:r>
          </w:p>
        </w:tc>
        <w:tc>
          <w:tcPr>
            <w:tcW w:w="900" w:type="dxa"/>
            <w:noWrap/>
            <w:hideMark/>
          </w:tcPr>
          <w:p w14:paraId="72178A7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73.01</w:t>
            </w:r>
          </w:p>
        </w:tc>
      </w:tr>
      <w:tr w:rsidR="00C0269A" w:rsidRPr="00C67737" w14:paraId="3AA7E664"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E3E1B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11151</w:t>
            </w:r>
          </w:p>
        </w:tc>
        <w:tc>
          <w:tcPr>
            <w:tcW w:w="5400" w:type="dxa"/>
            <w:noWrap/>
            <w:hideMark/>
          </w:tcPr>
          <w:p w14:paraId="7F567660"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Establishment of Big 5 Nature Reserve</w:t>
            </w:r>
          </w:p>
        </w:tc>
        <w:tc>
          <w:tcPr>
            <w:tcW w:w="810" w:type="dxa"/>
            <w:noWrap/>
            <w:hideMark/>
          </w:tcPr>
          <w:p w14:paraId="330845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F67A5F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Eswatini</w:t>
            </w:r>
          </w:p>
        </w:tc>
        <w:tc>
          <w:tcPr>
            <w:tcW w:w="990" w:type="dxa"/>
            <w:noWrap/>
            <w:hideMark/>
          </w:tcPr>
          <w:p w14:paraId="2657EEA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66BF7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700F51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AC7F01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5.87</w:t>
            </w:r>
          </w:p>
        </w:tc>
        <w:tc>
          <w:tcPr>
            <w:tcW w:w="990" w:type="dxa"/>
            <w:noWrap/>
            <w:hideMark/>
          </w:tcPr>
          <w:p w14:paraId="33526FA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43.57</w:t>
            </w:r>
          </w:p>
        </w:tc>
        <w:tc>
          <w:tcPr>
            <w:tcW w:w="900" w:type="dxa"/>
            <w:noWrap/>
            <w:hideMark/>
          </w:tcPr>
          <w:p w14:paraId="7C93516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49.44</w:t>
            </w:r>
          </w:p>
        </w:tc>
      </w:tr>
      <w:tr w:rsidR="00C0269A" w:rsidRPr="00C67737" w14:paraId="2F0FB5B2"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3E66D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11150</w:t>
            </w:r>
          </w:p>
        </w:tc>
        <w:tc>
          <w:tcPr>
            <w:tcW w:w="5400" w:type="dxa"/>
            <w:noWrap/>
            <w:hideMark/>
          </w:tcPr>
          <w:p w14:paraId="32FD12A3"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Transforming Wildlife Conservation and Livelihoods at the Landscape Scale in Mozambique </w:t>
            </w:r>
          </w:p>
        </w:tc>
        <w:tc>
          <w:tcPr>
            <w:tcW w:w="810" w:type="dxa"/>
            <w:noWrap/>
            <w:hideMark/>
          </w:tcPr>
          <w:p w14:paraId="31C0D5B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DD30FB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Mozambique</w:t>
            </w:r>
          </w:p>
        </w:tc>
        <w:tc>
          <w:tcPr>
            <w:tcW w:w="990" w:type="dxa"/>
            <w:noWrap/>
            <w:hideMark/>
          </w:tcPr>
          <w:p w14:paraId="350FAC1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549AD7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68FC60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4ABFB2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16.80</w:t>
            </w:r>
          </w:p>
        </w:tc>
        <w:tc>
          <w:tcPr>
            <w:tcW w:w="990" w:type="dxa"/>
            <w:noWrap/>
            <w:hideMark/>
          </w:tcPr>
          <w:p w14:paraId="44CF5C3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165.90</w:t>
            </w:r>
          </w:p>
        </w:tc>
        <w:tc>
          <w:tcPr>
            <w:tcW w:w="900" w:type="dxa"/>
            <w:noWrap/>
            <w:hideMark/>
          </w:tcPr>
          <w:p w14:paraId="621086C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182.70</w:t>
            </w:r>
          </w:p>
        </w:tc>
      </w:tr>
      <w:tr w:rsidR="00C0269A" w:rsidRPr="00C67737" w14:paraId="122843D1"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BA3DF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11181</w:t>
            </w:r>
          </w:p>
        </w:tc>
        <w:tc>
          <w:tcPr>
            <w:tcW w:w="5400" w:type="dxa"/>
            <w:noWrap/>
            <w:hideMark/>
          </w:tcPr>
          <w:p w14:paraId="6BE8E1F5"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750129">
              <w:rPr>
                <w:rFonts w:eastAsia="Times New Roman" w:cstheme="minorHAnsi"/>
                <w:b/>
                <w:bCs/>
                <w:color w:val="000000"/>
                <w:sz w:val="16"/>
                <w:szCs w:val="16"/>
                <w:lang w:val="en-US"/>
              </w:rPr>
              <w:t>Circular Solutions to Plastic Pollution</w:t>
            </w:r>
          </w:p>
        </w:tc>
        <w:tc>
          <w:tcPr>
            <w:tcW w:w="810" w:type="dxa"/>
            <w:noWrap/>
            <w:hideMark/>
          </w:tcPr>
          <w:p w14:paraId="6031660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UNEP</w:t>
            </w:r>
          </w:p>
        </w:tc>
        <w:tc>
          <w:tcPr>
            <w:tcW w:w="990" w:type="dxa"/>
            <w:noWrap/>
            <w:hideMark/>
          </w:tcPr>
          <w:p w14:paraId="62249F8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32087DE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0AD2861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496F20A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4743BF7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0D161A0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23F1E69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C0269A" w:rsidRPr="00C67737" w14:paraId="1112B754"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BE604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11197</w:t>
            </w:r>
          </w:p>
        </w:tc>
        <w:tc>
          <w:tcPr>
            <w:tcW w:w="5400" w:type="dxa"/>
            <w:noWrap/>
            <w:hideMark/>
          </w:tcPr>
          <w:p w14:paraId="7B81265D"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Circular Solutions to Plastic Pollution: Global Platform</w:t>
            </w:r>
          </w:p>
        </w:tc>
        <w:tc>
          <w:tcPr>
            <w:tcW w:w="810" w:type="dxa"/>
            <w:noWrap/>
            <w:hideMark/>
          </w:tcPr>
          <w:p w14:paraId="24A9A71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B7ACC3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50F9CED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A81256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78416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161823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17.75</w:t>
            </w:r>
          </w:p>
        </w:tc>
        <w:tc>
          <w:tcPr>
            <w:tcW w:w="990" w:type="dxa"/>
            <w:noWrap/>
            <w:hideMark/>
          </w:tcPr>
          <w:p w14:paraId="24CDB99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114.21</w:t>
            </w:r>
          </w:p>
        </w:tc>
        <w:tc>
          <w:tcPr>
            <w:tcW w:w="900" w:type="dxa"/>
            <w:noWrap/>
            <w:hideMark/>
          </w:tcPr>
          <w:p w14:paraId="0355E3D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131.96</w:t>
            </w:r>
          </w:p>
        </w:tc>
      </w:tr>
      <w:tr w:rsidR="00C0269A" w:rsidRPr="00C67737" w14:paraId="29D580B7"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0FCD8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11196</w:t>
            </w:r>
          </w:p>
        </w:tc>
        <w:tc>
          <w:tcPr>
            <w:tcW w:w="5400" w:type="dxa"/>
            <w:noWrap/>
            <w:hideMark/>
          </w:tcPr>
          <w:p w14:paraId="774CC733"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Circular Solutions to Plastic Pollution in South Africa</w:t>
            </w:r>
          </w:p>
        </w:tc>
        <w:tc>
          <w:tcPr>
            <w:tcW w:w="810" w:type="dxa"/>
            <w:noWrap/>
            <w:hideMark/>
          </w:tcPr>
          <w:p w14:paraId="5782E5D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53B83BC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Africa</w:t>
            </w:r>
            <w:proofErr w:type="spellEnd"/>
          </w:p>
        </w:tc>
        <w:tc>
          <w:tcPr>
            <w:tcW w:w="990" w:type="dxa"/>
            <w:noWrap/>
            <w:hideMark/>
          </w:tcPr>
          <w:p w14:paraId="5DD91C0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D1411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5EB86D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7A190D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7.67</w:t>
            </w:r>
          </w:p>
        </w:tc>
        <w:tc>
          <w:tcPr>
            <w:tcW w:w="990" w:type="dxa"/>
            <w:noWrap/>
            <w:hideMark/>
          </w:tcPr>
          <w:p w14:paraId="7C3E900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61.07</w:t>
            </w:r>
          </w:p>
        </w:tc>
        <w:tc>
          <w:tcPr>
            <w:tcW w:w="900" w:type="dxa"/>
            <w:noWrap/>
            <w:hideMark/>
          </w:tcPr>
          <w:p w14:paraId="0728230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68.74</w:t>
            </w:r>
          </w:p>
        </w:tc>
      </w:tr>
      <w:tr w:rsidR="00C0269A" w:rsidRPr="00C67737" w14:paraId="7DE11DE2"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B7C1E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11195</w:t>
            </w:r>
          </w:p>
        </w:tc>
        <w:tc>
          <w:tcPr>
            <w:tcW w:w="5400" w:type="dxa"/>
            <w:noWrap/>
            <w:hideMark/>
          </w:tcPr>
          <w:p w14:paraId="6A967117"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Support the Management of Plastic Pollution in Senegal </w:t>
            </w:r>
          </w:p>
        </w:tc>
        <w:tc>
          <w:tcPr>
            <w:tcW w:w="810" w:type="dxa"/>
            <w:noWrap/>
            <w:hideMark/>
          </w:tcPr>
          <w:p w14:paraId="287D65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DB68F1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0F9CFCC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499ABB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65D746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A46927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5.67</w:t>
            </w:r>
          </w:p>
        </w:tc>
        <w:tc>
          <w:tcPr>
            <w:tcW w:w="990" w:type="dxa"/>
            <w:noWrap/>
            <w:hideMark/>
          </w:tcPr>
          <w:p w14:paraId="706DC84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41.28</w:t>
            </w:r>
          </w:p>
        </w:tc>
        <w:tc>
          <w:tcPr>
            <w:tcW w:w="900" w:type="dxa"/>
            <w:noWrap/>
            <w:hideMark/>
          </w:tcPr>
          <w:p w14:paraId="3EA93EF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46.95</w:t>
            </w:r>
          </w:p>
        </w:tc>
      </w:tr>
      <w:tr w:rsidR="00C0269A" w:rsidRPr="00C67737" w14:paraId="5FD30464"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4461F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11194</w:t>
            </w:r>
          </w:p>
        </w:tc>
        <w:tc>
          <w:tcPr>
            <w:tcW w:w="5400" w:type="dxa"/>
            <w:noWrap/>
            <w:hideMark/>
          </w:tcPr>
          <w:p w14:paraId="1A6FD631"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Circular Solutions to Plastic Pollution in the Philippines</w:t>
            </w:r>
          </w:p>
        </w:tc>
        <w:tc>
          <w:tcPr>
            <w:tcW w:w="810" w:type="dxa"/>
            <w:noWrap/>
            <w:hideMark/>
          </w:tcPr>
          <w:p w14:paraId="4F78E0E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6B57F1B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27E14C2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93451D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73533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F14C34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2A93D0D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58.54</w:t>
            </w:r>
          </w:p>
        </w:tc>
        <w:tc>
          <w:tcPr>
            <w:tcW w:w="900" w:type="dxa"/>
            <w:noWrap/>
            <w:hideMark/>
          </w:tcPr>
          <w:p w14:paraId="03BF600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67.87</w:t>
            </w:r>
          </w:p>
        </w:tc>
      </w:tr>
      <w:tr w:rsidR="00C0269A" w:rsidRPr="00C67737" w14:paraId="0BDC4C62"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5C5E1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11193</w:t>
            </w:r>
          </w:p>
        </w:tc>
        <w:tc>
          <w:tcPr>
            <w:tcW w:w="5400" w:type="dxa"/>
            <w:noWrap/>
            <w:hideMark/>
          </w:tcPr>
          <w:p w14:paraId="1B92C2E5"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Circular Solutions to Plastic Pollution in Nigeria</w:t>
            </w:r>
          </w:p>
        </w:tc>
        <w:tc>
          <w:tcPr>
            <w:tcW w:w="810" w:type="dxa"/>
            <w:noWrap/>
            <w:hideMark/>
          </w:tcPr>
          <w:p w14:paraId="684B8E8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5A89C6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Nigeria</w:t>
            </w:r>
          </w:p>
        </w:tc>
        <w:tc>
          <w:tcPr>
            <w:tcW w:w="990" w:type="dxa"/>
            <w:noWrap/>
            <w:hideMark/>
          </w:tcPr>
          <w:p w14:paraId="2083F0F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0BFB7E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5FFDF8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42F357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3223832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40.98</w:t>
            </w:r>
          </w:p>
        </w:tc>
        <w:tc>
          <w:tcPr>
            <w:tcW w:w="900" w:type="dxa"/>
            <w:noWrap/>
            <w:hideMark/>
          </w:tcPr>
          <w:p w14:paraId="176B565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47.65</w:t>
            </w:r>
          </w:p>
        </w:tc>
      </w:tr>
      <w:tr w:rsidR="00C0269A" w:rsidRPr="00C67737" w14:paraId="53E2419F"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6AF9F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11192</w:t>
            </w:r>
          </w:p>
        </w:tc>
        <w:tc>
          <w:tcPr>
            <w:tcW w:w="5400" w:type="dxa"/>
            <w:noWrap/>
            <w:hideMark/>
          </w:tcPr>
          <w:p w14:paraId="2C04FCBC"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Circular Solutions to Plastic Pollution in Morocco</w:t>
            </w:r>
          </w:p>
        </w:tc>
        <w:tc>
          <w:tcPr>
            <w:tcW w:w="810" w:type="dxa"/>
            <w:noWrap/>
            <w:hideMark/>
          </w:tcPr>
          <w:p w14:paraId="5660770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4DC2893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Morocco</w:t>
            </w:r>
          </w:p>
        </w:tc>
        <w:tc>
          <w:tcPr>
            <w:tcW w:w="990" w:type="dxa"/>
            <w:noWrap/>
            <w:hideMark/>
          </w:tcPr>
          <w:p w14:paraId="3B1664E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52B04E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E6726B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644574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w:t>
            </w:r>
          </w:p>
        </w:tc>
        <w:tc>
          <w:tcPr>
            <w:tcW w:w="990" w:type="dxa"/>
            <w:noWrap/>
            <w:hideMark/>
          </w:tcPr>
          <w:p w14:paraId="56D505C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53.50</w:t>
            </w:r>
          </w:p>
        </w:tc>
        <w:tc>
          <w:tcPr>
            <w:tcW w:w="900" w:type="dxa"/>
            <w:noWrap/>
            <w:hideMark/>
          </w:tcPr>
          <w:p w14:paraId="454A711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60.50</w:t>
            </w:r>
          </w:p>
        </w:tc>
      </w:tr>
      <w:tr w:rsidR="00C0269A" w:rsidRPr="00C67737" w14:paraId="78A323B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FC53A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11186</w:t>
            </w:r>
          </w:p>
        </w:tc>
        <w:tc>
          <w:tcPr>
            <w:tcW w:w="5400" w:type="dxa"/>
            <w:noWrap/>
            <w:hideMark/>
          </w:tcPr>
          <w:p w14:paraId="502297F8"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Circular Solutions to Plastic Pollution in Costa Rica</w:t>
            </w:r>
          </w:p>
        </w:tc>
        <w:tc>
          <w:tcPr>
            <w:tcW w:w="810" w:type="dxa"/>
            <w:noWrap/>
            <w:hideMark/>
          </w:tcPr>
          <w:p w14:paraId="5A2CDE8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662E92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Costa Rica</w:t>
            </w:r>
          </w:p>
        </w:tc>
        <w:tc>
          <w:tcPr>
            <w:tcW w:w="990" w:type="dxa"/>
            <w:noWrap/>
            <w:hideMark/>
          </w:tcPr>
          <w:p w14:paraId="1B96F81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9B7BD4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8E443F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8108DB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4.03</w:t>
            </w:r>
          </w:p>
        </w:tc>
        <w:tc>
          <w:tcPr>
            <w:tcW w:w="990" w:type="dxa"/>
            <w:noWrap/>
            <w:hideMark/>
          </w:tcPr>
          <w:p w14:paraId="4E1A3CD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21.13</w:t>
            </w:r>
          </w:p>
        </w:tc>
        <w:tc>
          <w:tcPr>
            <w:tcW w:w="900" w:type="dxa"/>
            <w:noWrap/>
            <w:hideMark/>
          </w:tcPr>
          <w:p w14:paraId="5F9BD76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25.16</w:t>
            </w:r>
          </w:p>
        </w:tc>
      </w:tr>
      <w:tr w:rsidR="00C0269A" w:rsidRPr="00C67737" w14:paraId="3575E44B"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9F190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11185</w:t>
            </w:r>
          </w:p>
        </w:tc>
        <w:tc>
          <w:tcPr>
            <w:tcW w:w="5400" w:type="dxa"/>
            <w:noWrap/>
            <w:hideMark/>
          </w:tcPr>
          <w:p w14:paraId="638EDAE8"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Reducing Single-use Plastics on Small-Island Economies (</w:t>
            </w:r>
          </w:p>
        </w:tc>
        <w:tc>
          <w:tcPr>
            <w:tcW w:w="810" w:type="dxa"/>
            <w:noWrap/>
            <w:hideMark/>
          </w:tcPr>
          <w:p w14:paraId="7A70E22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7A1C7C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Cook </w:t>
            </w:r>
            <w:proofErr w:type="spellStart"/>
            <w:r w:rsidRPr="00C67737">
              <w:rPr>
                <w:rFonts w:eastAsia="Times New Roman" w:cstheme="minorHAnsi"/>
                <w:color w:val="000000"/>
                <w:sz w:val="16"/>
                <w:szCs w:val="16"/>
              </w:rPr>
              <w:t>Islands</w:t>
            </w:r>
            <w:proofErr w:type="spellEnd"/>
          </w:p>
        </w:tc>
        <w:tc>
          <w:tcPr>
            <w:tcW w:w="990" w:type="dxa"/>
            <w:noWrap/>
            <w:hideMark/>
          </w:tcPr>
          <w:p w14:paraId="747987E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560E4F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13BDAF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04C722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w:t>
            </w:r>
          </w:p>
        </w:tc>
        <w:tc>
          <w:tcPr>
            <w:tcW w:w="990" w:type="dxa"/>
            <w:noWrap/>
            <w:hideMark/>
          </w:tcPr>
          <w:p w14:paraId="5FC4FB8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35.07</w:t>
            </w:r>
          </w:p>
        </w:tc>
        <w:tc>
          <w:tcPr>
            <w:tcW w:w="900" w:type="dxa"/>
            <w:noWrap/>
            <w:hideMark/>
          </w:tcPr>
          <w:p w14:paraId="22F1E89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42.07</w:t>
            </w:r>
          </w:p>
        </w:tc>
      </w:tr>
      <w:tr w:rsidR="00C0269A" w:rsidRPr="00C67737" w14:paraId="73DA508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C3E47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11182</w:t>
            </w:r>
          </w:p>
        </w:tc>
        <w:tc>
          <w:tcPr>
            <w:tcW w:w="5400" w:type="dxa"/>
            <w:noWrap/>
            <w:hideMark/>
          </w:tcPr>
          <w:p w14:paraId="2421880C"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Innovation Ecosystem for the Circularity of Plastics, Reduction of Consumption, and Disposal of Single-Use Plastic in the HORECA sector </w:t>
            </w:r>
          </w:p>
        </w:tc>
        <w:tc>
          <w:tcPr>
            <w:tcW w:w="810" w:type="dxa"/>
            <w:noWrap/>
            <w:hideMark/>
          </w:tcPr>
          <w:p w14:paraId="356CF8C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090713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30530D3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D2DC0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F42CFC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12ACF0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9.00</w:t>
            </w:r>
          </w:p>
        </w:tc>
        <w:tc>
          <w:tcPr>
            <w:tcW w:w="990" w:type="dxa"/>
            <w:noWrap/>
            <w:hideMark/>
          </w:tcPr>
          <w:p w14:paraId="02560EE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216.57</w:t>
            </w:r>
          </w:p>
        </w:tc>
        <w:tc>
          <w:tcPr>
            <w:tcW w:w="900" w:type="dxa"/>
            <w:noWrap/>
            <w:hideMark/>
          </w:tcPr>
          <w:p w14:paraId="3A874E7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225.57</w:t>
            </w:r>
          </w:p>
        </w:tc>
      </w:tr>
      <w:tr w:rsidR="00C0269A" w:rsidRPr="00C67737" w14:paraId="5353F7B2"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5009F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11198</w:t>
            </w:r>
          </w:p>
        </w:tc>
        <w:tc>
          <w:tcPr>
            <w:tcW w:w="5400" w:type="dxa"/>
            <w:noWrap/>
            <w:hideMark/>
          </w:tcPr>
          <w:p w14:paraId="2E9BD234"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750129">
              <w:rPr>
                <w:rFonts w:eastAsia="Times New Roman" w:cstheme="minorHAnsi"/>
                <w:b/>
                <w:bCs/>
                <w:color w:val="000000"/>
                <w:sz w:val="16"/>
                <w:szCs w:val="16"/>
                <w:lang w:val="en-US"/>
              </w:rPr>
              <w:t>Amazon Sustainable Landscapes Program Phase 3</w:t>
            </w:r>
          </w:p>
        </w:tc>
        <w:tc>
          <w:tcPr>
            <w:tcW w:w="810" w:type="dxa"/>
            <w:noWrap/>
            <w:hideMark/>
          </w:tcPr>
          <w:p w14:paraId="2ADBDD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World Bank</w:t>
            </w:r>
          </w:p>
        </w:tc>
        <w:tc>
          <w:tcPr>
            <w:tcW w:w="990" w:type="dxa"/>
            <w:noWrap/>
            <w:hideMark/>
          </w:tcPr>
          <w:p w14:paraId="4FD00B3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7B4B53B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13D83E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9EECAF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08EC526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6D22CF0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6B6D188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C0269A" w:rsidRPr="00C67737" w14:paraId="1F327732"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52481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11206</w:t>
            </w:r>
          </w:p>
        </w:tc>
        <w:tc>
          <w:tcPr>
            <w:tcW w:w="5400" w:type="dxa"/>
            <w:noWrap/>
            <w:hideMark/>
          </w:tcPr>
          <w:p w14:paraId="0AA4B828"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Amazon Regional Project – Amazon Sustainable Landscapes Phase 3</w:t>
            </w:r>
          </w:p>
        </w:tc>
        <w:tc>
          <w:tcPr>
            <w:tcW w:w="810" w:type="dxa"/>
            <w:noWrap/>
            <w:hideMark/>
          </w:tcPr>
          <w:p w14:paraId="6C399E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983DCF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2C0B87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67255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B3E2B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B10371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10.50</w:t>
            </w:r>
          </w:p>
        </w:tc>
        <w:tc>
          <w:tcPr>
            <w:tcW w:w="990" w:type="dxa"/>
            <w:noWrap/>
            <w:hideMark/>
          </w:tcPr>
          <w:p w14:paraId="081F1CF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24.93</w:t>
            </w:r>
          </w:p>
        </w:tc>
        <w:tc>
          <w:tcPr>
            <w:tcW w:w="900" w:type="dxa"/>
            <w:noWrap/>
            <w:hideMark/>
          </w:tcPr>
          <w:p w14:paraId="2CA709D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35.43</w:t>
            </w:r>
          </w:p>
        </w:tc>
      </w:tr>
      <w:tr w:rsidR="00C0269A" w:rsidRPr="00C67737" w14:paraId="4D287A2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13821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11205</w:t>
            </w:r>
          </w:p>
        </w:tc>
        <w:tc>
          <w:tcPr>
            <w:tcW w:w="5400" w:type="dxa"/>
            <w:noWrap/>
            <w:hideMark/>
          </w:tcPr>
          <w:p w14:paraId="7D71BC42"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 xml:space="preserve">Sustainable and Inclusive Development of West Suriname </w:t>
            </w:r>
          </w:p>
        </w:tc>
        <w:tc>
          <w:tcPr>
            <w:tcW w:w="810" w:type="dxa"/>
            <w:noWrap/>
            <w:hideMark/>
          </w:tcPr>
          <w:p w14:paraId="0F503A5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3DC14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Suriname</w:t>
            </w:r>
          </w:p>
        </w:tc>
        <w:tc>
          <w:tcPr>
            <w:tcW w:w="990" w:type="dxa"/>
            <w:noWrap/>
            <w:hideMark/>
          </w:tcPr>
          <w:p w14:paraId="7D1977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51D21F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9ACE0B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8359A1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1B65DE8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14.66</w:t>
            </w:r>
          </w:p>
        </w:tc>
        <w:tc>
          <w:tcPr>
            <w:tcW w:w="900" w:type="dxa"/>
            <w:noWrap/>
            <w:hideMark/>
          </w:tcPr>
          <w:p w14:paraId="2E17411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20.00</w:t>
            </w:r>
          </w:p>
        </w:tc>
      </w:tr>
      <w:tr w:rsidR="00C0269A" w:rsidRPr="00C67737" w14:paraId="1DD17DCB"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E2F48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11204</w:t>
            </w:r>
          </w:p>
        </w:tc>
        <w:tc>
          <w:tcPr>
            <w:tcW w:w="5400" w:type="dxa"/>
            <w:noWrap/>
            <w:hideMark/>
          </w:tcPr>
          <w:p w14:paraId="31CA8D2C"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Safeguarding the Systems of Life of Bolivia´s Amazon Forests</w:t>
            </w:r>
          </w:p>
        </w:tc>
        <w:tc>
          <w:tcPr>
            <w:tcW w:w="810" w:type="dxa"/>
            <w:noWrap/>
            <w:hideMark/>
          </w:tcPr>
          <w:p w14:paraId="42968D1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4AF05A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Bolivia</w:t>
            </w:r>
          </w:p>
        </w:tc>
        <w:tc>
          <w:tcPr>
            <w:tcW w:w="990" w:type="dxa"/>
            <w:noWrap/>
            <w:hideMark/>
          </w:tcPr>
          <w:p w14:paraId="69793CF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B24093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082AC7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01F4CA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20.80</w:t>
            </w:r>
          </w:p>
        </w:tc>
        <w:tc>
          <w:tcPr>
            <w:tcW w:w="990" w:type="dxa"/>
            <w:noWrap/>
            <w:hideMark/>
          </w:tcPr>
          <w:p w14:paraId="1BCBE94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113.05</w:t>
            </w:r>
          </w:p>
        </w:tc>
        <w:tc>
          <w:tcPr>
            <w:tcW w:w="900" w:type="dxa"/>
            <w:noWrap/>
            <w:hideMark/>
          </w:tcPr>
          <w:p w14:paraId="78C0F70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133.85</w:t>
            </w:r>
          </w:p>
        </w:tc>
      </w:tr>
      <w:tr w:rsidR="00C0269A" w:rsidRPr="00C67737" w14:paraId="39FEFB17"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D39BB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11203</w:t>
            </w:r>
          </w:p>
        </w:tc>
        <w:tc>
          <w:tcPr>
            <w:tcW w:w="5400" w:type="dxa"/>
            <w:noWrap/>
            <w:hideMark/>
          </w:tcPr>
          <w:p w14:paraId="390922C1"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Promoting Integrated Sustainable Management of the Peruvian Amazonian Landscape Madre de Dios</w:t>
            </w:r>
          </w:p>
        </w:tc>
        <w:tc>
          <w:tcPr>
            <w:tcW w:w="810" w:type="dxa"/>
            <w:noWrap/>
            <w:hideMark/>
          </w:tcPr>
          <w:p w14:paraId="2E87223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1137E17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27D0302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8D4E17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9D9CDF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3BF912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7730CB9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40.99</w:t>
            </w:r>
          </w:p>
        </w:tc>
        <w:tc>
          <w:tcPr>
            <w:tcW w:w="900" w:type="dxa"/>
            <w:noWrap/>
            <w:hideMark/>
          </w:tcPr>
          <w:p w14:paraId="25FEC60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54.32</w:t>
            </w:r>
          </w:p>
        </w:tc>
      </w:tr>
      <w:tr w:rsidR="00C0269A" w:rsidRPr="00C67737" w14:paraId="1B293F4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F37C5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11202</w:t>
            </w:r>
          </w:p>
        </w:tc>
        <w:tc>
          <w:tcPr>
            <w:tcW w:w="5400" w:type="dxa"/>
            <w:noWrap/>
            <w:hideMark/>
          </w:tcPr>
          <w:p w14:paraId="68F51CE5"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Integrated Management and Ecological Connectivity of a Priority Landscape in the Ecuadorian Amazon Headwaters</w:t>
            </w:r>
          </w:p>
        </w:tc>
        <w:tc>
          <w:tcPr>
            <w:tcW w:w="810" w:type="dxa"/>
            <w:noWrap/>
            <w:hideMark/>
          </w:tcPr>
          <w:p w14:paraId="1E62657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FDC669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05599F0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A37A5E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3E3F27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AD8D85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6BF0E5D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19.41</w:t>
            </w:r>
          </w:p>
        </w:tc>
        <w:tc>
          <w:tcPr>
            <w:tcW w:w="900" w:type="dxa"/>
            <w:noWrap/>
            <w:hideMark/>
          </w:tcPr>
          <w:p w14:paraId="13AE276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24.75</w:t>
            </w:r>
          </w:p>
        </w:tc>
      </w:tr>
      <w:tr w:rsidR="00C0269A" w:rsidRPr="00C67737" w14:paraId="1D59F44A"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6C6EF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11201</w:t>
            </w:r>
          </w:p>
        </w:tc>
        <w:tc>
          <w:tcPr>
            <w:tcW w:w="5400" w:type="dxa"/>
            <w:noWrap/>
            <w:hideMark/>
          </w:tcPr>
          <w:p w14:paraId="12EAB99A"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Forest Connectivity, Conservation and Sustainable Management in Colombian Amazon Landscapes – Life Amazon</w:t>
            </w:r>
          </w:p>
        </w:tc>
        <w:tc>
          <w:tcPr>
            <w:tcW w:w="810" w:type="dxa"/>
            <w:noWrap/>
            <w:hideMark/>
          </w:tcPr>
          <w:p w14:paraId="51DF0CA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4F650D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28883BF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D7085D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0CC25A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2CE7F7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26.67</w:t>
            </w:r>
          </w:p>
        </w:tc>
        <w:tc>
          <w:tcPr>
            <w:tcW w:w="990" w:type="dxa"/>
            <w:noWrap/>
            <w:hideMark/>
          </w:tcPr>
          <w:p w14:paraId="66FCF0B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182.64</w:t>
            </w:r>
          </w:p>
        </w:tc>
        <w:tc>
          <w:tcPr>
            <w:tcW w:w="900" w:type="dxa"/>
            <w:noWrap/>
            <w:hideMark/>
          </w:tcPr>
          <w:p w14:paraId="10AB795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209.30</w:t>
            </w:r>
          </w:p>
        </w:tc>
      </w:tr>
      <w:tr w:rsidR="00C0269A" w:rsidRPr="00C67737" w14:paraId="5B4E0D8F"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FD88E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11200</w:t>
            </w:r>
          </w:p>
        </w:tc>
        <w:tc>
          <w:tcPr>
            <w:tcW w:w="5400" w:type="dxa"/>
            <w:noWrap/>
            <w:hideMark/>
          </w:tcPr>
          <w:p w14:paraId="7F79234F"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Brazil Amazon Sustainable Landscapes Phase 3 Project</w:t>
            </w:r>
          </w:p>
        </w:tc>
        <w:tc>
          <w:tcPr>
            <w:tcW w:w="810" w:type="dxa"/>
            <w:noWrap/>
            <w:hideMark/>
          </w:tcPr>
          <w:p w14:paraId="654C8C6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44B32B4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288F1C4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53D9EF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807961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616951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3B62D3B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60.25</w:t>
            </w:r>
          </w:p>
        </w:tc>
        <w:tc>
          <w:tcPr>
            <w:tcW w:w="900" w:type="dxa"/>
            <w:noWrap/>
            <w:hideMark/>
          </w:tcPr>
          <w:p w14:paraId="596037E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69.58</w:t>
            </w:r>
          </w:p>
        </w:tc>
      </w:tr>
      <w:tr w:rsidR="00C0269A" w:rsidRPr="00C67737" w14:paraId="201C310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6B02F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11199</w:t>
            </w:r>
          </w:p>
        </w:tc>
        <w:tc>
          <w:tcPr>
            <w:tcW w:w="5400" w:type="dxa"/>
            <w:noWrap/>
            <w:hideMark/>
          </w:tcPr>
          <w:p w14:paraId="105D734F"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Integrated Management of Sustainable Landscapes for the Conservation of the Forest Biome and the Maintenance of Functional and Ecosystem Services in the State of Amazonas, Venezuela</w:t>
            </w:r>
          </w:p>
        </w:tc>
        <w:tc>
          <w:tcPr>
            <w:tcW w:w="810" w:type="dxa"/>
            <w:noWrap/>
            <w:hideMark/>
          </w:tcPr>
          <w:p w14:paraId="6C1D4C4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B05256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Venezuela</w:t>
            </w:r>
          </w:p>
        </w:tc>
        <w:tc>
          <w:tcPr>
            <w:tcW w:w="990" w:type="dxa"/>
            <w:noWrap/>
            <w:hideMark/>
          </w:tcPr>
          <w:p w14:paraId="4F799F6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7E47C2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37C6A5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7087AF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5B6192F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41.00</w:t>
            </w:r>
          </w:p>
        </w:tc>
        <w:tc>
          <w:tcPr>
            <w:tcW w:w="900" w:type="dxa"/>
            <w:noWrap/>
            <w:hideMark/>
          </w:tcPr>
          <w:p w14:paraId="4950140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47.67</w:t>
            </w:r>
          </w:p>
        </w:tc>
      </w:tr>
      <w:tr w:rsidR="00C0269A" w:rsidRPr="00C67737" w14:paraId="64928E2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9171A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11214</w:t>
            </w:r>
          </w:p>
        </w:tc>
        <w:tc>
          <w:tcPr>
            <w:tcW w:w="5400" w:type="dxa"/>
            <w:noWrap/>
            <w:hideMark/>
          </w:tcPr>
          <w:p w14:paraId="0AC299B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 xml:space="preserve">Food </w:t>
            </w:r>
            <w:proofErr w:type="spellStart"/>
            <w:r w:rsidRPr="00C67737">
              <w:rPr>
                <w:rFonts w:eastAsia="Times New Roman" w:cstheme="minorHAnsi"/>
                <w:b/>
                <w:bCs/>
                <w:color w:val="000000"/>
                <w:sz w:val="16"/>
                <w:szCs w:val="16"/>
              </w:rPr>
              <w:t>Systems</w:t>
            </w:r>
            <w:proofErr w:type="spellEnd"/>
            <w:r w:rsidRPr="00C67737">
              <w:rPr>
                <w:rFonts w:eastAsia="Times New Roman" w:cstheme="minorHAnsi"/>
                <w:b/>
                <w:bCs/>
                <w:color w:val="000000"/>
                <w:sz w:val="16"/>
                <w:szCs w:val="16"/>
              </w:rPr>
              <w:t xml:space="preserve"> Integrated Program</w:t>
            </w:r>
          </w:p>
        </w:tc>
        <w:tc>
          <w:tcPr>
            <w:tcW w:w="810" w:type="dxa"/>
            <w:noWrap/>
            <w:hideMark/>
          </w:tcPr>
          <w:p w14:paraId="668EFC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FAO</w:t>
            </w:r>
          </w:p>
        </w:tc>
        <w:tc>
          <w:tcPr>
            <w:tcW w:w="990" w:type="dxa"/>
            <w:noWrap/>
            <w:hideMark/>
          </w:tcPr>
          <w:p w14:paraId="16846A9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70F8CAF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139019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1A41BC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66F7BF8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497B9C4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2627EBE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C0269A" w:rsidRPr="00C67737" w14:paraId="63B4BC10"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65658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11376</w:t>
            </w:r>
          </w:p>
        </w:tc>
        <w:tc>
          <w:tcPr>
            <w:tcW w:w="5400" w:type="dxa"/>
            <w:noWrap/>
            <w:hideMark/>
          </w:tcPr>
          <w:p w14:paraId="7DF5F989"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Promoting Low Carbon and Climate Resilient Livestock Value Chain in Uganda</w:t>
            </w:r>
          </w:p>
        </w:tc>
        <w:tc>
          <w:tcPr>
            <w:tcW w:w="810" w:type="dxa"/>
            <w:noWrap/>
            <w:hideMark/>
          </w:tcPr>
          <w:p w14:paraId="6072EDC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3418286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Uganda</w:t>
            </w:r>
          </w:p>
        </w:tc>
        <w:tc>
          <w:tcPr>
            <w:tcW w:w="990" w:type="dxa"/>
            <w:noWrap/>
            <w:hideMark/>
          </w:tcPr>
          <w:p w14:paraId="1DD209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DC61B4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4123D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ABDF58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4480AD3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96.56</w:t>
            </w:r>
          </w:p>
        </w:tc>
        <w:tc>
          <w:tcPr>
            <w:tcW w:w="900" w:type="dxa"/>
            <w:noWrap/>
            <w:hideMark/>
          </w:tcPr>
          <w:p w14:paraId="1781A57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105.89</w:t>
            </w:r>
          </w:p>
        </w:tc>
      </w:tr>
      <w:tr w:rsidR="00C0269A" w:rsidRPr="00C67737" w14:paraId="27B523B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9F8DC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11375</w:t>
            </w:r>
          </w:p>
        </w:tc>
        <w:tc>
          <w:tcPr>
            <w:tcW w:w="5400" w:type="dxa"/>
            <w:noWrap/>
            <w:hideMark/>
          </w:tcPr>
          <w:p w14:paraId="2F0DD3B8"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Ghana Sustainable Food System and Forest Management</w:t>
            </w:r>
          </w:p>
        </w:tc>
        <w:tc>
          <w:tcPr>
            <w:tcW w:w="810" w:type="dxa"/>
            <w:noWrap/>
            <w:hideMark/>
          </w:tcPr>
          <w:p w14:paraId="408012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0C63338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Ghana</w:t>
            </w:r>
          </w:p>
        </w:tc>
        <w:tc>
          <w:tcPr>
            <w:tcW w:w="990" w:type="dxa"/>
            <w:noWrap/>
            <w:hideMark/>
          </w:tcPr>
          <w:p w14:paraId="54BD115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45033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3E75F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E56150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15.20</w:t>
            </w:r>
          </w:p>
        </w:tc>
        <w:tc>
          <w:tcPr>
            <w:tcW w:w="990" w:type="dxa"/>
            <w:noWrap/>
            <w:hideMark/>
          </w:tcPr>
          <w:p w14:paraId="677182A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243.00</w:t>
            </w:r>
          </w:p>
        </w:tc>
        <w:tc>
          <w:tcPr>
            <w:tcW w:w="900" w:type="dxa"/>
            <w:noWrap/>
            <w:hideMark/>
          </w:tcPr>
          <w:p w14:paraId="08AE746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258.20</w:t>
            </w:r>
          </w:p>
        </w:tc>
      </w:tr>
      <w:tr w:rsidR="00C0269A" w:rsidRPr="00C67737" w14:paraId="268DB241"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27B3B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11374</w:t>
            </w:r>
          </w:p>
        </w:tc>
        <w:tc>
          <w:tcPr>
            <w:tcW w:w="5400" w:type="dxa"/>
            <w:noWrap/>
            <w:hideMark/>
          </w:tcPr>
          <w:p w14:paraId="6D274375"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Advancing Transformative Agricultural Systems in Grenada through the Promotion of Integrated and Resilient Ecosystem Approaches throughout the Cocoa Value Chain</w:t>
            </w:r>
          </w:p>
        </w:tc>
        <w:tc>
          <w:tcPr>
            <w:tcW w:w="810" w:type="dxa"/>
            <w:noWrap/>
            <w:hideMark/>
          </w:tcPr>
          <w:p w14:paraId="1653CBA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27B7972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Grenada</w:t>
            </w:r>
          </w:p>
        </w:tc>
        <w:tc>
          <w:tcPr>
            <w:tcW w:w="990" w:type="dxa"/>
            <w:noWrap/>
            <w:hideMark/>
          </w:tcPr>
          <w:p w14:paraId="492ED82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52775B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5DA9DC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EE3C80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637D0A8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10.76</w:t>
            </w:r>
          </w:p>
        </w:tc>
        <w:tc>
          <w:tcPr>
            <w:tcW w:w="900" w:type="dxa"/>
            <w:noWrap/>
            <w:hideMark/>
          </w:tcPr>
          <w:p w14:paraId="4F08FAE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14.76</w:t>
            </w:r>
          </w:p>
        </w:tc>
      </w:tr>
      <w:tr w:rsidR="00C0269A" w:rsidRPr="00C67737" w14:paraId="69E8147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FC2EA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11373</w:t>
            </w:r>
          </w:p>
        </w:tc>
        <w:tc>
          <w:tcPr>
            <w:tcW w:w="5400" w:type="dxa"/>
            <w:noWrap/>
            <w:hideMark/>
          </w:tcPr>
          <w:p w14:paraId="79965145"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Transforming Inland Fisheries and Aquaculture in Kazakhstan to Ensure Environmental Sustainability</w:t>
            </w:r>
          </w:p>
        </w:tc>
        <w:tc>
          <w:tcPr>
            <w:tcW w:w="810" w:type="dxa"/>
            <w:noWrap/>
            <w:hideMark/>
          </w:tcPr>
          <w:p w14:paraId="16B8C26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90680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Kazakhstan</w:t>
            </w:r>
          </w:p>
        </w:tc>
        <w:tc>
          <w:tcPr>
            <w:tcW w:w="990" w:type="dxa"/>
            <w:noWrap/>
            <w:hideMark/>
          </w:tcPr>
          <w:p w14:paraId="196E008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C16F7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827E63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DB77AF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02F504F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47.41</w:t>
            </w:r>
          </w:p>
        </w:tc>
        <w:tc>
          <w:tcPr>
            <w:tcW w:w="900" w:type="dxa"/>
            <w:noWrap/>
            <w:hideMark/>
          </w:tcPr>
          <w:p w14:paraId="0CCB2F7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50.08</w:t>
            </w:r>
          </w:p>
        </w:tc>
      </w:tr>
      <w:tr w:rsidR="00C0269A" w:rsidRPr="00C67737" w14:paraId="23C7BEE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65E0D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11372</w:t>
            </w:r>
          </w:p>
        </w:tc>
        <w:tc>
          <w:tcPr>
            <w:tcW w:w="5400" w:type="dxa"/>
            <w:noWrap/>
            <w:hideMark/>
          </w:tcPr>
          <w:p w14:paraId="6A6FEE9F"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Food Systems, Indigenous Peoples and Biodiversity</w:t>
            </w:r>
          </w:p>
        </w:tc>
        <w:tc>
          <w:tcPr>
            <w:tcW w:w="810" w:type="dxa"/>
            <w:noWrap/>
            <w:hideMark/>
          </w:tcPr>
          <w:p w14:paraId="63224B6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5B2F7F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2DDED6B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8E0994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B650E5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EE4C9E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5.20</w:t>
            </w:r>
          </w:p>
        </w:tc>
        <w:tc>
          <w:tcPr>
            <w:tcW w:w="990" w:type="dxa"/>
            <w:noWrap/>
            <w:hideMark/>
          </w:tcPr>
          <w:p w14:paraId="1A22344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17.96</w:t>
            </w:r>
          </w:p>
        </w:tc>
        <w:tc>
          <w:tcPr>
            <w:tcW w:w="900" w:type="dxa"/>
            <w:noWrap/>
            <w:hideMark/>
          </w:tcPr>
          <w:p w14:paraId="2D3D4D3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23.16</w:t>
            </w:r>
          </w:p>
        </w:tc>
      </w:tr>
      <w:tr w:rsidR="00C0269A" w:rsidRPr="00C67737" w14:paraId="29C2B502"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F4475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11371</w:t>
            </w:r>
          </w:p>
        </w:tc>
        <w:tc>
          <w:tcPr>
            <w:tcW w:w="5400" w:type="dxa"/>
            <w:noWrap/>
            <w:hideMark/>
          </w:tcPr>
          <w:p w14:paraId="7660B142"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Circular Integrated Aquaculture-Horticulture Systems for Climate Resilience in Namibia</w:t>
            </w:r>
          </w:p>
        </w:tc>
        <w:tc>
          <w:tcPr>
            <w:tcW w:w="810" w:type="dxa"/>
            <w:noWrap/>
            <w:hideMark/>
          </w:tcPr>
          <w:p w14:paraId="767D321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BF701E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Namibia</w:t>
            </w:r>
          </w:p>
        </w:tc>
        <w:tc>
          <w:tcPr>
            <w:tcW w:w="990" w:type="dxa"/>
            <w:noWrap/>
            <w:hideMark/>
          </w:tcPr>
          <w:p w14:paraId="0E10F6A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BD22DB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92FC9C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95C8F0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8.33</w:t>
            </w:r>
          </w:p>
        </w:tc>
        <w:tc>
          <w:tcPr>
            <w:tcW w:w="990" w:type="dxa"/>
            <w:noWrap/>
            <w:hideMark/>
          </w:tcPr>
          <w:p w14:paraId="3EE851D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52.45</w:t>
            </w:r>
          </w:p>
        </w:tc>
        <w:tc>
          <w:tcPr>
            <w:tcW w:w="900" w:type="dxa"/>
            <w:noWrap/>
            <w:hideMark/>
          </w:tcPr>
          <w:p w14:paraId="7199865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60.78</w:t>
            </w:r>
          </w:p>
        </w:tc>
      </w:tr>
      <w:tr w:rsidR="00C0269A" w:rsidRPr="00C67737" w14:paraId="1F4F08B9"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A6D0A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11370</w:t>
            </w:r>
          </w:p>
        </w:tc>
        <w:tc>
          <w:tcPr>
            <w:tcW w:w="5400" w:type="dxa"/>
            <w:noWrap/>
            <w:hideMark/>
          </w:tcPr>
          <w:p w14:paraId="739EDEEB"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Sustainable Aquaculture in the Northern Region of Angola</w:t>
            </w:r>
          </w:p>
        </w:tc>
        <w:tc>
          <w:tcPr>
            <w:tcW w:w="810" w:type="dxa"/>
            <w:noWrap/>
            <w:hideMark/>
          </w:tcPr>
          <w:p w14:paraId="30DAD82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6A42B7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Angola</w:t>
            </w:r>
          </w:p>
        </w:tc>
        <w:tc>
          <w:tcPr>
            <w:tcW w:w="990" w:type="dxa"/>
            <w:noWrap/>
            <w:hideMark/>
          </w:tcPr>
          <w:p w14:paraId="7324240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C8742C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C19166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97DF01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3.91</w:t>
            </w:r>
          </w:p>
        </w:tc>
        <w:tc>
          <w:tcPr>
            <w:tcW w:w="990" w:type="dxa"/>
            <w:noWrap/>
            <w:hideMark/>
          </w:tcPr>
          <w:p w14:paraId="1F6FBD4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34.38</w:t>
            </w:r>
          </w:p>
        </w:tc>
        <w:tc>
          <w:tcPr>
            <w:tcW w:w="900" w:type="dxa"/>
            <w:noWrap/>
            <w:hideMark/>
          </w:tcPr>
          <w:p w14:paraId="1CBD255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38.29</w:t>
            </w:r>
          </w:p>
        </w:tc>
      </w:tr>
      <w:tr w:rsidR="00C0269A" w:rsidRPr="00C67737" w14:paraId="5E721F2C"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0E73E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11369</w:t>
            </w:r>
          </w:p>
        </w:tc>
        <w:tc>
          <w:tcPr>
            <w:tcW w:w="5400" w:type="dxa"/>
            <w:noWrap/>
            <w:hideMark/>
          </w:tcPr>
          <w:p w14:paraId="63823951"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Promoting the Mainstreaming of Biodiversity and Protection of Ecosystem Services through Regenerative and Deforestation-Free Livestock in Provinces of Manabí, Pichincha and Morona-Santiago.</w:t>
            </w:r>
          </w:p>
        </w:tc>
        <w:tc>
          <w:tcPr>
            <w:tcW w:w="810" w:type="dxa"/>
            <w:noWrap/>
            <w:hideMark/>
          </w:tcPr>
          <w:p w14:paraId="15DDB9B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6293F9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2778AB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B55DB0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7BF7DB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847CDB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55AB002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13.50</w:t>
            </w:r>
          </w:p>
        </w:tc>
        <w:tc>
          <w:tcPr>
            <w:tcW w:w="900" w:type="dxa"/>
            <w:noWrap/>
            <w:hideMark/>
          </w:tcPr>
          <w:p w14:paraId="1C32A86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16.16</w:t>
            </w:r>
          </w:p>
        </w:tc>
      </w:tr>
      <w:tr w:rsidR="00C0269A" w:rsidRPr="00C67737" w14:paraId="706D82D9"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22D2F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11368</w:t>
            </w:r>
          </w:p>
        </w:tc>
        <w:tc>
          <w:tcPr>
            <w:tcW w:w="5400" w:type="dxa"/>
            <w:noWrap/>
            <w:hideMark/>
          </w:tcPr>
          <w:p w14:paraId="62036055"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Transforming Nauru’s Food Systems through Climate Smart Agriculture</w:t>
            </w:r>
          </w:p>
        </w:tc>
        <w:tc>
          <w:tcPr>
            <w:tcW w:w="810" w:type="dxa"/>
            <w:noWrap/>
            <w:hideMark/>
          </w:tcPr>
          <w:p w14:paraId="3693959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6DE8D3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Nauru</w:t>
            </w:r>
          </w:p>
        </w:tc>
        <w:tc>
          <w:tcPr>
            <w:tcW w:w="990" w:type="dxa"/>
            <w:noWrap/>
            <w:hideMark/>
          </w:tcPr>
          <w:p w14:paraId="32DD064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44760B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156DEF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CB3AAC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33AC5FD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43.60</w:t>
            </w:r>
          </w:p>
        </w:tc>
        <w:tc>
          <w:tcPr>
            <w:tcW w:w="900" w:type="dxa"/>
            <w:noWrap/>
            <w:hideMark/>
          </w:tcPr>
          <w:p w14:paraId="76E5FED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50.27</w:t>
            </w:r>
          </w:p>
        </w:tc>
      </w:tr>
      <w:tr w:rsidR="00C0269A" w:rsidRPr="00C67737" w14:paraId="40EEF9D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41A07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11367</w:t>
            </w:r>
          </w:p>
        </w:tc>
        <w:tc>
          <w:tcPr>
            <w:tcW w:w="5400" w:type="dxa"/>
            <w:noWrap/>
            <w:hideMark/>
          </w:tcPr>
          <w:p w14:paraId="54B5C2C8"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Sustainable Agriculture and Forests in Peatland Landscapes in Malaysia </w:t>
            </w:r>
          </w:p>
        </w:tc>
        <w:tc>
          <w:tcPr>
            <w:tcW w:w="810" w:type="dxa"/>
            <w:noWrap/>
            <w:hideMark/>
          </w:tcPr>
          <w:p w14:paraId="5BFE4C6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45C695F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6E72F5B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B48A1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C77041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CE4A78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6.00</w:t>
            </w:r>
          </w:p>
        </w:tc>
        <w:tc>
          <w:tcPr>
            <w:tcW w:w="990" w:type="dxa"/>
            <w:noWrap/>
            <w:hideMark/>
          </w:tcPr>
          <w:p w14:paraId="2AFC5A6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15.00</w:t>
            </w:r>
          </w:p>
        </w:tc>
        <w:tc>
          <w:tcPr>
            <w:tcW w:w="900" w:type="dxa"/>
            <w:noWrap/>
            <w:hideMark/>
          </w:tcPr>
          <w:p w14:paraId="2E24481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21.00</w:t>
            </w:r>
          </w:p>
        </w:tc>
      </w:tr>
      <w:tr w:rsidR="00C0269A" w:rsidRPr="00C67737" w14:paraId="26015201"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F48D1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11237</w:t>
            </w:r>
          </w:p>
        </w:tc>
        <w:tc>
          <w:tcPr>
            <w:tcW w:w="5400" w:type="dxa"/>
            <w:noWrap/>
            <w:hideMark/>
          </w:tcPr>
          <w:p w14:paraId="02D69F14"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Transforming Agricultural Landscapes in Island Ecosystems and Key Biodiversity Areas towards Sustainable Food Systems and Climate Resilient Communities</w:t>
            </w:r>
          </w:p>
        </w:tc>
        <w:tc>
          <w:tcPr>
            <w:tcW w:w="810" w:type="dxa"/>
            <w:noWrap/>
            <w:hideMark/>
          </w:tcPr>
          <w:p w14:paraId="7EA17A4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3DE23D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4C10976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38C8CF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2092EC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5539D7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10.66</w:t>
            </w:r>
          </w:p>
        </w:tc>
        <w:tc>
          <w:tcPr>
            <w:tcW w:w="990" w:type="dxa"/>
            <w:noWrap/>
            <w:hideMark/>
          </w:tcPr>
          <w:p w14:paraId="13CBF78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73.37</w:t>
            </w:r>
          </w:p>
        </w:tc>
        <w:tc>
          <w:tcPr>
            <w:tcW w:w="900" w:type="dxa"/>
            <w:noWrap/>
            <w:hideMark/>
          </w:tcPr>
          <w:p w14:paraId="12E2E89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84.03</w:t>
            </w:r>
          </w:p>
        </w:tc>
      </w:tr>
      <w:tr w:rsidR="00C0269A" w:rsidRPr="00C67737" w14:paraId="39180FA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B3BAD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11236</w:t>
            </w:r>
          </w:p>
        </w:tc>
        <w:tc>
          <w:tcPr>
            <w:tcW w:w="5400" w:type="dxa"/>
            <w:noWrap/>
            <w:hideMark/>
          </w:tcPr>
          <w:p w14:paraId="5913B913"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Transformation to Sustainable Crops, Livestock and Aquaculture Food Systems in Nigeria</w:t>
            </w:r>
          </w:p>
        </w:tc>
        <w:tc>
          <w:tcPr>
            <w:tcW w:w="810" w:type="dxa"/>
            <w:noWrap/>
            <w:hideMark/>
          </w:tcPr>
          <w:p w14:paraId="64AFE81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B68950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Nigeria</w:t>
            </w:r>
          </w:p>
        </w:tc>
        <w:tc>
          <w:tcPr>
            <w:tcW w:w="990" w:type="dxa"/>
            <w:noWrap/>
            <w:hideMark/>
          </w:tcPr>
          <w:p w14:paraId="062AD88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4C0C35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21227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D88566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2268CA9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16.86</w:t>
            </w:r>
          </w:p>
        </w:tc>
        <w:tc>
          <w:tcPr>
            <w:tcW w:w="900" w:type="dxa"/>
            <w:noWrap/>
            <w:hideMark/>
          </w:tcPr>
          <w:p w14:paraId="293032C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24.86</w:t>
            </w:r>
          </w:p>
        </w:tc>
      </w:tr>
      <w:tr w:rsidR="00C0269A" w:rsidRPr="00C67737" w14:paraId="0B3B470A"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1D1E9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11235</w:t>
            </w:r>
          </w:p>
        </w:tc>
        <w:tc>
          <w:tcPr>
            <w:tcW w:w="5400" w:type="dxa"/>
            <w:noWrap/>
            <w:hideMark/>
          </w:tcPr>
          <w:p w14:paraId="572C0F3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Participatory</w:t>
            </w:r>
            <w:proofErr w:type="spellEnd"/>
            <w:r w:rsidRPr="00C67737">
              <w:rPr>
                <w:rFonts w:eastAsia="Times New Roman" w:cstheme="minorHAnsi"/>
                <w:color w:val="000000"/>
                <w:sz w:val="16"/>
                <w:szCs w:val="16"/>
              </w:rPr>
              <w:t xml:space="preserve"> Agriculture and </w:t>
            </w:r>
            <w:proofErr w:type="spellStart"/>
            <w:r w:rsidRPr="00C67737">
              <w:rPr>
                <w:rFonts w:eastAsia="Times New Roman" w:cstheme="minorHAnsi"/>
                <w:color w:val="000000"/>
                <w:sz w:val="16"/>
                <w:szCs w:val="16"/>
              </w:rPr>
              <w:t>Climate</w:t>
            </w:r>
            <w:proofErr w:type="spellEnd"/>
            <w:r w:rsidRPr="00C67737">
              <w:rPr>
                <w:rFonts w:eastAsia="Times New Roman" w:cstheme="minorHAnsi"/>
                <w:color w:val="000000"/>
                <w:sz w:val="16"/>
                <w:szCs w:val="16"/>
              </w:rPr>
              <w:t xml:space="preserve"> Transformation Programme</w:t>
            </w:r>
          </w:p>
        </w:tc>
        <w:tc>
          <w:tcPr>
            <w:tcW w:w="810" w:type="dxa"/>
            <w:noWrap/>
            <w:hideMark/>
          </w:tcPr>
          <w:p w14:paraId="5050112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2AAE3D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Ethiopia</w:t>
            </w:r>
            <w:proofErr w:type="spellEnd"/>
          </w:p>
        </w:tc>
        <w:tc>
          <w:tcPr>
            <w:tcW w:w="990" w:type="dxa"/>
            <w:noWrap/>
            <w:hideMark/>
          </w:tcPr>
          <w:p w14:paraId="798CD75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B2D386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0D9E2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1E2415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1FF23BE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78.20</w:t>
            </w:r>
          </w:p>
        </w:tc>
        <w:tc>
          <w:tcPr>
            <w:tcW w:w="900" w:type="dxa"/>
            <w:noWrap/>
            <w:hideMark/>
          </w:tcPr>
          <w:p w14:paraId="2AF16EF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88.87</w:t>
            </w:r>
          </w:p>
        </w:tc>
      </w:tr>
      <w:tr w:rsidR="00C0269A" w:rsidRPr="00C67737" w14:paraId="3051FFE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20F26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11234</w:t>
            </w:r>
          </w:p>
        </w:tc>
        <w:tc>
          <w:tcPr>
            <w:tcW w:w="5400" w:type="dxa"/>
            <w:noWrap/>
            <w:hideMark/>
          </w:tcPr>
          <w:p w14:paraId="1700DE05"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Increasing the Sustainability and Resilience of Agriculture/Food System through Nature-Based Solutions</w:t>
            </w:r>
          </w:p>
        </w:tc>
        <w:tc>
          <w:tcPr>
            <w:tcW w:w="810" w:type="dxa"/>
            <w:noWrap/>
            <w:hideMark/>
          </w:tcPr>
          <w:p w14:paraId="1752361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7F0F24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Türkiye</w:t>
            </w:r>
          </w:p>
        </w:tc>
        <w:tc>
          <w:tcPr>
            <w:tcW w:w="990" w:type="dxa"/>
            <w:noWrap/>
            <w:hideMark/>
          </w:tcPr>
          <w:p w14:paraId="018A9D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DD39FE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AAB2F9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44EDAF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5.40</w:t>
            </w:r>
          </w:p>
        </w:tc>
        <w:tc>
          <w:tcPr>
            <w:tcW w:w="990" w:type="dxa"/>
            <w:noWrap/>
            <w:hideMark/>
          </w:tcPr>
          <w:p w14:paraId="3033782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30.00</w:t>
            </w:r>
          </w:p>
        </w:tc>
        <w:tc>
          <w:tcPr>
            <w:tcW w:w="900" w:type="dxa"/>
            <w:noWrap/>
            <w:hideMark/>
          </w:tcPr>
          <w:p w14:paraId="4195F12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35.40</w:t>
            </w:r>
          </w:p>
        </w:tc>
      </w:tr>
      <w:tr w:rsidR="00C0269A" w:rsidRPr="00C67737" w14:paraId="09A5D619"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D1F48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11233</w:t>
            </w:r>
          </w:p>
        </w:tc>
        <w:tc>
          <w:tcPr>
            <w:tcW w:w="5400" w:type="dxa"/>
            <w:noWrap/>
            <w:hideMark/>
          </w:tcPr>
          <w:p w14:paraId="159E3204"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Sustainable, Regenerative and Resilient Rice-Based Food Systems to Strengthen Community and Ecosystem Health in Three River Basins of Sri Lanka1</w:t>
            </w:r>
          </w:p>
        </w:tc>
        <w:tc>
          <w:tcPr>
            <w:tcW w:w="810" w:type="dxa"/>
            <w:noWrap/>
            <w:hideMark/>
          </w:tcPr>
          <w:p w14:paraId="70F1708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978051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0C697B1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5A4BCF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BF1F06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BA05A6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01B85FE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68.47</w:t>
            </w:r>
          </w:p>
        </w:tc>
        <w:tc>
          <w:tcPr>
            <w:tcW w:w="900" w:type="dxa"/>
            <w:noWrap/>
            <w:hideMark/>
          </w:tcPr>
          <w:p w14:paraId="194510E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73.80</w:t>
            </w:r>
          </w:p>
        </w:tc>
      </w:tr>
      <w:tr w:rsidR="00C0269A" w:rsidRPr="00C67737" w14:paraId="3DDC170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132A5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11232</w:t>
            </w:r>
          </w:p>
        </w:tc>
        <w:tc>
          <w:tcPr>
            <w:tcW w:w="5400" w:type="dxa"/>
            <w:noWrap/>
            <w:hideMark/>
          </w:tcPr>
          <w:p w14:paraId="0C4C1A5C"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Revitalizing and Transforming Solomon Islands' Food System through Sustainable Agriculture and Livestock Production for Enhanced Environmental and Community Benefits.</w:t>
            </w:r>
          </w:p>
        </w:tc>
        <w:tc>
          <w:tcPr>
            <w:tcW w:w="810" w:type="dxa"/>
            <w:noWrap/>
            <w:hideMark/>
          </w:tcPr>
          <w:p w14:paraId="5E9BEB3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E9BE59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Solomon Islands</w:t>
            </w:r>
          </w:p>
        </w:tc>
        <w:tc>
          <w:tcPr>
            <w:tcW w:w="990" w:type="dxa"/>
            <w:noWrap/>
            <w:hideMark/>
          </w:tcPr>
          <w:p w14:paraId="5DC2A8D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FD33C2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5B7A96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1EA398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71AD752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10.26</w:t>
            </w:r>
          </w:p>
        </w:tc>
        <w:tc>
          <w:tcPr>
            <w:tcW w:w="900" w:type="dxa"/>
            <w:noWrap/>
            <w:hideMark/>
          </w:tcPr>
          <w:p w14:paraId="2673A70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15.59</w:t>
            </w:r>
          </w:p>
        </w:tc>
      </w:tr>
      <w:tr w:rsidR="00C0269A" w:rsidRPr="00C67737" w14:paraId="4B7CBAE1"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6D478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11231</w:t>
            </w:r>
          </w:p>
        </w:tc>
        <w:tc>
          <w:tcPr>
            <w:tcW w:w="5400" w:type="dxa"/>
            <w:noWrap/>
            <w:hideMark/>
          </w:tcPr>
          <w:p w14:paraId="5E5EF9C3"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Sustainable and Regenerative Management of Rice Production in Pakistan</w:t>
            </w:r>
          </w:p>
        </w:tc>
        <w:tc>
          <w:tcPr>
            <w:tcW w:w="810" w:type="dxa"/>
            <w:noWrap/>
            <w:hideMark/>
          </w:tcPr>
          <w:p w14:paraId="7CA08C3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63147F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Pakistan</w:t>
            </w:r>
          </w:p>
        </w:tc>
        <w:tc>
          <w:tcPr>
            <w:tcW w:w="990" w:type="dxa"/>
            <w:noWrap/>
            <w:hideMark/>
          </w:tcPr>
          <w:p w14:paraId="1BA3C5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4EBCE3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553D12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B8B9AA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7.73</w:t>
            </w:r>
          </w:p>
        </w:tc>
        <w:tc>
          <w:tcPr>
            <w:tcW w:w="990" w:type="dxa"/>
            <w:noWrap/>
            <w:hideMark/>
          </w:tcPr>
          <w:p w14:paraId="45B928E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60.37</w:t>
            </w:r>
          </w:p>
        </w:tc>
        <w:tc>
          <w:tcPr>
            <w:tcW w:w="900" w:type="dxa"/>
            <w:noWrap/>
            <w:hideMark/>
          </w:tcPr>
          <w:p w14:paraId="6B62E1C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68.10</w:t>
            </w:r>
          </w:p>
        </w:tc>
      </w:tr>
      <w:tr w:rsidR="00C0269A" w:rsidRPr="00C67737" w14:paraId="64FD4DBA"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1A221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11230</w:t>
            </w:r>
          </w:p>
        </w:tc>
        <w:tc>
          <w:tcPr>
            <w:tcW w:w="5400" w:type="dxa"/>
            <w:noWrap/>
            <w:hideMark/>
          </w:tcPr>
          <w:p w14:paraId="049A3907"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Food Systems Transformation in </w:t>
            </w:r>
            <w:proofErr w:type="spellStart"/>
            <w:r w:rsidRPr="00750129">
              <w:rPr>
                <w:rFonts w:eastAsia="Times New Roman" w:cstheme="minorHAnsi"/>
                <w:color w:val="000000"/>
                <w:sz w:val="16"/>
                <w:szCs w:val="16"/>
                <w:lang w:val="en-US"/>
              </w:rPr>
              <w:t>Usangu</w:t>
            </w:r>
            <w:proofErr w:type="spellEnd"/>
            <w:r w:rsidRPr="00750129">
              <w:rPr>
                <w:rFonts w:eastAsia="Times New Roman" w:cstheme="minorHAnsi"/>
                <w:color w:val="000000"/>
                <w:sz w:val="16"/>
                <w:szCs w:val="16"/>
                <w:lang w:val="en-US"/>
              </w:rPr>
              <w:t xml:space="preserve"> Landscape</w:t>
            </w:r>
          </w:p>
        </w:tc>
        <w:tc>
          <w:tcPr>
            <w:tcW w:w="810" w:type="dxa"/>
            <w:noWrap/>
            <w:hideMark/>
          </w:tcPr>
          <w:p w14:paraId="2B8A7A4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A8149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4CEB132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14A5AF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C909E7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31CAC2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5E04207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83.01</w:t>
            </w:r>
          </w:p>
        </w:tc>
        <w:tc>
          <w:tcPr>
            <w:tcW w:w="900" w:type="dxa"/>
            <w:noWrap/>
            <w:hideMark/>
          </w:tcPr>
          <w:p w14:paraId="5F5F459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92.35</w:t>
            </w:r>
          </w:p>
        </w:tc>
      </w:tr>
      <w:tr w:rsidR="00C0269A" w:rsidRPr="00C67737" w14:paraId="1EC2A8B3"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9BC84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11229</w:t>
            </w:r>
          </w:p>
        </w:tc>
        <w:tc>
          <w:tcPr>
            <w:tcW w:w="5400" w:type="dxa"/>
            <w:noWrap/>
            <w:hideMark/>
          </w:tcPr>
          <w:p w14:paraId="475F920E"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Sustainable Livestock Production to Support Resilient Food Systems, Environment and Rural Livelihoods in Indonesia</w:t>
            </w:r>
          </w:p>
        </w:tc>
        <w:tc>
          <w:tcPr>
            <w:tcW w:w="810" w:type="dxa"/>
            <w:noWrap/>
            <w:hideMark/>
          </w:tcPr>
          <w:p w14:paraId="3872EE6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C303AD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514EDD2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9878CE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034F19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A25749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19F5AD6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117.05</w:t>
            </w:r>
          </w:p>
        </w:tc>
        <w:tc>
          <w:tcPr>
            <w:tcW w:w="900" w:type="dxa"/>
            <w:noWrap/>
            <w:hideMark/>
          </w:tcPr>
          <w:p w14:paraId="010B04C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133.05</w:t>
            </w:r>
          </w:p>
        </w:tc>
      </w:tr>
      <w:tr w:rsidR="00C0269A" w:rsidRPr="00C67737" w14:paraId="5C0245BF"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CE982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11228</w:t>
            </w:r>
          </w:p>
        </w:tc>
        <w:tc>
          <w:tcPr>
            <w:tcW w:w="5400" w:type="dxa"/>
            <w:noWrap/>
            <w:hideMark/>
          </w:tcPr>
          <w:p w14:paraId="0CB0975B"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Transforming Andhra Pradesh Aquaculture to a Sustainable, Reduced Footprint and Climate Resilient Food System</w:t>
            </w:r>
          </w:p>
        </w:tc>
        <w:tc>
          <w:tcPr>
            <w:tcW w:w="810" w:type="dxa"/>
            <w:noWrap/>
            <w:hideMark/>
          </w:tcPr>
          <w:p w14:paraId="6DAB453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E8AB47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0A3B2AD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AE7C85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8FC53B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325801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14.67</w:t>
            </w:r>
          </w:p>
        </w:tc>
        <w:tc>
          <w:tcPr>
            <w:tcW w:w="990" w:type="dxa"/>
            <w:noWrap/>
            <w:hideMark/>
          </w:tcPr>
          <w:p w14:paraId="20AF7A3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112.36</w:t>
            </w:r>
          </w:p>
        </w:tc>
        <w:tc>
          <w:tcPr>
            <w:tcW w:w="900" w:type="dxa"/>
            <w:noWrap/>
            <w:hideMark/>
          </w:tcPr>
          <w:p w14:paraId="06F0B95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127.03</w:t>
            </w:r>
          </w:p>
        </w:tc>
      </w:tr>
      <w:tr w:rsidR="00C0269A" w:rsidRPr="00C67737" w14:paraId="2EB279AC"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3A8AC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11227</w:t>
            </w:r>
          </w:p>
        </w:tc>
        <w:tc>
          <w:tcPr>
            <w:tcW w:w="5400" w:type="dxa"/>
            <w:noWrap/>
            <w:hideMark/>
          </w:tcPr>
          <w:p w14:paraId="06E9C3D7"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Catalyzing Sustainable Aquaculture Systems for South Africa</w:t>
            </w:r>
          </w:p>
        </w:tc>
        <w:tc>
          <w:tcPr>
            <w:tcW w:w="810" w:type="dxa"/>
            <w:noWrap/>
            <w:hideMark/>
          </w:tcPr>
          <w:p w14:paraId="510ACBA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633702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Africa</w:t>
            </w:r>
            <w:proofErr w:type="spellEnd"/>
          </w:p>
        </w:tc>
        <w:tc>
          <w:tcPr>
            <w:tcW w:w="990" w:type="dxa"/>
            <w:noWrap/>
            <w:hideMark/>
          </w:tcPr>
          <w:p w14:paraId="1E6261A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F48590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58CE8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9D324A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5430EB7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31.15</w:t>
            </w:r>
          </w:p>
        </w:tc>
        <w:tc>
          <w:tcPr>
            <w:tcW w:w="900" w:type="dxa"/>
            <w:noWrap/>
            <w:hideMark/>
          </w:tcPr>
          <w:p w14:paraId="73C6DA5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36.48</w:t>
            </w:r>
          </w:p>
        </w:tc>
      </w:tr>
      <w:tr w:rsidR="00C0269A" w:rsidRPr="00C67737" w14:paraId="0282206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F274F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11225</w:t>
            </w:r>
          </w:p>
        </w:tc>
        <w:tc>
          <w:tcPr>
            <w:tcW w:w="5400" w:type="dxa"/>
            <w:noWrap/>
            <w:hideMark/>
          </w:tcPr>
          <w:p w14:paraId="637D9AB1"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Ecological and Low-Carbon Food Systems in China</w:t>
            </w:r>
          </w:p>
        </w:tc>
        <w:tc>
          <w:tcPr>
            <w:tcW w:w="810" w:type="dxa"/>
            <w:noWrap/>
            <w:hideMark/>
          </w:tcPr>
          <w:p w14:paraId="64A461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134A6A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2BE92D0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B723F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8F1CA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EF73B6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20.00</w:t>
            </w:r>
          </w:p>
        </w:tc>
        <w:tc>
          <w:tcPr>
            <w:tcW w:w="990" w:type="dxa"/>
            <w:noWrap/>
            <w:hideMark/>
          </w:tcPr>
          <w:p w14:paraId="7DAFECF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143.20</w:t>
            </w:r>
          </w:p>
        </w:tc>
        <w:tc>
          <w:tcPr>
            <w:tcW w:w="900" w:type="dxa"/>
            <w:noWrap/>
            <w:hideMark/>
          </w:tcPr>
          <w:p w14:paraId="612278D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163.20</w:t>
            </w:r>
          </w:p>
        </w:tc>
      </w:tr>
      <w:tr w:rsidR="00C0269A" w:rsidRPr="00C67737" w14:paraId="3044EAF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20E80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11224</w:t>
            </w:r>
          </w:p>
        </w:tc>
        <w:tc>
          <w:tcPr>
            <w:tcW w:w="5400" w:type="dxa"/>
            <w:noWrap/>
            <w:hideMark/>
          </w:tcPr>
          <w:p w14:paraId="6A7236A0"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Integrated Production of Rice and Secondary Crops using an agroecological Approach in the </w:t>
            </w:r>
            <w:proofErr w:type="spellStart"/>
            <w:r w:rsidRPr="00750129">
              <w:rPr>
                <w:rFonts w:eastAsia="Times New Roman" w:cstheme="minorHAnsi"/>
                <w:color w:val="000000"/>
                <w:sz w:val="16"/>
                <w:szCs w:val="16"/>
                <w:lang w:val="en-US"/>
              </w:rPr>
              <w:t>Tandjilé</w:t>
            </w:r>
            <w:proofErr w:type="spellEnd"/>
            <w:r w:rsidRPr="00750129">
              <w:rPr>
                <w:rFonts w:eastAsia="Times New Roman" w:cstheme="minorHAnsi"/>
                <w:color w:val="000000"/>
                <w:sz w:val="16"/>
                <w:szCs w:val="16"/>
                <w:lang w:val="en-US"/>
              </w:rPr>
              <w:t xml:space="preserve"> Province</w:t>
            </w:r>
          </w:p>
        </w:tc>
        <w:tc>
          <w:tcPr>
            <w:tcW w:w="810" w:type="dxa"/>
            <w:noWrap/>
            <w:hideMark/>
          </w:tcPr>
          <w:p w14:paraId="3AA6800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08B4A1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Chad</w:t>
            </w:r>
          </w:p>
        </w:tc>
        <w:tc>
          <w:tcPr>
            <w:tcW w:w="990" w:type="dxa"/>
            <w:noWrap/>
            <w:hideMark/>
          </w:tcPr>
          <w:p w14:paraId="1AA6264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316538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A8FE3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D1FFD2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4.33</w:t>
            </w:r>
          </w:p>
        </w:tc>
        <w:tc>
          <w:tcPr>
            <w:tcW w:w="990" w:type="dxa"/>
            <w:noWrap/>
            <w:hideMark/>
          </w:tcPr>
          <w:p w14:paraId="0F3FD64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20.15</w:t>
            </w:r>
          </w:p>
        </w:tc>
        <w:tc>
          <w:tcPr>
            <w:tcW w:w="900" w:type="dxa"/>
            <w:noWrap/>
            <w:hideMark/>
          </w:tcPr>
          <w:p w14:paraId="1F0C271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24.48</w:t>
            </w:r>
          </w:p>
        </w:tc>
      </w:tr>
      <w:tr w:rsidR="00C0269A" w:rsidRPr="00C67737" w14:paraId="15FD557F"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F6A30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11223</w:t>
            </w:r>
          </w:p>
        </w:tc>
        <w:tc>
          <w:tcPr>
            <w:tcW w:w="5400" w:type="dxa"/>
            <w:noWrap/>
            <w:hideMark/>
          </w:tcPr>
          <w:p w14:paraId="36D91E35"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Productive and Sustainable Food Systems in Bhutan for Environmental Benefits and Gross National Happiness</w:t>
            </w:r>
          </w:p>
        </w:tc>
        <w:tc>
          <w:tcPr>
            <w:tcW w:w="810" w:type="dxa"/>
            <w:noWrap/>
            <w:hideMark/>
          </w:tcPr>
          <w:p w14:paraId="4268A8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422859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Bhutan</w:t>
            </w:r>
          </w:p>
        </w:tc>
        <w:tc>
          <w:tcPr>
            <w:tcW w:w="990" w:type="dxa"/>
            <w:noWrap/>
            <w:hideMark/>
          </w:tcPr>
          <w:p w14:paraId="7B6CD0B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890FAC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CF100D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4BA884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530A166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49.66</w:t>
            </w:r>
          </w:p>
        </w:tc>
        <w:tc>
          <w:tcPr>
            <w:tcW w:w="900" w:type="dxa"/>
            <w:noWrap/>
            <w:hideMark/>
          </w:tcPr>
          <w:p w14:paraId="45096F3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60.33</w:t>
            </w:r>
          </w:p>
        </w:tc>
      </w:tr>
      <w:tr w:rsidR="00C0269A" w:rsidRPr="00C67737" w14:paraId="293F016E"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C5B6E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11222</w:t>
            </w:r>
          </w:p>
        </w:tc>
        <w:tc>
          <w:tcPr>
            <w:tcW w:w="5400" w:type="dxa"/>
            <w:noWrap/>
            <w:hideMark/>
          </w:tcPr>
          <w:p w14:paraId="6606F750"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Promoting Nature Positive Food Systems in Burkina Faso</w:t>
            </w:r>
          </w:p>
        </w:tc>
        <w:tc>
          <w:tcPr>
            <w:tcW w:w="810" w:type="dxa"/>
            <w:noWrap/>
            <w:hideMark/>
          </w:tcPr>
          <w:p w14:paraId="344A9CC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D6CE9D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Burkina Faso</w:t>
            </w:r>
          </w:p>
        </w:tc>
        <w:tc>
          <w:tcPr>
            <w:tcW w:w="990" w:type="dxa"/>
            <w:noWrap/>
            <w:hideMark/>
          </w:tcPr>
          <w:p w14:paraId="4653A06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13CFA8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B6359C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D78914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c>
          <w:tcPr>
            <w:tcW w:w="990" w:type="dxa"/>
            <w:noWrap/>
            <w:hideMark/>
          </w:tcPr>
          <w:p w14:paraId="756ACE4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53.91</w:t>
            </w:r>
          </w:p>
        </w:tc>
        <w:tc>
          <w:tcPr>
            <w:tcW w:w="900" w:type="dxa"/>
            <w:noWrap/>
            <w:hideMark/>
          </w:tcPr>
          <w:p w14:paraId="1D78401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65.91</w:t>
            </w:r>
          </w:p>
        </w:tc>
      </w:tr>
      <w:tr w:rsidR="00C0269A" w:rsidRPr="00C67737" w14:paraId="19DE619C"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269B5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11221</w:t>
            </w:r>
          </w:p>
        </w:tc>
        <w:tc>
          <w:tcPr>
            <w:tcW w:w="5400" w:type="dxa"/>
            <w:noWrap/>
            <w:hideMark/>
          </w:tcPr>
          <w:p w14:paraId="71227C9F"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Regenerative Livestock Farming to Promote Sustainable Landscapes</w:t>
            </w:r>
          </w:p>
        </w:tc>
        <w:tc>
          <w:tcPr>
            <w:tcW w:w="810" w:type="dxa"/>
            <w:noWrap/>
            <w:hideMark/>
          </w:tcPr>
          <w:p w14:paraId="5313D12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A4AB21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5E9EBA5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A5EF52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7F0457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7A6C89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14.67</w:t>
            </w:r>
          </w:p>
        </w:tc>
        <w:tc>
          <w:tcPr>
            <w:tcW w:w="990" w:type="dxa"/>
            <w:noWrap/>
            <w:hideMark/>
          </w:tcPr>
          <w:p w14:paraId="34693BC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104.75</w:t>
            </w:r>
          </w:p>
        </w:tc>
        <w:tc>
          <w:tcPr>
            <w:tcW w:w="900" w:type="dxa"/>
            <w:noWrap/>
            <w:hideMark/>
          </w:tcPr>
          <w:p w14:paraId="4426A6E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119.42</w:t>
            </w:r>
          </w:p>
        </w:tc>
      </w:tr>
      <w:tr w:rsidR="00C0269A" w:rsidRPr="00C67737" w14:paraId="2C7AE3F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53682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11220</w:t>
            </w:r>
          </w:p>
        </w:tc>
        <w:tc>
          <w:tcPr>
            <w:tcW w:w="5400" w:type="dxa"/>
            <w:noWrap/>
            <w:hideMark/>
          </w:tcPr>
          <w:p w14:paraId="31CF68C6"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Scaling-up Regenerative Practices for the Recovery and Improvements of Soils, Biodiversity, and Associated Ecosystem Services in the Chilean Agricultural Sector</w:t>
            </w:r>
          </w:p>
        </w:tc>
        <w:tc>
          <w:tcPr>
            <w:tcW w:w="810" w:type="dxa"/>
            <w:noWrap/>
            <w:hideMark/>
          </w:tcPr>
          <w:p w14:paraId="7CF34E2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D09C69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1B14977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002F5A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C96466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C17D59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396A6A1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32.59</w:t>
            </w:r>
          </w:p>
        </w:tc>
        <w:tc>
          <w:tcPr>
            <w:tcW w:w="900" w:type="dxa"/>
            <w:noWrap/>
            <w:hideMark/>
          </w:tcPr>
          <w:p w14:paraId="4275639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39.26</w:t>
            </w:r>
          </w:p>
        </w:tc>
      </w:tr>
      <w:tr w:rsidR="00C0269A" w:rsidRPr="00C67737" w14:paraId="66875A25"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88261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11219</w:t>
            </w:r>
          </w:p>
        </w:tc>
        <w:tc>
          <w:tcPr>
            <w:tcW w:w="5400" w:type="dxa"/>
            <w:noWrap/>
            <w:hideMark/>
          </w:tcPr>
          <w:p w14:paraId="5F2B06E4"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Sustainable Livestock in the Forest Region of the Argentine Parque </w:t>
            </w:r>
            <w:proofErr w:type="spellStart"/>
            <w:r w:rsidRPr="00750129">
              <w:rPr>
                <w:rFonts w:eastAsia="Times New Roman" w:cstheme="minorHAnsi"/>
                <w:color w:val="000000"/>
                <w:sz w:val="16"/>
                <w:szCs w:val="16"/>
                <w:lang w:val="en-US"/>
              </w:rPr>
              <w:t>Chaqueño</w:t>
            </w:r>
            <w:proofErr w:type="spellEnd"/>
            <w:r w:rsidRPr="00750129">
              <w:rPr>
                <w:rFonts w:eastAsia="Times New Roman" w:cstheme="minorHAnsi"/>
                <w:color w:val="000000"/>
                <w:sz w:val="16"/>
                <w:szCs w:val="16"/>
                <w:lang w:val="en-US"/>
              </w:rPr>
              <w:t xml:space="preserve"> through Forest Management with Integrated Livestock </w:t>
            </w:r>
          </w:p>
        </w:tc>
        <w:tc>
          <w:tcPr>
            <w:tcW w:w="810" w:type="dxa"/>
            <w:noWrap/>
            <w:hideMark/>
          </w:tcPr>
          <w:p w14:paraId="10B4494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F6CC03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Argentina</w:t>
            </w:r>
          </w:p>
        </w:tc>
        <w:tc>
          <w:tcPr>
            <w:tcW w:w="990" w:type="dxa"/>
            <w:noWrap/>
            <w:hideMark/>
          </w:tcPr>
          <w:p w14:paraId="3A164B5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454B77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10E79C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362168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4506964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10.42</w:t>
            </w:r>
          </w:p>
        </w:tc>
        <w:tc>
          <w:tcPr>
            <w:tcW w:w="900" w:type="dxa"/>
            <w:noWrap/>
            <w:hideMark/>
          </w:tcPr>
          <w:p w14:paraId="28BFF0D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15.76</w:t>
            </w:r>
          </w:p>
        </w:tc>
      </w:tr>
      <w:tr w:rsidR="00C0269A" w:rsidRPr="00C67737" w14:paraId="4A325070"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9A28D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11218</w:t>
            </w:r>
          </w:p>
        </w:tc>
        <w:tc>
          <w:tcPr>
            <w:tcW w:w="5400" w:type="dxa"/>
            <w:noWrap/>
            <w:hideMark/>
          </w:tcPr>
          <w:p w14:paraId="421C9891"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Child Project Food Systems Integrated Programme</w:t>
            </w:r>
          </w:p>
        </w:tc>
        <w:tc>
          <w:tcPr>
            <w:tcW w:w="810" w:type="dxa"/>
            <w:noWrap/>
            <w:hideMark/>
          </w:tcPr>
          <w:p w14:paraId="5E15C6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4793F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Costa Rica</w:t>
            </w:r>
          </w:p>
        </w:tc>
        <w:tc>
          <w:tcPr>
            <w:tcW w:w="990" w:type="dxa"/>
            <w:noWrap/>
            <w:hideMark/>
          </w:tcPr>
          <w:p w14:paraId="3A8424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A858AC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029726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1175E6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6.53</w:t>
            </w:r>
          </w:p>
        </w:tc>
        <w:tc>
          <w:tcPr>
            <w:tcW w:w="990" w:type="dxa"/>
            <w:noWrap/>
            <w:hideMark/>
          </w:tcPr>
          <w:p w14:paraId="788D155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37.70</w:t>
            </w:r>
          </w:p>
        </w:tc>
        <w:tc>
          <w:tcPr>
            <w:tcW w:w="900" w:type="dxa"/>
            <w:noWrap/>
            <w:hideMark/>
          </w:tcPr>
          <w:p w14:paraId="5778A3D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44.24</w:t>
            </w:r>
          </w:p>
        </w:tc>
      </w:tr>
      <w:tr w:rsidR="00C0269A" w:rsidRPr="00C67737" w14:paraId="3DDD705A"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44B0A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11217</w:t>
            </w:r>
          </w:p>
        </w:tc>
        <w:tc>
          <w:tcPr>
            <w:tcW w:w="5400" w:type="dxa"/>
            <w:noWrap/>
            <w:hideMark/>
          </w:tcPr>
          <w:p w14:paraId="7139D9F2"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Sustainable Food Systems for Greater Resilience and Food &amp; Nutrition Security in Benin</w:t>
            </w:r>
          </w:p>
        </w:tc>
        <w:tc>
          <w:tcPr>
            <w:tcW w:w="810" w:type="dxa"/>
            <w:noWrap/>
            <w:hideMark/>
          </w:tcPr>
          <w:p w14:paraId="536B0C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CCF5B2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Benin</w:t>
            </w:r>
          </w:p>
        </w:tc>
        <w:tc>
          <w:tcPr>
            <w:tcW w:w="990" w:type="dxa"/>
            <w:noWrap/>
            <w:hideMark/>
          </w:tcPr>
          <w:p w14:paraId="49E957B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7D5D75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1B2639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3A2986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7FBD826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14.80</w:t>
            </w:r>
          </w:p>
        </w:tc>
        <w:tc>
          <w:tcPr>
            <w:tcW w:w="900" w:type="dxa"/>
            <w:noWrap/>
            <w:hideMark/>
          </w:tcPr>
          <w:p w14:paraId="243FC7B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21.47</w:t>
            </w:r>
          </w:p>
        </w:tc>
      </w:tr>
      <w:tr w:rsidR="00C0269A" w:rsidRPr="00C67737" w14:paraId="10C0C0FA"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2C015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11216</w:t>
            </w:r>
          </w:p>
        </w:tc>
        <w:tc>
          <w:tcPr>
            <w:tcW w:w="5400" w:type="dxa"/>
            <w:noWrap/>
            <w:hideMark/>
          </w:tcPr>
          <w:p w14:paraId="7A3D305D"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Integrated Land and Water Management for Food, Water and Climate Security in the Dairy Food System</w:t>
            </w:r>
          </w:p>
        </w:tc>
        <w:tc>
          <w:tcPr>
            <w:tcW w:w="810" w:type="dxa"/>
            <w:noWrap/>
            <w:hideMark/>
          </w:tcPr>
          <w:p w14:paraId="1875491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6680A63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707600D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A0B4F6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EF1589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BE15C2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7F99D55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38.74</w:t>
            </w:r>
          </w:p>
        </w:tc>
        <w:tc>
          <w:tcPr>
            <w:tcW w:w="900" w:type="dxa"/>
            <w:noWrap/>
            <w:hideMark/>
          </w:tcPr>
          <w:p w14:paraId="4B9AE7F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46.74</w:t>
            </w:r>
          </w:p>
        </w:tc>
      </w:tr>
      <w:tr w:rsidR="00C0269A" w:rsidRPr="00C67737" w14:paraId="25878C4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B7E1A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11215</w:t>
            </w:r>
          </w:p>
        </w:tc>
        <w:tc>
          <w:tcPr>
            <w:tcW w:w="5400" w:type="dxa"/>
            <w:noWrap/>
            <w:hideMark/>
          </w:tcPr>
          <w:p w14:paraId="2259A62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 Coordination Project</w:t>
            </w:r>
          </w:p>
        </w:tc>
        <w:tc>
          <w:tcPr>
            <w:tcW w:w="810" w:type="dxa"/>
            <w:noWrap/>
            <w:hideMark/>
          </w:tcPr>
          <w:p w14:paraId="64480D1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B2C27C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7FE6B5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6679F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05057E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5492B7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20.20</w:t>
            </w:r>
          </w:p>
        </w:tc>
        <w:tc>
          <w:tcPr>
            <w:tcW w:w="990" w:type="dxa"/>
            <w:noWrap/>
            <w:hideMark/>
          </w:tcPr>
          <w:p w14:paraId="3316037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194.08</w:t>
            </w:r>
          </w:p>
        </w:tc>
        <w:tc>
          <w:tcPr>
            <w:tcW w:w="900" w:type="dxa"/>
            <w:noWrap/>
            <w:hideMark/>
          </w:tcPr>
          <w:p w14:paraId="6E90011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214.28</w:t>
            </w:r>
          </w:p>
        </w:tc>
      </w:tr>
      <w:tr w:rsidR="00C0269A" w:rsidRPr="00C67737" w14:paraId="6FACC6F7"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1E4CF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11241</w:t>
            </w:r>
          </w:p>
        </w:tc>
        <w:tc>
          <w:tcPr>
            <w:tcW w:w="5400" w:type="dxa"/>
            <w:noWrap/>
            <w:hideMark/>
          </w:tcPr>
          <w:p w14:paraId="117CC97A"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CA5A8A">
              <w:rPr>
                <w:rFonts w:eastAsia="Times New Roman" w:cstheme="minorHAnsi"/>
                <w:b/>
                <w:bCs/>
                <w:color w:val="000000"/>
                <w:sz w:val="16"/>
                <w:szCs w:val="16"/>
                <w:lang w:val="en-US"/>
              </w:rPr>
              <w:t>Congo Critical Forest Biome Integrated Program</w:t>
            </w:r>
          </w:p>
        </w:tc>
        <w:tc>
          <w:tcPr>
            <w:tcW w:w="810" w:type="dxa"/>
            <w:noWrap/>
            <w:hideMark/>
          </w:tcPr>
          <w:p w14:paraId="7B4A03F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UNEP</w:t>
            </w:r>
          </w:p>
        </w:tc>
        <w:tc>
          <w:tcPr>
            <w:tcW w:w="990" w:type="dxa"/>
            <w:noWrap/>
            <w:hideMark/>
          </w:tcPr>
          <w:p w14:paraId="61861E5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7147287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51E7C81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43F45EE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10E93BA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5EA3366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366C315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C0269A" w:rsidRPr="00C67737" w14:paraId="3D5E518A"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59EA1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11248</w:t>
            </w:r>
          </w:p>
        </w:tc>
        <w:tc>
          <w:tcPr>
            <w:tcW w:w="5400" w:type="dxa"/>
            <w:noWrap/>
            <w:hideMark/>
          </w:tcPr>
          <w:p w14:paraId="5E755D39"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 xml:space="preserve">Amazon Congo Critical Forest Biomes: UNEP’s Regional Coordination Project for The Congo Basin Integrated Program </w:t>
            </w:r>
          </w:p>
        </w:tc>
        <w:tc>
          <w:tcPr>
            <w:tcW w:w="810" w:type="dxa"/>
            <w:noWrap/>
            <w:hideMark/>
          </w:tcPr>
          <w:p w14:paraId="578645B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52E9BC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81A46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30EB0D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5A28E4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8383A4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302016B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41.58</w:t>
            </w:r>
          </w:p>
        </w:tc>
        <w:tc>
          <w:tcPr>
            <w:tcW w:w="900" w:type="dxa"/>
            <w:noWrap/>
            <w:hideMark/>
          </w:tcPr>
          <w:p w14:paraId="5A139C4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49.58</w:t>
            </w:r>
          </w:p>
        </w:tc>
      </w:tr>
      <w:tr w:rsidR="00C0269A" w:rsidRPr="00C67737" w14:paraId="4A496681"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6AF27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11247</w:t>
            </w:r>
          </w:p>
        </w:tc>
        <w:tc>
          <w:tcPr>
            <w:tcW w:w="5400" w:type="dxa"/>
            <w:noWrap/>
            <w:hideMark/>
          </w:tcPr>
          <w:p w14:paraId="2FE5EA66"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Developing Biodiversity and Biocarbon Finance Financing Instruments for Conserving Forests in Equatorial Guinea through Improved Livelihoods for Indigenous Peoples and Local Communities</w:t>
            </w:r>
          </w:p>
        </w:tc>
        <w:tc>
          <w:tcPr>
            <w:tcW w:w="810" w:type="dxa"/>
            <w:noWrap/>
            <w:hideMark/>
          </w:tcPr>
          <w:p w14:paraId="225E12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E0B35C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Equatorial </w:t>
            </w:r>
            <w:proofErr w:type="spellStart"/>
            <w:r w:rsidRPr="00C67737">
              <w:rPr>
                <w:rFonts w:eastAsia="Times New Roman" w:cstheme="minorHAnsi"/>
                <w:color w:val="000000"/>
                <w:sz w:val="16"/>
                <w:szCs w:val="16"/>
              </w:rPr>
              <w:t>Guinea</w:t>
            </w:r>
            <w:proofErr w:type="spellEnd"/>
          </w:p>
        </w:tc>
        <w:tc>
          <w:tcPr>
            <w:tcW w:w="990" w:type="dxa"/>
            <w:noWrap/>
            <w:hideMark/>
          </w:tcPr>
          <w:p w14:paraId="5F1AB9C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F56FB9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6FF7F7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2C9D25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4.67</w:t>
            </w:r>
          </w:p>
        </w:tc>
        <w:tc>
          <w:tcPr>
            <w:tcW w:w="990" w:type="dxa"/>
            <w:noWrap/>
            <w:hideMark/>
          </w:tcPr>
          <w:p w14:paraId="43984DB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34.00</w:t>
            </w:r>
          </w:p>
        </w:tc>
        <w:tc>
          <w:tcPr>
            <w:tcW w:w="900" w:type="dxa"/>
            <w:noWrap/>
            <w:hideMark/>
          </w:tcPr>
          <w:p w14:paraId="44E96EB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38.67</w:t>
            </w:r>
          </w:p>
        </w:tc>
      </w:tr>
      <w:tr w:rsidR="00C0269A" w:rsidRPr="00C67737" w14:paraId="7012F6B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EE3EA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11246</w:t>
            </w:r>
          </w:p>
        </w:tc>
        <w:tc>
          <w:tcPr>
            <w:tcW w:w="5400" w:type="dxa"/>
            <w:noWrap/>
            <w:hideMark/>
          </w:tcPr>
          <w:p w14:paraId="5AE653B3"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Integrated Community-based Management of High Value Forest Ecosystems in Southwestern Central African Republic, to Safeguard Globally Outstanding Biodiversity, Carbon Stock and Ecosystem Services from Key Threats, particularly Unsustainable Land Use</w:t>
            </w:r>
          </w:p>
        </w:tc>
        <w:tc>
          <w:tcPr>
            <w:tcW w:w="810" w:type="dxa"/>
            <w:noWrap/>
            <w:hideMark/>
          </w:tcPr>
          <w:p w14:paraId="5125DB5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45D306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Central </w:t>
            </w:r>
            <w:proofErr w:type="spellStart"/>
            <w:r w:rsidRPr="00C67737">
              <w:rPr>
                <w:rFonts w:eastAsia="Times New Roman" w:cstheme="minorHAnsi"/>
                <w:color w:val="000000"/>
                <w:sz w:val="16"/>
                <w:szCs w:val="16"/>
              </w:rPr>
              <w:t>African</w:t>
            </w:r>
            <w:proofErr w:type="spellEnd"/>
            <w:r w:rsidRPr="00C67737">
              <w:rPr>
                <w:rFonts w:eastAsia="Times New Roman" w:cstheme="minorHAnsi"/>
                <w:color w:val="000000"/>
                <w:sz w:val="16"/>
                <w:szCs w:val="16"/>
              </w:rPr>
              <w:t xml:space="preserve"> Republic</w:t>
            </w:r>
          </w:p>
        </w:tc>
        <w:tc>
          <w:tcPr>
            <w:tcW w:w="990" w:type="dxa"/>
            <w:noWrap/>
            <w:hideMark/>
          </w:tcPr>
          <w:p w14:paraId="7616293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B39233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A08B9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BCE442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9.13</w:t>
            </w:r>
          </w:p>
        </w:tc>
        <w:tc>
          <w:tcPr>
            <w:tcW w:w="990" w:type="dxa"/>
            <w:noWrap/>
            <w:hideMark/>
          </w:tcPr>
          <w:p w14:paraId="631A285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65.41</w:t>
            </w:r>
          </w:p>
        </w:tc>
        <w:tc>
          <w:tcPr>
            <w:tcW w:w="900" w:type="dxa"/>
            <w:noWrap/>
            <w:hideMark/>
          </w:tcPr>
          <w:p w14:paraId="7D8B9D0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74.54</w:t>
            </w:r>
          </w:p>
        </w:tc>
      </w:tr>
      <w:tr w:rsidR="00C0269A" w:rsidRPr="00C67737" w14:paraId="13935AFB"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8EE18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11245</w:t>
            </w:r>
          </w:p>
        </w:tc>
        <w:tc>
          <w:tcPr>
            <w:tcW w:w="5400" w:type="dxa"/>
            <w:noWrap/>
            <w:hideMark/>
          </w:tcPr>
          <w:p w14:paraId="5E6DFFC8"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Sustainable Management of the </w:t>
            </w:r>
            <w:proofErr w:type="spellStart"/>
            <w:r w:rsidRPr="00750129">
              <w:rPr>
                <w:rFonts w:eastAsia="Times New Roman" w:cstheme="minorHAnsi"/>
                <w:color w:val="000000"/>
                <w:sz w:val="16"/>
                <w:szCs w:val="16"/>
                <w:lang w:val="en-US"/>
              </w:rPr>
              <w:t>Mayombe</w:t>
            </w:r>
            <w:proofErr w:type="spellEnd"/>
            <w:r w:rsidRPr="00750129">
              <w:rPr>
                <w:rFonts w:eastAsia="Times New Roman" w:cstheme="minorHAnsi"/>
                <w:color w:val="000000"/>
                <w:sz w:val="16"/>
                <w:szCs w:val="16"/>
                <w:lang w:val="en-US"/>
              </w:rPr>
              <w:t xml:space="preserve">, </w:t>
            </w:r>
            <w:proofErr w:type="spellStart"/>
            <w:r w:rsidRPr="00750129">
              <w:rPr>
                <w:rFonts w:eastAsia="Times New Roman" w:cstheme="minorHAnsi"/>
                <w:color w:val="000000"/>
                <w:sz w:val="16"/>
                <w:szCs w:val="16"/>
                <w:lang w:val="en-US"/>
              </w:rPr>
              <w:t>Oubangui</w:t>
            </w:r>
            <w:proofErr w:type="spellEnd"/>
            <w:r w:rsidRPr="00750129">
              <w:rPr>
                <w:rFonts w:eastAsia="Times New Roman" w:cstheme="minorHAnsi"/>
                <w:color w:val="000000"/>
                <w:sz w:val="16"/>
                <w:szCs w:val="16"/>
                <w:lang w:val="en-US"/>
              </w:rPr>
              <w:t xml:space="preserve"> and Maï Ndombe Tropical Forest Landscapes to Facilitate Conservation of Natural Resources, Local Development, Food Security and Climate Change Mitigation in DRC</w:t>
            </w:r>
          </w:p>
        </w:tc>
        <w:tc>
          <w:tcPr>
            <w:tcW w:w="810" w:type="dxa"/>
            <w:noWrap/>
            <w:hideMark/>
          </w:tcPr>
          <w:p w14:paraId="3CFA876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72295B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Congo DR</w:t>
            </w:r>
          </w:p>
        </w:tc>
        <w:tc>
          <w:tcPr>
            <w:tcW w:w="990" w:type="dxa"/>
            <w:noWrap/>
            <w:hideMark/>
          </w:tcPr>
          <w:p w14:paraId="37B76C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2C89F8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59D65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24E763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17.13</w:t>
            </w:r>
          </w:p>
        </w:tc>
        <w:tc>
          <w:tcPr>
            <w:tcW w:w="990" w:type="dxa"/>
            <w:noWrap/>
            <w:hideMark/>
          </w:tcPr>
          <w:p w14:paraId="471A169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80.00</w:t>
            </w:r>
          </w:p>
        </w:tc>
        <w:tc>
          <w:tcPr>
            <w:tcW w:w="900" w:type="dxa"/>
            <w:noWrap/>
            <w:hideMark/>
          </w:tcPr>
          <w:p w14:paraId="4EE0727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97.13</w:t>
            </w:r>
          </w:p>
        </w:tc>
      </w:tr>
      <w:tr w:rsidR="00C0269A" w:rsidRPr="00C67737" w14:paraId="5AEC8B0B"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16015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11243</w:t>
            </w:r>
          </w:p>
        </w:tc>
        <w:tc>
          <w:tcPr>
            <w:tcW w:w="5400" w:type="dxa"/>
            <w:noWrap/>
            <w:hideMark/>
          </w:tcPr>
          <w:p w14:paraId="423D2165"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São Tomé e Príncipe's intact forests - the </w:t>
            </w:r>
            <w:proofErr w:type="spellStart"/>
            <w:r w:rsidRPr="00750129">
              <w:rPr>
                <w:rFonts w:eastAsia="Times New Roman" w:cstheme="minorHAnsi"/>
                <w:color w:val="000000"/>
                <w:sz w:val="16"/>
                <w:szCs w:val="16"/>
                <w:lang w:val="en-US"/>
              </w:rPr>
              <w:t>Obô</w:t>
            </w:r>
            <w:proofErr w:type="spellEnd"/>
            <w:r w:rsidRPr="00750129">
              <w:rPr>
                <w:rFonts w:eastAsia="Times New Roman" w:cstheme="minorHAnsi"/>
                <w:color w:val="000000"/>
                <w:sz w:val="16"/>
                <w:szCs w:val="16"/>
                <w:lang w:val="en-US"/>
              </w:rPr>
              <w:t xml:space="preserve"> Natural Parks and their Buffer Zones: a Treasure to Conserve and Restore</w:t>
            </w:r>
          </w:p>
        </w:tc>
        <w:tc>
          <w:tcPr>
            <w:tcW w:w="810" w:type="dxa"/>
            <w:noWrap/>
            <w:hideMark/>
          </w:tcPr>
          <w:p w14:paraId="3E36F6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D9CAD4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Sao Tome and Principe</w:t>
            </w:r>
          </w:p>
        </w:tc>
        <w:tc>
          <w:tcPr>
            <w:tcW w:w="990" w:type="dxa"/>
            <w:noWrap/>
            <w:hideMark/>
          </w:tcPr>
          <w:p w14:paraId="5EAF550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75DD32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57A17F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7F663A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7.29</w:t>
            </w:r>
          </w:p>
        </w:tc>
        <w:tc>
          <w:tcPr>
            <w:tcW w:w="990" w:type="dxa"/>
            <w:noWrap/>
            <w:hideMark/>
          </w:tcPr>
          <w:p w14:paraId="3259E05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12.70</w:t>
            </w:r>
          </w:p>
        </w:tc>
        <w:tc>
          <w:tcPr>
            <w:tcW w:w="900" w:type="dxa"/>
            <w:noWrap/>
            <w:hideMark/>
          </w:tcPr>
          <w:p w14:paraId="3D0098A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19.98</w:t>
            </w:r>
          </w:p>
        </w:tc>
      </w:tr>
      <w:tr w:rsidR="00C0269A" w:rsidRPr="00C67737" w14:paraId="4DA39707"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9EF91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11242</w:t>
            </w:r>
          </w:p>
        </w:tc>
        <w:tc>
          <w:tcPr>
            <w:tcW w:w="5400" w:type="dxa"/>
            <w:noWrap/>
            <w:hideMark/>
          </w:tcPr>
          <w:p w14:paraId="50C5D35F"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Strengthening Governance and Ecosystem Connectivity for Biodiversity Conservation and Improved Livelihoods in the Dja Landscape</w:t>
            </w:r>
          </w:p>
        </w:tc>
        <w:tc>
          <w:tcPr>
            <w:tcW w:w="810" w:type="dxa"/>
            <w:noWrap/>
            <w:hideMark/>
          </w:tcPr>
          <w:p w14:paraId="504AC75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FCD462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Cameroon</w:t>
            </w:r>
            <w:proofErr w:type="spellEnd"/>
          </w:p>
        </w:tc>
        <w:tc>
          <w:tcPr>
            <w:tcW w:w="990" w:type="dxa"/>
            <w:noWrap/>
            <w:hideMark/>
          </w:tcPr>
          <w:p w14:paraId="6109ADF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B64E95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957FF3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FE81BE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c>
          <w:tcPr>
            <w:tcW w:w="990" w:type="dxa"/>
            <w:noWrap/>
            <w:hideMark/>
          </w:tcPr>
          <w:p w14:paraId="46827AA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101.80</w:t>
            </w:r>
          </w:p>
        </w:tc>
        <w:tc>
          <w:tcPr>
            <w:tcW w:w="900" w:type="dxa"/>
            <w:noWrap/>
            <w:hideMark/>
          </w:tcPr>
          <w:p w14:paraId="16A8326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113.80</w:t>
            </w:r>
          </w:p>
        </w:tc>
      </w:tr>
      <w:tr w:rsidR="00C0269A" w:rsidRPr="00C67737" w14:paraId="2173AB5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E5C50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11250</w:t>
            </w:r>
          </w:p>
        </w:tc>
        <w:tc>
          <w:tcPr>
            <w:tcW w:w="5400" w:type="dxa"/>
            <w:noWrap/>
            <w:hideMark/>
          </w:tcPr>
          <w:p w14:paraId="64C577EF"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750129">
              <w:rPr>
                <w:rFonts w:eastAsia="Times New Roman" w:cstheme="minorHAnsi"/>
                <w:b/>
                <w:bCs/>
                <w:color w:val="000000"/>
                <w:sz w:val="16"/>
                <w:szCs w:val="16"/>
                <w:lang w:val="en-US"/>
              </w:rPr>
              <w:t>Blue and Green Island Integrated Programme</w:t>
            </w:r>
          </w:p>
        </w:tc>
        <w:tc>
          <w:tcPr>
            <w:tcW w:w="810" w:type="dxa"/>
            <w:noWrap/>
            <w:hideMark/>
          </w:tcPr>
          <w:p w14:paraId="0697017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UNDP</w:t>
            </w:r>
          </w:p>
        </w:tc>
        <w:tc>
          <w:tcPr>
            <w:tcW w:w="990" w:type="dxa"/>
            <w:noWrap/>
            <w:hideMark/>
          </w:tcPr>
          <w:p w14:paraId="6A1FEC7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65BED6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6542C32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4D4552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777661A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138E0F2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4BE814D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C0269A" w:rsidRPr="00C67737" w14:paraId="2CE33AE8"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80BD0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11266</w:t>
            </w:r>
          </w:p>
        </w:tc>
        <w:tc>
          <w:tcPr>
            <w:tcW w:w="5400" w:type="dxa"/>
            <w:noWrap/>
            <w:hideMark/>
          </w:tcPr>
          <w:p w14:paraId="7EE1D8D7"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BGI IP Global Coordination Project</w:t>
            </w:r>
          </w:p>
        </w:tc>
        <w:tc>
          <w:tcPr>
            <w:tcW w:w="810" w:type="dxa"/>
            <w:noWrap/>
            <w:hideMark/>
          </w:tcPr>
          <w:p w14:paraId="39489BA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1873C2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C1B03F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37357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AE0268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433E75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15.70</w:t>
            </w:r>
          </w:p>
        </w:tc>
        <w:tc>
          <w:tcPr>
            <w:tcW w:w="990" w:type="dxa"/>
            <w:noWrap/>
            <w:hideMark/>
          </w:tcPr>
          <w:p w14:paraId="763E883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46.96</w:t>
            </w:r>
          </w:p>
        </w:tc>
        <w:tc>
          <w:tcPr>
            <w:tcW w:w="900" w:type="dxa"/>
            <w:noWrap/>
            <w:hideMark/>
          </w:tcPr>
          <w:p w14:paraId="57FD564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62.66</w:t>
            </w:r>
          </w:p>
        </w:tc>
      </w:tr>
      <w:tr w:rsidR="00C0269A" w:rsidRPr="00C67737" w14:paraId="79EF781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57A5B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11265</w:t>
            </w:r>
          </w:p>
        </w:tc>
        <w:tc>
          <w:tcPr>
            <w:tcW w:w="5400" w:type="dxa"/>
            <w:noWrap/>
            <w:hideMark/>
          </w:tcPr>
          <w:p w14:paraId="517CD8E9"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Restoring and Protecting Biodiversity, Coastal Landscapes, and Climate Change Resilience through Nature Based Solutions, Women and Youth Entrepreneurship in Vanuatu</w:t>
            </w:r>
          </w:p>
        </w:tc>
        <w:tc>
          <w:tcPr>
            <w:tcW w:w="810" w:type="dxa"/>
            <w:noWrap/>
            <w:hideMark/>
          </w:tcPr>
          <w:p w14:paraId="3D9A396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099580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Vanuatu</w:t>
            </w:r>
          </w:p>
        </w:tc>
        <w:tc>
          <w:tcPr>
            <w:tcW w:w="990" w:type="dxa"/>
            <w:noWrap/>
            <w:hideMark/>
          </w:tcPr>
          <w:p w14:paraId="75D2A0B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C6C71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75315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97B2C8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4.45</w:t>
            </w:r>
          </w:p>
        </w:tc>
        <w:tc>
          <w:tcPr>
            <w:tcW w:w="990" w:type="dxa"/>
            <w:noWrap/>
            <w:hideMark/>
          </w:tcPr>
          <w:p w14:paraId="756753E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29.09</w:t>
            </w:r>
          </w:p>
        </w:tc>
        <w:tc>
          <w:tcPr>
            <w:tcW w:w="900" w:type="dxa"/>
            <w:noWrap/>
            <w:hideMark/>
          </w:tcPr>
          <w:p w14:paraId="180B05F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33.55</w:t>
            </w:r>
          </w:p>
        </w:tc>
      </w:tr>
      <w:tr w:rsidR="00C0269A" w:rsidRPr="00C67737" w14:paraId="1C4AD050"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DE00A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11264</w:t>
            </w:r>
          </w:p>
        </w:tc>
        <w:tc>
          <w:tcPr>
            <w:tcW w:w="5400" w:type="dxa"/>
            <w:noWrap/>
            <w:hideMark/>
          </w:tcPr>
          <w:p w14:paraId="49CB4CC0"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Valuing Nature and Nature-based Solutions for Sustainable Blue and Green Pathways for the Tourism, Food and Urban Sectors in Saint Lucia</w:t>
            </w:r>
          </w:p>
        </w:tc>
        <w:tc>
          <w:tcPr>
            <w:tcW w:w="810" w:type="dxa"/>
            <w:noWrap/>
            <w:hideMark/>
          </w:tcPr>
          <w:p w14:paraId="174C2C0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040FC6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 Lucia</w:t>
            </w:r>
          </w:p>
        </w:tc>
        <w:tc>
          <w:tcPr>
            <w:tcW w:w="990" w:type="dxa"/>
            <w:noWrap/>
            <w:hideMark/>
          </w:tcPr>
          <w:p w14:paraId="3820C82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CAC335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53BB93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F3DA74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3.59</w:t>
            </w:r>
          </w:p>
        </w:tc>
        <w:tc>
          <w:tcPr>
            <w:tcW w:w="990" w:type="dxa"/>
            <w:noWrap/>
            <w:hideMark/>
          </w:tcPr>
          <w:p w14:paraId="2B4669D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5.69</w:t>
            </w:r>
          </w:p>
        </w:tc>
        <w:tc>
          <w:tcPr>
            <w:tcW w:w="900" w:type="dxa"/>
            <w:noWrap/>
            <w:hideMark/>
          </w:tcPr>
          <w:p w14:paraId="475829D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9.28</w:t>
            </w:r>
          </w:p>
        </w:tc>
      </w:tr>
      <w:tr w:rsidR="00C0269A" w:rsidRPr="00C67737" w14:paraId="269B225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265C6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11263</w:t>
            </w:r>
          </w:p>
        </w:tc>
        <w:tc>
          <w:tcPr>
            <w:tcW w:w="5400" w:type="dxa"/>
            <w:noWrap/>
            <w:hideMark/>
          </w:tcPr>
          <w:p w14:paraId="43B40FB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Coastal </w:t>
            </w:r>
            <w:proofErr w:type="spellStart"/>
            <w:r w:rsidRPr="00C67737">
              <w:rPr>
                <w:rFonts w:eastAsia="Times New Roman" w:cstheme="minorHAnsi"/>
                <w:color w:val="000000"/>
                <w:sz w:val="16"/>
                <w:szCs w:val="16"/>
              </w:rPr>
              <w:t>Resilience</w:t>
            </w:r>
            <w:proofErr w:type="spellEnd"/>
            <w:r w:rsidRPr="00C67737">
              <w:rPr>
                <w:rFonts w:eastAsia="Times New Roman" w:cstheme="minorHAnsi"/>
                <w:color w:val="000000"/>
                <w:sz w:val="16"/>
                <w:szCs w:val="16"/>
              </w:rPr>
              <w:t xml:space="preserve"> Samoa</w:t>
            </w:r>
          </w:p>
        </w:tc>
        <w:tc>
          <w:tcPr>
            <w:tcW w:w="810" w:type="dxa"/>
            <w:noWrap/>
            <w:hideMark/>
          </w:tcPr>
          <w:p w14:paraId="6DCAFAB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F00997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Samoa</w:t>
            </w:r>
          </w:p>
        </w:tc>
        <w:tc>
          <w:tcPr>
            <w:tcW w:w="990" w:type="dxa"/>
            <w:noWrap/>
            <w:hideMark/>
          </w:tcPr>
          <w:p w14:paraId="750C4E8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42EA6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CA731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5303C2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56809AB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35.77</w:t>
            </w:r>
          </w:p>
        </w:tc>
        <w:tc>
          <w:tcPr>
            <w:tcW w:w="900" w:type="dxa"/>
            <w:noWrap/>
            <w:hideMark/>
          </w:tcPr>
          <w:p w14:paraId="1EBBD30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38.43</w:t>
            </w:r>
          </w:p>
        </w:tc>
      </w:tr>
      <w:tr w:rsidR="00C0269A" w:rsidRPr="00C67737" w14:paraId="5FF91E02"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80131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11262</w:t>
            </w:r>
          </w:p>
        </w:tc>
        <w:tc>
          <w:tcPr>
            <w:tcW w:w="5400" w:type="dxa"/>
            <w:noWrap/>
            <w:hideMark/>
          </w:tcPr>
          <w:p w14:paraId="5468D310"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Accelerating PNG’s Sustainable Blue Economy through Strengthened Governance and Investment in Marine Areas.</w:t>
            </w:r>
          </w:p>
        </w:tc>
        <w:tc>
          <w:tcPr>
            <w:tcW w:w="810" w:type="dxa"/>
            <w:noWrap/>
            <w:hideMark/>
          </w:tcPr>
          <w:p w14:paraId="5475DCC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8A2F76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Papua New </w:t>
            </w:r>
            <w:proofErr w:type="spellStart"/>
            <w:r w:rsidRPr="00C67737">
              <w:rPr>
                <w:rFonts w:eastAsia="Times New Roman" w:cstheme="minorHAnsi"/>
                <w:color w:val="000000"/>
                <w:sz w:val="16"/>
                <w:szCs w:val="16"/>
              </w:rPr>
              <w:t>Guinea</w:t>
            </w:r>
            <w:proofErr w:type="spellEnd"/>
          </w:p>
        </w:tc>
        <w:tc>
          <w:tcPr>
            <w:tcW w:w="990" w:type="dxa"/>
            <w:noWrap/>
            <w:hideMark/>
          </w:tcPr>
          <w:p w14:paraId="2EFA576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4F8DA1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9D3C15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BACA1F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18.60</w:t>
            </w:r>
          </w:p>
        </w:tc>
        <w:tc>
          <w:tcPr>
            <w:tcW w:w="990" w:type="dxa"/>
            <w:noWrap/>
            <w:hideMark/>
          </w:tcPr>
          <w:p w14:paraId="28CE2A2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43.55</w:t>
            </w:r>
          </w:p>
        </w:tc>
        <w:tc>
          <w:tcPr>
            <w:tcW w:w="900" w:type="dxa"/>
            <w:noWrap/>
            <w:hideMark/>
          </w:tcPr>
          <w:p w14:paraId="0834785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62.15</w:t>
            </w:r>
          </w:p>
        </w:tc>
      </w:tr>
      <w:tr w:rsidR="00C0269A" w:rsidRPr="00C67737" w14:paraId="61B2F1CA"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01175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11261</w:t>
            </w:r>
          </w:p>
        </w:tc>
        <w:tc>
          <w:tcPr>
            <w:tcW w:w="5400" w:type="dxa"/>
            <w:noWrap/>
            <w:hideMark/>
          </w:tcPr>
          <w:p w14:paraId="0BE9D5BA"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Biodiversity Conservation through Nature-based Solutions as Pillars of the Blue &amp; Green Economy in the Union of Comoros.</w:t>
            </w:r>
          </w:p>
        </w:tc>
        <w:tc>
          <w:tcPr>
            <w:tcW w:w="810" w:type="dxa"/>
            <w:noWrap/>
            <w:hideMark/>
          </w:tcPr>
          <w:p w14:paraId="24B9082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9799F5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Comoros</w:t>
            </w:r>
            <w:proofErr w:type="spellEnd"/>
          </w:p>
        </w:tc>
        <w:tc>
          <w:tcPr>
            <w:tcW w:w="990" w:type="dxa"/>
            <w:noWrap/>
            <w:hideMark/>
          </w:tcPr>
          <w:p w14:paraId="79E3E0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63B562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D65D76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704BF0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9.44</w:t>
            </w:r>
          </w:p>
        </w:tc>
        <w:tc>
          <w:tcPr>
            <w:tcW w:w="990" w:type="dxa"/>
            <w:noWrap/>
            <w:hideMark/>
          </w:tcPr>
          <w:p w14:paraId="3C21C6D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98.66</w:t>
            </w:r>
          </w:p>
        </w:tc>
        <w:tc>
          <w:tcPr>
            <w:tcW w:w="900" w:type="dxa"/>
            <w:noWrap/>
            <w:hideMark/>
          </w:tcPr>
          <w:p w14:paraId="76D4EDC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108.10</w:t>
            </w:r>
          </w:p>
        </w:tc>
      </w:tr>
      <w:tr w:rsidR="00C0269A" w:rsidRPr="00C67737" w14:paraId="78EF2D62"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F2AE0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11260</w:t>
            </w:r>
          </w:p>
        </w:tc>
        <w:tc>
          <w:tcPr>
            <w:tcW w:w="5400" w:type="dxa"/>
            <w:noWrap/>
            <w:hideMark/>
          </w:tcPr>
          <w:p w14:paraId="010AD547"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Micronesia: Tourism Support for  Biodiversity Conservation</w:t>
            </w:r>
          </w:p>
        </w:tc>
        <w:tc>
          <w:tcPr>
            <w:tcW w:w="810" w:type="dxa"/>
            <w:noWrap/>
            <w:hideMark/>
          </w:tcPr>
          <w:p w14:paraId="17A4C80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799A59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Micronesia</w:t>
            </w:r>
            <w:proofErr w:type="spellEnd"/>
          </w:p>
        </w:tc>
        <w:tc>
          <w:tcPr>
            <w:tcW w:w="990" w:type="dxa"/>
            <w:noWrap/>
            <w:hideMark/>
          </w:tcPr>
          <w:p w14:paraId="4C72149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F8CC3A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63BABB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A36C26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41CDA59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9.75</w:t>
            </w:r>
          </w:p>
        </w:tc>
        <w:tc>
          <w:tcPr>
            <w:tcW w:w="900" w:type="dxa"/>
            <w:noWrap/>
            <w:hideMark/>
          </w:tcPr>
          <w:p w14:paraId="095765F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13.75</w:t>
            </w:r>
          </w:p>
        </w:tc>
      </w:tr>
      <w:tr w:rsidR="00C0269A" w:rsidRPr="00C67737" w14:paraId="47413344"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AD107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11259</w:t>
            </w:r>
          </w:p>
        </w:tc>
        <w:tc>
          <w:tcPr>
            <w:tcW w:w="5400" w:type="dxa"/>
            <w:noWrap/>
            <w:hideMark/>
          </w:tcPr>
          <w:p w14:paraId="2C5CCB65"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Trinidad and Tobago – Nature Based Solutions in Productive Landscapes</w:t>
            </w:r>
          </w:p>
        </w:tc>
        <w:tc>
          <w:tcPr>
            <w:tcW w:w="810" w:type="dxa"/>
            <w:noWrap/>
            <w:hideMark/>
          </w:tcPr>
          <w:p w14:paraId="7EF39D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2E7B63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Trinidad and Tobago</w:t>
            </w:r>
          </w:p>
        </w:tc>
        <w:tc>
          <w:tcPr>
            <w:tcW w:w="990" w:type="dxa"/>
            <w:noWrap/>
            <w:hideMark/>
          </w:tcPr>
          <w:p w14:paraId="6E4580C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B6AC36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9D7811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B7F2EA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092CE54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19.58</w:t>
            </w:r>
          </w:p>
        </w:tc>
        <w:tc>
          <w:tcPr>
            <w:tcW w:w="900" w:type="dxa"/>
            <w:noWrap/>
            <w:hideMark/>
          </w:tcPr>
          <w:p w14:paraId="1A659CE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23.58</w:t>
            </w:r>
          </w:p>
        </w:tc>
      </w:tr>
      <w:tr w:rsidR="00C0269A" w:rsidRPr="00C67737" w14:paraId="693F347B"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58A06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11258</w:t>
            </w:r>
          </w:p>
        </w:tc>
        <w:tc>
          <w:tcPr>
            <w:tcW w:w="5400" w:type="dxa"/>
            <w:noWrap/>
            <w:hideMark/>
          </w:tcPr>
          <w:p w14:paraId="020D7991"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Transforming Productivity in Palau's Food Systems through Nature Positive Innovations</w:t>
            </w:r>
          </w:p>
        </w:tc>
        <w:tc>
          <w:tcPr>
            <w:tcW w:w="810" w:type="dxa"/>
            <w:noWrap/>
            <w:hideMark/>
          </w:tcPr>
          <w:p w14:paraId="59FD585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6733B37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Palau</w:t>
            </w:r>
          </w:p>
        </w:tc>
        <w:tc>
          <w:tcPr>
            <w:tcW w:w="990" w:type="dxa"/>
            <w:noWrap/>
            <w:hideMark/>
          </w:tcPr>
          <w:p w14:paraId="4578B83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340FE7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F6EC9D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841EFD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249A971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12.30</w:t>
            </w:r>
          </w:p>
        </w:tc>
        <w:tc>
          <w:tcPr>
            <w:tcW w:w="900" w:type="dxa"/>
            <w:noWrap/>
            <w:hideMark/>
          </w:tcPr>
          <w:p w14:paraId="59A34FF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20.30</w:t>
            </w:r>
          </w:p>
        </w:tc>
      </w:tr>
      <w:tr w:rsidR="00C0269A" w:rsidRPr="00C67737" w14:paraId="522DCB87"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CD41A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11257</w:t>
            </w:r>
          </w:p>
        </w:tc>
        <w:tc>
          <w:tcPr>
            <w:tcW w:w="5400" w:type="dxa"/>
            <w:noWrap/>
            <w:hideMark/>
          </w:tcPr>
          <w:p w14:paraId="355C7D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Resilient</w:t>
            </w:r>
            <w:proofErr w:type="spellEnd"/>
            <w:r w:rsidRPr="00C67737">
              <w:rPr>
                <w:rFonts w:eastAsia="Times New Roman" w:cstheme="minorHAnsi"/>
                <w:color w:val="000000"/>
                <w:sz w:val="16"/>
                <w:szCs w:val="16"/>
              </w:rPr>
              <w:t>, Bold Belize</w:t>
            </w:r>
          </w:p>
        </w:tc>
        <w:tc>
          <w:tcPr>
            <w:tcW w:w="810" w:type="dxa"/>
            <w:noWrap/>
            <w:hideMark/>
          </w:tcPr>
          <w:p w14:paraId="3856154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597A236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Belize</w:t>
            </w:r>
          </w:p>
        </w:tc>
        <w:tc>
          <w:tcPr>
            <w:tcW w:w="990" w:type="dxa"/>
            <w:noWrap/>
            <w:hideMark/>
          </w:tcPr>
          <w:p w14:paraId="3DACD02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9BA48A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A82ECE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BC6AAB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4F8FF7A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40.79</w:t>
            </w:r>
          </w:p>
        </w:tc>
        <w:tc>
          <w:tcPr>
            <w:tcW w:w="900" w:type="dxa"/>
            <w:noWrap/>
            <w:hideMark/>
          </w:tcPr>
          <w:p w14:paraId="611DE02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46.12</w:t>
            </w:r>
          </w:p>
        </w:tc>
      </w:tr>
      <w:tr w:rsidR="00C0269A" w:rsidRPr="00C67737" w14:paraId="62A6B159"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E5E83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11256</w:t>
            </w:r>
          </w:p>
        </w:tc>
        <w:tc>
          <w:tcPr>
            <w:tcW w:w="5400" w:type="dxa"/>
            <w:noWrap/>
            <w:hideMark/>
          </w:tcPr>
          <w:p w14:paraId="2C0953BA"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Nature-based Solutions for Intersectoral Nature-Positive Development in Timor-Leste</w:t>
            </w:r>
          </w:p>
        </w:tc>
        <w:tc>
          <w:tcPr>
            <w:tcW w:w="810" w:type="dxa"/>
            <w:noWrap/>
            <w:hideMark/>
          </w:tcPr>
          <w:p w14:paraId="7CDDDBA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641D5F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Timor Leste</w:t>
            </w:r>
          </w:p>
        </w:tc>
        <w:tc>
          <w:tcPr>
            <w:tcW w:w="990" w:type="dxa"/>
            <w:noWrap/>
            <w:hideMark/>
          </w:tcPr>
          <w:p w14:paraId="06BA354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09AC8C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D142D1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A11AB4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7.46</w:t>
            </w:r>
          </w:p>
        </w:tc>
        <w:tc>
          <w:tcPr>
            <w:tcW w:w="990" w:type="dxa"/>
            <w:noWrap/>
            <w:hideMark/>
          </w:tcPr>
          <w:p w14:paraId="22E5D02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23.00</w:t>
            </w:r>
          </w:p>
        </w:tc>
        <w:tc>
          <w:tcPr>
            <w:tcW w:w="900" w:type="dxa"/>
            <w:noWrap/>
            <w:hideMark/>
          </w:tcPr>
          <w:p w14:paraId="656EB1C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30.46</w:t>
            </w:r>
          </w:p>
        </w:tc>
      </w:tr>
      <w:tr w:rsidR="00C0269A" w:rsidRPr="00C67737" w14:paraId="1DF24CFC"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EE9AE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11255</w:t>
            </w:r>
          </w:p>
        </w:tc>
        <w:tc>
          <w:tcPr>
            <w:tcW w:w="5400" w:type="dxa"/>
            <w:noWrap/>
            <w:hideMark/>
          </w:tcPr>
          <w:p w14:paraId="6FB9FF50"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Accelerating Cabo Verde's Transition to Blue and Green Economy</w:t>
            </w:r>
          </w:p>
        </w:tc>
        <w:tc>
          <w:tcPr>
            <w:tcW w:w="810" w:type="dxa"/>
            <w:noWrap/>
            <w:hideMark/>
          </w:tcPr>
          <w:p w14:paraId="4D84870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03C6E1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Cabo Verde</w:t>
            </w:r>
          </w:p>
        </w:tc>
        <w:tc>
          <w:tcPr>
            <w:tcW w:w="990" w:type="dxa"/>
            <w:noWrap/>
            <w:hideMark/>
          </w:tcPr>
          <w:p w14:paraId="5958F0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41CBC8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D795F0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43EB30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11.25</w:t>
            </w:r>
          </w:p>
        </w:tc>
        <w:tc>
          <w:tcPr>
            <w:tcW w:w="990" w:type="dxa"/>
            <w:noWrap/>
            <w:hideMark/>
          </w:tcPr>
          <w:p w14:paraId="0466210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31.19</w:t>
            </w:r>
          </w:p>
        </w:tc>
        <w:tc>
          <w:tcPr>
            <w:tcW w:w="900" w:type="dxa"/>
            <w:noWrap/>
            <w:hideMark/>
          </w:tcPr>
          <w:p w14:paraId="5D0EDAF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42.44</w:t>
            </w:r>
          </w:p>
        </w:tc>
      </w:tr>
      <w:tr w:rsidR="00C0269A" w:rsidRPr="00C67737" w14:paraId="189B9C82"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80159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11254</w:t>
            </w:r>
          </w:p>
        </w:tc>
        <w:tc>
          <w:tcPr>
            <w:tcW w:w="5400" w:type="dxa"/>
            <w:noWrap/>
            <w:hideMark/>
          </w:tcPr>
          <w:p w14:paraId="13C85A75"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Mainstreaming Nature-based Solutions in Land-Use Systems for Productive and Resilient Ecosystems</w:t>
            </w:r>
          </w:p>
        </w:tc>
        <w:tc>
          <w:tcPr>
            <w:tcW w:w="810" w:type="dxa"/>
            <w:noWrap/>
            <w:hideMark/>
          </w:tcPr>
          <w:p w14:paraId="0842FA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C9EF19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Mauritius</w:t>
            </w:r>
          </w:p>
        </w:tc>
        <w:tc>
          <w:tcPr>
            <w:tcW w:w="990" w:type="dxa"/>
            <w:noWrap/>
            <w:hideMark/>
          </w:tcPr>
          <w:p w14:paraId="48A7DB2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A8EDC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5A9491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A658E4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9.38</w:t>
            </w:r>
          </w:p>
        </w:tc>
        <w:tc>
          <w:tcPr>
            <w:tcW w:w="990" w:type="dxa"/>
            <w:noWrap/>
            <w:hideMark/>
          </w:tcPr>
          <w:p w14:paraId="3510505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69.86</w:t>
            </w:r>
          </w:p>
        </w:tc>
        <w:tc>
          <w:tcPr>
            <w:tcW w:w="900" w:type="dxa"/>
            <w:noWrap/>
            <w:hideMark/>
          </w:tcPr>
          <w:p w14:paraId="4DE656C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79.24</w:t>
            </w:r>
          </w:p>
        </w:tc>
      </w:tr>
      <w:tr w:rsidR="00C0269A" w:rsidRPr="00C67737" w14:paraId="6F5ED2F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CFF20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11253</w:t>
            </w:r>
          </w:p>
        </w:tc>
        <w:tc>
          <w:tcPr>
            <w:tcW w:w="5400" w:type="dxa"/>
            <w:noWrap/>
            <w:hideMark/>
          </w:tcPr>
          <w:p w14:paraId="5883F4D7"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Blue and Green Development in Food and Urban Sectors of Cuba</w:t>
            </w:r>
          </w:p>
        </w:tc>
        <w:tc>
          <w:tcPr>
            <w:tcW w:w="810" w:type="dxa"/>
            <w:noWrap/>
            <w:hideMark/>
          </w:tcPr>
          <w:p w14:paraId="5954CC3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52A902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Cuba</w:t>
            </w:r>
          </w:p>
        </w:tc>
        <w:tc>
          <w:tcPr>
            <w:tcW w:w="990" w:type="dxa"/>
            <w:noWrap/>
            <w:hideMark/>
          </w:tcPr>
          <w:p w14:paraId="6CE9EB6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4F8E58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B8B13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1889D2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5100C4A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37.77</w:t>
            </w:r>
          </w:p>
        </w:tc>
        <w:tc>
          <w:tcPr>
            <w:tcW w:w="900" w:type="dxa"/>
            <w:noWrap/>
            <w:hideMark/>
          </w:tcPr>
          <w:p w14:paraId="2584B6A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47.10</w:t>
            </w:r>
          </w:p>
        </w:tc>
      </w:tr>
      <w:tr w:rsidR="00C0269A" w:rsidRPr="00C67737" w14:paraId="1CBD1998"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CF57F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11252</w:t>
            </w:r>
          </w:p>
        </w:tc>
        <w:tc>
          <w:tcPr>
            <w:tcW w:w="5400" w:type="dxa"/>
            <w:noWrap/>
            <w:hideMark/>
          </w:tcPr>
          <w:p w14:paraId="646DA412"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GEF 8: Blue Green Islands Integrated Programme for the Seychelles Child Project</w:t>
            </w:r>
          </w:p>
        </w:tc>
        <w:tc>
          <w:tcPr>
            <w:tcW w:w="810" w:type="dxa"/>
            <w:noWrap/>
            <w:hideMark/>
          </w:tcPr>
          <w:p w14:paraId="5D3C397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A75EF9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Seychelles</w:t>
            </w:r>
          </w:p>
        </w:tc>
        <w:tc>
          <w:tcPr>
            <w:tcW w:w="990" w:type="dxa"/>
            <w:noWrap/>
            <w:hideMark/>
          </w:tcPr>
          <w:p w14:paraId="4975276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E75996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08B998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68CB87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11.76</w:t>
            </w:r>
          </w:p>
        </w:tc>
        <w:tc>
          <w:tcPr>
            <w:tcW w:w="990" w:type="dxa"/>
            <w:noWrap/>
            <w:hideMark/>
          </w:tcPr>
          <w:p w14:paraId="4F8D758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41.28</w:t>
            </w:r>
          </w:p>
        </w:tc>
        <w:tc>
          <w:tcPr>
            <w:tcW w:w="900" w:type="dxa"/>
            <w:noWrap/>
            <w:hideMark/>
          </w:tcPr>
          <w:p w14:paraId="00E2ED7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53.04</w:t>
            </w:r>
          </w:p>
        </w:tc>
      </w:tr>
      <w:tr w:rsidR="00C0269A" w:rsidRPr="00C67737" w14:paraId="51EE8003"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8B9F8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11251</w:t>
            </w:r>
          </w:p>
        </w:tc>
        <w:tc>
          <w:tcPr>
            <w:tcW w:w="5400" w:type="dxa"/>
            <w:noWrap/>
            <w:hideMark/>
          </w:tcPr>
          <w:p w14:paraId="1073018E"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Strengthening Biodiversity Conservation in Protected Areas in Maldives</w:t>
            </w:r>
          </w:p>
        </w:tc>
        <w:tc>
          <w:tcPr>
            <w:tcW w:w="810" w:type="dxa"/>
            <w:noWrap/>
            <w:hideMark/>
          </w:tcPr>
          <w:p w14:paraId="270F4C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10FEB31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Maldives</w:t>
            </w:r>
          </w:p>
        </w:tc>
        <w:tc>
          <w:tcPr>
            <w:tcW w:w="990" w:type="dxa"/>
            <w:noWrap/>
            <w:hideMark/>
          </w:tcPr>
          <w:p w14:paraId="1628D70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7CCFD3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E1A2F5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D97A37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1D667A7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65.35</w:t>
            </w:r>
          </w:p>
        </w:tc>
        <w:tc>
          <w:tcPr>
            <w:tcW w:w="900" w:type="dxa"/>
            <w:noWrap/>
            <w:hideMark/>
          </w:tcPr>
          <w:p w14:paraId="7F754BE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76.02</w:t>
            </w:r>
          </w:p>
        </w:tc>
      </w:tr>
      <w:tr w:rsidR="00C0269A" w:rsidRPr="00C67737" w14:paraId="02CF6E74"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B1E6D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11273</w:t>
            </w:r>
          </w:p>
        </w:tc>
        <w:tc>
          <w:tcPr>
            <w:tcW w:w="5400" w:type="dxa"/>
            <w:noWrap/>
            <w:hideMark/>
          </w:tcPr>
          <w:p w14:paraId="54F22B63"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750129">
              <w:rPr>
                <w:rFonts w:eastAsia="Times New Roman" w:cstheme="minorHAnsi"/>
                <w:b/>
                <w:bCs/>
                <w:color w:val="000000"/>
                <w:sz w:val="16"/>
                <w:szCs w:val="16"/>
                <w:lang w:val="en-US"/>
              </w:rPr>
              <w:t>Mesoamerica Critical Forest Biome Integrated Program</w:t>
            </w:r>
          </w:p>
        </w:tc>
        <w:tc>
          <w:tcPr>
            <w:tcW w:w="810" w:type="dxa"/>
            <w:noWrap/>
            <w:hideMark/>
          </w:tcPr>
          <w:p w14:paraId="697747E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IUCN</w:t>
            </w:r>
          </w:p>
        </w:tc>
        <w:tc>
          <w:tcPr>
            <w:tcW w:w="990" w:type="dxa"/>
            <w:noWrap/>
            <w:hideMark/>
          </w:tcPr>
          <w:p w14:paraId="200E926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6A1374A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076FE2F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A6320E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77F3265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46120C2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3D69117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C0269A" w:rsidRPr="00C67737" w14:paraId="698F1D6D"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CD0D6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11280</w:t>
            </w:r>
          </w:p>
        </w:tc>
        <w:tc>
          <w:tcPr>
            <w:tcW w:w="5400" w:type="dxa"/>
            <w:noWrap/>
            <w:hideMark/>
          </w:tcPr>
          <w:p w14:paraId="57887AF8"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Panama Mesoamerica Forest IP Project: Critical Forests Biome of Panama - Collaborative Conservation of the Darién</w:t>
            </w:r>
          </w:p>
        </w:tc>
        <w:tc>
          <w:tcPr>
            <w:tcW w:w="810" w:type="dxa"/>
            <w:noWrap/>
            <w:hideMark/>
          </w:tcPr>
          <w:p w14:paraId="29E256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B18C2B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Panama</w:t>
            </w:r>
          </w:p>
        </w:tc>
        <w:tc>
          <w:tcPr>
            <w:tcW w:w="990" w:type="dxa"/>
            <w:noWrap/>
            <w:hideMark/>
          </w:tcPr>
          <w:p w14:paraId="2FF2F3D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682829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7D78BE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31F029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27B36DB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25.30</w:t>
            </w:r>
          </w:p>
        </w:tc>
        <w:tc>
          <w:tcPr>
            <w:tcW w:w="900" w:type="dxa"/>
            <w:noWrap/>
            <w:hideMark/>
          </w:tcPr>
          <w:p w14:paraId="2984DFE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35.96</w:t>
            </w:r>
          </w:p>
        </w:tc>
      </w:tr>
      <w:tr w:rsidR="00C0269A" w:rsidRPr="00C67737" w14:paraId="648AA041"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68BD6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11278</w:t>
            </w:r>
          </w:p>
        </w:tc>
        <w:tc>
          <w:tcPr>
            <w:tcW w:w="5400" w:type="dxa"/>
            <w:noWrap/>
            <w:hideMark/>
          </w:tcPr>
          <w:p w14:paraId="773629D2"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Mesoamerica Critical Forest Biome IP Regional Coordination, Knowledge Sharing and Support Project</w:t>
            </w:r>
          </w:p>
        </w:tc>
        <w:tc>
          <w:tcPr>
            <w:tcW w:w="810" w:type="dxa"/>
            <w:noWrap/>
            <w:hideMark/>
          </w:tcPr>
          <w:p w14:paraId="73EF599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404D033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582586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4877E4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D044F7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9699B1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8.50</w:t>
            </w:r>
          </w:p>
        </w:tc>
        <w:tc>
          <w:tcPr>
            <w:tcW w:w="990" w:type="dxa"/>
            <w:noWrap/>
            <w:hideMark/>
          </w:tcPr>
          <w:p w14:paraId="436F9BC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40.52</w:t>
            </w:r>
          </w:p>
        </w:tc>
        <w:tc>
          <w:tcPr>
            <w:tcW w:w="900" w:type="dxa"/>
            <w:noWrap/>
            <w:hideMark/>
          </w:tcPr>
          <w:p w14:paraId="2BB89DC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49.02</w:t>
            </w:r>
          </w:p>
        </w:tc>
      </w:tr>
      <w:tr w:rsidR="00C0269A" w:rsidRPr="00C67737" w14:paraId="0C3406B4"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32D53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11277</w:t>
            </w:r>
          </w:p>
        </w:tc>
        <w:tc>
          <w:tcPr>
            <w:tcW w:w="5400" w:type="dxa"/>
            <w:noWrap/>
            <w:hideMark/>
          </w:tcPr>
          <w:p w14:paraId="7A29DB78"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El Salvador Mesoamerican Forest IP Project: Promoting Forest Conservation and Integrated Water Management in </w:t>
            </w:r>
            <w:proofErr w:type="spellStart"/>
            <w:r w:rsidRPr="00750129">
              <w:rPr>
                <w:rFonts w:eastAsia="Times New Roman" w:cstheme="minorHAnsi"/>
                <w:color w:val="000000"/>
                <w:sz w:val="16"/>
                <w:szCs w:val="16"/>
                <w:lang w:val="en-US"/>
              </w:rPr>
              <w:t>Trifinio</w:t>
            </w:r>
            <w:proofErr w:type="spellEnd"/>
          </w:p>
        </w:tc>
        <w:tc>
          <w:tcPr>
            <w:tcW w:w="810" w:type="dxa"/>
            <w:noWrap/>
            <w:hideMark/>
          </w:tcPr>
          <w:p w14:paraId="32D5718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4171D18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El Salvador</w:t>
            </w:r>
          </w:p>
        </w:tc>
        <w:tc>
          <w:tcPr>
            <w:tcW w:w="990" w:type="dxa"/>
            <w:noWrap/>
            <w:hideMark/>
          </w:tcPr>
          <w:p w14:paraId="467F7DA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403910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7DFD04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046DF2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3.59</w:t>
            </w:r>
          </w:p>
        </w:tc>
        <w:tc>
          <w:tcPr>
            <w:tcW w:w="990" w:type="dxa"/>
            <w:noWrap/>
            <w:hideMark/>
          </w:tcPr>
          <w:p w14:paraId="59EAE7E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8.87</w:t>
            </w:r>
          </w:p>
        </w:tc>
        <w:tc>
          <w:tcPr>
            <w:tcW w:w="900" w:type="dxa"/>
            <w:noWrap/>
            <w:hideMark/>
          </w:tcPr>
          <w:p w14:paraId="23D0615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12.46</w:t>
            </w:r>
          </w:p>
        </w:tc>
      </w:tr>
      <w:tr w:rsidR="00C0269A" w:rsidRPr="00C67737" w14:paraId="173139CC"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F1D9A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11276</w:t>
            </w:r>
          </w:p>
        </w:tc>
        <w:tc>
          <w:tcPr>
            <w:tcW w:w="5400" w:type="dxa"/>
            <w:noWrap/>
            <w:hideMark/>
          </w:tcPr>
          <w:p w14:paraId="53384A63"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Honduras Mesoamerica Forest IP Project: Conserving the Intact Forests of the Honduran </w:t>
            </w:r>
            <w:proofErr w:type="spellStart"/>
            <w:r w:rsidRPr="00750129">
              <w:rPr>
                <w:rFonts w:eastAsia="Times New Roman" w:cstheme="minorHAnsi"/>
                <w:color w:val="000000"/>
                <w:sz w:val="16"/>
                <w:szCs w:val="16"/>
                <w:lang w:val="en-US"/>
              </w:rPr>
              <w:t>Moskitia</w:t>
            </w:r>
            <w:proofErr w:type="spellEnd"/>
          </w:p>
        </w:tc>
        <w:tc>
          <w:tcPr>
            <w:tcW w:w="810" w:type="dxa"/>
            <w:noWrap/>
            <w:hideMark/>
          </w:tcPr>
          <w:p w14:paraId="318AACE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3018EE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Honduras</w:t>
            </w:r>
          </w:p>
        </w:tc>
        <w:tc>
          <w:tcPr>
            <w:tcW w:w="990" w:type="dxa"/>
            <w:noWrap/>
            <w:hideMark/>
          </w:tcPr>
          <w:p w14:paraId="4789DA0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E7E6E0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34FC5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656D4D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0C305D4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23.96</w:t>
            </w:r>
          </w:p>
        </w:tc>
        <w:tc>
          <w:tcPr>
            <w:tcW w:w="900" w:type="dxa"/>
            <w:noWrap/>
            <w:hideMark/>
          </w:tcPr>
          <w:p w14:paraId="36773B7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27.96</w:t>
            </w:r>
          </w:p>
        </w:tc>
      </w:tr>
      <w:tr w:rsidR="00C0269A" w:rsidRPr="00C67737" w14:paraId="4FCDC330"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82FA5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11275</w:t>
            </w:r>
          </w:p>
        </w:tc>
        <w:tc>
          <w:tcPr>
            <w:tcW w:w="5400" w:type="dxa"/>
            <w:noWrap/>
            <w:hideMark/>
          </w:tcPr>
          <w:p w14:paraId="79CB7E8C" w14:textId="77777777" w:rsidR="00C0269A" w:rsidRPr="00750129"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Guatemala Mesoamerican Forest IP Project: Securing Benefits for the Well-Being of Local Communities and the Ecosystems of the Maya Forest</w:t>
            </w:r>
          </w:p>
        </w:tc>
        <w:tc>
          <w:tcPr>
            <w:tcW w:w="810" w:type="dxa"/>
            <w:noWrap/>
            <w:hideMark/>
          </w:tcPr>
          <w:p w14:paraId="0EC2CCF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623E601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Guatemala</w:t>
            </w:r>
          </w:p>
        </w:tc>
        <w:tc>
          <w:tcPr>
            <w:tcW w:w="990" w:type="dxa"/>
            <w:noWrap/>
            <w:hideMark/>
          </w:tcPr>
          <w:p w14:paraId="0DF876C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FF224F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77FC0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B15ADA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c>
          <w:tcPr>
            <w:tcW w:w="990" w:type="dxa"/>
            <w:noWrap/>
            <w:hideMark/>
          </w:tcPr>
          <w:p w14:paraId="69B4C12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61.04</w:t>
            </w:r>
          </w:p>
        </w:tc>
        <w:tc>
          <w:tcPr>
            <w:tcW w:w="900" w:type="dxa"/>
            <w:noWrap/>
            <w:hideMark/>
          </w:tcPr>
          <w:p w14:paraId="5663DAC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73.04</w:t>
            </w:r>
          </w:p>
        </w:tc>
      </w:tr>
      <w:tr w:rsidR="00C0269A" w:rsidRPr="00C67737" w14:paraId="7DDB8880"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C5E4A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11274</w:t>
            </w:r>
          </w:p>
        </w:tc>
        <w:tc>
          <w:tcPr>
            <w:tcW w:w="5400" w:type="dxa"/>
            <w:noWrap/>
            <w:hideMark/>
          </w:tcPr>
          <w:p w14:paraId="79E28B53" w14:textId="77777777" w:rsidR="00C0269A" w:rsidRPr="00750129"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750129">
              <w:rPr>
                <w:rFonts w:eastAsia="Times New Roman" w:cstheme="minorHAnsi"/>
                <w:color w:val="000000"/>
                <w:sz w:val="16"/>
                <w:szCs w:val="16"/>
                <w:lang w:val="en-US"/>
              </w:rPr>
              <w:t>Mexico Mesoamerica Forest IP Project: Securing Benefits for the Well-Being of Local Communities and the Ecosystems of the Maya Forest</w:t>
            </w:r>
          </w:p>
        </w:tc>
        <w:tc>
          <w:tcPr>
            <w:tcW w:w="810" w:type="dxa"/>
            <w:noWrap/>
            <w:hideMark/>
          </w:tcPr>
          <w:p w14:paraId="0307DE2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FE1258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5B6A675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C0B72A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E399E9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387179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70A025C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94.77</w:t>
            </w:r>
          </w:p>
        </w:tc>
        <w:tc>
          <w:tcPr>
            <w:tcW w:w="900" w:type="dxa"/>
            <w:noWrap/>
            <w:hideMark/>
          </w:tcPr>
          <w:p w14:paraId="4AD58EF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108.10</w:t>
            </w:r>
          </w:p>
        </w:tc>
      </w:tr>
      <w:tr w:rsidR="00C0269A" w:rsidRPr="00C67737" w14:paraId="4D85DB07"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109BB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11287</w:t>
            </w:r>
          </w:p>
        </w:tc>
        <w:tc>
          <w:tcPr>
            <w:tcW w:w="5400" w:type="dxa"/>
            <w:noWrap/>
            <w:hideMark/>
          </w:tcPr>
          <w:p w14:paraId="1A32E08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roofErr w:type="spellStart"/>
            <w:r w:rsidRPr="00C67737">
              <w:rPr>
                <w:rFonts w:eastAsia="Times New Roman" w:cstheme="minorHAnsi"/>
                <w:b/>
                <w:bCs/>
                <w:color w:val="000000"/>
                <w:sz w:val="16"/>
                <w:szCs w:val="16"/>
              </w:rPr>
              <w:t>Sustainable</w:t>
            </w:r>
            <w:proofErr w:type="spellEnd"/>
            <w:r w:rsidRPr="00C67737">
              <w:rPr>
                <w:rFonts w:eastAsia="Times New Roman" w:cstheme="minorHAnsi"/>
                <w:b/>
                <w:bCs/>
                <w:color w:val="000000"/>
                <w:sz w:val="16"/>
                <w:szCs w:val="16"/>
              </w:rPr>
              <w:t xml:space="preserve"> Cities Integrated Program</w:t>
            </w:r>
          </w:p>
        </w:tc>
        <w:tc>
          <w:tcPr>
            <w:tcW w:w="810" w:type="dxa"/>
            <w:noWrap/>
            <w:hideMark/>
          </w:tcPr>
          <w:p w14:paraId="2CDD3A9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World Bank</w:t>
            </w:r>
          </w:p>
        </w:tc>
        <w:tc>
          <w:tcPr>
            <w:tcW w:w="990" w:type="dxa"/>
            <w:noWrap/>
            <w:hideMark/>
          </w:tcPr>
          <w:p w14:paraId="3E1E9E7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37B2C1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5FC0DB1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04A2CF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7511D85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48A4E9E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79AF1A0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C0269A" w:rsidRPr="00C67737" w14:paraId="317ED13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3071C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11345</w:t>
            </w:r>
          </w:p>
        </w:tc>
        <w:tc>
          <w:tcPr>
            <w:tcW w:w="5400" w:type="dxa"/>
            <w:noWrap/>
            <w:hideMark/>
          </w:tcPr>
          <w:p w14:paraId="148A087C" w14:textId="77777777" w:rsidR="00C0269A" w:rsidRPr="000F2D6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 xml:space="preserve">Reshaping Algeria’s Cities for a Clean and Healthy Environment Today and Tomorrow </w:t>
            </w:r>
          </w:p>
        </w:tc>
        <w:tc>
          <w:tcPr>
            <w:tcW w:w="810" w:type="dxa"/>
            <w:noWrap/>
            <w:hideMark/>
          </w:tcPr>
          <w:p w14:paraId="0E74361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B4B0CC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Algeria</w:t>
            </w:r>
          </w:p>
        </w:tc>
        <w:tc>
          <w:tcPr>
            <w:tcW w:w="990" w:type="dxa"/>
            <w:noWrap/>
            <w:hideMark/>
          </w:tcPr>
          <w:p w14:paraId="29362FF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EDC0D3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AF4176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132A02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3.33</w:t>
            </w:r>
          </w:p>
        </w:tc>
        <w:tc>
          <w:tcPr>
            <w:tcW w:w="990" w:type="dxa"/>
            <w:noWrap/>
            <w:hideMark/>
          </w:tcPr>
          <w:p w14:paraId="0E3630C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32.82</w:t>
            </w:r>
          </w:p>
        </w:tc>
        <w:tc>
          <w:tcPr>
            <w:tcW w:w="900" w:type="dxa"/>
            <w:noWrap/>
            <w:hideMark/>
          </w:tcPr>
          <w:p w14:paraId="4FF97EB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36.15</w:t>
            </w:r>
          </w:p>
        </w:tc>
      </w:tr>
      <w:tr w:rsidR="00C0269A" w:rsidRPr="00C67737" w14:paraId="2C28270A"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2DED7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11344</w:t>
            </w:r>
          </w:p>
        </w:tc>
        <w:tc>
          <w:tcPr>
            <w:tcW w:w="5400" w:type="dxa"/>
            <w:noWrap/>
            <w:hideMark/>
          </w:tcPr>
          <w:p w14:paraId="21FC0C68" w14:textId="77777777" w:rsidR="00C0269A" w:rsidRPr="000F2D6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 xml:space="preserve">Urban and Peri-Urban Resilience through Investment for Sustainable Ecosystems in Zimbabwe </w:t>
            </w:r>
          </w:p>
        </w:tc>
        <w:tc>
          <w:tcPr>
            <w:tcW w:w="810" w:type="dxa"/>
            <w:noWrap/>
            <w:hideMark/>
          </w:tcPr>
          <w:p w14:paraId="5D74B64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181294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Zimbabwe</w:t>
            </w:r>
          </w:p>
        </w:tc>
        <w:tc>
          <w:tcPr>
            <w:tcW w:w="990" w:type="dxa"/>
            <w:noWrap/>
            <w:hideMark/>
          </w:tcPr>
          <w:p w14:paraId="3319ECE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4A123E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4EBC05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33EBED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292D2EC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15.40</w:t>
            </w:r>
          </w:p>
        </w:tc>
        <w:tc>
          <w:tcPr>
            <w:tcW w:w="900" w:type="dxa"/>
            <w:noWrap/>
            <w:hideMark/>
          </w:tcPr>
          <w:p w14:paraId="45676F5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19.40</w:t>
            </w:r>
          </w:p>
        </w:tc>
      </w:tr>
      <w:tr w:rsidR="00C0269A" w:rsidRPr="00C67737" w14:paraId="334F2AA8"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6E85D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11343</w:t>
            </w:r>
          </w:p>
        </w:tc>
        <w:tc>
          <w:tcPr>
            <w:tcW w:w="5400" w:type="dxa"/>
            <w:noWrap/>
            <w:hideMark/>
          </w:tcPr>
          <w:p w14:paraId="7A10A54C" w14:textId="77777777" w:rsidR="00C0269A" w:rsidRPr="000F2D6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proofErr w:type="spellStart"/>
            <w:r w:rsidRPr="000F2D6A">
              <w:rPr>
                <w:rFonts w:eastAsia="Times New Roman" w:cstheme="minorHAnsi"/>
                <w:color w:val="000000"/>
                <w:sz w:val="16"/>
                <w:szCs w:val="16"/>
                <w:lang w:val="en-US"/>
              </w:rPr>
              <w:t>Decarbonisation</w:t>
            </w:r>
            <w:proofErr w:type="spellEnd"/>
            <w:r w:rsidRPr="000F2D6A">
              <w:rPr>
                <w:rFonts w:eastAsia="Times New Roman" w:cstheme="minorHAnsi"/>
                <w:color w:val="000000"/>
                <w:sz w:val="16"/>
                <w:szCs w:val="16"/>
                <w:lang w:val="en-US"/>
              </w:rPr>
              <w:t xml:space="preserve"> and Sustainable Cities for a Net-Zero Future in Malaysia</w:t>
            </w:r>
          </w:p>
        </w:tc>
        <w:tc>
          <w:tcPr>
            <w:tcW w:w="810" w:type="dxa"/>
            <w:noWrap/>
            <w:hideMark/>
          </w:tcPr>
          <w:p w14:paraId="6BA256E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4DECFDB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17CD29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4AD731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D2584E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369B28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4.95</w:t>
            </w:r>
          </w:p>
        </w:tc>
        <w:tc>
          <w:tcPr>
            <w:tcW w:w="990" w:type="dxa"/>
            <w:noWrap/>
            <w:hideMark/>
          </w:tcPr>
          <w:p w14:paraId="28F26F29"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15.31</w:t>
            </w:r>
          </w:p>
        </w:tc>
        <w:tc>
          <w:tcPr>
            <w:tcW w:w="900" w:type="dxa"/>
            <w:noWrap/>
            <w:hideMark/>
          </w:tcPr>
          <w:p w14:paraId="779F3F6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20.26</w:t>
            </w:r>
          </w:p>
        </w:tc>
      </w:tr>
      <w:tr w:rsidR="00C0269A" w:rsidRPr="00C67737" w14:paraId="48A49AE9"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242E5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11342</w:t>
            </w:r>
          </w:p>
        </w:tc>
        <w:tc>
          <w:tcPr>
            <w:tcW w:w="5400" w:type="dxa"/>
            <w:noWrap/>
            <w:hideMark/>
          </w:tcPr>
          <w:p w14:paraId="2A12D277" w14:textId="77777777" w:rsidR="00C0269A" w:rsidRPr="000F2D6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The Sustainable City Project for Coordinated Development of the Beijing-Tianjin-Hebei Region</w:t>
            </w:r>
          </w:p>
        </w:tc>
        <w:tc>
          <w:tcPr>
            <w:tcW w:w="810" w:type="dxa"/>
            <w:noWrap/>
            <w:hideMark/>
          </w:tcPr>
          <w:p w14:paraId="2F20F9A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1F16F82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4F3BB52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0A0AA9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EBC9F5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539D9E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12.80</w:t>
            </w:r>
          </w:p>
        </w:tc>
        <w:tc>
          <w:tcPr>
            <w:tcW w:w="990" w:type="dxa"/>
            <w:noWrap/>
            <w:hideMark/>
          </w:tcPr>
          <w:p w14:paraId="2769FC6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139.77</w:t>
            </w:r>
          </w:p>
        </w:tc>
        <w:tc>
          <w:tcPr>
            <w:tcW w:w="900" w:type="dxa"/>
            <w:noWrap/>
            <w:hideMark/>
          </w:tcPr>
          <w:p w14:paraId="2804510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152.56</w:t>
            </w:r>
          </w:p>
        </w:tc>
      </w:tr>
      <w:tr w:rsidR="00C0269A" w:rsidRPr="00C67737" w14:paraId="65E1A77A"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D7A6A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11341</w:t>
            </w:r>
          </w:p>
        </w:tc>
        <w:tc>
          <w:tcPr>
            <w:tcW w:w="5400" w:type="dxa"/>
            <w:noWrap/>
            <w:hideMark/>
          </w:tcPr>
          <w:p w14:paraId="05220003" w14:textId="77777777" w:rsidR="00C0269A" w:rsidRPr="000F2D6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Establishing the Basis for Clean, Healthy and Resilient Cities through an Integrated and Smart Approach in Madagascar</w:t>
            </w:r>
          </w:p>
        </w:tc>
        <w:tc>
          <w:tcPr>
            <w:tcW w:w="810" w:type="dxa"/>
            <w:noWrap/>
            <w:hideMark/>
          </w:tcPr>
          <w:p w14:paraId="0467196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0245711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3D1114F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35E20B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D1B282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5DF9E0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11.56</w:t>
            </w:r>
          </w:p>
        </w:tc>
        <w:tc>
          <w:tcPr>
            <w:tcW w:w="990" w:type="dxa"/>
            <w:noWrap/>
            <w:hideMark/>
          </w:tcPr>
          <w:p w14:paraId="1EBD7DA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34.65</w:t>
            </w:r>
          </w:p>
        </w:tc>
        <w:tc>
          <w:tcPr>
            <w:tcW w:w="900" w:type="dxa"/>
            <w:noWrap/>
            <w:hideMark/>
          </w:tcPr>
          <w:p w14:paraId="668A621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46.21</w:t>
            </w:r>
          </w:p>
        </w:tc>
      </w:tr>
      <w:tr w:rsidR="00C0269A" w:rsidRPr="00C67737" w14:paraId="392B9006"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E2EA1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11339</w:t>
            </w:r>
          </w:p>
        </w:tc>
        <w:tc>
          <w:tcPr>
            <w:tcW w:w="5400" w:type="dxa"/>
            <w:noWrap/>
            <w:hideMark/>
          </w:tcPr>
          <w:p w14:paraId="483AFDA5" w14:textId="77777777" w:rsidR="00C0269A" w:rsidRPr="000F2D6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Enhancing Nature-based Solutions and Green Infrastructure Networks in Urban and Peri-Urban Areas in Chile</w:t>
            </w:r>
          </w:p>
        </w:tc>
        <w:tc>
          <w:tcPr>
            <w:tcW w:w="810" w:type="dxa"/>
            <w:noWrap/>
            <w:hideMark/>
          </w:tcPr>
          <w:p w14:paraId="1A2190D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4BF33A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062E089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F0CE1D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C411CD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8FD651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7C1BE12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39.92</w:t>
            </w:r>
          </w:p>
        </w:tc>
        <w:tc>
          <w:tcPr>
            <w:tcW w:w="900" w:type="dxa"/>
            <w:noWrap/>
            <w:hideMark/>
          </w:tcPr>
          <w:p w14:paraId="549A293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45.26</w:t>
            </w:r>
          </w:p>
        </w:tc>
      </w:tr>
      <w:tr w:rsidR="00C0269A" w:rsidRPr="00C67737" w14:paraId="726304EB"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4111B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11307</w:t>
            </w:r>
          </w:p>
        </w:tc>
        <w:tc>
          <w:tcPr>
            <w:tcW w:w="5400" w:type="dxa"/>
            <w:noWrap/>
            <w:hideMark/>
          </w:tcPr>
          <w:p w14:paraId="76527E8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Strengthening</w:t>
            </w:r>
            <w:proofErr w:type="spellEnd"/>
            <w:r w:rsidRPr="00C67737">
              <w:rPr>
                <w:rFonts w:eastAsia="Times New Roman" w:cstheme="minorHAnsi"/>
                <w:color w:val="000000"/>
                <w:sz w:val="16"/>
                <w:szCs w:val="16"/>
              </w:rPr>
              <w:t xml:space="preserve"> Urban </w:t>
            </w:r>
            <w:proofErr w:type="spellStart"/>
            <w:r w:rsidRPr="00C67737">
              <w:rPr>
                <w:rFonts w:eastAsia="Times New Roman" w:cstheme="minorHAnsi"/>
                <w:color w:val="000000"/>
                <w:sz w:val="16"/>
                <w:szCs w:val="16"/>
              </w:rPr>
              <w:t>Resilience</w:t>
            </w:r>
            <w:proofErr w:type="spellEnd"/>
          </w:p>
        </w:tc>
        <w:tc>
          <w:tcPr>
            <w:tcW w:w="810" w:type="dxa"/>
            <w:noWrap/>
            <w:hideMark/>
          </w:tcPr>
          <w:p w14:paraId="55CC554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1AF0A85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Congo</w:t>
            </w:r>
          </w:p>
        </w:tc>
        <w:tc>
          <w:tcPr>
            <w:tcW w:w="990" w:type="dxa"/>
            <w:noWrap/>
            <w:hideMark/>
          </w:tcPr>
          <w:p w14:paraId="1D77BF4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5F1787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BA7EC4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420920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7.05</w:t>
            </w:r>
          </w:p>
        </w:tc>
        <w:tc>
          <w:tcPr>
            <w:tcW w:w="990" w:type="dxa"/>
            <w:noWrap/>
            <w:hideMark/>
          </w:tcPr>
          <w:p w14:paraId="108FB4F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60.00</w:t>
            </w:r>
          </w:p>
        </w:tc>
        <w:tc>
          <w:tcPr>
            <w:tcW w:w="900" w:type="dxa"/>
            <w:noWrap/>
            <w:hideMark/>
          </w:tcPr>
          <w:p w14:paraId="741F5DE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67.05</w:t>
            </w:r>
          </w:p>
        </w:tc>
      </w:tr>
      <w:tr w:rsidR="00C0269A" w:rsidRPr="00C67737" w14:paraId="41BEB68B"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C091A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11301</w:t>
            </w:r>
          </w:p>
        </w:tc>
        <w:tc>
          <w:tcPr>
            <w:tcW w:w="5400" w:type="dxa"/>
            <w:noWrap/>
            <w:hideMark/>
          </w:tcPr>
          <w:p w14:paraId="05A064E6"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Green Cities Transformation – Smart, Sustainable and Low-Carbon Urban Solutions in Triangular Metropolitan Area</w:t>
            </w:r>
          </w:p>
        </w:tc>
        <w:tc>
          <w:tcPr>
            <w:tcW w:w="810" w:type="dxa"/>
            <w:noWrap/>
            <w:hideMark/>
          </w:tcPr>
          <w:p w14:paraId="754B8B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E46713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Serbia</w:t>
            </w:r>
          </w:p>
        </w:tc>
        <w:tc>
          <w:tcPr>
            <w:tcW w:w="990" w:type="dxa"/>
            <w:noWrap/>
            <w:hideMark/>
          </w:tcPr>
          <w:p w14:paraId="1F71C15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A1209C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10E10D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3A8605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7.92</w:t>
            </w:r>
          </w:p>
        </w:tc>
        <w:tc>
          <w:tcPr>
            <w:tcW w:w="990" w:type="dxa"/>
            <w:noWrap/>
            <w:hideMark/>
          </w:tcPr>
          <w:p w14:paraId="0D83F25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132.32</w:t>
            </w:r>
          </w:p>
        </w:tc>
        <w:tc>
          <w:tcPr>
            <w:tcW w:w="900" w:type="dxa"/>
            <w:noWrap/>
            <w:hideMark/>
          </w:tcPr>
          <w:p w14:paraId="19F4070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140.24</w:t>
            </w:r>
          </w:p>
        </w:tc>
      </w:tr>
      <w:tr w:rsidR="00C0269A" w:rsidRPr="00C67737" w14:paraId="70544C5A"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6DB6E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11299</w:t>
            </w:r>
          </w:p>
        </w:tc>
        <w:tc>
          <w:tcPr>
            <w:tcW w:w="5400" w:type="dxa"/>
            <w:noWrap/>
            <w:hideMark/>
          </w:tcPr>
          <w:p w14:paraId="280EB5E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Green and </w:t>
            </w:r>
            <w:proofErr w:type="spellStart"/>
            <w:r w:rsidRPr="00C67737">
              <w:rPr>
                <w:rFonts w:eastAsia="Times New Roman" w:cstheme="minorHAnsi"/>
                <w:color w:val="000000"/>
                <w:sz w:val="16"/>
                <w:szCs w:val="16"/>
              </w:rPr>
              <w:t>Resilient</w:t>
            </w:r>
            <w:proofErr w:type="spellEnd"/>
            <w:r w:rsidRPr="00C67737">
              <w:rPr>
                <w:rFonts w:eastAsia="Times New Roman" w:cstheme="minorHAnsi"/>
                <w:color w:val="000000"/>
                <w:sz w:val="16"/>
                <w:szCs w:val="16"/>
              </w:rPr>
              <w:t xml:space="preserve"> Cities</w:t>
            </w:r>
          </w:p>
        </w:tc>
        <w:tc>
          <w:tcPr>
            <w:tcW w:w="810" w:type="dxa"/>
            <w:noWrap/>
            <w:hideMark/>
          </w:tcPr>
          <w:p w14:paraId="57652DA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F95CF4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113E1F6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746896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811307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67D4A7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5F9E1C5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32.52</w:t>
            </w:r>
          </w:p>
        </w:tc>
        <w:tc>
          <w:tcPr>
            <w:tcW w:w="900" w:type="dxa"/>
            <w:noWrap/>
            <w:hideMark/>
          </w:tcPr>
          <w:p w14:paraId="4FB1BAB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45.85</w:t>
            </w:r>
          </w:p>
        </w:tc>
      </w:tr>
      <w:tr w:rsidR="00C0269A" w:rsidRPr="00C67737" w14:paraId="1E0606E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02050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11298</w:t>
            </w:r>
          </w:p>
        </w:tc>
        <w:tc>
          <w:tcPr>
            <w:tcW w:w="5400" w:type="dxa"/>
            <w:noWrap/>
            <w:hideMark/>
          </w:tcPr>
          <w:p w14:paraId="018843A7"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 xml:space="preserve">Promoting Nature Positive, Resilient and Inclusive Cities in Lima-Callao, </w:t>
            </w:r>
            <w:proofErr w:type="spellStart"/>
            <w:r w:rsidRPr="00CA5A8A">
              <w:rPr>
                <w:rFonts w:eastAsia="Times New Roman" w:cstheme="minorHAnsi"/>
                <w:color w:val="000000"/>
                <w:sz w:val="16"/>
                <w:szCs w:val="16"/>
                <w:lang w:val="en-US"/>
              </w:rPr>
              <w:t>Huancayo</w:t>
            </w:r>
            <w:proofErr w:type="spellEnd"/>
            <w:r w:rsidRPr="00CA5A8A">
              <w:rPr>
                <w:rFonts w:eastAsia="Times New Roman" w:cstheme="minorHAnsi"/>
                <w:color w:val="000000"/>
                <w:sz w:val="16"/>
                <w:szCs w:val="16"/>
                <w:lang w:val="en-US"/>
              </w:rPr>
              <w:t xml:space="preserve"> and Ica</w:t>
            </w:r>
          </w:p>
        </w:tc>
        <w:tc>
          <w:tcPr>
            <w:tcW w:w="810" w:type="dxa"/>
            <w:noWrap/>
            <w:hideMark/>
          </w:tcPr>
          <w:p w14:paraId="63980A4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ACE160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2F2F517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55472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3C8143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DBCE3E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127F6E1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108.52</w:t>
            </w:r>
          </w:p>
        </w:tc>
        <w:tc>
          <w:tcPr>
            <w:tcW w:w="900" w:type="dxa"/>
            <w:noWrap/>
            <w:hideMark/>
          </w:tcPr>
          <w:p w14:paraId="3DAFD83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121.86</w:t>
            </w:r>
          </w:p>
        </w:tc>
      </w:tr>
      <w:tr w:rsidR="00C0269A" w:rsidRPr="00C67737" w14:paraId="54DCFC0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44893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11297</w:t>
            </w:r>
          </w:p>
        </w:tc>
        <w:tc>
          <w:tcPr>
            <w:tcW w:w="5400" w:type="dxa"/>
            <w:noWrap/>
            <w:hideMark/>
          </w:tcPr>
          <w:p w14:paraId="2851CC84"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Green and Inclusive Cities in Mongolia</w:t>
            </w:r>
          </w:p>
        </w:tc>
        <w:tc>
          <w:tcPr>
            <w:tcW w:w="810" w:type="dxa"/>
            <w:noWrap/>
            <w:hideMark/>
          </w:tcPr>
          <w:p w14:paraId="651FB83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CEC2FF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Mongolia</w:t>
            </w:r>
          </w:p>
        </w:tc>
        <w:tc>
          <w:tcPr>
            <w:tcW w:w="990" w:type="dxa"/>
            <w:noWrap/>
            <w:hideMark/>
          </w:tcPr>
          <w:p w14:paraId="5BF9D45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A5459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0FCAD2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88A66D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8.13</w:t>
            </w:r>
          </w:p>
        </w:tc>
        <w:tc>
          <w:tcPr>
            <w:tcW w:w="990" w:type="dxa"/>
            <w:noWrap/>
            <w:hideMark/>
          </w:tcPr>
          <w:p w14:paraId="2098F5A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227.80</w:t>
            </w:r>
          </w:p>
        </w:tc>
        <w:tc>
          <w:tcPr>
            <w:tcW w:w="900" w:type="dxa"/>
            <w:noWrap/>
            <w:hideMark/>
          </w:tcPr>
          <w:p w14:paraId="271467C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235.93</w:t>
            </w:r>
          </w:p>
        </w:tc>
      </w:tr>
      <w:tr w:rsidR="00C0269A" w:rsidRPr="00C67737" w14:paraId="2365199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BE6D9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11296</w:t>
            </w:r>
          </w:p>
        </w:tc>
        <w:tc>
          <w:tcPr>
            <w:tcW w:w="5400" w:type="dxa"/>
            <w:noWrap/>
            <w:hideMark/>
          </w:tcPr>
          <w:p w14:paraId="708019A4"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Supporting the Shift towards Integrated, Low-Carbon and Nature-Positive Neighborhoods in Nairobi</w:t>
            </w:r>
          </w:p>
        </w:tc>
        <w:tc>
          <w:tcPr>
            <w:tcW w:w="810" w:type="dxa"/>
            <w:noWrap/>
            <w:hideMark/>
          </w:tcPr>
          <w:p w14:paraId="7D64A13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8897F8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6DEEB2C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94CD6A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3D4A42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FAA6F5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5.20</w:t>
            </w:r>
          </w:p>
        </w:tc>
        <w:tc>
          <w:tcPr>
            <w:tcW w:w="990" w:type="dxa"/>
            <w:noWrap/>
            <w:hideMark/>
          </w:tcPr>
          <w:p w14:paraId="287F450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42.42</w:t>
            </w:r>
          </w:p>
        </w:tc>
        <w:tc>
          <w:tcPr>
            <w:tcW w:w="900" w:type="dxa"/>
            <w:noWrap/>
            <w:hideMark/>
          </w:tcPr>
          <w:p w14:paraId="3587521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47.62</w:t>
            </w:r>
          </w:p>
        </w:tc>
      </w:tr>
      <w:tr w:rsidR="00C0269A" w:rsidRPr="00C67737" w14:paraId="7330386E"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92A80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11294</w:t>
            </w:r>
          </w:p>
        </w:tc>
        <w:tc>
          <w:tcPr>
            <w:tcW w:w="5400" w:type="dxa"/>
            <w:noWrap/>
            <w:hideMark/>
          </w:tcPr>
          <w:p w14:paraId="2D448137" w14:textId="77777777" w:rsidR="00C0269A" w:rsidRPr="000F2D6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 xml:space="preserve">The South African Sustainable Cities Planning and </w:t>
            </w:r>
            <w:proofErr w:type="spellStart"/>
            <w:r w:rsidRPr="000F2D6A">
              <w:rPr>
                <w:rFonts w:eastAsia="Times New Roman" w:cstheme="minorHAnsi"/>
                <w:color w:val="000000"/>
                <w:sz w:val="16"/>
                <w:szCs w:val="16"/>
                <w:lang w:val="en-US"/>
              </w:rPr>
              <w:t>Decarbonisation</w:t>
            </w:r>
            <w:proofErr w:type="spellEnd"/>
            <w:r w:rsidRPr="000F2D6A">
              <w:rPr>
                <w:rFonts w:eastAsia="Times New Roman" w:cstheme="minorHAnsi"/>
                <w:color w:val="000000"/>
                <w:sz w:val="16"/>
                <w:szCs w:val="16"/>
                <w:lang w:val="en-US"/>
              </w:rPr>
              <w:t xml:space="preserve">  Integrated Programme</w:t>
            </w:r>
          </w:p>
        </w:tc>
        <w:tc>
          <w:tcPr>
            <w:tcW w:w="810" w:type="dxa"/>
            <w:noWrap/>
            <w:hideMark/>
          </w:tcPr>
          <w:p w14:paraId="381DD3D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DBSA</w:t>
            </w:r>
          </w:p>
        </w:tc>
        <w:tc>
          <w:tcPr>
            <w:tcW w:w="990" w:type="dxa"/>
            <w:noWrap/>
            <w:hideMark/>
          </w:tcPr>
          <w:p w14:paraId="6B5526D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Africa</w:t>
            </w:r>
            <w:proofErr w:type="spellEnd"/>
          </w:p>
        </w:tc>
        <w:tc>
          <w:tcPr>
            <w:tcW w:w="990" w:type="dxa"/>
            <w:noWrap/>
            <w:hideMark/>
          </w:tcPr>
          <w:p w14:paraId="3CC0CFD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BF33A8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D1A61A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8213E7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7E669CF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125.53</w:t>
            </w:r>
          </w:p>
        </w:tc>
        <w:tc>
          <w:tcPr>
            <w:tcW w:w="900" w:type="dxa"/>
            <w:noWrap/>
            <w:hideMark/>
          </w:tcPr>
          <w:p w14:paraId="41A1B1D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133.53</w:t>
            </w:r>
          </w:p>
        </w:tc>
      </w:tr>
      <w:tr w:rsidR="00C0269A" w:rsidRPr="00C67737" w14:paraId="31FB9D4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F1BE1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11293</w:t>
            </w:r>
          </w:p>
        </w:tc>
        <w:tc>
          <w:tcPr>
            <w:tcW w:w="5400" w:type="dxa"/>
            <w:noWrap/>
            <w:hideMark/>
          </w:tcPr>
          <w:p w14:paraId="24152715" w14:textId="77777777" w:rsidR="00C0269A" w:rsidRPr="000F2D6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Towards Resilient Cities in Guatemala: Addressing Biodiversity Loss and Recovery through Integrated Urban Planning and Development</w:t>
            </w:r>
          </w:p>
        </w:tc>
        <w:tc>
          <w:tcPr>
            <w:tcW w:w="810" w:type="dxa"/>
            <w:noWrap/>
            <w:hideMark/>
          </w:tcPr>
          <w:p w14:paraId="5A891E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954C4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Guatemala</w:t>
            </w:r>
          </w:p>
        </w:tc>
        <w:tc>
          <w:tcPr>
            <w:tcW w:w="990" w:type="dxa"/>
            <w:noWrap/>
            <w:hideMark/>
          </w:tcPr>
          <w:p w14:paraId="24073D2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4C11E7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FBB72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52F468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4.39</w:t>
            </w:r>
          </w:p>
        </w:tc>
        <w:tc>
          <w:tcPr>
            <w:tcW w:w="990" w:type="dxa"/>
            <w:noWrap/>
            <w:hideMark/>
          </w:tcPr>
          <w:p w14:paraId="51B1D47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21.13</w:t>
            </w:r>
          </w:p>
        </w:tc>
        <w:tc>
          <w:tcPr>
            <w:tcW w:w="900" w:type="dxa"/>
            <w:noWrap/>
            <w:hideMark/>
          </w:tcPr>
          <w:p w14:paraId="2E313CF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25.52</w:t>
            </w:r>
          </w:p>
        </w:tc>
      </w:tr>
      <w:tr w:rsidR="00C0269A" w:rsidRPr="00C67737" w14:paraId="0635FB3E"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CC86D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11292</w:t>
            </w:r>
          </w:p>
        </w:tc>
        <w:tc>
          <w:tcPr>
            <w:tcW w:w="5400" w:type="dxa"/>
            <w:noWrap/>
            <w:hideMark/>
          </w:tcPr>
          <w:p w14:paraId="6D5D400A" w14:textId="77777777" w:rsidR="00C0269A" w:rsidRPr="000F2D6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Integrated Governance and Urban Transformation for a Sustainable “Grand Libreville”</w:t>
            </w:r>
          </w:p>
        </w:tc>
        <w:tc>
          <w:tcPr>
            <w:tcW w:w="810" w:type="dxa"/>
            <w:noWrap/>
            <w:hideMark/>
          </w:tcPr>
          <w:p w14:paraId="2D6EB55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B2FD89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Gabon</w:t>
            </w:r>
          </w:p>
        </w:tc>
        <w:tc>
          <w:tcPr>
            <w:tcW w:w="990" w:type="dxa"/>
            <w:noWrap/>
            <w:hideMark/>
          </w:tcPr>
          <w:p w14:paraId="459521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522B84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0048EF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9ECF69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9.04</w:t>
            </w:r>
          </w:p>
        </w:tc>
        <w:tc>
          <w:tcPr>
            <w:tcW w:w="990" w:type="dxa"/>
            <w:noWrap/>
            <w:hideMark/>
          </w:tcPr>
          <w:p w14:paraId="42BCD16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61.62</w:t>
            </w:r>
          </w:p>
        </w:tc>
        <w:tc>
          <w:tcPr>
            <w:tcW w:w="900" w:type="dxa"/>
            <w:noWrap/>
            <w:hideMark/>
          </w:tcPr>
          <w:p w14:paraId="60BB22E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70.66</w:t>
            </w:r>
          </w:p>
        </w:tc>
      </w:tr>
      <w:tr w:rsidR="00C0269A" w:rsidRPr="00C67737" w14:paraId="1CD43F0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F4236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11291</w:t>
            </w:r>
          </w:p>
        </w:tc>
        <w:tc>
          <w:tcPr>
            <w:tcW w:w="5400" w:type="dxa"/>
            <w:noWrap/>
            <w:hideMark/>
          </w:tcPr>
          <w:p w14:paraId="33FF3B3A" w14:textId="77777777" w:rsidR="00C0269A" w:rsidRPr="000F2D6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A Sustainable, Green, Blue, and Digital Havana</w:t>
            </w:r>
          </w:p>
        </w:tc>
        <w:tc>
          <w:tcPr>
            <w:tcW w:w="810" w:type="dxa"/>
            <w:noWrap/>
            <w:hideMark/>
          </w:tcPr>
          <w:p w14:paraId="618FEFD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9F202A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Cuba</w:t>
            </w:r>
          </w:p>
        </w:tc>
        <w:tc>
          <w:tcPr>
            <w:tcW w:w="990" w:type="dxa"/>
            <w:noWrap/>
            <w:hideMark/>
          </w:tcPr>
          <w:p w14:paraId="045C5C7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65429F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5DB59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B04684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8.67</w:t>
            </w:r>
          </w:p>
        </w:tc>
        <w:tc>
          <w:tcPr>
            <w:tcW w:w="990" w:type="dxa"/>
            <w:noWrap/>
            <w:hideMark/>
          </w:tcPr>
          <w:p w14:paraId="43202B4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33.34</w:t>
            </w:r>
          </w:p>
        </w:tc>
        <w:tc>
          <w:tcPr>
            <w:tcW w:w="900" w:type="dxa"/>
            <w:noWrap/>
            <w:hideMark/>
          </w:tcPr>
          <w:p w14:paraId="442A10D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42.01</w:t>
            </w:r>
          </w:p>
        </w:tc>
      </w:tr>
      <w:tr w:rsidR="00C0269A" w:rsidRPr="00C67737" w14:paraId="347D213F"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83ABB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11290</w:t>
            </w:r>
          </w:p>
        </w:tc>
        <w:tc>
          <w:tcPr>
            <w:tcW w:w="5400" w:type="dxa"/>
            <w:noWrap/>
            <w:hideMark/>
          </w:tcPr>
          <w:p w14:paraId="77605F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Climate</w:t>
            </w:r>
            <w:proofErr w:type="spellEnd"/>
            <w:r w:rsidRPr="00C67737">
              <w:rPr>
                <w:rFonts w:eastAsia="Times New Roman" w:cstheme="minorHAnsi"/>
                <w:color w:val="000000"/>
                <w:sz w:val="16"/>
                <w:szCs w:val="16"/>
              </w:rPr>
              <w:t xml:space="preserve"> Smart </w:t>
            </w:r>
            <w:proofErr w:type="spellStart"/>
            <w:r w:rsidRPr="00C67737">
              <w:rPr>
                <w:rFonts w:eastAsia="Times New Roman" w:cstheme="minorHAnsi"/>
                <w:color w:val="000000"/>
                <w:sz w:val="16"/>
                <w:szCs w:val="16"/>
              </w:rPr>
              <w:t>Sustainable</w:t>
            </w:r>
            <w:proofErr w:type="spellEnd"/>
            <w:r w:rsidRPr="00C67737">
              <w:rPr>
                <w:rFonts w:eastAsia="Times New Roman" w:cstheme="minorHAnsi"/>
                <w:color w:val="000000"/>
                <w:sz w:val="16"/>
                <w:szCs w:val="16"/>
              </w:rPr>
              <w:t xml:space="preserve"> Cities</w:t>
            </w:r>
          </w:p>
        </w:tc>
        <w:tc>
          <w:tcPr>
            <w:tcW w:w="810" w:type="dxa"/>
            <w:noWrap/>
            <w:hideMark/>
          </w:tcPr>
          <w:p w14:paraId="473F9C8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E642F3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14746B3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140BD0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BA045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E9A13A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47F10C8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15.95</w:t>
            </w:r>
          </w:p>
        </w:tc>
        <w:tc>
          <w:tcPr>
            <w:tcW w:w="900" w:type="dxa"/>
            <w:noWrap/>
            <w:hideMark/>
          </w:tcPr>
          <w:p w14:paraId="057A00C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21.28</w:t>
            </w:r>
          </w:p>
        </w:tc>
      </w:tr>
      <w:tr w:rsidR="00C0269A" w:rsidRPr="00C67737" w14:paraId="7D446BF7"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713BE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11289</w:t>
            </w:r>
          </w:p>
        </w:tc>
        <w:tc>
          <w:tcPr>
            <w:tcW w:w="5400" w:type="dxa"/>
            <w:noWrap/>
            <w:hideMark/>
          </w:tcPr>
          <w:p w14:paraId="761350AC" w14:textId="77777777" w:rsidR="00C0269A" w:rsidRPr="000F2D6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 xml:space="preserve">The Greater </w:t>
            </w:r>
            <w:proofErr w:type="spellStart"/>
            <w:r w:rsidRPr="000F2D6A">
              <w:rPr>
                <w:rFonts w:eastAsia="Times New Roman" w:cstheme="minorHAnsi"/>
                <w:color w:val="000000"/>
                <w:sz w:val="16"/>
                <w:szCs w:val="16"/>
                <w:lang w:val="en-US"/>
              </w:rPr>
              <w:t>Nokoue</w:t>
            </w:r>
            <w:proofErr w:type="spellEnd"/>
            <w:r w:rsidRPr="000F2D6A">
              <w:rPr>
                <w:rFonts w:eastAsia="Times New Roman" w:cstheme="minorHAnsi"/>
                <w:color w:val="000000"/>
                <w:sz w:val="16"/>
                <w:szCs w:val="16"/>
                <w:lang w:val="en-US"/>
              </w:rPr>
              <w:t xml:space="preserve"> Greening Program</w:t>
            </w:r>
          </w:p>
        </w:tc>
        <w:tc>
          <w:tcPr>
            <w:tcW w:w="810" w:type="dxa"/>
            <w:noWrap/>
            <w:hideMark/>
          </w:tcPr>
          <w:p w14:paraId="5E0AD53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BOAD</w:t>
            </w:r>
          </w:p>
        </w:tc>
        <w:tc>
          <w:tcPr>
            <w:tcW w:w="990" w:type="dxa"/>
            <w:noWrap/>
            <w:hideMark/>
          </w:tcPr>
          <w:p w14:paraId="60A1724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Benin</w:t>
            </w:r>
          </w:p>
        </w:tc>
        <w:tc>
          <w:tcPr>
            <w:tcW w:w="990" w:type="dxa"/>
            <w:noWrap/>
            <w:hideMark/>
          </w:tcPr>
          <w:p w14:paraId="2CA9A7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37D12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049E13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D51932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1D883F5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74.46</w:t>
            </w:r>
          </w:p>
        </w:tc>
        <w:tc>
          <w:tcPr>
            <w:tcW w:w="900" w:type="dxa"/>
            <w:noWrap/>
            <w:hideMark/>
          </w:tcPr>
          <w:p w14:paraId="0EF2376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82.46</w:t>
            </w:r>
          </w:p>
        </w:tc>
      </w:tr>
      <w:tr w:rsidR="00C0269A" w:rsidRPr="00C67737" w14:paraId="60475F3C"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EEE51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11288</w:t>
            </w:r>
          </w:p>
        </w:tc>
        <w:tc>
          <w:tcPr>
            <w:tcW w:w="5400" w:type="dxa"/>
            <w:noWrap/>
            <w:hideMark/>
          </w:tcPr>
          <w:p w14:paraId="1BD818C0" w14:textId="77777777" w:rsidR="00C0269A" w:rsidRPr="000F2D6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Belize Blue Cities and Beyond Program</w:t>
            </w:r>
          </w:p>
        </w:tc>
        <w:tc>
          <w:tcPr>
            <w:tcW w:w="810" w:type="dxa"/>
            <w:noWrap/>
            <w:hideMark/>
          </w:tcPr>
          <w:p w14:paraId="4C3A2C5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6EC478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Belize</w:t>
            </w:r>
          </w:p>
        </w:tc>
        <w:tc>
          <w:tcPr>
            <w:tcW w:w="990" w:type="dxa"/>
            <w:noWrap/>
            <w:hideMark/>
          </w:tcPr>
          <w:p w14:paraId="0242228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E33248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B0E261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8D739C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4.10</w:t>
            </w:r>
          </w:p>
        </w:tc>
        <w:tc>
          <w:tcPr>
            <w:tcW w:w="990" w:type="dxa"/>
            <w:noWrap/>
            <w:hideMark/>
          </w:tcPr>
          <w:p w14:paraId="73D0A52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27.50</w:t>
            </w:r>
          </w:p>
        </w:tc>
        <w:tc>
          <w:tcPr>
            <w:tcW w:w="900" w:type="dxa"/>
            <w:noWrap/>
            <w:hideMark/>
          </w:tcPr>
          <w:p w14:paraId="265D31A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31.60</w:t>
            </w:r>
          </w:p>
        </w:tc>
      </w:tr>
      <w:tr w:rsidR="00C0269A" w:rsidRPr="00C67737" w14:paraId="2314E1C7"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1D732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11337</w:t>
            </w:r>
          </w:p>
        </w:tc>
        <w:tc>
          <w:tcPr>
            <w:tcW w:w="5400" w:type="dxa"/>
            <w:noWrap/>
            <w:hideMark/>
          </w:tcPr>
          <w:p w14:paraId="5DD6E698" w14:textId="77777777" w:rsidR="00C0269A" w:rsidRPr="000F2D6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0F2D6A">
              <w:rPr>
                <w:rFonts w:eastAsia="Times New Roman" w:cstheme="minorHAnsi"/>
                <w:b/>
                <w:bCs/>
                <w:color w:val="000000"/>
                <w:sz w:val="16"/>
                <w:szCs w:val="16"/>
                <w:lang w:val="en-US"/>
              </w:rPr>
              <w:t>Amazon Sustainable Landscapes Program Phase 3- Addendum Council Meeting Feb 5, 2024</w:t>
            </w:r>
          </w:p>
        </w:tc>
        <w:tc>
          <w:tcPr>
            <w:tcW w:w="810" w:type="dxa"/>
            <w:noWrap/>
            <w:hideMark/>
          </w:tcPr>
          <w:p w14:paraId="1859501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World Bank</w:t>
            </w:r>
          </w:p>
        </w:tc>
        <w:tc>
          <w:tcPr>
            <w:tcW w:w="990" w:type="dxa"/>
            <w:noWrap/>
            <w:hideMark/>
          </w:tcPr>
          <w:p w14:paraId="3562CB1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2A15FC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2882085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1F85C4A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69D6CBA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704ED4D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1B478DB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C0269A" w:rsidRPr="00C67737" w14:paraId="0204F554"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26548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11338</w:t>
            </w:r>
          </w:p>
        </w:tc>
        <w:tc>
          <w:tcPr>
            <w:tcW w:w="5400" w:type="dxa"/>
            <w:noWrap/>
            <w:hideMark/>
          </w:tcPr>
          <w:p w14:paraId="20859297" w14:textId="77777777" w:rsidR="00C0269A" w:rsidRPr="000F2D6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Advancing Guyana's Development through Improved Forest Management</w:t>
            </w:r>
          </w:p>
        </w:tc>
        <w:tc>
          <w:tcPr>
            <w:tcW w:w="810" w:type="dxa"/>
            <w:noWrap/>
            <w:hideMark/>
          </w:tcPr>
          <w:p w14:paraId="3F5572B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4C1E91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Guyana</w:t>
            </w:r>
          </w:p>
        </w:tc>
        <w:tc>
          <w:tcPr>
            <w:tcW w:w="990" w:type="dxa"/>
            <w:noWrap/>
            <w:hideMark/>
          </w:tcPr>
          <w:p w14:paraId="4BBBE0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1AEB26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5FF597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017CC4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3C038F9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20.80</w:t>
            </w:r>
          </w:p>
        </w:tc>
        <w:tc>
          <w:tcPr>
            <w:tcW w:w="900" w:type="dxa"/>
            <w:noWrap/>
            <w:hideMark/>
          </w:tcPr>
          <w:p w14:paraId="6FA758C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24.80</w:t>
            </w:r>
          </w:p>
        </w:tc>
      </w:tr>
      <w:tr w:rsidR="00C0269A" w:rsidRPr="00C67737" w14:paraId="00EFEA17"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444BE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11349</w:t>
            </w:r>
          </w:p>
        </w:tc>
        <w:tc>
          <w:tcPr>
            <w:tcW w:w="5400" w:type="dxa"/>
            <w:noWrap/>
            <w:hideMark/>
          </w:tcPr>
          <w:p w14:paraId="3E204265" w14:textId="77777777" w:rsidR="00C0269A" w:rsidRPr="000F2D6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0F2D6A">
              <w:rPr>
                <w:rFonts w:eastAsia="Times New Roman" w:cstheme="minorHAnsi"/>
                <w:b/>
                <w:bCs/>
                <w:color w:val="000000"/>
                <w:sz w:val="16"/>
                <w:szCs w:val="16"/>
                <w:lang w:val="en-US"/>
              </w:rPr>
              <w:t xml:space="preserve">Clean and Healthy Ocean Integrated Program </w:t>
            </w:r>
          </w:p>
        </w:tc>
        <w:tc>
          <w:tcPr>
            <w:tcW w:w="810" w:type="dxa"/>
            <w:noWrap/>
            <w:hideMark/>
          </w:tcPr>
          <w:p w14:paraId="76A001F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FAO</w:t>
            </w:r>
          </w:p>
        </w:tc>
        <w:tc>
          <w:tcPr>
            <w:tcW w:w="990" w:type="dxa"/>
            <w:noWrap/>
            <w:hideMark/>
          </w:tcPr>
          <w:p w14:paraId="73795D4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11FCCF0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2A9E1B3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0E874CF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779FC7B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47BC9AB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2988D21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C0269A" w:rsidRPr="00C67737" w14:paraId="1368558A"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F416E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11364</w:t>
            </w:r>
          </w:p>
        </w:tc>
        <w:tc>
          <w:tcPr>
            <w:tcW w:w="5400" w:type="dxa"/>
            <w:noWrap/>
            <w:hideMark/>
          </w:tcPr>
          <w:p w14:paraId="451F4548" w14:textId="77777777" w:rsidR="00C0269A" w:rsidRPr="000F2D6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Green, Blue and Healthy Investments to Reduce Land-Based Pollution Affecting Marine Ecosystems in Madagascar</w:t>
            </w:r>
          </w:p>
        </w:tc>
        <w:tc>
          <w:tcPr>
            <w:tcW w:w="810" w:type="dxa"/>
            <w:noWrap/>
            <w:hideMark/>
          </w:tcPr>
          <w:p w14:paraId="5BB1A45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8F9D91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340B535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1897C6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276A46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C8D0E15"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13.00</w:t>
            </w:r>
          </w:p>
        </w:tc>
        <w:tc>
          <w:tcPr>
            <w:tcW w:w="990" w:type="dxa"/>
            <w:noWrap/>
            <w:hideMark/>
          </w:tcPr>
          <w:p w14:paraId="6A62043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53.21</w:t>
            </w:r>
          </w:p>
        </w:tc>
        <w:tc>
          <w:tcPr>
            <w:tcW w:w="900" w:type="dxa"/>
            <w:noWrap/>
            <w:hideMark/>
          </w:tcPr>
          <w:p w14:paraId="4D49630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66.21</w:t>
            </w:r>
          </w:p>
        </w:tc>
      </w:tr>
      <w:tr w:rsidR="00C0269A" w:rsidRPr="00C67737" w14:paraId="5538D44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A654B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11362</w:t>
            </w:r>
          </w:p>
        </w:tc>
        <w:tc>
          <w:tcPr>
            <w:tcW w:w="5400" w:type="dxa"/>
            <w:noWrap/>
            <w:hideMark/>
          </w:tcPr>
          <w:p w14:paraId="1C0DCD0D" w14:textId="77777777" w:rsidR="00C0269A" w:rsidRPr="000F2D6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Nature Based Solutions to Reduce Coastal Pollution in Peru</w:t>
            </w:r>
          </w:p>
        </w:tc>
        <w:tc>
          <w:tcPr>
            <w:tcW w:w="810" w:type="dxa"/>
            <w:noWrap/>
            <w:hideMark/>
          </w:tcPr>
          <w:p w14:paraId="58801EE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62E39B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76690B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6E56E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AD7EED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8F33F9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11.00</w:t>
            </w:r>
          </w:p>
        </w:tc>
        <w:tc>
          <w:tcPr>
            <w:tcW w:w="990" w:type="dxa"/>
            <w:noWrap/>
            <w:hideMark/>
          </w:tcPr>
          <w:p w14:paraId="56DB839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53.51</w:t>
            </w:r>
          </w:p>
        </w:tc>
        <w:tc>
          <w:tcPr>
            <w:tcW w:w="900" w:type="dxa"/>
            <w:noWrap/>
            <w:hideMark/>
          </w:tcPr>
          <w:p w14:paraId="3E54C5E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64.51</w:t>
            </w:r>
          </w:p>
        </w:tc>
      </w:tr>
      <w:tr w:rsidR="00C0269A" w:rsidRPr="00C67737" w14:paraId="3C9FB48A"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35A6A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11361</w:t>
            </w:r>
          </w:p>
        </w:tc>
        <w:tc>
          <w:tcPr>
            <w:tcW w:w="5400" w:type="dxa"/>
            <w:noWrap/>
            <w:hideMark/>
          </w:tcPr>
          <w:p w14:paraId="25481BBB" w14:textId="77777777" w:rsidR="00C0269A" w:rsidRPr="000F2D6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BBSEA Moldova Wetlands and Terrestrial Ecosystem Restoration for Watershed Improvements and Sustainable Environments</w:t>
            </w:r>
          </w:p>
        </w:tc>
        <w:tc>
          <w:tcPr>
            <w:tcW w:w="810" w:type="dxa"/>
            <w:noWrap/>
            <w:hideMark/>
          </w:tcPr>
          <w:p w14:paraId="5A5CA97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2FDDAB2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Moldova</w:t>
            </w:r>
          </w:p>
        </w:tc>
        <w:tc>
          <w:tcPr>
            <w:tcW w:w="990" w:type="dxa"/>
            <w:noWrap/>
            <w:hideMark/>
          </w:tcPr>
          <w:p w14:paraId="65FC7D4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25E821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EB1141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A5C22C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8.83</w:t>
            </w:r>
          </w:p>
        </w:tc>
        <w:tc>
          <w:tcPr>
            <w:tcW w:w="990" w:type="dxa"/>
            <w:noWrap/>
            <w:hideMark/>
          </w:tcPr>
          <w:p w14:paraId="0BAFDCA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71.32</w:t>
            </w:r>
          </w:p>
        </w:tc>
        <w:tc>
          <w:tcPr>
            <w:tcW w:w="900" w:type="dxa"/>
            <w:noWrap/>
            <w:hideMark/>
          </w:tcPr>
          <w:p w14:paraId="74B0C5C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80.15</w:t>
            </w:r>
          </w:p>
        </w:tc>
      </w:tr>
      <w:tr w:rsidR="00C0269A" w:rsidRPr="00C67737" w14:paraId="63313DE2"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DDDEC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11360</w:t>
            </w:r>
          </w:p>
        </w:tc>
        <w:tc>
          <w:tcPr>
            <w:tcW w:w="5400" w:type="dxa"/>
            <w:noWrap/>
            <w:hideMark/>
          </w:tcPr>
          <w:p w14:paraId="3BB897E4" w14:textId="77777777" w:rsidR="00C0269A" w:rsidRPr="000F2D6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Forging Partnerships for the Ocean: Reducing Water Pollution in Mexico through Sustainable Solutions</w:t>
            </w:r>
          </w:p>
        </w:tc>
        <w:tc>
          <w:tcPr>
            <w:tcW w:w="810" w:type="dxa"/>
            <w:noWrap/>
            <w:hideMark/>
          </w:tcPr>
          <w:p w14:paraId="33A7DB9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9A13BC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497F130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B0A46F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452486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3AF7D5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15.00</w:t>
            </w:r>
          </w:p>
        </w:tc>
        <w:tc>
          <w:tcPr>
            <w:tcW w:w="990" w:type="dxa"/>
            <w:noWrap/>
            <w:hideMark/>
          </w:tcPr>
          <w:p w14:paraId="1E69479B"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83.96</w:t>
            </w:r>
          </w:p>
        </w:tc>
        <w:tc>
          <w:tcPr>
            <w:tcW w:w="900" w:type="dxa"/>
            <w:noWrap/>
            <w:hideMark/>
          </w:tcPr>
          <w:p w14:paraId="47ECD19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98.96</w:t>
            </w:r>
          </w:p>
        </w:tc>
      </w:tr>
      <w:tr w:rsidR="00C0269A" w:rsidRPr="00C67737" w14:paraId="1679DD5B"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1FF17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11358</w:t>
            </w:r>
          </w:p>
        </w:tc>
        <w:tc>
          <w:tcPr>
            <w:tcW w:w="5400" w:type="dxa"/>
            <w:noWrap/>
            <w:hideMark/>
          </w:tcPr>
          <w:p w14:paraId="2B8092A5" w14:textId="77777777" w:rsidR="00C0269A" w:rsidRPr="000F2D6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Improving Waste Management and Public Awareness for a Clean and Healthy Ocean (Grenada)</w:t>
            </w:r>
          </w:p>
        </w:tc>
        <w:tc>
          <w:tcPr>
            <w:tcW w:w="810" w:type="dxa"/>
            <w:noWrap/>
            <w:hideMark/>
          </w:tcPr>
          <w:p w14:paraId="7E8681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091004F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Grenada</w:t>
            </w:r>
          </w:p>
        </w:tc>
        <w:tc>
          <w:tcPr>
            <w:tcW w:w="990" w:type="dxa"/>
            <w:noWrap/>
            <w:hideMark/>
          </w:tcPr>
          <w:p w14:paraId="469C410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378026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E005D1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EFF2B9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5.67</w:t>
            </w:r>
          </w:p>
        </w:tc>
        <w:tc>
          <w:tcPr>
            <w:tcW w:w="990" w:type="dxa"/>
            <w:noWrap/>
            <w:hideMark/>
          </w:tcPr>
          <w:p w14:paraId="2E37441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53.23</w:t>
            </w:r>
          </w:p>
        </w:tc>
        <w:tc>
          <w:tcPr>
            <w:tcW w:w="900" w:type="dxa"/>
            <w:noWrap/>
            <w:hideMark/>
          </w:tcPr>
          <w:p w14:paraId="193B640C"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58.89</w:t>
            </w:r>
          </w:p>
        </w:tc>
      </w:tr>
      <w:tr w:rsidR="00C0269A" w:rsidRPr="00C67737" w14:paraId="5095663D"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2D99F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11351</w:t>
            </w:r>
          </w:p>
        </w:tc>
        <w:tc>
          <w:tcPr>
            <w:tcW w:w="5400" w:type="dxa"/>
            <w:noWrap/>
            <w:hideMark/>
          </w:tcPr>
          <w:p w14:paraId="5C796603"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Conservation and Sustainable Development of the Maracaibo Lake Basin as a Contribution to the Improvement of the Large Marine Ecosystem of the Caribbean (Venezuela)</w:t>
            </w:r>
          </w:p>
        </w:tc>
        <w:tc>
          <w:tcPr>
            <w:tcW w:w="810" w:type="dxa"/>
            <w:noWrap/>
            <w:hideMark/>
          </w:tcPr>
          <w:p w14:paraId="384B588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D9032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Venezuela</w:t>
            </w:r>
          </w:p>
        </w:tc>
        <w:tc>
          <w:tcPr>
            <w:tcW w:w="990" w:type="dxa"/>
            <w:noWrap/>
            <w:hideMark/>
          </w:tcPr>
          <w:p w14:paraId="5FE56B3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F4FEBC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814613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0E18E6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16.83</w:t>
            </w:r>
          </w:p>
        </w:tc>
        <w:tc>
          <w:tcPr>
            <w:tcW w:w="990" w:type="dxa"/>
            <w:noWrap/>
            <w:hideMark/>
          </w:tcPr>
          <w:p w14:paraId="6821246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119.15</w:t>
            </w:r>
          </w:p>
        </w:tc>
        <w:tc>
          <w:tcPr>
            <w:tcW w:w="900" w:type="dxa"/>
            <w:noWrap/>
            <w:hideMark/>
          </w:tcPr>
          <w:p w14:paraId="5A7EE14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135.99</w:t>
            </w:r>
          </w:p>
        </w:tc>
      </w:tr>
      <w:tr w:rsidR="00C0269A" w:rsidRPr="00C67737" w14:paraId="435EFB4E"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801F4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11350</w:t>
            </w:r>
          </w:p>
        </w:tc>
        <w:tc>
          <w:tcPr>
            <w:tcW w:w="5400" w:type="dxa"/>
            <w:noWrap/>
            <w:hideMark/>
          </w:tcPr>
          <w:p w14:paraId="643BEC6F"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Enhancing Water Management and Compliance to Address Hypoxia Caused by Nutrients, and Other Pollutants, into the Gulf of Tonkin (Vietnam)</w:t>
            </w:r>
          </w:p>
        </w:tc>
        <w:tc>
          <w:tcPr>
            <w:tcW w:w="810" w:type="dxa"/>
            <w:noWrap/>
            <w:hideMark/>
          </w:tcPr>
          <w:p w14:paraId="69EA46C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BA9FBB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232A508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9603BF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BE91BF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8E1C2A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4.33</w:t>
            </w:r>
          </w:p>
        </w:tc>
        <w:tc>
          <w:tcPr>
            <w:tcW w:w="990" w:type="dxa"/>
            <w:noWrap/>
            <w:hideMark/>
          </w:tcPr>
          <w:p w14:paraId="37F5028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30.92</w:t>
            </w:r>
          </w:p>
        </w:tc>
        <w:tc>
          <w:tcPr>
            <w:tcW w:w="900" w:type="dxa"/>
            <w:noWrap/>
            <w:hideMark/>
          </w:tcPr>
          <w:p w14:paraId="4D6F56B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35.26</w:t>
            </w:r>
          </w:p>
        </w:tc>
      </w:tr>
      <w:tr w:rsidR="00C0269A" w:rsidRPr="00C67737" w14:paraId="72CA0AFB"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DBC21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11378</w:t>
            </w:r>
          </w:p>
        </w:tc>
        <w:tc>
          <w:tcPr>
            <w:tcW w:w="5400" w:type="dxa"/>
            <w:noWrap/>
            <w:hideMark/>
          </w:tcPr>
          <w:p w14:paraId="62B1D5A1"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CA5A8A">
              <w:rPr>
                <w:rFonts w:eastAsia="Times New Roman" w:cstheme="minorHAnsi"/>
                <w:b/>
                <w:bCs/>
                <w:color w:val="000000"/>
                <w:sz w:val="16"/>
                <w:szCs w:val="16"/>
                <w:lang w:val="en-US"/>
              </w:rPr>
              <w:t>Central Asia Water and Land Nexus for Ecosystem Restoration, Improved Natural Resource Management and Increased Resilience</w:t>
            </w:r>
          </w:p>
        </w:tc>
        <w:tc>
          <w:tcPr>
            <w:tcW w:w="810" w:type="dxa"/>
            <w:noWrap/>
            <w:hideMark/>
          </w:tcPr>
          <w:p w14:paraId="5B5D633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FAO</w:t>
            </w:r>
          </w:p>
        </w:tc>
        <w:tc>
          <w:tcPr>
            <w:tcW w:w="990" w:type="dxa"/>
            <w:noWrap/>
            <w:hideMark/>
          </w:tcPr>
          <w:p w14:paraId="28B3499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011BB4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1EE289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73C3000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1AE4AE7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52053FE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2E72523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C0269A" w:rsidRPr="00C67737" w14:paraId="51BE34F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14460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11385</w:t>
            </w:r>
          </w:p>
        </w:tc>
        <w:tc>
          <w:tcPr>
            <w:tcW w:w="5400" w:type="dxa"/>
            <w:noWrap/>
            <w:hideMark/>
          </w:tcPr>
          <w:p w14:paraId="40D05F21"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Integrated Natural Resources Management for Improved Ecosystem Conservation and Biodiversity Preservation</w:t>
            </w:r>
          </w:p>
        </w:tc>
        <w:tc>
          <w:tcPr>
            <w:tcW w:w="810" w:type="dxa"/>
            <w:noWrap/>
            <w:hideMark/>
          </w:tcPr>
          <w:p w14:paraId="14DE38E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C38B29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Uzbekistan</w:t>
            </w:r>
            <w:proofErr w:type="spellEnd"/>
          </w:p>
        </w:tc>
        <w:tc>
          <w:tcPr>
            <w:tcW w:w="990" w:type="dxa"/>
            <w:noWrap/>
            <w:hideMark/>
          </w:tcPr>
          <w:p w14:paraId="1627C35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E7E9A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9F376A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C1C0BA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5.60</w:t>
            </w:r>
          </w:p>
        </w:tc>
        <w:tc>
          <w:tcPr>
            <w:tcW w:w="990" w:type="dxa"/>
            <w:noWrap/>
            <w:hideMark/>
          </w:tcPr>
          <w:p w14:paraId="5AF90DB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33.60</w:t>
            </w:r>
          </w:p>
        </w:tc>
        <w:tc>
          <w:tcPr>
            <w:tcW w:w="900" w:type="dxa"/>
            <w:noWrap/>
            <w:hideMark/>
          </w:tcPr>
          <w:p w14:paraId="1F8F265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39.20</w:t>
            </w:r>
          </w:p>
        </w:tc>
      </w:tr>
      <w:tr w:rsidR="00C0269A" w:rsidRPr="00C67737" w14:paraId="1ADA9FC5"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03AAE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11384</w:t>
            </w:r>
          </w:p>
        </w:tc>
        <w:tc>
          <w:tcPr>
            <w:tcW w:w="5400" w:type="dxa"/>
            <w:noWrap/>
            <w:hideMark/>
          </w:tcPr>
          <w:p w14:paraId="6CBFFCFD" w14:textId="77777777" w:rsidR="00C0269A" w:rsidRPr="000F2D6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0F2D6A">
              <w:rPr>
                <w:rFonts w:eastAsia="Times New Roman" w:cstheme="minorHAnsi"/>
                <w:color w:val="000000"/>
                <w:sz w:val="16"/>
                <w:szCs w:val="16"/>
                <w:lang w:val="en-US"/>
              </w:rPr>
              <w:t>Catalyzing the Nature-Positive Transformation of the Agricultural Sector in Turkmenistan towards Enhanced Resilience to Climate Change Project</w:t>
            </w:r>
          </w:p>
        </w:tc>
        <w:tc>
          <w:tcPr>
            <w:tcW w:w="810" w:type="dxa"/>
            <w:noWrap/>
            <w:hideMark/>
          </w:tcPr>
          <w:p w14:paraId="1C59620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C12AAF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Turkmenistan</w:t>
            </w:r>
            <w:proofErr w:type="spellEnd"/>
          </w:p>
        </w:tc>
        <w:tc>
          <w:tcPr>
            <w:tcW w:w="990" w:type="dxa"/>
            <w:noWrap/>
            <w:hideMark/>
          </w:tcPr>
          <w:p w14:paraId="6334B7D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87CA5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0EE40A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F34664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3.78</w:t>
            </w:r>
          </w:p>
        </w:tc>
        <w:tc>
          <w:tcPr>
            <w:tcW w:w="990" w:type="dxa"/>
            <w:noWrap/>
            <w:hideMark/>
          </w:tcPr>
          <w:p w14:paraId="08453A98"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46.60</w:t>
            </w:r>
          </w:p>
        </w:tc>
        <w:tc>
          <w:tcPr>
            <w:tcW w:w="900" w:type="dxa"/>
            <w:noWrap/>
            <w:hideMark/>
          </w:tcPr>
          <w:p w14:paraId="62E5898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50.38</w:t>
            </w:r>
          </w:p>
        </w:tc>
      </w:tr>
      <w:tr w:rsidR="00C0269A" w:rsidRPr="00C67737" w14:paraId="4BD777D4"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300F3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11383</w:t>
            </w:r>
          </w:p>
        </w:tc>
        <w:tc>
          <w:tcPr>
            <w:tcW w:w="5400" w:type="dxa"/>
            <w:noWrap/>
            <w:hideMark/>
          </w:tcPr>
          <w:p w14:paraId="5EC4E28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Integrated Water Resources Management for the Restoration of </w:t>
            </w:r>
            <w:proofErr w:type="spellStart"/>
            <w:r w:rsidRPr="00D10503">
              <w:rPr>
                <w:rFonts w:eastAsia="Times New Roman" w:cstheme="minorHAnsi"/>
                <w:color w:val="000000"/>
                <w:sz w:val="16"/>
                <w:szCs w:val="16"/>
                <w:lang w:val="en-US"/>
              </w:rPr>
              <w:t>Agro</w:t>
            </w:r>
            <w:proofErr w:type="spellEnd"/>
            <w:r w:rsidRPr="00D10503">
              <w:rPr>
                <w:rFonts w:eastAsia="Times New Roman" w:cstheme="minorHAnsi"/>
                <w:color w:val="000000"/>
                <w:sz w:val="16"/>
                <w:szCs w:val="16"/>
                <w:lang w:val="en-US"/>
              </w:rPr>
              <w:t xml:space="preserve">-Woodlands in the </w:t>
            </w:r>
            <w:proofErr w:type="spellStart"/>
            <w:r w:rsidRPr="00D10503">
              <w:rPr>
                <w:rFonts w:eastAsia="Times New Roman" w:cstheme="minorHAnsi"/>
                <w:color w:val="000000"/>
                <w:sz w:val="16"/>
                <w:szCs w:val="16"/>
                <w:lang w:val="en-US"/>
              </w:rPr>
              <w:t>Syrdarya</w:t>
            </w:r>
            <w:proofErr w:type="spellEnd"/>
            <w:r w:rsidRPr="00D10503">
              <w:rPr>
                <w:rFonts w:eastAsia="Times New Roman" w:cstheme="minorHAnsi"/>
                <w:color w:val="000000"/>
                <w:sz w:val="16"/>
                <w:szCs w:val="16"/>
                <w:lang w:val="en-US"/>
              </w:rPr>
              <w:t xml:space="preserve"> River Basin Project</w:t>
            </w:r>
          </w:p>
        </w:tc>
        <w:tc>
          <w:tcPr>
            <w:tcW w:w="810" w:type="dxa"/>
            <w:noWrap/>
            <w:hideMark/>
          </w:tcPr>
          <w:p w14:paraId="4234748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166F3B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Kyrgyz</w:t>
            </w:r>
            <w:proofErr w:type="spellEnd"/>
            <w:r w:rsidRPr="00C67737">
              <w:rPr>
                <w:rFonts w:eastAsia="Times New Roman" w:cstheme="minorHAnsi"/>
                <w:color w:val="000000"/>
                <w:sz w:val="16"/>
                <w:szCs w:val="16"/>
              </w:rPr>
              <w:t xml:space="preserve"> Republic</w:t>
            </w:r>
          </w:p>
        </w:tc>
        <w:tc>
          <w:tcPr>
            <w:tcW w:w="990" w:type="dxa"/>
            <w:noWrap/>
            <w:hideMark/>
          </w:tcPr>
          <w:p w14:paraId="15A0DF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79D475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7C59CB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31A958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3.50</w:t>
            </w:r>
          </w:p>
        </w:tc>
        <w:tc>
          <w:tcPr>
            <w:tcW w:w="990" w:type="dxa"/>
            <w:noWrap/>
            <w:hideMark/>
          </w:tcPr>
          <w:p w14:paraId="2DE6ABCA"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00" w:type="dxa"/>
            <w:noWrap/>
            <w:hideMark/>
          </w:tcPr>
          <w:p w14:paraId="05593F2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13.50</w:t>
            </w:r>
          </w:p>
        </w:tc>
      </w:tr>
      <w:tr w:rsidR="00C0269A" w:rsidRPr="00C67737" w14:paraId="40D4ED1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1CEB9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11382</w:t>
            </w:r>
          </w:p>
        </w:tc>
        <w:tc>
          <w:tcPr>
            <w:tcW w:w="5400" w:type="dxa"/>
            <w:noWrap/>
            <w:hideMark/>
          </w:tcPr>
          <w:p w14:paraId="0487B996"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Sustainable Land Management and Restoration of Degraded Lands Mainstreaming Biodiversity Conservation and Ecosystem Services in the Southern Region of Kazakhstan</w:t>
            </w:r>
          </w:p>
        </w:tc>
        <w:tc>
          <w:tcPr>
            <w:tcW w:w="810" w:type="dxa"/>
            <w:noWrap/>
            <w:hideMark/>
          </w:tcPr>
          <w:p w14:paraId="65E750E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617D4E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Kazakhstan</w:t>
            </w:r>
          </w:p>
        </w:tc>
        <w:tc>
          <w:tcPr>
            <w:tcW w:w="990" w:type="dxa"/>
            <w:noWrap/>
            <w:hideMark/>
          </w:tcPr>
          <w:p w14:paraId="0B50A9F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094699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8A3233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58BB826"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3.50</w:t>
            </w:r>
          </w:p>
        </w:tc>
        <w:tc>
          <w:tcPr>
            <w:tcW w:w="990" w:type="dxa"/>
            <w:noWrap/>
            <w:hideMark/>
          </w:tcPr>
          <w:p w14:paraId="4C244D3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121.38</w:t>
            </w:r>
          </w:p>
        </w:tc>
        <w:tc>
          <w:tcPr>
            <w:tcW w:w="900" w:type="dxa"/>
            <w:noWrap/>
            <w:hideMark/>
          </w:tcPr>
          <w:p w14:paraId="27B4094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124.88</w:t>
            </w:r>
          </w:p>
        </w:tc>
      </w:tr>
      <w:tr w:rsidR="00C0269A" w:rsidRPr="00C67737" w14:paraId="36F92252"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99693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11391</w:t>
            </w:r>
          </w:p>
        </w:tc>
        <w:tc>
          <w:tcPr>
            <w:tcW w:w="5400" w:type="dxa"/>
            <w:noWrap/>
            <w:hideMark/>
          </w:tcPr>
          <w:p w14:paraId="6F65801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D10503">
              <w:rPr>
                <w:rFonts w:eastAsia="Times New Roman" w:cstheme="minorHAnsi"/>
                <w:b/>
                <w:bCs/>
                <w:color w:val="000000"/>
                <w:sz w:val="16"/>
                <w:szCs w:val="16"/>
                <w:lang w:val="en-US"/>
              </w:rPr>
              <w:t>Guinean Forests (GEF-8 Amazon, Congo and Critical Forest Biomes Integrated Program) Addendum (February 2024)</w:t>
            </w:r>
          </w:p>
        </w:tc>
        <w:tc>
          <w:tcPr>
            <w:tcW w:w="810" w:type="dxa"/>
            <w:noWrap/>
            <w:hideMark/>
          </w:tcPr>
          <w:p w14:paraId="23EF3BB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CI</w:t>
            </w:r>
          </w:p>
        </w:tc>
        <w:tc>
          <w:tcPr>
            <w:tcW w:w="990" w:type="dxa"/>
            <w:noWrap/>
            <w:hideMark/>
          </w:tcPr>
          <w:p w14:paraId="2BD3654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67E02CC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1E23AB8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5978724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7CC5AB0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463FB23E"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14A5C81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C0269A" w:rsidRPr="00C67737" w14:paraId="01F8BAEA"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A67E1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11393</w:t>
            </w:r>
          </w:p>
        </w:tc>
        <w:tc>
          <w:tcPr>
            <w:tcW w:w="5400" w:type="dxa"/>
            <w:noWrap/>
            <w:hideMark/>
          </w:tcPr>
          <w:p w14:paraId="243F9A6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Promoting and Strengthening Restoration and Conservation of </w:t>
            </w:r>
            <w:proofErr w:type="spellStart"/>
            <w:r w:rsidRPr="00D10503">
              <w:rPr>
                <w:rFonts w:eastAsia="Times New Roman" w:cstheme="minorHAnsi"/>
                <w:color w:val="000000"/>
                <w:sz w:val="16"/>
                <w:szCs w:val="16"/>
                <w:lang w:val="en-US"/>
              </w:rPr>
              <w:t>Cantanhez</w:t>
            </w:r>
            <w:proofErr w:type="spellEnd"/>
            <w:r w:rsidRPr="00D10503">
              <w:rPr>
                <w:rFonts w:eastAsia="Times New Roman" w:cstheme="minorHAnsi"/>
                <w:color w:val="000000"/>
                <w:sz w:val="16"/>
                <w:szCs w:val="16"/>
                <w:lang w:val="en-US"/>
              </w:rPr>
              <w:t xml:space="preserve"> Primary Forests in Guinea Bissau</w:t>
            </w:r>
          </w:p>
        </w:tc>
        <w:tc>
          <w:tcPr>
            <w:tcW w:w="810" w:type="dxa"/>
            <w:noWrap/>
            <w:hideMark/>
          </w:tcPr>
          <w:p w14:paraId="371288A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D1058F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Guinea-Bissau</w:t>
            </w:r>
            <w:proofErr w:type="spellEnd"/>
          </w:p>
        </w:tc>
        <w:tc>
          <w:tcPr>
            <w:tcW w:w="990" w:type="dxa"/>
            <w:noWrap/>
            <w:hideMark/>
          </w:tcPr>
          <w:p w14:paraId="5731B2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894107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3499DE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A3B382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5CE6017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00" w:type="dxa"/>
            <w:noWrap/>
            <w:hideMark/>
          </w:tcPr>
          <w:p w14:paraId="7ED30F23"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22.67</w:t>
            </w:r>
          </w:p>
        </w:tc>
      </w:tr>
      <w:tr w:rsidR="00C0269A" w:rsidRPr="00C67737" w14:paraId="5EA5C037"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27469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11392</w:t>
            </w:r>
          </w:p>
        </w:tc>
        <w:tc>
          <w:tcPr>
            <w:tcW w:w="5400" w:type="dxa"/>
            <w:noWrap/>
            <w:hideMark/>
          </w:tcPr>
          <w:p w14:paraId="03CC402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Conservation and Resilience of Forest Landscapes in the Sub-Humid Mountainous Zone of Togo</w:t>
            </w:r>
          </w:p>
        </w:tc>
        <w:tc>
          <w:tcPr>
            <w:tcW w:w="810" w:type="dxa"/>
            <w:noWrap/>
            <w:hideMark/>
          </w:tcPr>
          <w:p w14:paraId="4DC5666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8F6D95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Togo</w:t>
            </w:r>
          </w:p>
        </w:tc>
        <w:tc>
          <w:tcPr>
            <w:tcW w:w="990" w:type="dxa"/>
            <w:noWrap/>
            <w:hideMark/>
          </w:tcPr>
          <w:p w14:paraId="20FC702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F66DBE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80E5FE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A81922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4.68</w:t>
            </w:r>
          </w:p>
        </w:tc>
        <w:tc>
          <w:tcPr>
            <w:tcW w:w="990" w:type="dxa"/>
            <w:noWrap/>
            <w:hideMark/>
          </w:tcPr>
          <w:p w14:paraId="37D0EAC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25.50</w:t>
            </w:r>
          </w:p>
        </w:tc>
        <w:tc>
          <w:tcPr>
            <w:tcW w:w="900" w:type="dxa"/>
            <w:noWrap/>
            <w:hideMark/>
          </w:tcPr>
          <w:p w14:paraId="64CB19B2"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30.18</w:t>
            </w:r>
          </w:p>
        </w:tc>
      </w:tr>
      <w:tr w:rsidR="00C0269A" w:rsidRPr="00C67737" w14:paraId="64070317"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CBF62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11455</w:t>
            </w:r>
          </w:p>
        </w:tc>
        <w:tc>
          <w:tcPr>
            <w:tcW w:w="5400" w:type="dxa"/>
            <w:noWrap/>
            <w:hideMark/>
          </w:tcPr>
          <w:p w14:paraId="06AF9096"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US"/>
              </w:rPr>
            </w:pPr>
            <w:r w:rsidRPr="00D10503">
              <w:rPr>
                <w:rFonts w:eastAsia="Times New Roman" w:cstheme="minorHAnsi"/>
                <w:b/>
                <w:bCs/>
                <w:color w:val="000000"/>
                <w:sz w:val="16"/>
                <w:szCs w:val="16"/>
                <w:lang w:val="en-US"/>
              </w:rPr>
              <w:t>Transformation Approach to Large Scale Investment in Support of the Implementation of the Great Green Wall Initiative</w:t>
            </w:r>
          </w:p>
        </w:tc>
        <w:tc>
          <w:tcPr>
            <w:tcW w:w="810" w:type="dxa"/>
            <w:noWrap/>
            <w:hideMark/>
          </w:tcPr>
          <w:p w14:paraId="184A90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UNEP</w:t>
            </w:r>
          </w:p>
        </w:tc>
        <w:tc>
          <w:tcPr>
            <w:tcW w:w="990" w:type="dxa"/>
            <w:noWrap/>
            <w:hideMark/>
          </w:tcPr>
          <w:p w14:paraId="7F9564D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2149B79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2414D38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4E03BA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000F417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64503B9D"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750BE2C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C0269A" w:rsidRPr="00C67737" w14:paraId="4B661303"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0E88A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11463</w:t>
            </w:r>
          </w:p>
        </w:tc>
        <w:tc>
          <w:tcPr>
            <w:tcW w:w="5400" w:type="dxa"/>
            <w:noWrap/>
            <w:hideMark/>
          </w:tcPr>
          <w:p w14:paraId="549D862C"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Strengthening the Resilience of Populations and </w:t>
            </w:r>
            <w:proofErr w:type="spellStart"/>
            <w:r w:rsidRPr="00D10503">
              <w:rPr>
                <w:rFonts w:eastAsia="Times New Roman" w:cstheme="minorHAnsi"/>
                <w:color w:val="000000"/>
                <w:sz w:val="16"/>
                <w:szCs w:val="16"/>
                <w:lang w:val="en-US"/>
              </w:rPr>
              <w:t>Agrosilvopastoral</w:t>
            </w:r>
            <w:proofErr w:type="spellEnd"/>
            <w:r w:rsidRPr="00D10503">
              <w:rPr>
                <w:rFonts w:eastAsia="Times New Roman" w:cstheme="minorHAnsi"/>
                <w:color w:val="000000"/>
                <w:sz w:val="16"/>
                <w:szCs w:val="16"/>
                <w:lang w:val="en-US"/>
              </w:rPr>
              <w:t xml:space="preserve"> Ecosystems Through the Conservation of Biodiversity and the Development of Value Chains in the Intervention Communes of the Great Green Wall in Niger</w:t>
            </w:r>
          </w:p>
        </w:tc>
        <w:tc>
          <w:tcPr>
            <w:tcW w:w="810" w:type="dxa"/>
            <w:noWrap/>
            <w:hideMark/>
          </w:tcPr>
          <w:p w14:paraId="3A312A9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B3CA0B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w:t>
            </w:r>
          </w:p>
        </w:tc>
        <w:tc>
          <w:tcPr>
            <w:tcW w:w="990" w:type="dxa"/>
            <w:noWrap/>
            <w:hideMark/>
          </w:tcPr>
          <w:p w14:paraId="2FEDE0C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3D5CFE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C96541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E2501DF"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11.38</w:t>
            </w:r>
          </w:p>
        </w:tc>
        <w:tc>
          <w:tcPr>
            <w:tcW w:w="990" w:type="dxa"/>
            <w:noWrap/>
            <w:hideMark/>
          </w:tcPr>
          <w:p w14:paraId="2CC5AA1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74.53</w:t>
            </w:r>
          </w:p>
        </w:tc>
        <w:tc>
          <w:tcPr>
            <w:tcW w:w="900" w:type="dxa"/>
            <w:noWrap/>
            <w:hideMark/>
          </w:tcPr>
          <w:p w14:paraId="361B2BA4"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85.90</w:t>
            </w:r>
          </w:p>
        </w:tc>
      </w:tr>
      <w:tr w:rsidR="00C0269A" w:rsidRPr="00C67737" w14:paraId="4650E418"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F42B2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11462</w:t>
            </w:r>
          </w:p>
        </w:tc>
        <w:tc>
          <w:tcPr>
            <w:tcW w:w="5400" w:type="dxa"/>
            <w:noWrap/>
            <w:hideMark/>
          </w:tcPr>
          <w:p w14:paraId="2328B24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Project for Landscape Restauration and Integrated Management of Ecosystem in St Louis Region of Senegal </w:t>
            </w:r>
          </w:p>
        </w:tc>
        <w:tc>
          <w:tcPr>
            <w:tcW w:w="810" w:type="dxa"/>
            <w:noWrap/>
            <w:hideMark/>
          </w:tcPr>
          <w:p w14:paraId="6B4BA38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FCD878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1AD507E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99D1C2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B4E12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D212A3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w:t>
            </w:r>
          </w:p>
        </w:tc>
        <w:tc>
          <w:tcPr>
            <w:tcW w:w="990" w:type="dxa"/>
            <w:noWrap/>
            <w:hideMark/>
          </w:tcPr>
          <w:p w14:paraId="1C5CEE0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28.17</w:t>
            </w:r>
          </w:p>
        </w:tc>
        <w:tc>
          <w:tcPr>
            <w:tcW w:w="900" w:type="dxa"/>
            <w:noWrap/>
            <w:hideMark/>
          </w:tcPr>
          <w:p w14:paraId="3423391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33.17</w:t>
            </w:r>
          </w:p>
        </w:tc>
      </w:tr>
      <w:tr w:rsidR="00C0269A" w:rsidRPr="00C67737" w14:paraId="5F49F447"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4B38E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11461</w:t>
            </w:r>
          </w:p>
        </w:tc>
        <w:tc>
          <w:tcPr>
            <w:tcW w:w="5400" w:type="dxa"/>
            <w:noWrap/>
            <w:hideMark/>
          </w:tcPr>
          <w:p w14:paraId="68D3852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Dryland Ecosystem Rehabilitation, Regeneration and Conservation  to Support the Great Green Wall Initiative in Kebbi State in Nigeria.</w:t>
            </w:r>
          </w:p>
        </w:tc>
        <w:tc>
          <w:tcPr>
            <w:tcW w:w="810" w:type="dxa"/>
            <w:noWrap/>
            <w:hideMark/>
          </w:tcPr>
          <w:p w14:paraId="15A83E0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2614F7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Nigeria</w:t>
            </w:r>
          </w:p>
        </w:tc>
        <w:tc>
          <w:tcPr>
            <w:tcW w:w="990" w:type="dxa"/>
            <w:noWrap/>
            <w:hideMark/>
          </w:tcPr>
          <w:p w14:paraId="1A33554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E5BBA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00E5FF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284920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3.41</w:t>
            </w:r>
          </w:p>
        </w:tc>
        <w:tc>
          <w:tcPr>
            <w:tcW w:w="990" w:type="dxa"/>
            <w:noWrap/>
            <w:hideMark/>
          </w:tcPr>
          <w:p w14:paraId="52E2BD5B"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21.85</w:t>
            </w:r>
          </w:p>
        </w:tc>
        <w:tc>
          <w:tcPr>
            <w:tcW w:w="900" w:type="dxa"/>
            <w:noWrap/>
            <w:hideMark/>
          </w:tcPr>
          <w:p w14:paraId="5F87295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25.26</w:t>
            </w:r>
          </w:p>
        </w:tc>
      </w:tr>
      <w:tr w:rsidR="00C0269A" w:rsidRPr="00C67737" w14:paraId="2413346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2D236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11460</w:t>
            </w:r>
          </w:p>
        </w:tc>
        <w:tc>
          <w:tcPr>
            <w:tcW w:w="5400" w:type="dxa"/>
            <w:noWrap/>
            <w:hideMark/>
          </w:tcPr>
          <w:p w14:paraId="65B5126B"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Restoration of an Ecological Corridor for Forest Biodiversity Conservation and Ecosystem Services to Support Implementation of the Great Green Wall in The Gambia</w:t>
            </w:r>
          </w:p>
        </w:tc>
        <w:tc>
          <w:tcPr>
            <w:tcW w:w="810" w:type="dxa"/>
            <w:noWrap/>
            <w:hideMark/>
          </w:tcPr>
          <w:p w14:paraId="6E907C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802F8A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Gambia</w:t>
            </w:r>
            <w:proofErr w:type="spellEnd"/>
          </w:p>
        </w:tc>
        <w:tc>
          <w:tcPr>
            <w:tcW w:w="990" w:type="dxa"/>
            <w:noWrap/>
            <w:hideMark/>
          </w:tcPr>
          <w:p w14:paraId="650922C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A8955B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1AAF4C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67D23D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7.99</w:t>
            </w:r>
          </w:p>
        </w:tc>
        <w:tc>
          <w:tcPr>
            <w:tcW w:w="990" w:type="dxa"/>
            <w:noWrap/>
            <w:hideMark/>
          </w:tcPr>
          <w:p w14:paraId="49D52674"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46.20</w:t>
            </w:r>
          </w:p>
        </w:tc>
        <w:tc>
          <w:tcPr>
            <w:tcW w:w="900" w:type="dxa"/>
            <w:noWrap/>
            <w:hideMark/>
          </w:tcPr>
          <w:p w14:paraId="11311C3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54.18</w:t>
            </w:r>
          </w:p>
        </w:tc>
      </w:tr>
      <w:tr w:rsidR="00C0269A" w:rsidRPr="00C67737" w14:paraId="5B76D3B6"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CF356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11458</w:t>
            </w:r>
          </w:p>
        </w:tc>
        <w:tc>
          <w:tcPr>
            <w:tcW w:w="5400" w:type="dxa"/>
            <w:noWrap/>
            <w:hideMark/>
          </w:tcPr>
          <w:p w14:paraId="1B3FA6C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Scaling Up Integrated Landscape Re-Greening and Livelihood Diversification Best Practices along the Great Green Wall Belt of Ethiopia (SILAGLID)</w:t>
            </w:r>
          </w:p>
        </w:tc>
        <w:tc>
          <w:tcPr>
            <w:tcW w:w="810" w:type="dxa"/>
            <w:noWrap/>
            <w:hideMark/>
          </w:tcPr>
          <w:p w14:paraId="73EDE04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7C208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Ethiopia</w:t>
            </w:r>
            <w:proofErr w:type="spellEnd"/>
          </w:p>
        </w:tc>
        <w:tc>
          <w:tcPr>
            <w:tcW w:w="990" w:type="dxa"/>
            <w:noWrap/>
            <w:hideMark/>
          </w:tcPr>
          <w:p w14:paraId="39D2575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56E782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A055E0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AF5A3F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w:t>
            </w:r>
          </w:p>
        </w:tc>
        <w:tc>
          <w:tcPr>
            <w:tcW w:w="990" w:type="dxa"/>
            <w:noWrap/>
            <w:hideMark/>
          </w:tcPr>
          <w:p w14:paraId="0C9FF7A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15.00</w:t>
            </w:r>
          </w:p>
        </w:tc>
        <w:tc>
          <w:tcPr>
            <w:tcW w:w="900" w:type="dxa"/>
            <w:noWrap/>
            <w:hideMark/>
          </w:tcPr>
          <w:p w14:paraId="6FEC68A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20.00</w:t>
            </w:r>
          </w:p>
        </w:tc>
      </w:tr>
      <w:tr w:rsidR="00C0269A" w:rsidRPr="00C67737" w14:paraId="719C7EE9"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A4C44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11467</w:t>
            </w:r>
          </w:p>
        </w:tc>
        <w:tc>
          <w:tcPr>
            <w:tcW w:w="5400" w:type="dxa"/>
            <w:noWrap/>
            <w:hideMark/>
          </w:tcPr>
          <w:p w14:paraId="6409FB5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Greening Transportation Infrastructure Development</w:t>
            </w:r>
          </w:p>
        </w:tc>
        <w:tc>
          <w:tcPr>
            <w:tcW w:w="810" w:type="dxa"/>
            <w:noWrap/>
            <w:hideMark/>
          </w:tcPr>
          <w:p w14:paraId="6DFBC05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WWF-US</w:t>
            </w:r>
          </w:p>
        </w:tc>
        <w:tc>
          <w:tcPr>
            <w:tcW w:w="990" w:type="dxa"/>
            <w:noWrap/>
            <w:hideMark/>
          </w:tcPr>
          <w:p w14:paraId="6E0DFED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29F5DA5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57C7096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09C0E30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47D15961"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455ECB09"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609FE837"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C0269A" w:rsidRPr="00C67737" w14:paraId="2988EBB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BDB74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11473</w:t>
            </w:r>
          </w:p>
        </w:tc>
        <w:tc>
          <w:tcPr>
            <w:tcW w:w="5400" w:type="dxa"/>
            <w:noWrap/>
            <w:hideMark/>
          </w:tcPr>
          <w:p w14:paraId="582D7B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Greening Transportation Infrastructure </w:t>
            </w:r>
            <w:proofErr w:type="gramStart"/>
            <w:r w:rsidRPr="00C67737">
              <w:rPr>
                <w:rFonts w:eastAsia="Times New Roman" w:cstheme="minorHAnsi"/>
                <w:color w:val="000000"/>
                <w:sz w:val="16"/>
                <w:szCs w:val="16"/>
              </w:rPr>
              <w:t>Development:</w:t>
            </w:r>
            <w:proofErr w:type="gramEnd"/>
            <w:r w:rsidRPr="00C67737">
              <w:rPr>
                <w:rFonts w:eastAsia="Times New Roman" w:cstheme="minorHAnsi"/>
                <w:color w:val="000000"/>
                <w:sz w:val="16"/>
                <w:szCs w:val="16"/>
              </w:rPr>
              <w:t xml:space="preserve"> Global Platform</w:t>
            </w:r>
          </w:p>
        </w:tc>
        <w:tc>
          <w:tcPr>
            <w:tcW w:w="810" w:type="dxa"/>
            <w:noWrap/>
            <w:hideMark/>
          </w:tcPr>
          <w:p w14:paraId="63E60EB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0BCF932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54DA8C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F515B3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F256D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9EB7DC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9.60</w:t>
            </w:r>
          </w:p>
        </w:tc>
        <w:tc>
          <w:tcPr>
            <w:tcW w:w="990" w:type="dxa"/>
            <w:noWrap/>
            <w:hideMark/>
          </w:tcPr>
          <w:p w14:paraId="2A43F483"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7.59</w:t>
            </w:r>
          </w:p>
        </w:tc>
        <w:tc>
          <w:tcPr>
            <w:tcW w:w="900" w:type="dxa"/>
            <w:noWrap/>
            <w:hideMark/>
          </w:tcPr>
          <w:p w14:paraId="0C07FD31"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17.19</w:t>
            </w:r>
          </w:p>
        </w:tc>
      </w:tr>
      <w:tr w:rsidR="00C0269A" w:rsidRPr="00C67737" w14:paraId="63D64071"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C8683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11472</w:t>
            </w:r>
          </w:p>
        </w:tc>
        <w:tc>
          <w:tcPr>
            <w:tcW w:w="5400" w:type="dxa"/>
            <w:noWrap/>
            <w:hideMark/>
          </w:tcPr>
          <w:p w14:paraId="17529C16"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Preserving Suriname’s Immense Marine and Coastal Biodiversity through Greening Infrastructure Development</w:t>
            </w:r>
          </w:p>
        </w:tc>
        <w:tc>
          <w:tcPr>
            <w:tcW w:w="810" w:type="dxa"/>
            <w:noWrap/>
            <w:hideMark/>
          </w:tcPr>
          <w:p w14:paraId="573AC1D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042C65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Suriname</w:t>
            </w:r>
          </w:p>
        </w:tc>
        <w:tc>
          <w:tcPr>
            <w:tcW w:w="990" w:type="dxa"/>
            <w:noWrap/>
            <w:hideMark/>
          </w:tcPr>
          <w:p w14:paraId="3642736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E52019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B131F0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798F82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5273B52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7.10</w:t>
            </w:r>
          </w:p>
        </w:tc>
        <w:tc>
          <w:tcPr>
            <w:tcW w:w="900" w:type="dxa"/>
            <w:noWrap/>
            <w:hideMark/>
          </w:tcPr>
          <w:p w14:paraId="3BF93E42"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9.77</w:t>
            </w:r>
          </w:p>
        </w:tc>
      </w:tr>
      <w:tr w:rsidR="00C0269A" w:rsidRPr="00C67737" w14:paraId="0A9D8849"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73206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11471</w:t>
            </w:r>
          </w:p>
        </w:tc>
        <w:tc>
          <w:tcPr>
            <w:tcW w:w="5400" w:type="dxa"/>
            <w:noWrap/>
            <w:hideMark/>
          </w:tcPr>
          <w:p w14:paraId="34AF7BE5"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Greening Transportation Infrastructure Development in the Philippines </w:t>
            </w:r>
          </w:p>
        </w:tc>
        <w:tc>
          <w:tcPr>
            <w:tcW w:w="810" w:type="dxa"/>
            <w:noWrap/>
            <w:hideMark/>
          </w:tcPr>
          <w:p w14:paraId="4B30BD8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27E4E7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139A76B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7C8B0B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92FD70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B585DF7"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2819985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243.29</w:t>
            </w:r>
          </w:p>
        </w:tc>
        <w:tc>
          <w:tcPr>
            <w:tcW w:w="900" w:type="dxa"/>
            <w:noWrap/>
            <w:hideMark/>
          </w:tcPr>
          <w:p w14:paraId="78F5D94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247.29</w:t>
            </w:r>
          </w:p>
        </w:tc>
      </w:tr>
      <w:tr w:rsidR="00C0269A" w:rsidRPr="00C67737" w14:paraId="7A661FBB"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82060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11470</w:t>
            </w:r>
          </w:p>
        </w:tc>
        <w:tc>
          <w:tcPr>
            <w:tcW w:w="5400" w:type="dxa"/>
            <w:noWrap/>
            <w:hideMark/>
          </w:tcPr>
          <w:p w14:paraId="0F2D11A8"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Greening Transportation Infrastructure Development in Nepal: Terai Arc Landscape Case</w:t>
            </w:r>
          </w:p>
        </w:tc>
        <w:tc>
          <w:tcPr>
            <w:tcW w:w="810" w:type="dxa"/>
            <w:noWrap/>
            <w:hideMark/>
          </w:tcPr>
          <w:p w14:paraId="4F0B23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796A9F5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Nepal</w:t>
            </w:r>
            <w:proofErr w:type="spellEnd"/>
          </w:p>
        </w:tc>
        <w:tc>
          <w:tcPr>
            <w:tcW w:w="990" w:type="dxa"/>
            <w:noWrap/>
            <w:hideMark/>
          </w:tcPr>
          <w:p w14:paraId="0A70655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4ED6BA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34737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E2F3A5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4.04</w:t>
            </w:r>
          </w:p>
        </w:tc>
        <w:tc>
          <w:tcPr>
            <w:tcW w:w="990" w:type="dxa"/>
            <w:noWrap/>
            <w:hideMark/>
          </w:tcPr>
          <w:p w14:paraId="44DEF83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100.50</w:t>
            </w:r>
          </w:p>
        </w:tc>
        <w:tc>
          <w:tcPr>
            <w:tcW w:w="900" w:type="dxa"/>
            <w:noWrap/>
            <w:hideMark/>
          </w:tcPr>
          <w:p w14:paraId="38E66965"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104.54</w:t>
            </w:r>
          </w:p>
        </w:tc>
      </w:tr>
      <w:tr w:rsidR="00C0269A" w:rsidRPr="00C67737" w14:paraId="646AA73B"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DC332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11469</w:t>
            </w:r>
          </w:p>
        </w:tc>
        <w:tc>
          <w:tcPr>
            <w:tcW w:w="5400" w:type="dxa"/>
            <w:noWrap/>
            <w:hideMark/>
          </w:tcPr>
          <w:p w14:paraId="2CA45B6E"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Transforming Malaysia's Port Infrastructure Development through a Nature-Centric Approach for Biodiversity Conservation and Land Degradation Control</w:t>
            </w:r>
          </w:p>
        </w:tc>
        <w:tc>
          <w:tcPr>
            <w:tcW w:w="810" w:type="dxa"/>
            <w:noWrap/>
            <w:hideMark/>
          </w:tcPr>
          <w:p w14:paraId="38545E2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7AC09A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3DFB3A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A02798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BFE353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24C901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3.87</w:t>
            </w:r>
          </w:p>
        </w:tc>
        <w:tc>
          <w:tcPr>
            <w:tcW w:w="990" w:type="dxa"/>
            <w:noWrap/>
            <w:hideMark/>
          </w:tcPr>
          <w:p w14:paraId="2E41A298"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27.07</w:t>
            </w:r>
          </w:p>
        </w:tc>
        <w:tc>
          <w:tcPr>
            <w:tcW w:w="900" w:type="dxa"/>
            <w:noWrap/>
            <w:hideMark/>
          </w:tcPr>
          <w:p w14:paraId="270776F0"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30.93</w:t>
            </w:r>
          </w:p>
        </w:tc>
      </w:tr>
      <w:tr w:rsidR="00C0269A" w:rsidRPr="00C67737" w14:paraId="400ED28E"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9E7EA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11468</w:t>
            </w:r>
          </w:p>
        </w:tc>
        <w:tc>
          <w:tcPr>
            <w:tcW w:w="5400" w:type="dxa"/>
            <w:noWrap/>
            <w:hideMark/>
          </w:tcPr>
          <w:p w14:paraId="5D6E1FB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Integrating Biodiversity Conservation into Upstream Planning of Linear Transport Infrastructure in Ukraine</w:t>
            </w:r>
          </w:p>
        </w:tc>
        <w:tc>
          <w:tcPr>
            <w:tcW w:w="810" w:type="dxa"/>
            <w:noWrap/>
            <w:hideMark/>
          </w:tcPr>
          <w:p w14:paraId="64C489A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2E1860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Ukraine</w:t>
            </w:r>
          </w:p>
        </w:tc>
        <w:tc>
          <w:tcPr>
            <w:tcW w:w="990" w:type="dxa"/>
            <w:noWrap/>
            <w:hideMark/>
          </w:tcPr>
          <w:p w14:paraId="00DFF43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AA8BFD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6D571F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582705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581D1DCC"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5.99</w:t>
            </w:r>
          </w:p>
        </w:tc>
        <w:tc>
          <w:tcPr>
            <w:tcW w:w="900" w:type="dxa"/>
            <w:noWrap/>
            <w:hideMark/>
          </w:tcPr>
          <w:p w14:paraId="700D0F3F"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8.66</w:t>
            </w:r>
          </w:p>
        </w:tc>
      </w:tr>
      <w:tr w:rsidR="00C0269A" w:rsidRPr="00C67737" w14:paraId="4008415D" w14:textId="77777777" w:rsidTr="00D22022">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B0765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11857</w:t>
            </w:r>
          </w:p>
        </w:tc>
        <w:tc>
          <w:tcPr>
            <w:tcW w:w="5400" w:type="dxa"/>
            <w:noWrap/>
            <w:hideMark/>
          </w:tcPr>
          <w:p w14:paraId="73B9B36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US"/>
              </w:rPr>
            </w:pPr>
            <w:r w:rsidRPr="00D10503">
              <w:rPr>
                <w:rFonts w:eastAsia="Times New Roman" w:cstheme="minorHAnsi"/>
                <w:b/>
                <w:bCs/>
                <w:color w:val="000000"/>
                <w:sz w:val="16"/>
                <w:szCs w:val="16"/>
                <w:lang w:val="en-US"/>
              </w:rPr>
              <w:t>Food Systems Integrated Program – Addendum – December 2025</w:t>
            </w:r>
          </w:p>
        </w:tc>
        <w:tc>
          <w:tcPr>
            <w:tcW w:w="810" w:type="dxa"/>
            <w:noWrap/>
            <w:hideMark/>
          </w:tcPr>
          <w:p w14:paraId="3623C27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FAO</w:t>
            </w:r>
          </w:p>
        </w:tc>
        <w:tc>
          <w:tcPr>
            <w:tcW w:w="990" w:type="dxa"/>
            <w:noWrap/>
            <w:hideMark/>
          </w:tcPr>
          <w:p w14:paraId="14E93A6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5272916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1042072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5018FC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69A1167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63E89D5D"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6DE9DE76" w14:textId="77777777" w:rsidR="00C0269A" w:rsidRPr="00C67737" w:rsidRDefault="00C0269A" w:rsidP="00D2202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C0269A" w:rsidRPr="00C67737" w14:paraId="4494EA62" w14:textId="77777777" w:rsidTr="00D2202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C0673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11858</w:t>
            </w:r>
          </w:p>
        </w:tc>
        <w:tc>
          <w:tcPr>
            <w:tcW w:w="5400" w:type="dxa"/>
            <w:noWrap/>
            <w:hideMark/>
          </w:tcPr>
          <w:p w14:paraId="4B44D8C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Food Systems Transformation in </w:t>
            </w:r>
            <w:proofErr w:type="spellStart"/>
            <w:r w:rsidRPr="00D10503">
              <w:rPr>
                <w:rFonts w:eastAsia="Times New Roman" w:cstheme="minorHAnsi"/>
                <w:color w:val="000000"/>
                <w:sz w:val="16"/>
                <w:szCs w:val="16"/>
                <w:lang w:val="en-US"/>
              </w:rPr>
              <w:t>Usangu</w:t>
            </w:r>
            <w:proofErr w:type="spellEnd"/>
            <w:r w:rsidRPr="00D10503">
              <w:rPr>
                <w:rFonts w:eastAsia="Times New Roman" w:cstheme="minorHAnsi"/>
                <w:color w:val="000000"/>
                <w:sz w:val="16"/>
                <w:szCs w:val="16"/>
                <w:lang w:val="en-US"/>
              </w:rPr>
              <w:t xml:space="preserve"> and Zanzibar Western Belts Landscapes</w:t>
            </w:r>
          </w:p>
        </w:tc>
        <w:tc>
          <w:tcPr>
            <w:tcW w:w="810" w:type="dxa"/>
            <w:noWrap/>
            <w:hideMark/>
          </w:tcPr>
          <w:p w14:paraId="2B3C8F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D5EBE5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46B932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9CA8E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AC50F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4E15FEA"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05297D70"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73.26</w:t>
            </w:r>
          </w:p>
        </w:tc>
        <w:tc>
          <w:tcPr>
            <w:tcW w:w="900" w:type="dxa"/>
            <w:noWrap/>
            <w:hideMark/>
          </w:tcPr>
          <w:p w14:paraId="23BDD4AE" w14:textId="77777777" w:rsidR="00C0269A" w:rsidRPr="00C67737" w:rsidRDefault="00C0269A" w:rsidP="00D2202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75.93</w:t>
            </w:r>
          </w:p>
        </w:tc>
      </w:tr>
    </w:tbl>
    <w:tbl>
      <w:tblPr>
        <w:tblStyle w:val="PlainTable31"/>
        <w:tblpPr w:leftFromText="180" w:rightFromText="180" w:vertAnchor="text" w:tblpY="1"/>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400"/>
        <w:gridCol w:w="810"/>
        <w:gridCol w:w="990"/>
        <w:gridCol w:w="990"/>
        <w:gridCol w:w="630"/>
        <w:gridCol w:w="810"/>
        <w:gridCol w:w="990"/>
        <w:gridCol w:w="990"/>
        <w:gridCol w:w="900"/>
      </w:tblGrid>
      <w:tr w:rsidR="00C0269A" w:rsidRPr="00C67737" w14:paraId="04641FC7" w14:textId="77777777" w:rsidTr="00D22022">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625" w:type="dxa"/>
            <w:noWrap/>
            <w:hideMark/>
          </w:tcPr>
          <w:p w14:paraId="1FF07CE8" w14:textId="77777777" w:rsidR="00C0269A" w:rsidRPr="00C67737" w:rsidRDefault="00C0269A" w:rsidP="00D22022">
            <w:pPr>
              <w:snapToGrid/>
              <w:spacing w:before="0" w:after="0"/>
              <w:rPr>
                <w:rFonts w:eastAsia="Times New Roman" w:cstheme="minorHAnsi"/>
                <w:b w:val="0"/>
                <w:bCs w:val="0"/>
                <w:color w:val="000000"/>
                <w:sz w:val="16"/>
                <w:szCs w:val="16"/>
              </w:rPr>
            </w:pPr>
            <w:r w:rsidRPr="00C67737">
              <w:rPr>
                <w:rFonts w:eastAsia="Times New Roman" w:cstheme="minorHAnsi"/>
                <w:b w:val="0"/>
                <w:bCs w:val="0"/>
                <w:color w:val="000000"/>
                <w:sz w:val="16"/>
                <w:szCs w:val="16"/>
              </w:rPr>
              <w:t>12372</w:t>
            </w:r>
          </w:p>
        </w:tc>
        <w:tc>
          <w:tcPr>
            <w:tcW w:w="5400" w:type="dxa"/>
            <w:noWrap/>
            <w:hideMark/>
          </w:tcPr>
          <w:p w14:paraId="67F498CF" w14:textId="77777777" w:rsidR="00C0269A" w:rsidRPr="00D10503" w:rsidRDefault="00C0269A" w:rsidP="00D2202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lang w:val="en-US"/>
              </w:rPr>
            </w:pPr>
            <w:r w:rsidRPr="00D10503">
              <w:rPr>
                <w:rFonts w:eastAsia="Times New Roman" w:cstheme="minorHAnsi"/>
                <w:b w:val="0"/>
                <w:bCs w:val="0"/>
                <w:color w:val="000000"/>
                <w:sz w:val="16"/>
                <w:szCs w:val="16"/>
                <w:lang w:val="en-US"/>
              </w:rPr>
              <w:t>Scaling Up Biodiversity Conservation and Climate Resilience in Ecuador’s Tropical Dry Forests and Southeastern Andes through Local Community Empowerment</w:t>
            </w:r>
          </w:p>
        </w:tc>
        <w:tc>
          <w:tcPr>
            <w:tcW w:w="810" w:type="dxa"/>
            <w:noWrap/>
            <w:hideMark/>
          </w:tcPr>
          <w:p w14:paraId="2D9736CF" w14:textId="77777777" w:rsidR="00C0269A" w:rsidRPr="00C67737" w:rsidRDefault="00C0269A" w:rsidP="00D2202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CAF</w:t>
            </w:r>
          </w:p>
        </w:tc>
        <w:tc>
          <w:tcPr>
            <w:tcW w:w="990" w:type="dxa"/>
            <w:noWrap/>
            <w:hideMark/>
          </w:tcPr>
          <w:p w14:paraId="1D1E7579" w14:textId="77777777" w:rsidR="00C0269A" w:rsidRPr="00C67737" w:rsidRDefault="00C0269A" w:rsidP="00D2202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Ecuador</w:t>
            </w:r>
          </w:p>
        </w:tc>
        <w:tc>
          <w:tcPr>
            <w:tcW w:w="990" w:type="dxa"/>
            <w:noWrap/>
            <w:hideMark/>
          </w:tcPr>
          <w:p w14:paraId="348D675E" w14:textId="77777777" w:rsidR="00C0269A" w:rsidRPr="00C67737" w:rsidRDefault="00C0269A" w:rsidP="00D2202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Biodiversity</w:t>
            </w:r>
          </w:p>
        </w:tc>
        <w:tc>
          <w:tcPr>
            <w:tcW w:w="630" w:type="dxa"/>
            <w:noWrap/>
            <w:hideMark/>
          </w:tcPr>
          <w:p w14:paraId="2FC354C5" w14:textId="77777777" w:rsidR="00C0269A" w:rsidRPr="00C67737" w:rsidRDefault="00C0269A" w:rsidP="00D2202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GET</w:t>
            </w:r>
          </w:p>
        </w:tc>
        <w:tc>
          <w:tcPr>
            <w:tcW w:w="810" w:type="dxa"/>
            <w:noWrap/>
            <w:hideMark/>
          </w:tcPr>
          <w:p w14:paraId="7397D850" w14:textId="77777777" w:rsidR="00C0269A" w:rsidRPr="00C67737" w:rsidRDefault="00C0269A" w:rsidP="00D2202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MSP</w:t>
            </w:r>
          </w:p>
        </w:tc>
        <w:tc>
          <w:tcPr>
            <w:tcW w:w="990" w:type="dxa"/>
            <w:noWrap/>
            <w:hideMark/>
          </w:tcPr>
          <w:p w14:paraId="23527198" w14:textId="77777777" w:rsidR="00C0269A" w:rsidRPr="00C67737" w:rsidRDefault="00C0269A" w:rsidP="00D2202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 xml:space="preserve">             4.53 </w:t>
            </w:r>
          </w:p>
        </w:tc>
        <w:tc>
          <w:tcPr>
            <w:tcW w:w="990" w:type="dxa"/>
            <w:noWrap/>
            <w:hideMark/>
          </w:tcPr>
          <w:p w14:paraId="2CDCA9DD" w14:textId="77777777" w:rsidR="00C0269A" w:rsidRPr="00C67737" w:rsidRDefault="00C0269A" w:rsidP="00D2202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 xml:space="preserve">          33.21 </w:t>
            </w:r>
          </w:p>
        </w:tc>
        <w:tc>
          <w:tcPr>
            <w:tcW w:w="900" w:type="dxa"/>
            <w:noWrap/>
            <w:hideMark/>
          </w:tcPr>
          <w:p w14:paraId="286D4E5D" w14:textId="77777777" w:rsidR="00C0269A" w:rsidRPr="00C67737" w:rsidRDefault="00C0269A" w:rsidP="00D2202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 xml:space="preserve">          37.75 </w:t>
            </w:r>
          </w:p>
        </w:tc>
      </w:tr>
      <w:tr w:rsidR="00C0269A" w:rsidRPr="00C67737" w14:paraId="454D681C"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23CE8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12368</w:t>
            </w:r>
          </w:p>
        </w:tc>
        <w:tc>
          <w:tcPr>
            <w:tcW w:w="5400" w:type="dxa"/>
            <w:noWrap/>
            <w:hideMark/>
          </w:tcPr>
          <w:p w14:paraId="48B75548"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Global Opportunities for the Long-Term Development of the Artisanal and Small-Scale Gold Mining Sector in Mozambique – </w:t>
            </w:r>
            <w:proofErr w:type="spellStart"/>
            <w:r w:rsidRPr="00D10503">
              <w:rPr>
                <w:rFonts w:eastAsia="Times New Roman" w:cstheme="minorHAnsi"/>
                <w:color w:val="000000"/>
                <w:sz w:val="16"/>
                <w:szCs w:val="16"/>
                <w:lang w:val="en-US"/>
              </w:rPr>
              <w:t>planetGOLD</w:t>
            </w:r>
            <w:proofErr w:type="spellEnd"/>
            <w:r w:rsidRPr="00D10503">
              <w:rPr>
                <w:rFonts w:eastAsia="Times New Roman" w:cstheme="minorHAnsi"/>
                <w:color w:val="000000"/>
                <w:sz w:val="16"/>
                <w:szCs w:val="16"/>
                <w:lang w:val="en-US"/>
              </w:rPr>
              <w:t xml:space="preserve"> Mozambique</w:t>
            </w:r>
          </w:p>
        </w:tc>
        <w:tc>
          <w:tcPr>
            <w:tcW w:w="810" w:type="dxa"/>
            <w:noWrap/>
            <w:hideMark/>
          </w:tcPr>
          <w:p w14:paraId="3C4F7A2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00D2F0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Mozambique</w:t>
            </w:r>
          </w:p>
        </w:tc>
        <w:tc>
          <w:tcPr>
            <w:tcW w:w="990" w:type="dxa"/>
            <w:noWrap/>
            <w:hideMark/>
          </w:tcPr>
          <w:p w14:paraId="24D341F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57959F2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2087F6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B0B73A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5.09 </w:t>
            </w:r>
          </w:p>
        </w:tc>
        <w:tc>
          <w:tcPr>
            <w:tcW w:w="990" w:type="dxa"/>
            <w:noWrap/>
            <w:hideMark/>
          </w:tcPr>
          <w:p w14:paraId="41605EC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30.91 </w:t>
            </w:r>
          </w:p>
        </w:tc>
        <w:tc>
          <w:tcPr>
            <w:tcW w:w="900" w:type="dxa"/>
            <w:noWrap/>
            <w:hideMark/>
          </w:tcPr>
          <w:p w14:paraId="291FD5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36.01 </w:t>
            </w:r>
          </w:p>
        </w:tc>
      </w:tr>
      <w:tr w:rsidR="00C0269A" w:rsidRPr="00C67737" w14:paraId="004857BF"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9FDC4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12365</w:t>
            </w:r>
          </w:p>
        </w:tc>
        <w:tc>
          <w:tcPr>
            <w:tcW w:w="5400" w:type="dxa"/>
            <w:noWrap/>
            <w:hideMark/>
          </w:tcPr>
          <w:p w14:paraId="20D17A8A"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marine coastal management for biodiversity conservation in the coasts and beaches of Ecuador</w:t>
            </w:r>
          </w:p>
        </w:tc>
        <w:tc>
          <w:tcPr>
            <w:tcW w:w="810" w:type="dxa"/>
            <w:noWrap/>
            <w:hideMark/>
          </w:tcPr>
          <w:p w14:paraId="1F56BA3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D322DF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691A24B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B002F7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12ABD8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FB5CC3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1C6760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81.85 </w:t>
            </w:r>
          </w:p>
        </w:tc>
        <w:tc>
          <w:tcPr>
            <w:tcW w:w="900" w:type="dxa"/>
            <w:noWrap/>
            <w:hideMark/>
          </w:tcPr>
          <w:p w14:paraId="44DD7E7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86.85 </w:t>
            </w:r>
          </w:p>
        </w:tc>
      </w:tr>
      <w:tr w:rsidR="00C0269A" w:rsidRPr="00C67737" w14:paraId="381C41F2"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5AF1A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12364</w:t>
            </w:r>
          </w:p>
        </w:tc>
        <w:tc>
          <w:tcPr>
            <w:tcW w:w="5400" w:type="dxa"/>
            <w:noWrap/>
            <w:hideMark/>
          </w:tcPr>
          <w:p w14:paraId="25F6A25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Connecting Landscapes for Jaguar Conservation</w:t>
            </w:r>
          </w:p>
        </w:tc>
        <w:tc>
          <w:tcPr>
            <w:tcW w:w="810" w:type="dxa"/>
            <w:noWrap/>
            <w:hideMark/>
          </w:tcPr>
          <w:p w14:paraId="01BF9F4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F4E4A4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698527D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45658F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F9FF13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5F5C3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2.60 </w:t>
            </w:r>
          </w:p>
        </w:tc>
        <w:tc>
          <w:tcPr>
            <w:tcW w:w="990" w:type="dxa"/>
            <w:noWrap/>
            <w:hideMark/>
          </w:tcPr>
          <w:p w14:paraId="206CA83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28.81 </w:t>
            </w:r>
          </w:p>
        </w:tc>
        <w:tc>
          <w:tcPr>
            <w:tcW w:w="900" w:type="dxa"/>
            <w:noWrap/>
            <w:hideMark/>
          </w:tcPr>
          <w:p w14:paraId="037EF22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31.41 </w:t>
            </w:r>
          </w:p>
        </w:tc>
      </w:tr>
      <w:tr w:rsidR="00C0269A" w:rsidRPr="00C67737" w14:paraId="2998B64F"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1AA5D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12362</w:t>
            </w:r>
          </w:p>
        </w:tc>
        <w:tc>
          <w:tcPr>
            <w:tcW w:w="5400" w:type="dxa"/>
            <w:noWrap/>
            <w:hideMark/>
          </w:tcPr>
          <w:p w14:paraId="2C5953DE"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Innovative and Inclusive Approach to Sustainable Management of Biodiversity and Indigenous Peoples and Local Communities (IP&amp;LCs) Resilient Livelihood in </w:t>
            </w:r>
            <w:proofErr w:type="spellStart"/>
            <w:r w:rsidRPr="00D10503">
              <w:rPr>
                <w:rFonts w:eastAsia="Times New Roman" w:cstheme="minorHAnsi"/>
                <w:color w:val="000000"/>
                <w:sz w:val="16"/>
                <w:szCs w:val="16"/>
                <w:lang w:val="en-US"/>
              </w:rPr>
              <w:t>Boumba</w:t>
            </w:r>
            <w:proofErr w:type="spellEnd"/>
            <w:r w:rsidRPr="00D10503">
              <w:rPr>
                <w:rFonts w:eastAsia="Times New Roman" w:cstheme="minorHAnsi"/>
                <w:color w:val="000000"/>
                <w:sz w:val="16"/>
                <w:szCs w:val="16"/>
                <w:lang w:val="en-US"/>
              </w:rPr>
              <w:t xml:space="preserve"> Bek National Parc of the TRIDOM landscape</w:t>
            </w:r>
          </w:p>
        </w:tc>
        <w:tc>
          <w:tcPr>
            <w:tcW w:w="810" w:type="dxa"/>
            <w:noWrap/>
            <w:hideMark/>
          </w:tcPr>
          <w:p w14:paraId="79F343E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048140C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Cameroon</w:t>
            </w:r>
            <w:proofErr w:type="spellEnd"/>
          </w:p>
        </w:tc>
        <w:tc>
          <w:tcPr>
            <w:tcW w:w="990" w:type="dxa"/>
            <w:noWrap/>
            <w:hideMark/>
          </w:tcPr>
          <w:p w14:paraId="6D9FB56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2FE8AA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A1A13E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579E8E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60E875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29.92 </w:t>
            </w:r>
          </w:p>
        </w:tc>
        <w:tc>
          <w:tcPr>
            <w:tcW w:w="900" w:type="dxa"/>
            <w:noWrap/>
            <w:hideMark/>
          </w:tcPr>
          <w:p w14:paraId="50F3874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33.92 </w:t>
            </w:r>
          </w:p>
        </w:tc>
      </w:tr>
      <w:tr w:rsidR="00C0269A" w:rsidRPr="00C67737" w14:paraId="1DC1676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96CB8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12360</w:t>
            </w:r>
          </w:p>
        </w:tc>
        <w:tc>
          <w:tcPr>
            <w:tcW w:w="5400" w:type="dxa"/>
            <w:noWrap/>
            <w:hideMark/>
          </w:tcPr>
          <w:p w14:paraId="4E0B5AF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the governance of National Parks for the sustainable management of ecosystems in Northern Algeria</w:t>
            </w:r>
          </w:p>
        </w:tc>
        <w:tc>
          <w:tcPr>
            <w:tcW w:w="810" w:type="dxa"/>
            <w:noWrap/>
            <w:hideMark/>
          </w:tcPr>
          <w:p w14:paraId="24AE0D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44C8C2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Algeria</w:t>
            </w:r>
          </w:p>
        </w:tc>
        <w:tc>
          <w:tcPr>
            <w:tcW w:w="990" w:type="dxa"/>
            <w:noWrap/>
            <w:hideMark/>
          </w:tcPr>
          <w:p w14:paraId="47AACC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E780E8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ED14D8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E98AF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62A0112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11.70 </w:t>
            </w:r>
          </w:p>
        </w:tc>
        <w:tc>
          <w:tcPr>
            <w:tcW w:w="900" w:type="dxa"/>
            <w:noWrap/>
            <w:hideMark/>
          </w:tcPr>
          <w:p w14:paraId="31BF94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13.70 </w:t>
            </w:r>
          </w:p>
        </w:tc>
      </w:tr>
      <w:tr w:rsidR="00C0269A" w:rsidRPr="00C67737" w14:paraId="05254075"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A86DF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12359</w:t>
            </w:r>
          </w:p>
        </w:tc>
        <w:tc>
          <w:tcPr>
            <w:tcW w:w="5400" w:type="dxa"/>
            <w:noWrap/>
            <w:hideMark/>
          </w:tcPr>
          <w:p w14:paraId="1B8FD2F5"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Promoting cleantech innovation and entrepreneurship in Algeria</w:t>
            </w:r>
          </w:p>
        </w:tc>
        <w:tc>
          <w:tcPr>
            <w:tcW w:w="810" w:type="dxa"/>
            <w:noWrap/>
            <w:hideMark/>
          </w:tcPr>
          <w:p w14:paraId="779CD14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561472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Algeria</w:t>
            </w:r>
          </w:p>
        </w:tc>
        <w:tc>
          <w:tcPr>
            <w:tcW w:w="990" w:type="dxa"/>
            <w:noWrap/>
            <w:hideMark/>
          </w:tcPr>
          <w:p w14:paraId="6980E69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11BE79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691059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4905B5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2.90 </w:t>
            </w:r>
          </w:p>
        </w:tc>
        <w:tc>
          <w:tcPr>
            <w:tcW w:w="990" w:type="dxa"/>
            <w:noWrap/>
            <w:hideMark/>
          </w:tcPr>
          <w:p w14:paraId="210D824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6.33 </w:t>
            </w:r>
          </w:p>
        </w:tc>
        <w:tc>
          <w:tcPr>
            <w:tcW w:w="900" w:type="dxa"/>
            <w:noWrap/>
            <w:hideMark/>
          </w:tcPr>
          <w:p w14:paraId="1E4CD8C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9.23 </w:t>
            </w:r>
          </w:p>
        </w:tc>
      </w:tr>
      <w:tr w:rsidR="00C0269A" w:rsidRPr="00C67737" w14:paraId="4D0C4C73"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268D2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12356</w:t>
            </w:r>
          </w:p>
        </w:tc>
        <w:tc>
          <w:tcPr>
            <w:tcW w:w="5400" w:type="dxa"/>
            <w:noWrap/>
            <w:hideMark/>
          </w:tcPr>
          <w:p w14:paraId="3F01603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island resilience through improved ecosystem management and sustainable agriculture practices</w:t>
            </w:r>
          </w:p>
        </w:tc>
        <w:tc>
          <w:tcPr>
            <w:tcW w:w="810" w:type="dxa"/>
            <w:noWrap/>
            <w:hideMark/>
          </w:tcPr>
          <w:p w14:paraId="32D5ECE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53EE896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Seychelles</w:t>
            </w:r>
          </w:p>
        </w:tc>
        <w:tc>
          <w:tcPr>
            <w:tcW w:w="990" w:type="dxa"/>
            <w:noWrap/>
            <w:hideMark/>
          </w:tcPr>
          <w:p w14:paraId="0119F7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C32333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SCCF-A, MTF</w:t>
            </w:r>
          </w:p>
        </w:tc>
        <w:tc>
          <w:tcPr>
            <w:tcW w:w="810" w:type="dxa"/>
            <w:noWrap/>
            <w:hideMark/>
          </w:tcPr>
          <w:p w14:paraId="0CE3E62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E0140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3.90 </w:t>
            </w:r>
          </w:p>
        </w:tc>
        <w:tc>
          <w:tcPr>
            <w:tcW w:w="990" w:type="dxa"/>
            <w:noWrap/>
            <w:hideMark/>
          </w:tcPr>
          <w:p w14:paraId="310CDD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00" w:type="dxa"/>
            <w:noWrap/>
            <w:hideMark/>
          </w:tcPr>
          <w:p w14:paraId="55A8F00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13.90 </w:t>
            </w:r>
          </w:p>
        </w:tc>
      </w:tr>
      <w:tr w:rsidR="00C0269A" w:rsidRPr="00C67737" w14:paraId="528806D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DDBBC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12355</w:t>
            </w:r>
          </w:p>
        </w:tc>
        <w:tc>
          <w:tcPr>
            <w:tcW w:w="5400" w:type="dxa"/>
            <w:noWrap/>
            <w:hideMark/>
          </w:tcPr>
          <w:p w14:paraId="347ABA7C"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Advancing nature-positive and fair supply chains through better alignment of trade-related sustainability standards</w:t>
            </w:r>
          </w:p>
        </w:tc>
        <w:tc>
          <w:tcPr>
            <w:tcW w:w="810" w:type="dxa"/>
            <w:noWrap/>
            <w:hideMark/>
          </w:tcPr>
          <w:p w14:paraId="6350E93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320F7F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178820A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5C5997F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427846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B0FE4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2.14 </w:t>
            </w:r>
          </w:p>
        </w:tc>
        <w:tc>
          <w:tcPr>
            <w:tcW w:w="990" w:type="dxa"/>
            <w:noWrap/>
            <w:hideMark/>
          </w:tcPr>
          <w:p w14:paraId="1BC65DC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4.88 </w:t>
            </w:r>
          </w:p>
        </w:tc>
        <w:tc>
          <w:tcPr>
            <w:tcW w:w="900" w:type="dxa"/>
            <w:noWrap/>
            <w:hideMark/>
          </w:tcPr>
          <w:p w14:paraId="2407991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7.02 </w:t>
            </w:r>
          </w:p>
        </w:tc>
      </w:tr>
      <w:tr w:rsidR="00C0269A" w:rsidRPr="00C67737" w14:paraId="135B084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7BC5B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12354</w:t>
            </w:r>
          </w:p>
        </w:tc>
        <w:tc>
          <w:tcPr>
            <w:tcW w:w="5400" w:type="dxa"/>
            <w:noWrap/>
            <w:hideMark/>
          </w:tcPr>
          <w:p w14:paraId="725BF1B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Youth4Agri: Implementing Nature-based Solutions (</w:t>
            </w:r>
            <w:proofErr w:type="spellStart"/>
            <w:r w:rsidRPr="00D10503">
              <w:rPr>
                <w:rFonts w:eastAsia="Times New Roman" w:cstheme="minorHAnsi"/>
                <w:color w:val="000000"/>
                <w:sz w:val="16"/>
                <w:szCs w:val="16"/>
                <w:lang w:val="en-US"/>
              </w:rPr>
              <w:t>NbS</w:t>
            </w:r>
            <w:proofErr w:type="spellEnd"/>
            <w:r w:rsidRPr="00D10503">
              <w:rPr>
                <w:rFonts w:eastAsia="Times New Roman" w:cstheme="minorHAnsi"/>
                <w:color w:val="000000"/>
                <w:sz w:val="16"/>
                <w:szCs w:val="16"/>
                <w:lang w:val="en-US"/>
              </w:rPr>
              <w:t>) in Productive Landscapes in Agriculture in Saint Lucia</w:t>
            </w:r>
          </w:p>
        </w:tc>
        <w:tc>
          <w:tcPr>
            <w:tcW w:w="810" w:type="dxa"/>
            <w:noWrap/>
            <w:hideMark/>
          </w:tcPr>
          <w:p w14:paraId="4C55C2B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11BC56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 Lucia</w:t>
            </w:r>
          </w:p>
        </w:tc>
        <w:tc>
          <w:tcPr>
            <w:tcW w:w="990" w:type="dxa"/>
            <w:noWrap/>
            <w:hideMark/>
          </w:tcPr>
          <w:p w14:paraId="717152A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37D37D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5D35B1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85964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4875687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0.45 </w:t>
            </w:r>
          </w:p>
        </w:tc>
        <w:tc>
          <w:tcPr>
            <w:tcW w:w="900" w:type="dxa"/>
            <w:noWrap/>
            <w:hideMark/>
          </w:tcPr>
          <w:p w14:paraId="5B34CAF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1.45 </w:t>
            </w:r>
          </w:p>
        </w:tc>
      </w:tr>
      <w:tr w:rsidR="00C0269A" w:rsidRPr="00C67737" w14:paraId="0630CD5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59352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12347</w:t>
            </w:r>
          </w:p>
        </w:tc>
        <w:tc>
          <w:tcPr>
            <w:tcW w:w="5400" w:type="dxa"/>
            <w:noWrap/>
            <w:hideMark/>
          </w:tcPr>
          <w:p w14:paraId="4758FD32"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the institutional and technical capacities of the Alliance of Small Island States</w:t>
            </w:r>
          </w:p>
        </w:tc>
        <w:tc>
          <w:tcPr>
            <w:tcW w:w="810" w:type="dxa"/>
            <w:noWrap/>
            <w:hideMark/>
          </w:tcPr>
          <w:p w14:paraId="3BF653D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73FA149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5BF4263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06AEB8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SCCF-B, MTF</w:t>
            </w:r>
          </w:p>
        </w:tc>
        <w:tc>
          <w:tcPr>
            <w:tcW w:w="810" w:type="dxa"/>
            <w:noWrap/>
            <w:hideMark/>
          </w:tcPr>
          <w:p w14:paraId="60D9F12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404787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5A8D981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3.93 </w:t>
            </w:r>
          </w:p>
        </w:tc>
        <w:tc>
          <w:tcPr>
            <w:tcW w:w="900" w:type="dxa"/>
            <w:noWrap/>
            <w:hideMark/>
          </w:tcPr>
          <w:p w14:paraId="05115D3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7.93 </w:t>
            </w:r>
          </w:p>
        </w:tc>
      </w:tr>
      <w:tr w:rsidR="00C0269A" w:rsidRPr="00C67737" w14:paraId="6F971065"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41257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12345</w:t>
            </w:r>
          </w:p>
        </w:tc>
        <w:tc>
          <w:tcPr>
            <w:tcW w:w="5400" w:type="dxa"/>
            <w:noWrap/>
            <w:hideMark/>
          </w:tcPr>
          <w:p w14:paraId="73482BC9"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Strategic Management of Invasive Alien Species (IAS) to Safeguard Biodiversity and Support Ecosystem Restoration in The Bahamas</w:t>
            </w:r>
          </w:p>
        </w:tc>
        <w:tc>
          <w:tcPr>
            <w:tcW w:w="810" w:type="dxa"/>
            <w:noWrap/>
            <w:hideMark/>
          </w:tcPr>
          <w:p w14:paraId="32C4B62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F8BF06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Bahamas</w:t>
            </w:r>
          </w:p>
        </w:tc>
        <w:tc>
          <w:tcPr>
            <w:tcW w:w="990" w:type="dxa"/>
            <w:noWrap/>
            <w:hideMark/>
          </w:tcPr>
          <w:p w14:paraId="7693304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7B10E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E8DFE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86F69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5.20 </w:t>
            </w:r>
          </w:p>
        </w:tc>
        <w:tc>
          <w:tcPr>
            <w:tcW w:w="990" w:type="dxa"/>
            <w:noWrap/>
            <w:hideMark/>
          </w:tcPr>
          <w:p w14:paraId="052087E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12.61 </w:t>
            </w:r>
          </w:p>
        </w:tc>
        <w:tc>
          <w:tcPr>
            <w:tcW w:w="900" w:type="dxa"/>
            <w:noWrap/>
            <w:hideMark/>
          </w:tcPr>
          <w:p w14:paraId="4C0B7BB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17.81 </w:t>
            </w:r>
          </w:p>
        </w:tc>
      </w:tr>
      <w:tr w:rsidR="00C0269A" w:rsidRPr="00C67737" w14:paraId="1EE5CED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5CF3D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12344</w:t>
            </w:r>
          </w:p>
        </w:tc>
        <w:tc>
          <w:tcPr>
            <w:tcW w:w="5400" w:type="dxa"/>
            <w:noWrap/>
            <w:hideMark/>
          </w:tcPr>
          <w:p w14:paraId="36046B2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Sustainable and Inclusive Access to Water Program for Resilient Agriculture (PROAGUA)</w:t>
            </w:r>
          </w:p>
        </w:tc>
        <w:tc>
          <w:tcPr>
            <w:tcW w:w="810" w:type="dxa"/>
            <w:noWrap/>
            <w:hideMark/>
          </w:tcPr>
          <w:p w14:paraId="6290B44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645FF4B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Cabo Verde</w:t>
            </w:r>
          </w:p>
        </w:tc>
        <w:tc>
          <w:tcPr>
            <w:tcW w:w="990" w:type="dxa"/>
            <w:noWrap/>
            <w:hideMark/>
          </w:tcPr>
          <w:p w14:paraId="503BAE7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CA064C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047929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4D08D3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4.82 </w:t>
            </w:r>
          </w:p>
        </w:tc>
        <w:tc>
          <w:tcPr>
            <w:tcW w:w="990" w:type="dxa"/>
            <w:noWrap/>
            <w:hideMark/>
          </w:tcPr>
          <w:p w14:paraId="2FC569D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31.00 </w:t>
            </w:r>
          </w:p>
        </w:tc>
        <w:tc>
          <w:tcPr>
            <w:tcW w:w="900" w:type="dxa"/>
            <w:noWrap/>
            <w:hideMark/>
          </w:tcPr>
          <w:p w14:paraId="437948A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35.82 </w:t>
            </w:r>
          </w:p>
        </w:tc>
      </w:tr>
      <w:tr w:rsidR="00C0269A" w:rsidRPr="00C67737" w14:paraId="16587328"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3CFE9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12342</w:t>
            </w:r>
          </w:p>
        </w:tc>
        <w:tc>
          <w:tcPr>
            <w:tcW w:w="5400" w:type="dxa"/>
            <w:noWrap/>
            <w:hideMark/>
          </w:tcPr>
          <w:p w14:paraId="4BFF1987" w14:textId="77777777" w:rsidR="00C0269A" w:rsidRPr="008E6ED8"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fr-CA"/>
              </w:rPr>
            </w:pPr>
            <w:proofErr w:type="spellStart"/>
            <w:r w:rsidRPr="008E6ED8">
              <w:rPr>
                <w:rFonts w:eastAsia="Times New Roman" w:cstheme="minorHAnsi"/>
                <w:color w:val="000000"/>
                <w:sz w:val="16"/>
                <w:szCs w:val="16"/>
                <w:lang w:val="fr-CA"/>
              </w:rPr>
              <w:t>Vaitupu</w:t>
            </w:r>
            <w:proofErr w:type="spellEnd"/>
            <w:r w:rsidRPr="008E6ED8">
              <w:rPr>
                <w:rFonts w:eastAsia="Times New Roman" w:cstheme="minorHAnsi"/>
                <w:color w:val="000000"/>
                <w:sz w:val="16"/>
                <w:szCs w:val="16"/>
                <w:lang w:val="fr-CA"/>
              </w:rPr>
              <w:t xml:space="preserve"> Coastal Adaptation Project (VCAP)</w:t>
            </w:r>
          </w:p>
        </w:tc>
        <w:tc>
          <w:tcPr>
            <w:tcW w:w="810" w:type="dxa"/>
            <w:noWrap/>
            <w:hideMark/>
          </w:tcPr>
          <w:p w14:paraId="14833ED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A0F709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Tuvalu</w:t>
            </w:r>
          </w:p>
        </w:tc>
        <w:tc>
          <w:tcPr>
            <w:tcW w:w="990" w:type="dxa"/>
            <w:noWrap/>
            <w:hideMark/>
          </w:tcPr>
          <w:p w14:paraId="0D5E1AB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E3355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GET, </w:t>
            </w:r>
            <w:proofErr w:type="gramStart"/>
            <w:r w:rsidRPr="00C67737">
              <w:rPr>
                <w:rFonts w:eastAsia="Times New Roman" w:cstheme="minorHAnsi"/>
                <w:color w:val="000000"/>
                <w:sz w:val="16"/>
                <w:szCs w:val="16"/>
              </w:rPr>
              <w:t>LDCF,MTF</w:t>
            </w:r>
            <w:proofErr w:type="gramEnd"/>
          </w:p>
        </w:tc>
        <w:tc>
          <w:tcPr>
            <w:tcW w:w="810" w:type="dxa"/>
            <w:noWrap/>
            <w:hideMark/>
          </w:tcPr>
          <w:p w14:paraId="426EFD8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700E11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37C8CA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11.45 </w:t>
            </w:r>
          </w:p>
        </w:tc>
        <w:tc>
          <w:tcPr>
            <w:tcW w:w="900" w:type="dxa"/>
            <w:noWrap/>
            <w:hideMark/>
          </w:tcPr>
          <w:p w14:paraId="2D0AE74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16.45 </w:t>
            </w:r>
          </w:p>
        </w:tc>
      </w:tr>
      <w:tr w:rsidR="00C0269A" w:rsidRPr="00C67737" w14:paraId="701CF53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46748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12334</w:t>
            </w:r>
          </w:p>
        </w:tc>
        <w:tc>
          <w:tcPr>
            <w:tcW w:w="5400" w:type="dxa"/>
            <w:noWrap/>
            <w:hideMark/>
          </w:tcPr>
          <w:p w14:paraId="5BF09B2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Blue Carbon Horizons: Strengthening Climate-Resilient Coastal Planning in Mauritius through Blue Carbon for Ecosystem-Based Adaptation</w:t>
            </w:r>
          </w:p>
        </w:tc>
        <w:tc>
          <w:tcPr>
            <w:tcW w:w="810" w:type="dxa"/>
            <w:noWrap/>
            <w:hideMark/>
          </w:tcPr>
          <w:p w14:paraId="387D38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36DA5C7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Mauritius</w:t>
            </w:r>
          </w:p>
        </w:tc>
        <w:tc>
          <w:tcPr>
            <w:tcW w:w="990" w:type="dxa"/>
            <w:noWrap/>
            <w:hideMark/>
          </w:tcPr>
          <w:p w14:paraId="721A6D3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ADBC57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SCCF-A, SCCF</w:t>
            </w:r>
          </w:p>
        </w:tc>
        <w:tc>
          <w:tcPr>
            <w:tcW w:w="810" w:type="dxa"/>
            <w:noWrap/>
            <w:hideMark/>
          </w:tcPr>
          <w:p w14:paraId="5C33705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C68F10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20F2667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0.83 </w:t>
            </w:r>
          </w:p>
        </w:tc>
        <w:tc>
          <w:tcPr>
            <w:tcW w:w="900" w:type="dxa"/>
            <w:noWrap/>
            <w:hideMark/>
          </w:tcPr>
          <w:p w14:paraId="0E51B86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3.83 </w:t>
            </w:r>
          </w:p>
        </w:tc>
      </w:tr>
      <w:tr w:rsidR="00C0269A" w:rsidRPr="00C67737" w14:paraId="4F45B2F1"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F8A4C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12328</w:t>
            </w:r>
          </w:p>
        </w:tc>
        <w:tc>
          <w:tcPr>
            <w:tcW w:w="5400" w:type="dxa"/>
            <w:noWrap/>
            <w:hideMark/>
          </w:tcPr>
          <w:p w14:paraId="5AD6907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ISLANDS CCKM 2 Project (Communications, Coordination and Knowledge Management)</w:t>
            </w:r>
          </w:p>
        </w:tc>
        <w:tc>
          <w:tcPr>
            <w:tcW w:w="810" w:type="dxa"/>
            <w:noWrap/>
            <w:hideMark/>
          </w:tcPr>
          <w:p w14:paraId="74709F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F9F6C5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20CE5B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03D513E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068E21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2B5E15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4692E32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10.03 </w:t>
            </w:r>
          </w:p>
        </w:tc>
        <w:tc>
          <w:tcPr>
            <w:tcW w:w="900" w:type="dxa"/>
            <w:noWrap/>
            <w:hideMark/>
          </w:tcPr>
          <w:p w14:paraId="0C20541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15.67 </w:t>
            </w:r>
          </w:p>
        </w:tc>
      </w:tr>
      <w:tr w:rsidR="00C0269A" w:rsidRPr="00C67737" w14:paraId="74F779BC"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EEAC2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12325</w:t>
            </w:r>
          </w:p>
        </w:tc>
        <w:tc>
          <w:tcPr>
            <w:tcW w:w="5400" w:type="dxa"/>
            <w:noWrap/>
            <w:hideMark/>
          </w:tcPr>
          <w:p w14:paraId="42503861"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Reducing Land Degradation through integrated sustainable land and ecosystem management in priority areas of the Cook Islands</w:t>
            </w:r>
          </w:p>
        </w:tc>
        <w:tc>
          <w:tcPr>
            <w:tcW w:w="810" w:type="dxa"/>
            <w:noWrap/>
            <w:hideMark/>
          </w:tcPr>
          <w:p w14:paraId="1A8FA8A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4459FC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Cook </w:t>
            </w:r>
            <w:proofErr w:type="spellStart"/>
            <w:r w:rsidRPr="00C67737">
              <w:rPr>
                <w:rFonts w:eastAsia="Times New Roman" w:cstheme="minorHAnsi"/>
                <w:color w:val="000000"/>
                <w:sz w:val="16"/>
                <w:szCs w:val="16"/>
              </w:rPr>
              <w:t>Islands</w:t>
            </w:r>
            <w:proofErr w:type="spellEnd"/>
          </w:p>
        </w:tc>
        <w:tc>
          <w:tcPr>
            <w:tcW w:w="990" w:type="dxa"/>
            <w:noWrap/>
            <w:hideMark/>
          </w:tcPr>
          <w:p w14:paraId="4E0E727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1B4A711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1E2214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B228B8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3.70 </w:t>
            </w:r>
          </w:p>
        </w:tc>
        <w:tc>
          <w:tcPr>
            <w:tcW w:w="990" w:type="dxa"/>
            <w:noWrap/>
            <w:hideMark/>
          </w:tcPr>
          <w:p w14:paraId="674FE73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9.20 </w:t>
            </w:r>
          </w:p>
        </w:tc>
        <w:tc>
          <w:tcPr>
            <w:tcW w:w="900" w:type="dxa"/>
            <w:noWrap/>
            <w:hideMark/>
          </w:tcPr>
          <w:p w14:paraId="7F6586F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12.90 </w:t>
            </w:r>
          </w:p>
        </w:tc>
      </w:tr>
      <w:tr w:rsidR="00C0269A" w:rsidRPr="00C67737" w14:paraId="0026518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06109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12324</w:t>
            </w:r>
          </w:p>
        </w:tc>
        <w:tc>
          <w:tcPr>
            <w:tcW w:w="5400" w:type="dxa"/>
            <w:noWrap/>
            <w:hideMark/>
          </w:tcPr>
          <w:p w14:paraId="64B65A79"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Supporting Country's Policy Coherence for Nature-Positive and Resilient Agrifood Systems through the Policy Optimization Tool Lab (</w:t>
            </w:r>
            <w:proofErr w:type="spellStart"/>
            <w:r w:rsidRPr="00D10503">
              <w:rPr>
                <w:rFonts w:eastAsia="Times New Roman" w:cstheme="minorHAnsi"/>
                <w:color w:val="000000"/>
                <w:sz w:val="16"/>
                <w:szCs w:val="16"/>
                <w:lang w:val="en-US"/>
              </w:rPr>
              <w:t>PolOpT</w:t>
            </w:r>
            <w:proofErr w:type="spellEnd"/>
            <w:r w:rsidRPr="00D10503">
              <w:rPr>
                <w:rFonts w:eastAsia="Times New Roman" w:cstheme="minorHAnsi"/>
                <w:color w:val="000000"/>
                <w:sz w:val="16"/>
                <w:szCs w:val="16"/>
                <w:lang w:val="en-US"/>
              </w:rPr>
              <w:t xml:space="preserve"> Lab)</w:t>
            </w:r>
          </w:p>
        </w:tc>
        <w:tc>
          <w:tcPr>
            <w:tcW w:w="810" w:type="dxa"/>
            <w:noWrap/>
            <w:hideMark/>
          </w:tcPr>
          <w:p w14:paraId="42B9BEF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ADF7F2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1B1E570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5FCBF2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C3EAD7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B92586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085504C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00" w:type="dxa"/>
            <w:noWrap/>
            <w:hideMark/>
          </w:tcPr>
          <w:p w14:paraId="40A474E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r>
      <w:tr w:rsidR="00C0269A" w:rsidRPr="00C67737" w14:paraId="5B15D16B"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12B96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12323</w:t>
            </w:r>
          </w:p>
        </w:tc>
        <w:tc>
          <w:tcPr>
            <w:tcW w:w="5400" w:type="dxa"/>
            <w:noWrap/>
            <w:hideMark/>
          </w:tcPr>
          <w:p w14:paraId="3E5F8CF2"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Delivering Sustainable Global Environmental Benefits in the Amazon Basin through National and Regional Parliamentary Networks</w:t>
            </w:r>
          </w:p>
        </w:tc>
        <w:tc>
          <w:tcPr>
            <w:tcW w:w="810" w:type="dxa"/>
            <w:noWrap/>
            <w:hideMark/>
          </w:tcPr>
          <w:p w14:paraId="72AEF0A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C54626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C5115B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1DBADBB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48B7A8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5E7993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70ED40C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5.01 </w:t>
            </w:r>
          </w:p>
        </w:tc>
        <w:tc>
          <w:tcPr>
            <w:tcW w:w="900" w:type="dxa"/>
            <w:noWrap/>
            <w:hideMark/>
          </w:tcPr>
          <w:p w14:paraId="58DAC07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10.01 </w:t>
            </w:r>
          </w:p>
        </w:tc>
      </w:tr>
      <w:tr w:rsidR="00C0269A" w:rsidRPr="00C67737" w14:paraId="2EE7891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0FE74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12322</w:t>
            </w:r>
          </w:p>
        </w:tc>
        <w:tc>
          <w:tcPr>
            <w:tcW w:w="5400" w:type="dxa"/>
            <w:noWrap/>
            <w:hideMark/>
          </w:tcPr>
          <w:p w14:paraId="5029C20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conservation and livelihoods in the Dulombi-Boe-Tchetche Landscape Complex, Guinea-Bissau</w:t>
            </w:r>
          </w:p>
        </w:tc>
        <w:tc>
          <w:tcPr>
            <w:tcW w:w="810" w:type="dxa"/>
            <w:noWrap/>
            <w:hideMark/>
          </w:tcPr>
          <w:p w14:paraId="6D064C6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5AE09E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Guinea-Bissau</w:t>
            </w:r>
            <w:proofErr w:type="spellEnd"/>
          </w:p>
        </w:tc>
        <w:tc>
          <w:tcPr>
            <w:tcW w:w="990" w:type="dxa"/>
            <w:noWrap/>
            <w:hideMark/>
          </w:tcPr>
          <w:p w14:paraId="20BE876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485D8C3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7D9790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D056B0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 </w:t>
            </w:r>
          </w:p>
        </w:tc>
        <w:tc>
          <w:tcPr>
            <w:tcW w:w="990" w:type="dxa"/>
            <w:noWrap/>
            <w:hideMark/>
          </w:tcPr>
          <w:p w14:paraId="53E7785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5.20 </w:t>
            </w:r>
          </w:p>
        </w:tc>
        <w:tc>
          <w:tcPr>
            <w:tcW w:w="900" w:type="dxa"/>
            <w:noWrap/>
            <w:hideMark/>
          </w:tcPr>
          <w:p w14:paraId="7201174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6.80 </w:t>
            </w:r>
          </w:p>
        </w:tc>
      </w:tr>
      <w:tr w:rsidR="00C0269A" w:rsidRPr="00C67737" w14:paraId="40AC88F2"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83001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12321</w:t>
            </w:r>
          </w:p>
        </w:tc>
        <w:tc>
          <w:tcPr>
            <w:tcW w:w="5400" w:type="dxa"/>
            <w:noWrap/>
            <w:hideMark/>
          </w:tcPr>
          <w:p w14:paraId="53A81A52"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Rio Synergies: Aligning Climate, Biodiversity and Land Policy &amp; Finance through Food Systems</w:t>
            </w:r>
          </w:p>
        </w:tc>
        <w:tc>
          <w:tcPr>
            <w:tcW w:w="810" w:type="dxa"/>
            <w:noWrap/>
            <w:hideMark/>
          </w:tcPr>
          <w:p w14:paraId="7306A80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16A335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240A66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53C01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A1732E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709020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2.24 </w:t>
            </w:r>
          </w:p>
        </w:tc>
        <w:tc>
          <w:tcPr>
            <w:tcW w:w="990" w:type="dxa"/>
            <w:noWrap/>
            <w:hideMark/>
          </w:tcPr>
          <w:p w14:paraId="0FA01AF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1.05 </w:t>
            </w:r>
          </w:p>
        </w:tc>
        <w:tc>
          <w:tcPr>
            <w:tcW w:w="900" w:type="dxa"/>
            <w:noWrap/>
            <w:hideMark/>
          </w:tcPr>
          <w:p w14:paraId="0C374DB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3.29 </w:t>
            </w:r>
          </w:p>
        </w:tc>
      </w:tr>
      <w:tr w:rsidR="00C0269A" w:rsidRPr="00C67737" w14:paraId="27482158"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0E793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12319</w:t>
            </w:r>
          </w:p>
        </w:tc>
        <w:tc>
          <w:tcPr>
            <w:tcW w:w="5400" w:type="dxa"/>
            <w:noWrap/>
            <w:hideMark/>
          </w:tcPr>
          <w:p w14:paraId="644E0461"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Unlocking Inclusive and Sustainable Conservation Financing in São Tomé and Príncipe through The </w:t>
            </w:r>
            <w:proofErr w:type="spellStart"/>
            <w:r w:rsidRPr="00D10503">
              <w:rPr>
                <w:rFonts w:eastAsia="Times New Roman" w:cstheme="minorHAnsi"/>
                <w:color w:val="000000"/>
                <w:sz w:val="16"/>
                <w:szCs w:val="16"/>
                <w:lang w:val="en-US"/>
              </w:rPr>
              <w:t>Ecotéla</w:t>
            </w:r>
            <w:proofErr w:type="spellEnd"/>
            <w:r w:rsidRPr="00D10503">
              <w:rPr>
                <w:rFonts w:eastAsia="Times New Roman" w:cstheme="minorHAnsi"/>
                <w:color w:val="000000"/>
                <w:sz w:val="16"/>
                <w:szCs w:val="16"/>
                <w:lang w:val="en-US"/>
              </w:rPr>
              <w:t xml:space="preserve"> Fund (Foundation for the conservation of biodiversity and protected areas of São Tomé and Príncipe)</w:t>
            </w:r>
          </w:p>
        </w:tc>
        <w:tc>
          <w:tcPr>
            <w:tcW w:w="810" w:type="dxa"/>
            <w:noWrap/>
            <w:hideMark/>
          </w:tcPr>
          <w:p w14:paraId="200AFAA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03F4E8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Sao Tome and Principe</w:t>
            </w:r>
          </w:p>
        </w:tc>
        <w:tc>
          <w:tcPr>
            <w:tcW w:w="990" w:type="dxa"/>
            <w:noWrap/>
            <w:hideMark/>
          </w:tcPr>
          <w:p w14:paraId="77B3A9A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427FDF4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EA68E6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6B0C6F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0.95 </w:t>
            </w:r>
          </w:p>
        </w:tc>
        <w:tc>
          <w:tcPr>
            <w:tcW w:w="990" w:type="dxa"/>
            <w:noWrap/>
            <w:hideMark/>
          </w:tcPr>
          <w:p w14:paraId="16CD3C7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0.98 </w:t>
            </w:r>
          </w:p>
        </w:tc>
        <w:tc>
          <w:tcPr>
            <w:tcW w:w="900" w:type="dxa"/>
            <w:noWrap/>
            <w:hideMark/>
          </w:tcPr>
          <w:p w14:paraId="5A9528B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1.93 </w:t>
            </w:r>
          </w:p>
        </w:tc>
      </w:tr>
      <w:tr w:rsidR="00C0269A" w:rsidRPr="00C67737" w14:paraId="2E25FE2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33E22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12313</w:t>
            </w:r>
          </w:p>
        </w:tc>
        <w:tc>
          <w:tcPr>
            <w:tcW w:w="5400" w:type="dxa"/>
            <w:noWrap/>
            <w:hideMark/>
          </w:tcPr>
          <w:p w14:paraId="0278641E"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Country platform for </w:t>
            </w:r>
            <w:proofErr w:type="spellStart"/>
            <w:r w:rsidRPr="00D10503">
              <w:rPr>
                <w:rFonts w:eastAsia="Times New Roman" w:cstheme="minorHAnsi"/>
                <w:color w:val="000000"/>
                <w:sz w:val="16"/>
                <w:szCs w:val="16"/>
                <w:lang w:val="en-US"/>
              </w:rPr>
              <w:t>mobilising</w:t>
            </w:r>
            <w:proofErr w:type="spellEnd"/>
            <w:r w:rsidRPr="00D10503">
              <w:rPr>
                <w:rFonts w:eastAsia="Times New Roman" w:cstheme="minorHAnsi"/>
                <w:color w:val="000000"/>
                <w:sz w:val="16"/>
                <w:szCs w:val="16"/>
                <w:lang w:val="en-US"/>
              </w:rPr>
              <w:t xml:space="preserve"> investments in climate smart agri-food system in Uzbekistan</w:t>
            </w:r>
          </w:p>
        </w:tc>
        <w:tc>
          <w:tcPr>
            <w:tcW w:w="810" w:type="dxa"/>
            <w:noWrap/>
            <w:hideMark/>
          </w:tcPr>
          <w:p w14:paraId="5FA573D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EBRD</w:t>
            </w:r>
          </w:p>
        </w:tc>
        <w:tc>
          <w:tcPr>
            <w:tcW w:w="990" w:type="dxa"/>
            <w:noWrap/>
            <w:hideMark/>
          </w:tcPr>
          <w:p w14:paraId="695AE27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Uzbekistan</w:t>
            </w:r>
            <w:proofErr w:type="spellEnd"/>
          </w:p>
        </w:tc>
        <w:tc>
          <w:tcPr>
            <w:tcW w:w="990" w:type="dxa"/>
            <w:noWrap/>
            <w:hideMark/>
          </w:tcPr>
          <w:p w14:paraId="5EAFDA4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1B54F1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4C8D35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7617C3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01E807C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103.74 </w:t>
            </w:r>
          </w:p>
        </w:tc>
        <w:tc>
          <w:tcPr>
            <w:tcW w:w="900" w:type="dxa"/>
            <w:noWrap/>
            <w:hideMark/>
          </w:tcPr>
          <w:p w14:paraId="3D7E378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105.74 </w:t>
            </w:r>
          </w:p>
        </w:tc>
      </w:tr>
      <w:tr w:rsidR="00C0269A" w:rsidRPr="00C67737" w14:paraId="1A8334EE"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941E8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12311</w:t>
            </w:r>
          </w:p>
        </w:tc>
        <w:tc>
          <w:tcPr>
            <w:tcW w:w="5400" w:type="dxa"/>
            <w:noWrap/>
            <w:hideMark/>
          </w:tcPr>
          <w:p w14:paraId="0763B3EE"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Climate Resilient Seaweed Blue Economy in Madagascar (</w:t>
            </w:r>
            <w:proofErr w:type="spellStart"/>
            <w:r w:rsidRPr="00D10503">
              <w:rPr>
                <w:rFonts w:eastAsia="Times New Roman" w:cstheme="minorHAnsi"/>
                <w:color w:val="000000"/>
                <w:sz w:val="16"/>
                <w:szCs w:val="16"/>
                <w:lang w:val="en-US"/>
              </w:rPr>
              <w:t>SeaBlue</w:t>
            </w:r>
            <w:proofErr w:type="spellEnd"/>
            <w:r w:rsidRPr="00D10503">
              <w:rPr>
                <w:rFonts w:eastAsia="Times New Roman" w:cstheme="minorHAnsi"/>
                <w:color w:val="000000"/>
                <w:sz w:val="16"/>
                <w:szCs w:val="16"/>
                <w:lang w:val="en-US"/>
              </w:rPr>
              <w:t>)</w:t>
            </w:r>
          </w:p>
        </w:tc>
        <w:tc>
          <w:tcPr>
            <w:tcW w:w="810" w:type="dxa"/>
            <w:noWrap/>
            <w:hideMark/>
          </w:tcPr>
          <w:p w14:paraId="16FA5C4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1DB1C2D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478D1E5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BD0E7F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85F214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48B9B7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1AD92B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10.35 </w:t>
            </w:r>
          </w:p>
        </w:tc>
        <w:tc>
          <w:tcPr>
            <w:tcW w:w="900" w:type="dxa"/>
            <w:noWrap/>
            <w:hideMark/>
          </w:tcPr>
          <w:p w14:paraId="186CA1A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15.35 </w:t>
            </w:r>
          </w:p>
        </w:tc>
      </w:tr>
      <w:tr w:rsidR="00C0269A" w:rsidRPr="00C67737" w14:paraId="1820B82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92421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12309</w:t>
            </w:r>
          </w:p>
        </w:tc>
        <w:tc>
          <w:tcPr>
            <w:tcW w:w="5400" w:type="dxa"/>
            <w:noWrap/>
            <w:hideMark/>
          </w:tcPr>
          <w:p w14:paraId="23FE259A"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UNCCD Mongolia COP17 Legacy Project</w:t>
            </w:r>
          </w:p>
        </w:tc>
        <w:tc>
          <w:tcPr>
            <w:tcW w:w="810" w:type="dxa"/>
            <w:noWrap/>
            <w:hideMark/>
          </w:tcPr>
          <w:p w14:paraId="67F5561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49F4A5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98562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D1BC60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D87F8F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467FFF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3.35 </w:t>
            </w:r>
          </w:p>
        </w:tc>
        <w:tc>
          <w:tcPr>
            <w:tcW w:w="990" w:type="dxa"/>
            <w:noWrap/>
            <w:hideMark/>
          </w:tcPr>
          <w:p w14:paraId="54D287F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00" w:type="dxa"/>
            <w:noWrap/>
            <w:hideMark/>
          </w:tcPr>
          <w:p w14:paraId="2BB69FE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11.35 </w:t>
            </w:r>
          </w:p>
        </w:tc>
      </w:tr>
      <w:tr w:rsidR="00C0269A" w:rsidRPr="00C67737" w14:paraId="74F8DC2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45B79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12304</w:t>
            </w:r>
          </w:p>
        </w:tc>
        <w:tc>
          <w:tcPr>
            <w:tcW w:w="5400" w:type="dxa"/>
            <w:noWrap/>
            <w:hideMark/>
          </w:tcPr>
          <w:p w14:paraId="1F9FF1C5"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Addressing the harmful effects of illegal gold mining on the environment and populations in the N'Zi region of Côte d'Ivoire: An integrated pilot approach to ecological restoration and social justice.</w:t>
            </w:r>
          </w:p>
        </w:tc>
        <w:tc>
          <w:tcPr>
            <w:tcW w:w="810" w:type="dxa"/>
            <w:noWrap/>
            <w:hideMark/>
          </w:tcPr>
          <w:p w14:paraId="560ADFF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A3EF8E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Cote d'Ivoire</w:t>
            </w:r>
          </w:p>
        </w:tc>
        <w:tc>
          <w:tcPr>
            <w:tcW w:w="990" w:type="dxa"/>
            <w:noWrap/>
            <w:hideMark/>
          </w:tcPr>
          <w:p w14:paraId="5CE048A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351180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914603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DBC38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3.04 </w:t>
            </w:r>
          </w:p>
        </w:tc>
        <w:tc>
          <w:tcPr>
            <w:tcW w:w="990" w:type="dxa"/>
            <w:noWrap/>
            <w:hideMark/>
          </w:tcPr>
          <w:p w14:paraId="58D8550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9.55 </w:t>
            </w:r>
          </w:p>
        </w:tc>
        <w:tc>
          <w:tcPr>
            <w:tcW w:w="900" w:type="dxa"/>
            <w:noWrap/>
            <w:hideMark/>
          </w:tcPr>
          <w:p w14:paraId="7E433FF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12.59 </w:t>
            </w:r>
          </w:p>
        </w:tc>
      </w:tr>
      <w:tr w:rsidR="00C0269A" w:rsidRPr="00C67737" w14:paraId="7E73150D"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23FCF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12302</w:t>
            </w:r>
          </w:p>
        </w:tc>
        <w:tc>
          <w:tcPr>
            <w:tcW w:w="5400" w:type="dxa"/>
            <w:noWrap/>
            <w:hideMark/>
          </w:tcPr>
          <w:p w14:paraId="21ACA6B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land use planning for sustainable land management</w:t>
            </w:r>
          </w:p>
        </w:tc>
        <w:tc>
          <w:tcPr>
            <w:tcW w:w="810" w:type="dxa"/>
            <w:noWrap/>
            <w:hideMark/>
          </w:tcPr>
          <w:p w14:paraId="77846E2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2E83C14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Guyana</w:t>
            </w:r>
          </w:p>
        </w:tc>
        <w:tc>
          <w:tcPr>
            <w:tcW w:w="990" w:type="dxa"/>
            <w:noWrap/>
            <w:hideMark/>
          </w:tcPr>
          <w:p w14:paraId="0F9B00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88199D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SCCF-A, MTF</w:t>
            </w:r>
          </w:p>
        </w:tc>
        <w:tc>
          <w:tcPr>
            <w:tcW w:w="810" w:type="dxa"/>
            <w:noWrap/>
            <w:hideMark/>
          </w:tcPr>
          <w:p w14:paraId="2EF896B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1BAC5B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 </w:t>
            </w:r>
          </w:p>
        </w:tc>
        <w:tc>
          <w:tcPr>
            <w:tcW w:w="990" w:type="dxa"/>
            <w:noWrap/>
            <w:hideMark/>
          </w:tcPr>
          <w:p w14:paraId="4540ED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13.68 </w:t>
            </w:r>
          </w:p>
        </w:tc>
        <w:tc>
          <w:tcPr>
            <w:tcW w:w="900" w:type="dxa"/>
            <w:noWrap/>
            <w:hideMark/>
          </w:tcPr>
          <w:p w14:paraId="66D1172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15.18 </w:t>
            </w:r>
          </w:p>
        </w:tc>
      </w:tr>
      <w:tr w:rsidR="00C0269A" w:rsidRPr="00C67737" w14:paraId="153DB5A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FB8FA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12301</w:t>
            </w:r>
          </w:p>
        </w:tc>
        <w:tc>
          <w:tcPr>
            <w:tcW w:w="5400" w:type="dxa"/>
            <w:noWrap/>
            <w:hideMark/>
          </w:tcPr>
          <w:p w14:paraId="10C2E44B"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nature protection in Republic of North Macedonia, through achieving Land Degradation Neutrality (LDN) and biodiversity conservation</w:t>
            </w:r>
          </w:p>
        </w:tc>
        <w:tc>
          <w:tcPr>
            <w:tcW w:w="810" w:type="dxa"/>
            <w:noWrap/>
            <w:hideMark/>
          </w:tcPr>
          <w:p w14:paraId="1FBCD6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A8E3F7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North Macedonia</w:t>
            </w:r>
          </w:p>
        </w:tc>
        <w:tc>
          <w:tcPr>
            <w:tcW w:w="990" w:type="dxa"/>
            <w:noWrap/>
            <w:hideMark/>
          </w:tcPr>
          <w:p w14:paraId="2E251A8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078BC7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2E3C76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765728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4.54 </w:t>
            </w:r>
          </w:p>
        </w:tc>
        <w:tc>
          <w:tcPr>
            <w:tcW w:w="990" w:type="dxa"/>
            <w:noWrap/>
            <w:hideMark/>
          </w:tcPr>
          <w:p w14:paraId="19E7F3D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31.40 </w:t>
            </w:r>
          </w:p>
        </w:tc>
        <w:tc>
          <w:tcPr>
            <w:tcW w:w="900" w:type="dxa"/>
            <w:noWrap/>
            <w:hideMark/>
          </w:tcPr>
          <w:p w14:paraId="72828BE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35.94 </w:t>
            </w:r>
          </w:p>
        </w:tc>
      </w:tr>
      <w:tr w:rsidR="00C0269A" w:rsidRPr="00C67737" w14:paraId="6D39F84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6E52A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12295</w:t>
            </w:r>
          </w:p>
        </w:tc>
        <w:tc>
          <w:tcPr>
            <w:tcW w:w="5400" w:type="dxa"/>
            <w:noWrap/>
            <w:hideMark/>
          </w:tcPr>
          <w:p w14:paraId="5266D1F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Sustainable Natural Resource and Livelihood Project – North (SNRLP-North)</w:t>
            </w:r>
          </w:p>
        </w:tc>
        <w:tc>
          <w:tcPr>
            <w:tcW w:w="810" w:type="dxa"/>
            <w:noWrap/>
            <w:hideMark/>
          </w:tcPr>
          <w:p w14:paraId="4D91311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56161D9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Sudan</w:t>
            </w:r>
            <w:proofErr w:type="spellEnd"/>
          </w:p>
        </w:tc>
        <w:tc>
          <w:tcPr>
            <w:tcW w:w="990" w:type="dxa"/>
            <w:noWrap/>
            <w:hideMark/>
          </w:tcPr>
          <w:p w14:paraId="2979436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C1CA13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1607A3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D3C75C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8.26 </w:t>
            </w:r>
          </w:p>
        </w:tc>
        <w:tc>
          <w:tcPr>
            <w:tcW w:w="990" w:type="dxa"/>
            <w:noWrap/>
            <w:hideMark/>
          </w:tcPr>
          <w:p w14:paraId="237F342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30.00 </w:t>
            </w:r>
          </w:p>
        </w:tc>
        <w:tc>
          <w:tcPr>
            <w:tcW w:w="900" w:type="dxa"/>
            <w:noWrap/>
            <w:hideMark/>
          </w:tcPr>
          <w:p w14:paraId="620176D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38.26 </w:t>
            </w:r>
          </w:p>
        </w:tc>
      </w:tr>
      <w:tr w:rsidR="00C0269A" w:rsidRPr="00C67737" w14:paraId="4AFB979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F7205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12294</w:t>
            </w:r>
          </w:p>
        </w:tc>
        <w:tc>
          <w:tcPr>
            <w:tcW w:w="5400" w:type="dxa"/>
            <w:noWrap/>
            <w:hideMark/>
          </w:tcPr>
          <w:p w14:paraId="1A9FEA4B"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Blue Nature Alliance to advance the high-quality protection of 1.8 billion hectares of ocean ecosystems</w:t>
            </w:r>
          </w:p>
        </w:tc>
        <w:tc>
          <w:tcPr>
            <w:tcW w:w="810" w:type="dxa"/>
            <w:noWrap/>
            <w:hideMark/>
          </w:tcPr>
          <w:p w14:paraId="03EC06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10BF72D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1BA67E6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D4AE68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D7B28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8D842A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90" w:type="dxa"/>
            <w:noWrap/>
            <w:hideMark/>
          </w:tcPr>
          <w:p w14:paraId="3B8274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187.42 </w:t>
            </w:r>
          </w:p>
        </w:tc>
        <w:tc>
          <w:tcPr>
            <w:tcW w:w="900" w:type="dxa"/>
            <w:noWrap/>
            <w:hideMark/>
          </w:tcPr>
          <w:p w14:paraId="16CCD45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207.42 </w:t>
            </w:r>
          </w:p>
        </w:tc>
      </w:tr>
      <w:tr w:rsidR="00C0269A" w:rsidRPr="00C67737" w14:paraId="319970F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F3C20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12293</w:t>
            </w:r>
          </w:p>
        </w:tc>
        <w:tc>
          <w:tcPr>
            <w:tcW w:w="5400" w:type="dxa"/>
            <w:noWrap/>
            <w:hideMark/>
          </w:tcPr>
          <w:p w14:paraId="1267E455"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Consolidating the Critical Ecosystem Partnership Fund (CEPF)’s achievements in fostering CSO leadership in biodiversity conservation in global biodiversity hotspots</w:t>
            </w:r>
          </w:p>
        </w:tc>
        <w:tc>
          <w:tcPr>
            <w:tcW w:w="810" w:type="dxa"/>
            <w:noWrap/>
            <w:hideMark/>
          </w:tcPr>
          <w:p w14:paraId="36AF5D8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00A3FD4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E3862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442AED8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DE6717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C9C1E0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90" w:type="dxa"/>
            <w:noWrap/>
            <w:hideMark/>
          </w:tcPr>
          <w:p w14:paraId="1C37C72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24.10 </w:t>
            </w:r>
          </w:p>
        </w:tc>
        <w:tc>
          <w:tcPr>
            <w:tcW w:w="900" w:type="dxa"/>
            <w:noWrap/>
            <w:hideMark/>
          </w:tcPr>
          <w:p w14:paraId="22E1201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44.10 </w:t>
            </w:r>
          </w:p>
        </w:tc>
      </w:tr>
      <w:tr w:rsidR="00C0269A" w:rsidRPr="00C67737" w14:paraId="706B2204"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8FA6A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12292</w:t>
            </w:r>
          </w:p>
        </w:tc>
        <w:tc>
          <w:tcPr>
            <w:tcW w:w="5400" w:type="dxa"/>
            <w:noWrap/>
            <w:hideMark/>
          </w:tcPr>
          <w:p w14:paraId="2FF9E06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Support the implementation of the national biodiversity strategy and action plan in Senegal/PNNK</w:t>
            </w:r>
          </w:p>
        </w:tc>
        <w:tc>
          <w:tcPr>
            <w:tcW w:w="810" w:type="dxa"/>
            <w:noWrap/>
            <w:hideMark/>
          </w:tcPr>
          <w:p w14:paraId="20220F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5C8036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7536758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546CAD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7DFEF5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4ED017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1.43 </w:t>
            </w:r>
          </w:p>
        </w:tc>
        <w:tc>
          <w:tcPr>
            <w:tcW w:w="990" w:type="dxa"/>
            <w:noWrap/>
            <w:hideMark/>
          </w:tcPr>
          <w:p w14:paraId="435F1D6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00" w:type="dxa"/>
            <w:noWrap/>
            <w:hideMark/>
          </w:tcPr>
          <w:p w14:paraId="32F8088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5.43 </w:t>
            </w:r>
          </w:p>
        </w:tc>
      </w:tr>
      <w:tr w:rsidR="00C0269A" w:rsidRPr="00C67737" w14:paraId="728E921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04D58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12291</w:t>
            </w:r>
          </w:p>
        </w:tc>
        <w:tc>
          <w:tcPr>
            <w:tcW w:w="5400" w:type="dxa"/>
            <w:noWrap/>
            <w:hideMark/>
          </w:tcPr>
          <w:p w14:paraId="2980B9C5"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Restoring the ecosystem integrity of the degraded </w:t>
            </w:r>
            <w:proofErr w:type="spellStart"/>
            <w:r w:rsidRPr="00D10503">
              <w:rPr>
                <w:rFonts w:eastAsia="Times New Roman" w:cstheme="minorHAnsi"/>
                <w:color w:val="000000"/>
                <w:sz w:val="16"/>
                <w:szCs w:val="16"/>
                <w:lang w:val="en-US"/>
              </w:rPr>
              <w:t>Bobirwa-Tswapong</w:t>
            </w:r>
            <w:proofErr w:type="spellEnd"/>
            <w:r w:rsidRPr="00D10503">
              <w:rPr>
                <w:rFonts w:eastAsia="Times New Roman" w:cstheme="minorHAnsi"/>
                <w:color w:val="000000"/>
                <w:sz w:val="16"/>
                <w:szCs w:val="16"/>
                <w:lang w:val="en-US"/>
              </w:rPr>
              <w:t xml:space="preserve"> ecosystem to sustain livelihoods and effectively respond to human-wildlife conflict and biodiversity management requirements</w:t>
            </w:r>
          </w:p>
        </w:tc>
        <w:tc>
          <w:tcPr>
            <w:tcW w:w="810" w:type="dxa"/>
            <w:noWrap/>
            <w:hideMark/>
          </w:tcPr>
          <w:p w14:paraId="4A637B9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589B64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Botswana</w:t>
            </w:r>
          </w:p>
        </w:tc>
        <w:tc>
          <w:tcPr>
            <w:tcW w:w="990" w:type="dxa"/>
            <w:noWrap/>
            <w:hideMark/>
          </w:tcPr>
          <w:p w14:paraId="6F21F0B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41CAE8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B5FD88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703172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7.10 </w:t>
            </w:r>
          </w:p>
        </w:tc>
        <w:tc>
          <w:tcPr>
            <w:tcW w:w="990" w:type="dxa"/>
            <w:noWrap/>
            <w:hideMark/>
          </w:tcPr>
          <w:p w14:paraId="1C9AFD2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31.17 </w:t>
            </w:r>
          </w:p>
        </w:tc>
        <w:tc>
          <w:tcPr>
            <w:tcW w:w="900" w:type="dxa"/>
            <w:noWrap/>
            <w:hideMark/>
          </w:tcPr>
          <w:p w14:paraId="00EF2C9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38.27 </w:t>
            </w:r>
          </w:p>
        </w:tc>
      </w:tr>
      <w:tr w:rsidR="00C0269A" w:rsidRPr="00C67737" w14:paraId="727F3E4C"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886D0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12290</w:t>
            </w:r>
          </w:p>
        </w:tc>
        <w:tc>
          <w:tcPr>
            <w:tcW w:w="5400" w:type="dxa"/>
            <w:noWrap/>
            <w:hideMark/>
          </w:tcPr>
          <w:p w14:paraId="26CA9828"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Empowering conservation action on the East Asian Australasian Flyway (EAAF) through Establishment of a Global Flyways Grant Mechanism (GFGM) for Civil Society Organizations</w:t>
            </w:r>
          </w:p>
        </w:tc>
        <w:tc>
          <w:tcPr>
            <w:tcW w:w="810" w:type="dxa"/>
            <w:noWrap/>
            <w:hideMark/>
          </w:tcPr>
          <w:p w14:paraId="453BF35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27F4703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78276C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131386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F2E517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EF7BC2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60FA55D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107.00 </w:t>
            </w:r>
          </w:p>
        </w:tc>
        <w:tc>
          <w:tcPr>
            <w:tcW w:w="900" w:type="dxa"/>
            <w:noWrap/>
            <w:hideMark/>
          </w:tcPr>
          <w:p w14:paraId="7EBB4CD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117.00 </w:t>
            </w:r>
          </w:p>
        </w:tc>
      </w:tr>
      <w:tr w:rsidR="00C0269A" w:rsidRPr="00C67737" w14:paraId="3957DF52"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85EF5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12289</w:t>
            </w:r>
          </w:p>
        </w:tc>
        <w:tc>
          <w:tcPr>
            <w:tcW w:w="5400" w:type="dxa"/>
            <w:noWrap/>
            <w:hideMark/>
          </w:tcPr>
          <w:p w14:paraId="2B3C58BE"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Ridge to Reef Ecosystem Restoration in Solomon Islands (R2R-ERSI)</w:t>
            </w:r>
          </w:p>
        </w:tc>
        <w:tc>
          <w:tcPr>
            <w:tcW w:w="810" w:type="dxa"/>
            <w:noWrap/>
            <w:hideMark/>
          </w:tcPr>
          <w:p w14:paraId="45252CF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3E3AE58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Solomon Islands</w:t>
            </w:r>
          </w:p>
        </w:tc>
        <w:tc>
          <w:tcPr>
            <w:tcW w:w="990" w:type="dxa"/>
            <w:noWrap/>
            <w:hideMark/>
          </w:tcPr>
          <w:p w14:paraId="7485730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E9A590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255ABF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BB327C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6.03 </w:t>
            </w:r>
          </w:p>
        </w:tc>
        <w:tc>
          <w:tcPr>
            <w:tcW w:w="990" w:type="dxa"/>
            <w:noWrap/>
            <w:hideMark/>
          </w:tcPr>
          <w:p w14:paraId="530AD41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4.75 </w:t>
            </w:r>
          </w:p>
        </w:tc>
        <w:tc>
          <w:tcPr>
            <w:tcW w:w="900" w:type="dxa"/>
            <w:noWrap/>
            <w:hideMark/>
          </w:tcPr>
          <w:p w14:paraId="6177507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10.78 </w:t>
            </w:r>
          </w:p>
        </w:tc>
      </w:tr>
      <w:tr w:rsidR="00C0269A" w:rsidRPr="00C67737" w14:paraId="246DCF2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1F15B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12287</w:t>
            </w:r>
          </w:p>
        </w:tc>
        <w:tc>
          <w:tcPr>
            <w:tcW w:w="5400" w:type="dxa"/>
            <w:noWrap/>
            <w:hideMark/>
          </w:tcPr>
          <w:p w14:paraId="72901D6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GEF Small Grants Program (SGP) Global Knowledge and Learning Platform</w:t>
            </w:r>
          </w:p>
        </w:tc>
        <w:tc>
          <w:tcPr>
            <w:tcW w:w="810" w:type="dxa"/>
            <w:noWrap/>
            <w:hideMark/>
          </w:tcPr>
          <w:p w14:paraId="1DC442F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D4AF6F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FF25D9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FFE4D1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9E04B4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CB4365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4.86 </w:t>
            </w:r>
          </w:p>
        </w:tc>
        <w:tc>
          <w:tcPr>
            <w:tcW w:w="990" w:type="dxa"/>
            <w:noWrap/>
            <w:hideMark/>
          </w:tcPr>
          <w:p w14:paraId="58964C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4.31 </w:t>
            </w:r>
          </w:p>
        </w:tc>
        <w:tc>
          <w:tcPr>
            <w:tcW w:w="900" w:type="dxa"/>
            <w:noWrap/>
            <w:hideMark/>
          </w:tcPr>
          <w:p w14:paraId="18F9062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9.17 </w:t>
            </w:r>
          </w:p>
        </w:tc>
      </w:tr>
      <w:tr w:rsidR="00C0269A" w:rsidRPr="00C67737" w14:paraId="4409C42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B0BB8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12285</w:t>
            </w:r>
          </w:p>
        </w:tc>
        <w:tc>
          <w:tcPr>
            <w:tcW w:w="5400" w:type="dxa"/>
            <w:noWrap/>
            <w:hideMark/>
          </w:tcPr>
          <w:p w14:paraId="4E15D70B"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Conserving Marine Biodiversity by Accelerating Transition to Sustainable and Regenerative Fisheries Management Practices</w:t>
            </w:r>
          </w:p>
        </w:tc>
        <w:tc>
          <w:tcPr>
            <w:tcW w:w="810" w:type="dxa"/>
            <w:noWrap/>
            <w:hideMark/>
          </w:tcPr>
          <w:p w14:paraId="36E7AE0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10BB44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Pakistan</w:t>
            </w:r>
          </w:p>
        </w:tc>
        <w:tc>
          <w:tcPr>
            <w:tcW w:w="990" w:type="dxa"/>
            <w:noWrap/>
            <w:hideMark/>
          </w:tcPr>
          <w:p w14:paraId="691100E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4C5CA5C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9500FB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F78C71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3.23 </w:t>
            </w:r>
          </w:p>
        </w:tc>
        <w:tc>
          <w:tcPr>
            <w:tcW w:w="990" w:type="dxa"/>
            <w:noWrap/>
            <w:hideMark/>
          </w:tcPr>
          <w:p w14:paraId="47797EE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20.30 </w:t>
            </w:r>
          </w:p>
        </w:tc>
        <w:tc>
          <w:tcPr>
            <w:tcW w:w="900" w:type="dxa"/>
            <w:noWrap/>
            <w:hideMark/>
          </w:tcPr>
          <w:p w14:paraId="1B05AEA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23.53 </w:t>
            </w:r>
          </w:p>
        </w:tc>
      </w:tr>
      <w:tr w:rsidR="00C0269A" w:rsidRPr="00C67737" w14:paraId="3A68C27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B7390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12283</w:t>
            </w:r>
          </w:p>
        </w:tc>
        <w:tc>
          <w:tcPr>
            <w:tcW w:w="5400" w:type="dxa"/>
            <w:noWrap/>
            <w:hideMark/>
          </w:tcPr>
          <w:p w14:paraId="21139D1C"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Niue Infrastructure, Ecosystems and Communities Integrated Project (Niue IECI)</w:t>
            </w:r>
          </w:p>
        </w:tc>
        <w:tc>
          <w:tcPr>
            <w:tcW w:w="810" w:type="dxa"/>
            <w:noWrap/>
            <w:hideMark/>
          </w:tcPr>
          <w:p w14:paraId="087EED4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8626A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Niue</w:t>
            </w:r>
          </w:p>
        </w:tc>
        <w:tc>
          <w:tcPr>
            <w:tcW w:w="990" w:type="dxa"/>
            <w:noWrap/>
            <w:hideMark/>
          </w:tcPr>
          <w:p w14:paraId="4295092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A8DF13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SCCF-A, MTF</w:t>
            </w:r>
          </w:p>
        </w:tc>
        <w:tc>
          <w:tcPr>
            <w:tcW w:w="810" w:type="dxa"/>
            <w:noWrap/>
            <w:hideMark/>
          </w:tcPr>
          <w:p w14:paraId="626AC99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5C4185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3EE7B3A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27.19 </w:t>
            </w:r>
          </w:p>
        </w:tc>
        <w:tc>
          <w:tcPr>
            <w:tcW w:w="900" w:type="dxa"/>
            <w:noWrap/>
            <w:hideMark/>
          </w:tcPr>
          <w:p w14:paraId="59E4D26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36.19 </w:t>
            </w:r>
          </w:p>
        </w:tc>
      </w:tr>
      <w:tr w:rsidR="00C0269A" w:rsidRPr="00C67737" w14:paraId="0A655F6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F90B2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12280</w:t>
            </w:r>
          </w:p>
        </w:tc>
        <w:tc>
          <w:tcPr>
            <w:tcW w:w="5400" w:type="dxa"/>
            <w:noWrap/>
            <w:hideMark/>
          </w:tcPr>
          <w:p w14:paraId="702E7CC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Support to Chu-Talas Basin Strategic Action Programme </w:t>
            </w:r>
            <w:proofErr w:type="spellStart"/>
            <w:r w:rsidRPr="00C67737">
              <w:rPr>
                <w:rFonts w:eastAsia="Times New Roman" w:cstheme="minorHAnsi"/>
                <w:color w:val="000000"/>
                <w:sz w:val="16"/>
                <w:szCs w:val="16"/>
              </w:rPr>
              <w:t>Implementation</w:t>
            </w:r>
            <w:proofErr w:type="spellEnd"/>
          </w:p>
        </w:tc>
        <w:tc>
          <w:tcPr>
            <w:tcW w:w="810" w:type="dxa"/>
            <w:noWrap/>
            <w:hideMark/>
          </w:tcPr>
          <w:p w14:paraId="42770BA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C06183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0DB27E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3296BEE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C278D8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46D181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6.50 </w:t>
            </w:r>
          </w:p>
        </w:tc>
        <w:tc>
          <w:tcPr>
            <w:tcW w:w="990" w:type="dxa"/>
            <w:noWrap/>
            <w:hideMark/>
          </w:tcPr>
          <w:p w14:paraId="1841C5A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41.40 </w:t>
            </w:r>
          </w:p>
        </w:tc>
        <w:tc>
          <w:tcPr>
            <w:tcW w:w="900" w:type="dxa"/>
            <w:noWrap/>
            <w:hideMark/>
          </w:tcPr>
          <w:p w14:paraId="2E478F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47.90 </w:t>
            </w:r>
          </w:p>
        </w:tc>
      </w:tr>
      <w:tr w:rsidR="00C0269A" w:rsidRPr="00C67737" w14:paraId="3DF5C2A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0AC74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12277</w:t>
            </w:r>
          </w:p>
        </w:tc>
        <w:tc>
          <w:tcPr>
            <w:tcW w:w="5400" w:type="dxa"/>
            <w:noWrap/>
            <w:hideMark/>
          </w:tcPr>
          <w:p w14:paraId="2E8B6068"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Conservation of globally significant biodiversity of the Ulu Jelai – Fraser’s Hill Watershed, Malaysia, through an Integrated Landscape Management approach</w:t>
            </w:r>
          </w:p>
        </w:tc>
        <w:tc>
          <w:tcPr>
            <w:tcW w:w="810" w:type="dxa"/>
            <w:noWrap/>
            <w:hideMark/>
          </w:tcPr>
          <w:p w14:paraId="33FE546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EF9502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7D84EC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F7A0EA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89220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8E7294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6.25 </w:t>
            </w:r>
          </w:p>
        </w:tc>
        <w:tc>
          <w:tcPr>
            <w:tcW w:w="990" w:type="dxa"/>
            <w:noWrap/>
            <w:hideMark/>
          </w:tcPr>
          <w:p w14:paraId="3727E88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42.22 </w:t>
            </w:r>
          </w:p>
        </w:tc>
        <w:tc>
          <w:tcPr>
            <w:tcW w:w="900" w:type="dxa"/>
            <w:noWrap/>
            <w:hideMark/>
          </w:tcPr>
          <w:p w14:paraId="11106B6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48.47 </w:t>
            </w:r>
          </w:p>
        </w:tc>
      </w:tr>
      <w:tr w:rsidR="00C0269A" w:rsidRPr="00C67737" w14:paraId="411155C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3A931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12276</w:t>
            </w:r>
          </w:p>
        </w:tc>
        <w:tc>
          <w:tcPr>
            <w:tcW w:w="5400" w:type="dxa"/>
            <w:noWrap/>
            <w:hideMark/>
          </w:tcPr>
          <w:p w14:paraId="1A2A635B"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Land and Ecosystem National Threat Evaluation and Risk Assessment (LENTERA)</w:t>
            </w:r>
          </w:p>
        </w:tc>
        <w:tc>
          <w:tcPr>
            <w:tcW w:w="810" w:type="dxa"/>
            <w:noWrap/>
            <w:hideMark/>
          </w:tcPr>
          <w:p w14:paraId="673246C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ED29E1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4107584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1D2950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6AC035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008D34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4.23 </w:t>
            </w:r>
          </w:p>
        </w:tc>
        <w:tc>
          <w:tcPr>
            <w:tcW w:w="990" w:type="dxa"/>
            <w:noWrap/>
            <w:hideMark/>
          </w:tcPr>
          <w:p w14:paraId="4D9D5C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5.76 </w:t>
            </w:r>
          </w:p>
        </w:tc>
        <w:tc>
          <w:tcPr>
            <w:tcW w:w="900" w:type="dxa"/>
            <w:noWrap/>
            <w:hideMark/>
          </w:tcPr>
          <w:p w14:paraId="28FB059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r>
      <w:tr w:rsidR="00C0269A" w:rsidRPr="00C67737" w14:paraId="0C9B22E0"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14A5C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12274</w:t>
            </w:r>
          </w:p>
        </w:tc>
        <w:tc>
          <w:tcPr>
            <w:tcW w:w="5400" w:type="dxa"/>
            <w:noWrap/>
            <w:hideMark/>
          </w:tcPr>
          <w:p w14:paraId="2028D87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Development of </w:t>
            </w:r>
            <w:proofErr w:type="spellStart"/>
            <w:r w:rsidRPr="00D10503">
              <w:rPr>
                <w:rFonts w:eastAsia="Times New Roman" w:cstheme="minorHAnsi"/>
                <w:color w:val="000000"/>
                <w:sz w:val="16"/>
                <w:szCs w:val="16"/>
                <w:lang w:val="en-US"/>
              </w:rPr>
              <w:t>Cukurova</w:t>
            </w:r>
            <w:proofErr w:type="spellEnd"/>
            <w:r w:rsidRPr="00D10503">
              <w:rPr>
                <w:rFonts w:eastAsia="Times New Roman" w:cstheme="minorHAnsi"/>
                <w:color w:val="000000"/>
                <w:sz w:val="16"/>
                <w:szCs w:val="16"/>
                <w:lang w:val="en-US"/>
              </w:rPr>
              <w:t xml:space="preserve"> Delta Lagoons for Sustainable Conservation of Biodiversity in Adana</w:t>
            </w:r>
          </w:p>
        </w:tc>
        <w:tc>
          <w:tcPr>
            <w:tcW w:w="810" w:type="dxa"/>
            <w:noWrap/>
            <w:hideMark/>
          </w:tcPr>
          <w:p w14:paraId="5A058C9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1EF9FF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Türkiye</w:t>
            </w:r>
          </w:p>
        </w:tc>
        <w:tc>
          <w:tcPr>
            <w:tcW w:w="990" w:type="dxa"/>
            <w:noWrap/>
            <w:hideMark/>
          </w:tcPr>
          <w:p w14:paraId="00D8FDD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F8F91B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1D563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252866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1.30 </w:t>
            </w:r>
          </w:p>
        </w:tc>
        <w:tc>
          <w:tcPr>
            <w:tcW w:w="990" w:type="dxa"/>
            <w:noWrap/>
            <w:hideMark/>
          </w:tcPr>
          <w:p w14:paraId="42FAC67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4.50 </w:t>
            </w:r>
          </w:p>
        </w:tc>
        <w:tc>
          <w:tcPr>
            <w:tcW w:w="900" w:type="dxa"/>
            <w:noWrap/>
            <w:hideMark/>
          </w:tcPr>
          <w:p w14:paraId="299D24D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5.80 </w:t>
            </w:r>
          </w:p>
        </w:tc>
      </w:tr>
      <w:tr w:rsidR="00C0269A" w:rsidRPr="00C67737" w14:paraId="6EADB31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95ABE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12273</w:t>
            </w:r>
          </w:p>
        </w:tc>
        <w:tc>
          <w:tcPr>
            <w:tcW w:w="5400" w:type="dxa"/>
            <w:noWrap/>
            <w:hideMark/>
          </w:tcPr>
          <w:p w14:paraId="26F00C5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Sustainable</w:t>
            </w:r>
            <w:proofErr w:type="spell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Soil</w:t>
            </w:r>
            <w:proofErr w:type="spellEnd"/>
            <w:r w:rsidRPr="00C67737">
              <w:rPr>
                <w:rFonts w:eastAsia="Times New Roman" w:cstheme="minorHAnsi"/>
                <w:color w:val="000000"/>
                <w:sz w:val="16"/>
                <w:szCs w:val="16"/>
              </w:rPr>
              <w:t xml:space="preserve"> and Land Management in Petite Martinique, Grenada</w:t>
            </w:r>
          </w:p>
        </w:tc>
        <w:tc>
          <w:tcPr>
            <w:tcW w:w="810" w:type="dxa"/>
            <w:noWrap/>
            <w:hideMark/>
          </w:tcPr>
          <w:p w14:paraId="6217310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EC0292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Grenada</w:t>
            </w:r>
          </w:p>
        </w:tc>
        <w:tc>
          <w:tcPr>
            <w:tcW w:w="990" w:type="dxa"/>
            <w:noWrap/>
            <w:hideMark/>
          </w:tcPr>
          <w:p w14:paraId="1CF716E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4E35968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8DD466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BE303E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0.70 </w:t>
            </w:r>
          </w:p>
        </w:tc>
        <w:tc>
          <w:tcPr>
            <w:tcW w:w="990" w:type="dxa"/>
            <w:noWrap/>
            <w:hideMark/>
          </w:tcPr>
          <w:p w14:paraId="2F19CC8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 </w:t>
            </w:r>
          </w:p>
        </w:tc>
        <w:tc>
          <w:tcPr>
            <w:tcW w:w="900" w:type="dxa"/>
            <w:noWrap/>
            <w:hideMark/>
          </w:tcPr>
          <w:p w14:paraId="0BC70F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2.10 </w:t>
            </w:r>
          </w:p>
        </w:tc>
      </w:tr>
      <w:tr w:rsidR="00C0269A" w:rsidRPr="00C67737" w14:paraId="0D595DF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BCBC7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12267</w:t>
            </w:r>
          </w:p>
        </w:tc>
        <w:tc>
          <w:tcPr>
            <w:tcW w:w="5400" w:type="dxa"/>
            <w:noWrap/>
            <w:hideMark/>
          </w:tcPr>
          <w:p w14:paraId="1B97212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Environmental and socio-economic solutions for ecosystem conservation and enhanced livelihoods in the Vjosa Wild River National Park, Albania</w:t>
            </w:r>
          </w:p>
        </w:tc>
        <w:tc>
          <w:tcPr>
            <w:tcW w:w="810" w:type="dxa"/>
            <w:noWrap/>
            <w:hideMark/>
          </w:tcPr>
          <w:p w14:paraId="0FDEF18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6E4187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Albania</w:t>
            </w:r>
          </w:p>
        </w:tc>
        <w:tc>
          <w:tcPr>
            <w:tcW w:w="990" w:type="dxa"/>
            <w:noWrap/>
            <w:hideMark/>
          </w:tcPr>
          <w:p w14:paraId="278B59F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806E5D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BAC612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F177B7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12E878D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34.10 </w:t>
            </w:r>
          </w:p>
        </w:tc>
        <w:tc>
          <w:tcPr>
            <w:tcW w:w="900" w:type="dxa"/>
            <w:noWrap/>
            <w:hideMark/>
          </w:tcPr>
          <w:p w14:paraId="7B6FDC0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39.10 </w:t>
            </w:r>
          </w:p>
        </w:tc>
      </w:tr>
      <w:tr w:rsidR="00C0269A" w:rsidRPr="00C67737" w14:paraId="6ABF999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76FA7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12265</w:t>
            </w:r>
          </w:p>
        </w:tc>
        <w:tc>
          <w:tcPr>
            <w:tcW w:w="5400" w:type="dxa"/>
            <w:noWrap/>
            <w:hideMark/>
          </w:tcPr>
          <w:p w14:paraId="47746FDE"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Tonga Rural Innovation Project Phase III (TRIP III)</w:t>
            </w:r>
          </w:p>
        </w:tc>
        <w:tc>
          <w:tcPr>
            <w:tcW w:w="810" w:type="dxa"/>
            <w:noWrap/>
            <w:hideMark/>
          </w:tcPr>
          <w:p w14:paraId="58F4650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32D56F8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Tonga</w:t>
            </w:r>
          </w:p>
        </w:tc>
        <w:tc>
          <w:tcPr>
            <w:tcW w:w="990" w:type="dxa"/>
            <w:noWrap/>
            <w:hideMark/>
          </w:tcPr>
          <w:p w14:paraId="4125472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E28196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SCCF-A, MTF</w:t>
            </w:r>
          </w:p>
        </w:tc>
        <w:tc>
          <w:tcPr>
            <w:tcW w:w="810" w:type="dxa"/>
            <w:noWrap/>
            <w:hideMark/>
          </w:tcPr>
          <w:p w14:paraId="7362997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8A76F4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5.10 </w:t>
            </w:r>
          </w:p>
        </w:tc>
        <w:tc>
          <w:tcPr>
            <w:tcW w:w="990" w:type="dxa"/>
            <w:noWrap/>
            <w:hideMark/>
          </w:tcPr>
          <w:p w14:paraId="3A6413D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10.17 </w:t>
            </w:r>
          </w:p>
        </w:tc>
        <w:tc>
          <w:tcPr>
            <w:tcW w:w="900" w:type="dxa"/>
            <w:noWrap/>
            <w:hideMark/>
          </w:tcPr>
          <w:p w14:paraId="2C58EE6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15.27 </w:t>
            </w:r>
          </w:p>
        </w:tc>
      </w:tr>
      <w:tr w:rsidR="00C0269A" w:rsidRPr="00C67737" w14:paraId="033E5C6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745FC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12264</w:t>
            </w:r>
          </w:p>
        </w:tc>
        <w:tc>
          <w:tcPr>
            <w:tcW w:w="5400" w:type="dxa"/>
            <w:noWrap/>
            <w:hideMark/>
          </w:tcPr>
          <w:p w14:paraId="328BC716"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Leveraging and Integrating Vital Ecosystems for Sustainable Blue Economy in Indonesia (LIVE-SEA)</w:t>
            </w:r>
          </w:p>
        </w:tc>
        <w:tc>
          <w:tcPr>
            <w:tcW w:w="810" w:type="dxa"/>
            <w:noWrap/>
            <w:hideMark/>
          </w:tcPr>
          <w:p w14:paraId="376176C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311582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214912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B5697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40995B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EC27BC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1614694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65.00 </w:t>
            </w:r>
          </w:p>
        </w:tc>
        <w:tc>
          <w:tcPr>
            <w:tcW w:w="900" w:type="dxa"/>
            <w:noWrap/>
            <w:hideMark/>
          </w:tcPr>
          <w:p w14:paraId="281686C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70.64 </w:t>
            </w:r>
          </w:p>
        </w:tc>
      </w:tr>
      <w:tr w:rsidR="00C0269A" w:rsidRPr="00C67737" w14:paraId="10C05D2D"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6BFE3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12261</w:t>
            </w:r>
          </w:p>
        </w:tc>
        <w:tc>
          <w:tcPr>
            <w:tcW w:w="5400" w:type="dxa"/>
            <w:noWrap/>
            <w:hideMark/>
          </w:tcPr>
          <w:p w14:paraId="6C0538A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Living Landscapes: Integrated management for biodiversity conservation through pollinators</w:t>
            </w:r>
          </w:p>
        </w:tc>
        <w:tc>
          <w:tcPr>
            <w:tcW w:w="810" w:type="dxa"/>
            <w:noWrap/>
            <w:hideMark/>
          </w:tcPr>
          <w:p w14:paraId="1F5C903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3D1497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5A111BF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D6ADA4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7449F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EB426D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7041C62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8.23 </w:t>
            </w:r>
          </w:p>
        </w:tc>
        <w:tc>
          <w:tcPr>
            <w:tcW w:w="900" w:type="dxa"/>
            <w:noWrap/>
            <w:hideMark/>
          </w:tcPr>
          <w:p w14:paraId="265B1EF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10.23 </w:t>
            </w:r>
          </w:p>
        </w:tc>
      </w:tr>
      <w:tr w:rsidR="00C0269A" w:rsidRPr="00C67737" w14:paraId="4265343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C3409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12260</w:t>
            </w:r>
          </w:p>
        </w:tc>
        <w:tc>
          <w:tcPr>
            <w:tcW w:w="5400" w:type="dxa"/>
            <w:noWrap/>
            <w:hideMark/>
          </w:tcPr>
          <w:p w14:paraId="6391D85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Yemen’s National Biosafety Framework for Safe Management of Biotechnology</w:t>
            </w:r>
          </w:p>
        </w:tc>
        <w:tc>
          <w:tcPr>
            <w:tcW w:w="810" w:type="dxa"/>
            <w:noWrap/>
            <w:hideMark/>
          </w:tcPr>
          <w:p w14:paraId="6D265D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3CF59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Yemen</w:t>
            </w:r>
            <w:proofErr w:type="spellEnd"/>
          </w:p>
        </w:tc>
        <w:tc>
          <w:tcPr>
            <w:tcW w:w="990" w:type="dxa"/>
            <w:noWrap/>
            <w:hideMark/>
          </w:tcPr>
          <w:p w14:paraId="74A3017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C7B5E1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3D54C9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8E7BAC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1.16 </w:t>
            </w:r>
          </w:p>
        </w:tc>
        <w:tc>
          <w:tcPr>
            <w:tcW w:w="990" w:type="dxa"/>
            <w:noWrap/>
            <w:hideMark/>
          </w:tcPr>
          <w:p w14:paraId="6CF47B0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3.85 </w:t>
            </w:r>
          </w:p>
        </w:tc>
        <w:tc>
          <w:tcPr>
            <w:tcW w:w="900" w:type="dxa"/>
            <w:noWrap/>
            <w:hideMark/>
          </w:tcPr>
          <w:p w14:paraId="7A2040D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5.01 </w:t>
            </w:r>
          </w:p>
        </w:tc>
      </w:tr>
      <w:tr w:rsidR="00C0269A" w:rsidRPr="00C67737" w14:paraId="5836247C"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917C1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12258</w:t>
            </w:r>
          </w:p>
        </w:tc>
        <w:tc>
          <w:tcPr>
            <w:tcW w:w="5400" w:type="dxa"/>
            <w:noWrap/>
            <w:hideMark/>
          </w:tcPr>
          <w:p w14:paraId="4B529B8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Global </w:t>
            </w:r>
            <w:proofErr w:type="spellStart"/>
            <w:r w:rsidRPr="00C67737">
              <w:rPr>
                <w:rFonts w:eastAsia="Times New Roman" w:cstheme="minorHAnsi"/>
                <w:color w:val="000000"/>
                <w:sz w:val="16"/>
                <w:szCs w:val="16"/>
              </w:rPr>
              <w:t>environmental</w:t>
            </w:r>
            <w:proofErr w:type="spell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benefits</w:t>
            </w:r>
            <w:proofErr w:type="spell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calculator</w:t>
            </w:r>
            <w:proofErr w:type="spellEnd"/>
          </w:p>
        </w:tc>
        <w:tc>
          <w:tcPr>
            <w:tcW w:w="810" w:type="dxa"/>
            <w:noWrap/>
            <w:hideMark/>
          </w:tcPr>
          <w:p w14:paraId="3B2673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4D2C91D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1E3AAD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561EBE3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475482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25F0FF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23F5196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12.08 </w:t>
            </w:r>
          </w:p>
        </w:tc>
        <w:tc>
          <w:tcPr>
            <w:tcW w:w="900" w:type="dxa"/>
            <w:noWrap/>
            <w:hideMark/>
          </w:tcPr>
          <w:p w14:paraId="0CDB681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16.08 </w:t>
            </w:r>
          </w:p>
        </w:tc>
      </w:tr>
      <w:tr w:rsidR="00C0269A" w:rsidRPr="00C67737" w14:paraId="1CF8C803"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227DD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12257</w:t>
            </w:r>
          </w:p>
        </w:tc>
        <w:tc>
          <w:tcPr>
            <w:tcW w:w="5400" w:type="dxa"/>
            <w:noWrap/>
            <w:hideMark/>
          </w:tcPr>
          <w:p w14:paraId="364378C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Increased Effectiveness for Biodiversity Conservation through Improved Management and (Institutional) Establishment of New National Parks in Azerbaijan</w:t>
            </w:r>
          </w:p>
        </w:tc>
        <w:tc>
          <w:tcPr>
            <w:tcW w:w="810" w:type="dxa"/>
            <w:noWrap/>
            <w:hideMark/>
          </w:tcPr>
          <w:p w14:paraId="557E316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53B247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Azerbaijan</w:t>
            </w:r>
            <w:proofErr w:type="spellEnd"/>
          </w:p>
        </w:tc>
        <w:tc>
          <w:tcPr>
            <w:tcW w:w="990" w:type="dxa"/>
            <w:noWrap/>
            <w:hideMark/>
          </w:tcPr>
          <w:p w14:paraId="28F2214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BF4526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70AF61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A8EB5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4.52 </w:t>
            </w:r>
          </w:p>
        </w:tc>
        <w:tc>
          <w:tcPr>
            <w:tcW w:w="990" w:type="dxa"/>
            <w:noWrap/>
            <w:hideMark/>
          </w:tcPr>
          <w:p w14:paraId="6FCF387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30.50 </w:t>
            </w:r>
          </w:p>
        </w:tc>
        <w:tc>
          <w:tcPr>
            <w:tcW w:w="900" w:type="dxa"/>
            <w:noWrap/>
            <w:hideMark/>
          </w:tcPr>
          <w:p w14:paraId="7BB655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35.02 </w:t>
            </w:r>
          </w:p>
        </w:tc>
      </w:tr>
      <w:tr w:rsidR="00C0269A" w:rsidRPr="00C67737" w14:paraId="033C182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1DED9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12256</w:t>
            </w:r>
          </w:p>
        </w:tc>
        <w:tc>
          <w:tcPr>
            <w:tcW w:w="5400" w:type="dxa"/>
            <w:noWrap/>
            <w:hideMark/>
          </w:tcPr>
          <w:p w14:paraId="0A306CC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Enabling blue economy growth in Tonga</w:t>
            </w:r>
          </w:p>
        </w:tc>
        <w:tc>
          <w:tcPr>
            <w:tcW w:w="810" w:type="dxa"/>
            <w:noWrap/>
            <w:hideMark/>
          </w:tcPr>
          <w:p w14:paraId="7ECB087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E1040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Tonga</w:t>
            </w:r>
          </w:p>
        </w:tc>
        <w:tc>
          <w:tcPr>
            <w:tcW w:w="990" w:type="dxa"/>
            <w:noWrap/>
            <w:hideMark/>
          </w:tcPr>
          <w:p w14:paraId="608294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C9AA04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302982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59324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68FA54A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9.80 </w:t>
            </w:r>
          </w:p>
        </w:tc>
        <w:tc>
          <w:tcPr>
            <w:tcW w:w="900" w:type="dxa"/>
            <w:noWrap/>
            <w:hideMark/>
          </w:tcPr>
          <w:p w14:paraId="668E7C1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11.70 </w:t>
            </w:r>
          </w:p>
        </w:tc>
      </w:tr>
      <w:tr w:rsidR="00C0269A" w:rsidRPr="00C67737" w14:paraId="00AB0B5B"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77BC8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12255</w:t>
            </w:r>
          </w:p>
        </w:tc>
        <w:tc>
          <w:tcPr>
            <w:tcW w:w="5400" w:type="dxa"/>
            <w:noWrap/>
            <w:hideMark/>
          </w:tcPr>
          <w:p w14:paraId="1387720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Compounding Biodiversity Actions and Traditional Knowledge for Access and Benefit Sharing Systems Transformation (CATALYST)</w:t>
            </w:r>
          </w:p>
        </w:tc>
        <w:tc>
          <w:tcPr>
            <w:tcW w:w="810" w:type="dxa"/>
            <w:noWrap/>
            <w:hideMark/>
          </w:tcPr>
          <w:p w14:paraId="4E2DC31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CA1452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61E7E60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18707F1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EC8B2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47F6E2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07B2DE8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35.16 </w:t>
            </w:r>
          </w:p>
        </w:tc>
        <w:tc>
          <w:tcPr>
            <w:tcW w:w="900" w:type="dxa"/>
            <w:noWrap/>
            <w:hideMark/>
          </w:tcPr>
          <w:p w14:paraId="740F0E7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40.80 </w:t>
            </w:r>
          </w:p>
        </w:tc>
      </w:tr>
      <w:tr w:rsidR="00C0269A" w:rsidRPr="00C67737" w14:paraId="33D4F263"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DF5BF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12253</w:t>
            </w:r>
          </w:p>
        </w:tc>
        <w:tc>
          <w:tcPr>
            <w:tcW w:w="5400" w:type="dxa"/>
            <w:noWrap/>
            <w:hideMark/>
          </w:tcPr>
          <w:p w14:paraId="5FD86F52"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Restoration of degraded ecosystems in the </w:t>
            </w:r>
            <w:proofErr w:type="spellStart"/>
            <w:r w:rsidRPr="00D10503">
              <w:rPr>
                <w:rFonts w:eastAsia="Times New Roman" w:cstheme="minorHAnsi"/>
                <w:color w:val="000000"/>
                <w:sz w:val="16"/>
                <w:szCs w:val="16"/>
                <w:lang w:val="en-US"/>
              </w:rPr>
              <w:t>Ichkeul</w:t>
            </w:r>
            <w:proofErr w:type="spellEnd"/>
            <w:r w:rsidRPr="00D10503">
              <w:rPr>
                <w:rFonts w:eastAsia="Times New Roman" w:cstheme="minorHAnsi"/>
                <w:color w:val="000000"/>
                <w:sz w:val="16"/>
                <w:szCs w:val="16"/>
                <w:lang w:val="en-US"/>
              </w:rPr>
              <w:t xml:space="preserve"> watershed - REWI</w:t>
            </w:r>
          </w:p>
        </w:tc>
        <w:tc>
          <w:tcPr>
            <w:tcW w:w="810" w:type="dxa"/>
            <w:noWrap/>
            <w:hideMark/>
          </w:tcPr>
          <w:p w14:paraId="0D33788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AA2ACE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Tunisia</w:t>
            </w:r>
          </w:p>
        </w:tc>
        <w:tc>
          <w:tcPr>
            <w:tcW w:w="990" w:type="dxa"/>
            <w:noWrap/>
            <w:hideMark/>
          </w:tcPr>
          <w:p w14:paraId="1DD0E58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20329D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E67F75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5898CB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38E831E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7.09 </w:t>
            </w:r>
          </w:p>
        </w:tc>
        <w:tc>
          <w:tcPr>
            <w:tcW w:w="900" w:type="dxa"/>
            <w:noWrap/>
            <w:hideMark/>
          </w:tcPr>
          <w:p w14:paraId="3ECF5AA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9.09 </w:t>
            </w:r>
          </w:p>
        </w:tc>
      </w:tr>
      <w:tr w:rsidR="00C0269A" w:rsidRPr="00C67737" w14:paraId="4F6F4AEB"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638B4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12251</w:t>
            </w:r>
          </w:p>
        </w:tc>
        <w:tc>
          <w:tcPr>
            <w:tcW w:w="5400" w:type="dxa"/>
            <w:noWrap/>
            <w:hideMark/>
          </w:tcPr>
          <w:p w14:paraId="04E29E9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Improving Transboundary Water Security and Biodiversity through Integrated Water Resources Management and Ecosystem Restoration in the Lake </w:t>
            </w:r>
            <w:proofErr w:type="spellStart"/>
            <w:r w:rsidRPr="00D10503">
              <w:rPr>
                <w:rFonts w:eastAsia="Times New Roman" w:cstheme="minorHAnsi"/>
                <w:color w:val="000000"/>
                <w:sz w:val="16"/>
                <w:szCs w:val="16"/>
                <w:lang w:val="en-US"/>
              </w:rPr>
              <w:t>Ohrid</w:t>
            </w:r>
            <w:proofErr w:type="spellEnd"/>
            <w:r w:rsidRPr="00D10503">
              <w:rPr>
                <w:rFonts w:eastAsia="Times New Roman" w:cstheme="minorHAnsi"/>
                <w:color w:val="000000"/>
                <w:sz w:val="16"/>
                <w:szCs w:val="16"/>
                <w:lang w:val="en-US"/>
              </w:rPr>
              <w:t xml:space="preserve"> Watershed</w:t>
            </w:r>
          </w:p>
        </w:tc>
        <w:tc>
          <w:tcPr>
            <w:tcW w:w="810" w:type="dxa"/>
            <w:noWrap/>
            <w:hideMark/>
          </w:tcPr>
          <w:p w14:paraId="04EB26D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C3D654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A638C4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809ECD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FD0CF6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8B1523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4.60 </w:t>
            </w:r>
          </w:p>
        </w:tc>
        <w:tc>
          <w:tcPr>
            <w:tcW w:w="990" w:type="dxa"/>
            <w:noWrap/>
            <w:hideMark/>
          </w:tcPr>
          <w:p w14:paraId="15AC2A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30.76 </w:t>
            </w:r>
          </w:p>
        </w:tc>
        <w:tc>
          <w:tcPr>
            <w:tcW w:w="900" w:type="dxa"/>
            <w:noWrap/>
            <w:hideMark/>
          </w:tcPr>
          <w:p w14:paraId="08E189C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35.36 </w:t>
            </w:r>
          </w:p>
        </w:tc>
      </w:tr>
      <w:tr w:rsidR="00C0269A" w:rsidRPr="00C67737" w14:paraId="12448816"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99F8F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12233</w:t>
            </w:r>
          </w:p>
        </w:tc>
        <w:tc>
          <w:tcPr>
            <w:tcW w:w="5400" w:type="dxa"/>
            <w:noWrap/>
            <w:hideMark/>
          </w:tcPr>
          <w:p w14:paraId="5CF1865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Global program on climate-resilient renewable energy systems in SIDS – national project in Saint Lucia</w:t>
            </w:r>
          </w:p>
        </w:tc>
        <w:tc>
          <w:tcPr>
            <w:tcW w:w="810" w:type="dxa"/>
            <w:noWrap/>
            <w:hideMark/>
          </w:tcPr>
          <w:p w14:paraId="38BB39E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01AA2B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 Lucia</w:t>
            </w:r>
          </w:p>
        </w:tc>
        <w:tc>
          <w:tcPr>
            <w:tcW w:w="990" w:type="dxa"/>
            <w:noWrap/>
            <w:hideMark/>
          </w:tcPr>
          <w:p w14:paraId="7845C91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840360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SCCF-A, SCCF</w:t>
            </w:r>
          </w:p>
        </w:tc>
        <w:tc>
          <w:tcPr>
            <w:tcW w:w="810" w:type="dxa"/>
            <w:noWrap/>
            <w:hideMark/>
          </w:tcPr>
          <w:p w14:paraId="4264575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E76BCE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4C39DB2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6.44 </w:t>
            </w:r>
          </w:p>
        </w:tc>
        <w:tc>
          <w:tcPr>
            <w:tcW w:w="900" w:type="dxa"/>
            <w:noWrap/>
            <w:hideMark/>
          </w:tcPr>
          <w:p w14:paraId="629892C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9.44 </w:t>
            </w:r>
          </w:p>
        </w:tc>
      </w:tr>
      <w:tr w:rsidR="00C0269A" w:rsidRPr="00C67737" w14:paraId="0F2B1741"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255DA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12225</w:t>
            </w:r>
          </w:p>
        </w:tc>
        <w:tc>
          <w:tcPr>
            <w:tcW w:w="5400" w:type="dxa"/>
            <w:noWrap/>
            <w:hideMark/>
          </w:tcPr>
          <w:p w14:paraId="3686A935"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Bolivia–Chile TDA/SAP for Integrated Management of Shared High-Andean Basins   </w:t>
            </w:r>
          </w:p>
        </w:tc>
        <w:tc>
          <w:tcPr>
            <w:tcW w:w="810" w:type="dxa"/>
            <w:noWrap/>
            <w:hideMark/>
          </w:tcPr>
          <w:p w14:paraId="6716326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998F66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C30DA5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934A2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3454EB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4EA355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5.46 </w:t>
            </w:r>
          </w:p>
        </w:tc>
        <w:tc>
          <w:tcPr>
            <w:tcW w:w="990" w:type="dxa"/>
            <w:noWrap/>
            <w:hideMark/>
          </w:tcPr>
          <w:p w14:paraId="480C7F6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39.13 </w:t>
            </w:r>
          </w:p>
        </w:tc>
        <w:tc>
          <w:tcPr>
            <w:tcW w:w="900" w:type="dxa"/>
            <w:noWrap/>
            <w:hideMark/>
          </w:tcPr>
          <w:p w14:paraId="227F77F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44.59 </w:t>
            </w:r>
          </w:p>
        </w:tc>
      </w:tr>
      <w:tr w:rsidR="00C0269A" w:rsidRPr="00C67737" w14:paraId="75FEE33D"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27D32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12181</w:t>
            </w:r>
          </w:p>
        </w:tc>
        <w:tc>
          <w:tcPr>
            <w:tcW w:w="5400" w:type="dxa"/>
            <w:noWrap/>
            <w:hideMark/>
          </w:tcPr>
          <w:p w14:paraId="29DB93D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Barbados Ecosystem Restoration and Management Project (BERM)</w:t>
            </w:r>
          </w:p>
        </w:tc>
        <w:tc>
          <w:tcPr>
            <w:tcW w:w="810" w:type="dxa"/>
            <w:noWrap/>
            <w:hideMark/>
          </w:tcPr>
          <w:p w14:paraId="67C4A7A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7E60BA1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Barbados</w:t>
            </w:r>
            <w:proofErr w:type="spellEnd"/>
          </w:p>
        </w:tc>
        <w:tc>
          <w:tcPr>
            <w:tcW w:w="990" w:type="dxa"/>
            <w:noWrap/>
            <w:hideMark/>
          </w:tcPr>
          <w:p w14:paraId="5FD0BB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5B457E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29E634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152C95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4.25 </w:t>
            </w:r>
          </w:p>
        </w:tc>
        <w:tc>
          <w:tcPr>
            <w:tcW w:w="990" w:type="dxa"/>
            <w:noWrap/>
            <w:hideMark/>
          </w:tcPr>
          <w:p w14:paraId="0003242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9.95 </w:t>
            </w:r>
          </w:p>
        </w:tc>
        <w:tc>
          <w:tcPr>
            <w:tcW w:w="900" w:type="dxa"/>
            <w:noWrap/>
            <w:hideMark/>
          </w:tcPr>
          <w:p w14:paraId="138F280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14.20 </w:t>
            </w:r>
          </w:p>
        </w:tc>
      </w:tr>
      <w:tr w:rsidR="00C0269A" w:rsidRPr="00C67737" w14:paraId="4DAA329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60954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12179</w:t>
            </w:r>
          </w:p>
        </w:tc>
        <w:tc>
          <w:tcPr>
            <w:tcW w:w="5400" w:type="dxa"/>
            <w:noWrap/>
            <w:hideMark/>
          </w:tcPr>
          <w:p w14:paraId="6A4ACB08"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Restoring Biodiversity in the Rufiji Delta, Tanzania</w:t>
            </w:r>
          </w:p>
        </w:tc>
        <w:tc>
          <w:tcPr>
            <w:tcW w:w="810" w:type="dxa"/>
            <w:noWrap/>
            <w:hideMark/>
          </w:tcPr>
          <w:p w14:paraId="525BEBB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B6F98D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7347282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BDC34E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9E6B94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35E51C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3.03 </w:t>
            </w:r>
          </w:p>
        </w:tc>
        <w:tc>
          <w:tcPr>
            <w:tcW w:w="990" w:type="dxa"/>
            <w:noWrap/>
            <w:hideMark/>
          </w:tcPr>
          <w:p w14:paraId="147309B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18.98 </w:t>
            </w:r>
          </w:p>
        </w:tc>
        <w:tc>
          <w:tcPr>
            <w:tcW w:w="900" w:type="dxa"/>
            <w:noWrap/>
            <w:hideMark/>
          </w:tcPr>
          <w:p w14:paraId="1C49937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22.01 </w:t>
            </w:r>
          </w:p>
        </w:tc>
      </w:tr>
      <w:tr w:rsidR="00C0269A" w:rsidRPr="00C67737" w14:paraId="66689B07"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638AD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12177</w:t>
            </w:r>
          </w:p>
        </w:tc>
        <w:tc>
          <w:tcPr>
            <w:tcW w:w="5400" w:type="dxa"/>
            <w:noWrap/>
            <w:hideMark/>
          </w:tcPr>
          <w:p w14:paraId="26D25EF5"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Improving conditions in San Juan Buena Vista Protected Natural Area and its surroundings</w:t>
            </w:r>
          </w:p>
        </w:tc>
        <w:tc>
          <w:tcPr>
            <w:tcW w:w="810" w:type="dxa"/>
            <w:noWrap/>
            <w:hideMark/>
          </w:tcPr>
          <w:p w14:paraId="6F91925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3EA86D1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El Salvador</w:t>
            </w:r>
          </w:p>
        </w:tc>
        <w:tc>
          <w:tcPr>
            <w:tcW w:w="990" w:type="dxa"/>
            <w:noWrap/>
            <w:hideMark/>
          </w:tcPr>
          <w:p w14:paraId="5E6F23C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68BCDAF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028323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11BE3B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0.89 </w:t>
            </w:r>
          </w:p>
        </w:tc>
        <w:tc>
          <w:tcPr>
            <w:tcW w:w="990" w:type="dxa"/>
            <w:noWrap/>
            <w:hideMark/>
          </w:tcPr>
          <w:p w14:paraId="75FCAF7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4.42 </w:t>
            </w:r>
          </w:p>
        </w:tc>
        <w:tc>
          <w:tcPr>
            <w:tcW w:w="900" w:type="dxa"/>
            <w:noWrap/>
            <w:hideMark/>
          </w:tcPr>
          <w:p w14:paraId="79E5227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5.31 </w:t>
            </w:r>
          </w:p>
        </w:tc>
      </w:tr>
      <w:tr w:rsidR="00C0269A" w:rsidRPr="00C67737" w14:paraId="4C5477F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104D5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12168</w:t>
            </w:r>
          </w:p>
        </w:tc>
        <w:tc>
          <w:tcPr>
            <w:tcW w:w="5400" w:type="dxa"/>
            <w:noWrap/>
            <w:hideMark/>
          </w:tcPr>
          <w:p w14:paraId="4A7498E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Integrated Ecosystem Assessment and Biodiversity financing in Guyana's new </w:t>
            </w:r>
            <w:proofErr w:type="spellStart"/>
            <w:r w:rsidRPr="00D10503">
              <w:rPr>
                <w:rFonts w:eastAsia="Times New Roman" w:cstheme="minorHAnsi"/>
                <w:color w:val="000000"/>
                <w:sz w:val="16"/>
                <w:szCs w:val="16"/>
                <w:lang w:val="en-US"/>
              </w:rPr>
              <w:t>Acarai</w:t>
            </w:r>
            <w:proofErr w:type="spellEnd"/>
            <w:r w:rsidRPr="00D10503">
              <w:rPr>
                <w:rFonts w:eastAsia="Times New Roman" w:cstheme="minorHAnsi"/>
                <w:color w:val="000000"/>
                <w:sz w:val="16"/>
                <w:szCs w:val="16"/>
                <w:lang w:val="en-US"/>
              </w:rPr>
              <w:t>-Rupununi Corridor (ARC) Conservation Forests</w:t>
            </w:r>
          </w:p>
        </w:tc>
        <w:tc>
          <w:tcPr>
            <w:tcW w:w="810" w:type="dxa"/>
            <w:noWrap/>
            <w:hideMark/>
          </w:tcPr>
          <w:p w14:paraId="761A2DD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55D176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Guyana</w:t>
            </w:r>
          </w:p>
        </w:tc>
        <w:tc>
          <w:tcPr>
            <w:tcW w:w="990" w:type="dxa"/>
            <w:noWrap/>
            <w:hideMark/>
          </w:tcPr>
          <w:p w14:paraId="3F5787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C00FAC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CA2103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055F3D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3.07 </w:t>
            </w:r>
          </w:p>
        </w:tc>
        <w:tc>
          <w:tcPr>
            <w:tcW w:w="990" w:type="dxa"/>
            <w:noWrap/>
            <w:hideMark/>
          </w:tcPr>
          <w:p w14:paraId="1C78465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3.51 </w:t>
            </w:r>
          </w:p>
        </w:tc>
        <w:tc>
          <w:tcPr>
            <w:tcW w:w="900" w:type="dxa"/>
            <w:noWrap/>
            <w:hideMark/>
          </w:tcPr>
          <w:p w14:paraId="4D302D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6.58 </w:t>
            </w:r>
          </w:p>
        </w:tc>
      </w:tr>
      <w:tr w:rsidR="00C0269A" w:rsidRPr="00C67737" w14:paraId="3EA05D03"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8C560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12163</w:t>
            </w:r>
          </w:p>
        </w:tc>
        <w:tc>
          <w:tcPr>
            <w:tcW w:w="5400" w:type="dxa"/>
            <w:noWrap/>
            <w:hideMark/>
          </w:tcPr>
          <w:p w14:paraId="25CDA6C2"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Sustainable management of landscapes around Hin Nam No National Park</w:t>
            </w:r>
          </w:p>
        </w:tc>
        <w:tc>
          <w:tcPr>
            <w:tcW w:w="810" w:type="dxa"/>
            <w:noWrap/>
            <w:hideMark/>
          </w:tcPr>
          <w:p w14:paraId="5D83343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D7831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Lao PDR</w:t>
            </w:r>
          </w:p>
        </w:tc>
        <w:tc>
          <w:tcPr>
            <w:tcW w:w="990" w:type="dxa"/>
            <w:noWrap/>
            <w:hideMark/>
          </w:tcPr>
          <w:p w14:paraId="5712A25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0EA46C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6A95CF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A5F42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2.40 </w:t>
            </w:r>
          </w:p>
        </w:tc>
        <w:tc>
          <w:tcPr>
            <w:tcW w:w="990" w:type="dxa"/>
            <w:noWrap/>
            <w:hideMark/>
          </w:tcPr>
          <w:p w14:paraId="5389C91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3.30 </w:t>
            </w:r>
          </w:p>
        </w:tc>
        <w:tc>
          <w:tcPr>
            <w:tcW w:w="900" w:type="dxa"/>
            <w:noWrap/>
            <w:hideMark/>
          </w:tcPr>
          <w:p w14:paraId="67F50A7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5.70 </w:t>
            </w:r>
          </w:p>
        </w:tc>
      </w:tr>
      <w:tr w:rsidR="00C0269A" w:rsidRPr="00C67737" w14:paraId="2C04673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1D22B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12158</w:t>
            </w:r>
          </w:p>
        </w:tc>
        <w:tc>
          <w:tcPr>
            <w:tcW w:w="5400" w:type="dxa"/>
            <w:noWrap/>
            <w:hideMark/>
          </w:tcPr>
          <w:p w14:paraId="5DCAA70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Reducing human wildlife conflict and applying integrated management approaches to enhance protected areas management in </w:t>
            </w:r>
            <w:proofErr w:type="spellStart"/>
            <w:r w:rsidRPr="00D10503">
              <w:rPr>
                <w:rFonts w:eastAsia="Times New Roman" w:cstheme="minorHAnsi"/>
                <w:color w:val="000000"/>
                <w:sz w:val="16"/>
                <w:szCs w:val="16"/>
                <w:lang w:val="en-US"/>
              </w:rPr>
              <w:t>Matšeng</w:t>
            </w:r>
            <w:proofErr w:type="spellEnd"/>
            <w:r w:rsidRPr="00D10503">
              <w:rPr>
                <w:rFonts w:eastAsia="Times New Roman" w:cstheme="minorHAnsi"/>
                <w:color w:val="000000"/>
                <w:sz w:val="16"/>
                <w:szCs w:val="16"/>
                <w:lang w:val="en-US"/>
              </w:rPr>
              <w:t xml:space="preserve"> Biosphere Reserve</w:t>
            </w:r>
          </w:p>
        </w:tc>
        <w:tc>
          <w:tcPr>
            <w:tcW w:w="810" w:type="dxa"/>
            <w:noWrap/>
            <w:hideMark/>
          </w:tcPr>
          <w:p w14:paraId="4276360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C042BE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Lesotho</w:t>
            </w:r>
          </w:p>
        </w:tc>
        <w:tc>
          <w:tcPr>
            <w:tcW w:w="990" w:type="dxa"/>
            <w:noWrap/>
            <w:hideMark/>
          </w:tcPr>
          <w:p w14:paraId="5715D4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B76BB5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4FDE6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B8FEDC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0BA1DE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18.00 </w:t>
            </w:r>
          </w:p>
        </w:tc>
        <w:tc>
          <w:tcPr>
            <w:tcW w:w="900" w:type="dxa"/>
            <w:noWrap/>
            <w:hideMark/>
          </w:tcPr>
          <w:p w14:paraId="5BE2EF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21.00 </w:t>
            </w:r>
          </w:p>
        </w:tc>
      </w:tr>
      <w:tr w:rsidR="00C0269A" w:rsidRPr="00C67737" w14:paraId="38E507C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F9ADC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12156</w:t>
            </w:r>
          </w:p>
        </w:tc>
        <w:tc>
          <w:tcPr>
            <w:tcW w:w="5400" w:type="dxa"/>
            <w:noWrap/>
            <w:hideMark/>
          </w:tcPr>
          <w:p w14:paraId="688CBFF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Implementation of the National Biosafety Framework for the Gambia</w:t>
            </w:r>
          </w:p>
        </w:tc>
        <w:tc>
          <w:tcPr>
            <w:tcW w:w="810" w:type="dxa"/>
            <w:noWrap/>
            <w:hideMark/>
          </w:tcPr>
          <w:p w14:paraId="7AACB58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EBBE2B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Gambia</w:t>
            </w:r>
            <w:proofErr w:type="spellEnd"/>
          </w:p>
        </w:tc>
        <w:tc>
          <w:tcPr>
            <w:tcW w:w="990" w:type="dxa"/>
            <w:noWrap/>
            <w:hideMark/>
          </w:tcPr>
          <w:p w14:paraId="18F6549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D17D5D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6742AD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19B823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05DF86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00" w:type="dxa"/>
            <w:noWrap/>
            <w:hideMark/>
          </w:tcPr>
          <w:p w14:paraId="6B3A5BE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r>
      <w:tr w:rsidR="00C0269A" w:rsidRPr="00C67737" w14:paraId="369168BC"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68738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12154</w:t>
            </w:r>
          </w:p>
        </w:tc>
        <w:tc>
          <w:tcPr>
            <w:tcW w:w="5400" w:type="dxa"/>
            <w:noWrap/>
            <w:hideMark/>
          </w:tcPr>
          <w:p w14:paraId="5324BCC9"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Malaysia’s ABS Framework, Digital Compliance, and Private Sector - Community Partnerships</w:t>
            </w:r>
          </w:p>
        </w:tc>
        <w:tc>
          <w:tcPr>
            <w:tcW w:w="810" w:type="dxa"/>
            <w:noWrap/>
            <w:hideMark/>
          </w:tcPr>
          <w:p w14:paraId="436B547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79362B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3C3E12D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4669E1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FCB070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ADAA13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5.26 </w:t>
            </w:r>
          </w:p>
        </w:tc>
        <w:tc>
          <w:tcPr>
            <w:tcW w:w="990" w:type="dxa"/>
            <w:noWrap/>
            <w:hideMark/>
          </w:tcPr>
          <w:p w14:paraId="0067A1D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33.64 </w:t>
            </w:r>
          </w:p>
        </w:tc>
        <w:tc>
          <w:tcPr>
            <w:tcW w:w="900" w:type="dxa"/>
            <w:noWrap/>
            <w:hideMark/>
          </w:tcPr>
          <w:p w14:paraId="22B9377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38.90 </w:t>
            </w:r>
          </w:p>
        </w:tc>
      </w:tr>
      <w:tr w:rsidR="00C0269A" w:rsidRPr="00C67737" w14:paraId="17D6627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6BC56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12153</w:t>
            </w:r>
          </w:p>
        </w:tc>
        <w:tc>
          <w:tcPr>
            <w:tcW w:w="5400" w:type="dxa"/>
            <w:noWrap/>
            <w:hideMark/>
          </w:tcPr>
          <w:p w14:paraId="587F958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Support for the Implementation of the National Biosafety framework of Sudan</w:t>
            </w:r>
          </w:p>
        </w:tc>
        <w:tc>
          <w:tcPr>
            <w:tcW w:w="810" w:type="dxa"/>
            <w:noWrap/>
            <w:hideMark/>
          </w:tcPr>
          <w:p w14:paraId="3197D82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94BF2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Sudan</w:t>
            </w:r>
            <w:proofErr w:type="spellEnd"/>
          </w:p>
        </w:tc>
        <w:tc>
          <w:tcPr>
            <w:tcW w:w="990" w:type="dxa"/>
            <w:noWrap/>
            <w:hideMark/>
          </w:tcPr>
          <w:p w14:paraId="61A5401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1B98EB5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489C79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4BADB4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4F7AEA1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00" w:type="dxa"/>
            <w:noWrap/>
            <w:hideMark/>
          </w:tcPr>
          <w:p w14:paraId="397350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r>
      <w:tr w:rsidR="00C0269A" w:rsidRPr="00C67737" w14:paraId="72B33E65"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8C9D4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12152</w:t>
            </w:r>
          </w:p>
        </w:tc>
        <w:tc>
          <w:tcPr>
            <w:tcW w:w="5400" w:type="dxa"/>
            <w:noWrap/>
            <w:hideMark/>
          </w:tcPr>
          <w:p w14:paraId="2B7AF7D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Promoting the conservation and sustainable management of southern peatlands in Chile</w:t>
            </w:r>
          </w:p>
        </w:tc>
        <w:tc>
          <w:tcPr>
            <w:tcW w:w="810" w:type="dxa"/>
            <w:noWrap/>
            <w:hideMark/>
          </w:tcPr>
          <w:p w14:paraId="2783231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CE6DCD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6FB3CF2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01E959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05D589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81B413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2.42 </w:t>
            </w:r>
          </w:p>
        </w:tc>
        <w:tc>
          <w:tcPr>
            <w:tcW w:w="990" w:type="dxa"/>
            <w:noWrap/>
            <w:hideMark/>
          </w:tcPr>
          <w:p w14:paraId="78A1979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8.59 </w:t>
            </w:r>
          </w:p>
        </w:tc>
        <w:tc>
          <w:tcPr>
            <w:tcW w:w="900" w:type="dxa"/>
            <w:noWrap/>
            <w:hideMark/>
          </w:tcPr>
          <w:p w14:paraId="6A41A06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11.01 </w:t>
            </w:r>
          </w:p>
        </w:tc>
      </w:tr>
      <w:tr w:rsidR="00C0269A" w:rsidRPr="00C67737" w14:paraId="78C857C4"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6DA49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12151</w:t>
            </w:r>
          </w:p>
        </w:tc>
        <w:tc>
          <w:tcPr>
            <w:tcW w:w="5400" w:type="dxa"/>
            <w:noWrap/>
            <w:hideMark/>
          </w:tcPr>
          <w:p w14:paraId="46515262"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Catalyzing Land Restoration and Biodiversity Conservation through Inclusive and Gender-Responsive Landscape Governance in the </w:t>
            </w:r>
            <w:proofErr w:type="spellStart"/>
            <w:r w:rsidRPr="00D10503">
              <w:rPr>
                <w:rFonts w:eastAsia="Times New Roman" w:cstheme="minorHAnsi"/>
                <w:color w:val="000000"/>
                <w:sz w:val="16"/>
                <w:szCs w:val="16"/>
                <w:lang w:val="en-US"/>
              </w:rPr>
              <w:t>Mbaéré</w:t>
            </w:r>
            <w:proofErr w:type="spellEnd"/>
            <w:r w:rsidRPr="00D10503">
              <w:rPr>
                <w:rFonts w:eastAsia="Times New Roman" w:cstheme="minorHAnsi"/>
                <w:color w:val="000000"/>
                <w:sz w:val="16"/>
                <w:szCs w:val="16"/>
                <w:lang w:val="en-US"/>
              </w:rPr>
              <w:t>–</w:t>
            </w:r>
            <w:proofErr w:type="spellStart"/>
            <w:r w:rsidRPr="00D10503">
              <w:rPr>
                <w:rFonts w:eastAsia="Times New Roman" w:cstheme="minorHAnsi"/>
                <w:color w:val="000000"/>
                <w:sz w:val="16"/>
                <w:szCs w:val="16"/>
                <w:lang w:val="en-US"/>
              </w:rPr>
              <w:t>Oubangui</w:t>
            </w:r>
            <w:proofErr w:type="spellEnd"/>
            <w:r w:rsidRPr="00D10503">
              <w:rPr>
                <w:rFonts w:eastAsia="Times New Roman" w:cstheme="minorHAnsi"/>
                <w:color w:val="000000"/>
                <w:sz w:val="16"/>
                <w:szCs w:val="16"/>
                <w:lang w:val="en-US"/>
              </w:rPr>
              <w:t xml:space="preserve"> Landscape, Central African Republic.</w:t>
            </w:r>
          </w:p>
        </w:tc>
        <w:tc>
          <w:tcPr>
            <w:tcW w:w="810" w:type="dxa"/>
            <w:noWrap/>
            <w:hideMark/>
          </w:tcPr>
          <w:p w14:paraId="38D265A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A92684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Central </w:t>
            </w:r>
            <w:proofErr w:type="spellStart"/>
            <w:r w:rsidRPr="00C67737">
              <w:rPr>
                <w:rFonts w:eastAsia="Times New Roman" w:cstheme="minorHAnsi"/>
                <w:color w:val="000000"/>
                <w:sz w:val="16"/>
                <w:szCs w:val="16"/>
              </w:rPr>
              <w:t>African</w:t>
            </w:r>
            <w:proofErr w:type="spellEnd"/>
            <w:r w:rsidRPr="00C67737">
              <w:rPr>
                <w:rFonts w:eastAsia="Times New Roman" w:cstheme="minorHAnsi"/>
                <w:color w:val="000000"/>
                <w:sz w:val="16"/>
                <w:szCs w:val="16"/>
              </w:rPr>
              <w:t xml:space="preserve"> Republic</w:t>
            </w:r>
          </w:p>
        </w:tc>
        <w:tc>
          <w:tcPr>
            <w:tcW w:w="990" w:type="dxa"/>
            <w:noWrap/>
            <w:hideMark/>
          </w:tcPr>
          <w:p w14:paraId="5DB8010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70C461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CE9539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E39B30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5696238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4.95 </w:t>
            </w:r>
          </w:p>
        </w:tc>
        <w:tc>
          <w:tcPr>
            <w:tcW w:w="900" w:type="dxa"/>
            <w:noWrap/>
            <w:hideMark/>
          </w:tcPr>
          <w:p w14:paraId="58DEDCC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6.95 </w:t>
            </w:r>
          </w:p>
        </w:tc>
      </w:tr>
      <w:tr w:rsidR="00C0269A" w:rsidRPr="00C67737" w14:paraId="2A4A6749"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DBF11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12149</w:t>
            </w:r>
          </w:p>
        </w:tc>
        <w:tc>
          <w:tcPr>
            <w:tcW w:w="5400" w:type="dxa"/>
            <w:noWrap/>
            <w:hideMark/>
          </w:tcPr>
          <w:p w14:paraId="68BDC990"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´Restore for Sure´ Conserving endangered flora through critical ecosystem restoration in Jamaica</w:t>
            </w:r>
          </w:p>
        </w:tc>
        <w:tc>
          <w:tcPr>
            <w:tcW w:w="810" w:type="dxa"/>
            <w:noWrap/>
            <w:hideMark/>
          </w:tcPr>
          <w:p w14:paraId="53EA85F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721F06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Jamaica</w:t>
            </w:r>
          </w:p>
        </w:tc>
        <w:tc>
          <w:tcPr>
            <w:tcW w:w="990" w:type="dxa"/>
            <w:noWrap/>
            <w:hideMark/>
          </w:tcPr>
          <w:p w14:paraId="1C0F940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CAF964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7242C2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1BECD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5.11 </w:t>
            </w:r>
          </w:p>
        </w:tc>
        <w:tc>
          <w:tcPr>
            <w:tcW w:w="990" w:type="dxa"/>
            <w:noWrap/>
            <w:hideMark/>
          </w:tcPr>
          <w:p w14:paraId="6FE35DD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8.58 </w:t>
            </w:r>
          </w:p>
        </w:tc>
        <w:tc>
          <w:tcPr>
            <w:tcW w:w="900" w:type="dxa"/>
            <w:noWrap/>
            <w:hideMark/>
          </w:tcPr>
          <w:p w14:paraId="009334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13.68 </w:t>
            </w:r>
          </w:p>
        </w:tc>
      </w:tr>
      <w:tr w:rsidR="00C0269A" w:rsidRPr="00C67737" w14:paraId="4B03FF2D"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6911E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12147</w:t>
            </w:r>
          </w:p>
        </w:tc>
        <w:tc>
          <w:tcPr>
            <w:tcW w:w="5400" w:type="dxa"/>
            <w:noWrap/>
            <w:hideMark/>
          </w:tcPr>
          <w:p w14:paraId="70E144C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FSM Access and Benefit Sharing Project</w:t>
            </w:r>
          </w:p>
        </w:tc>
        <w:tc>
          <w:tcPr>
            <w:tcW w:w="810" w:type="dxa"/>
            <w:noWrap/>
            <w:hideMark/>
          </w:tcPr>
          <w:p w14:paraId="0D17F3F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AF774B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Micronesia</w:t>
            </w:r>
            <w:proofErr w:type="spellEnd"/>
          </w:p>
        </w:tc>
        <w:tc>
          <w:tcPr>
            <w:tcW w:w="990" w:type="dxa"/>
            <w:noWrap/>
            <w:hideMark/>
          </w:tcPr>
          <w:p w14:paraId="32467C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51CA48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6E03B6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35414B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6BABAE0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8.83 </w:t>
            </w:r>
          </w:p>
        </w:tc>
        <w:tc>
          <w:tcPr>
            <w:tcW w:w="900" w:type="dxa"/>
            <w:noWrap/>
            <w:hideMark/>
          </w:tcPr>
          <w:p w14:paraId="34415FC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13.83 </w:t>
            </w:r>
          </w:p>
        </w:tc>
      </w:tr>
      <w:tr w:rsidR="00C0269A" w:rsidRPr="00C67737" w14:paraId="7569284D"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614FC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12146</w:t>
            </w:r>
          </w:p>
        </w:tc>
        <w:tc>
          <w:tcPr>
            <w:tcW w:w="5400" w:type="dxa"/>
            <w:noWrap/>
            <w:hideMark/>
          </w:tcPr>
          <w:p w14:paraId="773EEE8B" w14:textId="3B9A870B"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Jamaica’s capacity to Implement the Cartagena Protocol on Biosafety</w:t>
            </w:r>
          </w:p>
        </w:tc>
        <w:tc>
          <w:tcPr>
            <w:tcW w:w="810" w:type="dxa"/>
            <w:noWrap/>
            <w:hideMark/>
          </w:tcPr>
          <w:p w14:paraId="4452359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0DDEB3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Jamaica</w:t>
            </w:r>
          </w:p>
        </w:tc>
        <w:tc>
          <w:tcPr>
            <w:tcW w:w="990" w:type="dxa"/>
            <w:noWrap/>
            <w:hideMark/>
          </w:tcPr>
          <w:p w14:paraId="7C96951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7E399C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190620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B0E945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1.70 </w:t>
            </w:r>
          </w:p>
        </w:tc>
        <w:tc>
          <w:tcPr>
            <w:tcW w:w="990" w:type="dxa"/>
            <w:noWrap/>
            <w:hideMark/>
          </w:tcPr>
          <w:p w14:paraId="495DC4F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3.75 </w:t>
            </w:r>
          </w:p>
        </w:tc>
        <w:tc>
          <w:tcPr>
            <w:tcW w:w="900" w:type="dxa"/>
            <w:noWrap/>
            <w:hideMark/>
          </w:tcPr>
          <w:p w14:paraId="2D5A1F2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5.45 </w:t>
            </w:r>
          </w:p>
        </w:tc>
      </w:tr>
      <w:tr w:rsidR="00C0269A" w:rsidRPr="00C67737" w14:paraId="183B0CD1"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3C00B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12144</w:t>
            </w:r>
          </w:p>
        </w:tc>
        <w:tc>
          <w:tcPr>
            <w:tcW w:w="5400" w:type="dxa"/>
            <w:noWrap/>
            <w:hideMark/>
          </w:tcPr>
          <w:p w14:paraId="3EF4584D"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Biodiversity Conservation in Ancestral Domains Management in the Philippines</w:t>
            </w:r>
          </w:p>
        </w:tc>
        <w:tc>
          <w:tcPr>
            <w:tcW w:w="810" w:type="dxa"/>
            <w:noWrap/>
            <w:hideMark/>
          </w:tcPr>
          <w:p w14:paraId="3EEC6A6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EBB930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4D03DBD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8169E3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6C0007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EDEAB5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1.01 </w:t>
            </w:r>
          </w:p>
        </w:tc>
        <w:tc>
          <w:tcPr>
            <w:tcW w:w="990" w:type="dxa"/>
            <w:noWrap/>
            <w:hideMark/>
          </w:tcPr>
          <w:p w14:paraId="0F5F5DA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4.30 </w:t>
            </w:r>
          </w:p>
        </w:tc>
        <w:tc>
          <w:tcPr>
            <w:tcW w:w="900" w:type="dxa"/>
            <w:noWrap/>
            <w:hideMark/>
          </w:tcPr>
          <w:p w14:paraId="58999D7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5.31 </w:t>
            </w:r>
          </w:p>
        </w:tc>
      </w:tr>
      <w:tr w:rsidR="00C0269A" w:rsidRPr="00C67737" w14:paraId="11175FE1"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6769F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12143</w:t>
            </w:r>
          </w:p>
        </w:tc>
        <w:tc>
          <w:tcPr>
            <w:tcW w:w="5400" w:type="dxa"/>
            <w:noWrap/>
            <w:hideMark/>
          </w:tcPr>
          <w:p w14:paraId="16582F59"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proofErr w:type="spellStart"/>
            <w:r w:rsidRPr="00D10503">
              <w:rPr>
                <w:rFonts w:eastAsia="Times New Roman" w:cstheme="minorHAnsi"/>
                <w:color w:val="000000"/>
                <w:sz w:val="16"/>
                <w:szCs w:val="16"/>
                <w:lang w:val="en-US"/>
              </w:rPr>
              <w:t>Catalysing</w:t>
            </w:r>
            <w:proofErr w:type="spellEnd"/>
            <w:r w:rsidRPr="00D10503">
              <w:rPr>
                <w:rFonts w:eastAsia="Times New Roman" w:cstheme="minorHAnsi"/>
                <w:color w:val="000000"/>
                <w:sz w:val="16"/>
                <w:szCs w:val="16"/>
                <w:lang w:val="en-US"/>
              </w:rPr>
              <w:t xml:space="preserve"> Transboundary Investment for Ecosystem Restoration and Water Security in the Orange–</w:t>
            </w:r>
            <w:proofErr w:type="spellStart"/>
            <w:r w:rsidRPr="00D10503">
              <w:rPr>
                <w:rFonts w:eastAsia="Times New Roman" w:cstheme="minorHAnsi"/>
                <w:color w:val="000000"/>
                <w:sz w:val="16"/>
                <w:szCs w:val="16"/>
                <w:lang w:val="en-US"/>
              </w:rPr>
              <w:t>Senqu</w:t>
            </w:r>
            <w:proofErr w:type="spellEnd"/>
            <w:r w:rsidRPr="00D10503">
              <w:rPr>
                <w:rFonts w:eastAsia="Times New Roman" w:cstheme="minorHAnsi"/>
                <w:color w:val="000000"/>
                <w:sz w:val="16"/>
                <w:szCs w:val="16"/>
                <w:lang w:val="en-US"/>
              </w:rPr>
              <w:t xml:space="preserve"> River Basin</w:t>
            </w:r>
          </w:p>
        </w:tc>
        <w:tc>
          <w:tcPr>
            <w:tcW w:w="810" w:type="dxa"/>
            <w:noWrap/>
            <w:hideMark/>
          </w:tcPr>
          <w:p w14:paraId="501D394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C2B51B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4EB2C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7D2490B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ECFCCE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4F4F52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2.23 </w:t>
            </w:r>
          </w:p>
        </w:tc>
        <w:tc>
          <w:tcPr>
            <w:tcW w:w="990" w:type="dxa"/>
            <w:noWrap/>
            <w:hideMark/>
          </w:tcPr>
          <w:p w14:paraId="446E23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12.90 </w:t>
            </w:r>
          </w:p>
        </w:tc>
        <w:tc>
          <w:tcPr>
            <w:tcW w:w="900" w:type="dxa"/>
            <w:noWrap/>
            <w:hideMark/>
          </w:tcPr>
          <w:p w14:paraId="504563E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15.13 </w:t>
            </w:r>
          </w:p>
        </w:tc>
      </w:tr>
      <w:tr w:rsidR="00C0269A" w:rsidRPr="00C67737" w14:paraId="79352434"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C5F9F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12140</w:t>
            </w:r>
          </w:p>
        </w:tc>
        <w:tc>
          <w:tcPr>
            <w:tcW w:w="5400" w:type="dxa"/>
            <w:noWrap/>
            <w:hideMark/>
          </w:tcPr>
          <w:p w14:paraId="6E13D15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Securing Forest Landscapes in the Dominican Republic through Integrated Governance and Climate Finance</w:t>
            </w:r>
          </w:p>
        </w:tc>
        <w:tc>
          <w:tcPr>
            <w:tcW w:w="810" w:type="dxa"/>
            <w:noWrap/>
            <w:hideMark/>
          </w:tcPr>
          <w:p w14:paraId="095321E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5480AA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Dominican</w:t>
            </w:r>
            <w:proofErr w:type="spellEnd"/>
            <w:r w:rsidRPr="00C67737">
              <w:rPr>
                <w:rFonts w:eastAsia="Times New Roman" w:cstheme="minorHAnsi"/>
                <w:color w:val="000000"/>
                <w:sz w:val="16"/>
                <w:szCs w:val="16"/>
              </w:rPr>
              <w:t xml:space="preserve"> Republic</w:t>
            </w:r>
          </w:p>
        </w:tc>
        <w:tc>
          <w:tcPr>
            <w:tcW w:w="990" w:type="dxa"/>
            <w:noWrap/>
            <w:hideMark/>
          </w:tcPr>
          <w:p w14:paraId="47CDBF4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B2FBE0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199744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70E6C9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5.45 </w:t>
            </w:r>
          </w:p>
        </w:tc>
        <w:tc>
          <w:tcPr>
            <w:tcW w:w="990" w:type="dxa"/>
            <w:noWrap/>
            <w:hideMark/>
          </w:tcPr>
          <w:p w14:paraId="2F68711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23.01 </w:t>
            </w:r>
          </w:p>
        </w:tc>
        <w:tc>
          <w:tcPr>
            <w:tcW w:w="900" w:type="dxa"/>
            <w:noWrap/>
            <w:hideMark/>
          </w:tcPr>
          <w:p w14:paraId="54C7347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28.46 </w:t>
            </w:r>
          </w:p>
        </w:tc>
      </w:tr>
      <w:tr w:rsidR="00C0269A" w:rsidRPr="00C67737" w14:paraId="5CA59EF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BAD0B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12138</w:t>
            </w:r>
          </w:p>
        </w:tc>
        <w:tc>
          <w:tcPr>
            <w:tcW w:w="5400" w:type="dxa"/>
            <w:noWrap/>
            <w:hideMark/>
          </w:tcPr>
          <w:p w14:paraId="47E5864C"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Expanding Community-Driven Protection and Sustainable Management of Vanuatu’s Key Biodiversity Areas</w:t>
            </w:r>
          </w:p>
        </w:tc>
        <w:tc>
          <w:tcPr>
            <w:tcW w:w="810" w:type="dxa"/>
            <w:noWrap/>
            <w:hideMark/>
          </w:tcPr>
          <w:p w14:paraId="4B5DE39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BF09A0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Vanuatu</w:t>
            </w:r>
          </w:p>
        </w:tc>
        <w:tc>
          <w:tcPr>
            <w:tcW w:w="990" w:type="dxa"/>
            <w:noWrap/>
            <w:hideMark/>
          </w:tcPr>
          <w:p w14:paraId="0851E2A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4870C78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9A476D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56FF14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2.66 </w:t>
            </w:r>
          </w:p>
        </w:tc>
        <w:tc>
          <w:tcPr>
            <w:tcW w:w="990" w:type="dxa"/>
            <w:noWrap/>
            <w:hideMark/>
          </w:tcPr>
          <w:p w14:paraId="5288A64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14.51 </w:t>
            </w:r>
          </w:p>
        </w:tc>
        <w:tc>
          <w:tcPr>
            <w:tcW w:w="900" w:type="dxa"/>
            <w:noWrap/>
            <w:hideMark/>
          </w:tcPr>
          <w:p w14:paraId="5F5F0DE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17.17 </w:t>
            </w:r>
          </w:p>
        </w:tc>
      </w:tr>
      <w:tr w:rsidR="00C0269A" w:rsidRPr="00C67737" w14:paraId="6186EA61"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D0B5E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12133</w:t>
            </w:r>
          </w:p>
        </w:tc>
        <w:tc>
          <w:tcPr>
            <w:tcW w:w="5400" w:type="dxa"/>
            <w:noWrap/>
            <w:hideMark/>
          </w:tcPr>
          <w:p w14:paraId="59DF845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Grazing</w:t>
            </w:r>
            <w:proofErr w:type="spellEnd"/>
            <w:r w:rsidRPr="00C67737">
              <w:rPr>
                <w:rFonts w:eastAsia="Times New Roman" w:cstheme="minorHAnsi"/>
                <w:color w:val="000000"/>
                <w:sz w:val="16"/>
                <w:szCs w:val="16"/>
              </w:rPr>
              <w:t xml:space="preserve"> With Trees</w:t>
            </w:r>
          </w:p>
        </w:tc>
        <w:tc>
          <w:tcPr>
            <w:tcW w:w="810" w:type="dxa"/>
            <w:noWrap/>
            <w:hideMark/>
          </w:tcPr>
          <w:p w14:paraId="6EE599A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944B2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Jordan</w:t>
            </w:r>
          </w:p>
        </w:tc>
        <w:tc>
          <w:tcPr>
            <w:tcW w:w="990" w:type="dxa"/>
            <w:noWrap/>
            <w:hideMark/>
          </w:tcPr>
          <w:p w14:paraId="5B8F042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189E4E3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C2B60D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72F99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781A41A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c>
          <w:tcPr>
            <w:tcW w:w="900" w:type="dxa"/>
            <w:noWrap/>
            <w:hideMark/>
          </w:tcPr>
          <w:p w14:paraId="22563D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15.90 </w:t>
            </w:r>
          </w:p>
        </w:tc>
      </w:tr>
      <w:tr w:rsidR="00C0269A" w:rsidRPr="00C67737" w14:paraId="040D815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DA817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12125</w:t>
            </w:r>
          </w:p>
        </w:tc>
        <w:tc>
          <w:tcPr>
            <w:tcW w:w="5400" w:type="dxa"/>
            <w:noWrap/>
            <w:hideMark/>
          </w:tcPr>
          <w:p w14:paraId="4CA5F0EC"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Enhanced Management of Indonesia’s Marine Protected Areas (MPAs) Through the Critical Marine Habitat Facility (ICMHF)</w:t>
            </w:r>
          </w:p>
        </w:tc>
        <w:tc>
          <w:tcPr>
            <w:tcW w:w="810" w:type="dxa"/>
            <w:noWrap/>
            <w:hideMark/>
          </w:tcPr>
          <w:p w14:paraId="1518722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5DF91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4CEAB8E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63C3460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563A1B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A40A5E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4D296B6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41.50 </w:t>
            </w:r>
          </w:p>
        </w:tc>
        <w:tc>
          <w:tcPr>
            <w:tcW w:w="900" w:type="dxa"/>
            <w:noWrap/>
            <w:hideMark/>
          </w:tcPr>
          <w:p w14:paraId="4909479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47.14 </w:t>
            </w:r>
          </w:p>
        </w:tc>
      </w:tr>
      <w:tr w:rsidR="00C0269A" w:rsidRPr="00C67737" w14:paraId="662E79E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28CE7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12121</w:t>
            </w:r>
          </w:p>
        </w:tc>
        <w:tc>
          <w:tcPr>
            <w:tcW w:w="5400" w:type="dxa"/>
            <w:noWrap/>
            <w:hideMark/>
          </w:tcPr>
          <w:p w14:paraId="598654F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Promoting Sustainable and Inclusive Blue Economy Transformation in Africa    </w:t>
            </w:r>
          </w:p>
        </w:tc>
        <w:tc>
          <w:tcPr>
            <w:tcW w:w="810" w:type="dxa"/>
            <w:noWrap/>
            <w:hideMark/>
          </w:tcPr>
          <w:p w14:paraId="11778E5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29C289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BCE47A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239EC15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C6CA00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E4493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77E01B7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35.00 </w:t>
            </w:r>
          </w:p>
        </w:tc>
        <w:tc>
          <w:tcPr>
            <w:tcW w:w="900" w:type="dxa"/>
            <w:noWrap/>
            <w:hideMark/>
          </w:tcPr>
          <w:p w14:paraId="6B8B9DB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40.64 </w:t>
            </w:r>
          </w:p>
        </w:tc>
      </w:tr>
      <w:tr w:rsidR="00C0269A" w:rsidRPr="00C67737" w14:paraId="54EC056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06851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12119</w:t>
            </w:r>
          </w:p>
        </w:tc>
        <w:tc>
          <w:tcPr>
            <w:tcW w:w="5400" w:type="dxa"/>
            <w:noWrap/>
            <w:hideMark/>
          </w:tcPr>
          <w:p w14:paraId="352C3006"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Financial Inclusion and Resilience (FIRE): Leveraging Risk-Tolerant Crowdfunded Capital for Innovative Climate Adaptation</w:t>
            </w:r>
          </w:p>
        </w:tc>
        <w:tc>
          <w:tcPr>
            <w:tcW w:w="810" w:type="dxa"/>
            <w:noWrap/>
            <w:hideMark/>
          </w:tcPr>
          <w:p w14:paraId="7B3B35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2977387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DBCE62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32D601E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713699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EC7611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1.80 </w:t>
            </w:r>
          </w:p>
        </w:tc>
        <w:tc>
          <w:tcPr>
            <w:tcW w:w="990" w:type="dxa"/>
            <w:noWrap/>
            <w:hideMark/>
          </w:tcPr>
          <w:p w14:paraId="61E4538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2.48 </w:t>
            </w:r>
          </w:p>
        </w:tc>
        <w:tc>
          <w:tcPr>
            <w:tcW w:w="900" w:type="dxa"/>
            <w:noWrap/>
            <w:hideMark/>
          </w:tcPr>
          <w:p w14:paraId="0F65F17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4.28 </w:t>
            </w:r>
          </w:p>
        </w:tc>
      </w:tr>
      <w:tr w:rsidR="00C0269A" w:rsidRPr="00C67737" w14:paraId="1932B7C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98A86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12117</w:t>
            </w:r>
          </w:p>
        </w:tc>
        <w:tc>
          <w:tcPr>
            <w:tcW w:w="5400" w:type="dxa"/>
            <w:noWrap/>
            <w:hideMark/>
          </w:tcPr>
          <w:p w14:paraId="64811251"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ACT-BIOFOULING: Accelerating Collaboration and Transformation (ACT) through Biofouling Management</w:t>
            </w:r>
          </w:p>
        </w:tc>
        <w:tc>
          <w:tcPr>
            <w:tcW w:w="810" w:type="dxa"/>
            <w:noWrap/>
            <w:hideMark/>
          </w:tcPr>
          <w:p w14:paraId="46A88F5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B907F6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174A17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7262D5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4B1F51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A13647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5.58 </w:t>
            </w:r>
          </w:p>
        </w:tc>
        <w:tc>
          <w:tcPr>
            <w:tcW w:w="990" w:type="dxa"/>
            <w:noWrap/>
            <w:hideMark/>
          </w:tcPr>
          <w:p w14:paraId="65021A8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27.76 </w:t>
            </w:r>
          </w:p>
        </w:tc>
        <w:tc>
          <w:tcPr>
            <w:tcW w:w="900" w:type="dxa"/>
            <w:noWrap/>
            <w:hideMark/>
          </w:tcPr>
          <w:p w14:paraId="1CC052B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33.35 </w:t>
            </w:r>
          </w:p>
        </w:tc>
      </w:tr>
      <w:tr w:rsidR="00C0269A" w:rsidRPr="00C67737" w14:paraId="5DDCA93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C16A6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12113</w:t>
            </w:r>
          </w:p>
        </w:tc>
        <w:tc>
          <w:tcPr>
            <w:tcW w:w="5400" w:type="dxa"/>
            <w:noWrap/>
            <w:hideMark/>
          </w:tcPr>
          <w:p w14:paraId="1C1C60E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Lake Malawi National Park management and reducing human wildlife conflict to enhance conservation and improve community livelihoods"</w:t>
            </w:r>
          </w:p>
        </w:tc>
        <w:tc>
          <w:tcPr>
            <w:tcW w:w="810" w:type="dxa"/>
            <w:noWrap/>
            <w:hideMark/>
          </w:tcPr>
          <w:p w14:paraId="07BDD26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83CE5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Malawi</w:t>
            </w:r>
          </w:p>
        </w:tc>
        <w:tc>
          <w:tcPr>
            <w:tcW w:w="990" w:type="dxa"/>
            <w:noWrap/>
            <w:hideMark/>
          </w:tcPr>
          <w:p w14:paraId="733768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FBCD97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AEF854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1D8762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4.95 </w:t>
            </w:r>
          </w:p>
        </w:tc>
        <w:tc>
          <w:tcPr>
            <w:tcW w:w="990" w:type="dxa"/>
            <w:noWrap/>
            <w:hideMark/>
          </w:tcPr>
          <w:p w14:paraId="7839276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19.00 </w:t>
            </w:r>
          </w:p>
        </w:tc>
        <w:tc>
          <w:tcPr>
            <w:tcW w:w="900" w:type="dxa"/>
            <w:noWrap/>
            <w:hideMark/>
          </w:tcPr>
          <w:p w14:paraId="43A9A2F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23.95 </w:t>
            </w:r>
          </w:p>
        </w:tc>
      </w:tr>
      <w:tr w:rsidR="00C0269A" w:rsidRPr="00C67737" w14:paraId="0DDD00D3"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55005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12111</w:t>
            </w:r>
          </w:p>
        </w:tc>
        <w:tc>
          <w:tcPr>
            <w:tcW w:w="5400" w:type="dxa"/>
            <w:noWrap/>
            <w:hideMark/>
          </w:tcPr>
          <w:p w14:paraId="58FA12FE"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Senegal Environmental Health and Pollution Management Project Additional Financing</w:t>
            </w:r>
          </w:p>
        </w:tc>
        <w:tc>
          <w:tcPr>
            <w:tcW w:w="810" w:type="dxa"/>
            <w:noWrap/>
            <w:hideMark/>
          </w:tcPr>
          <w:p w14:paraId="0CB785F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79A6F6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7AB1929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0952B88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57CDF2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2893D5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4.98 </w:t>
            </w:r>
          </w:p>
        </w:tc>
        <w:tc>
          <w:tcPr>
            <w:tcW w:w="990" w:type="dxa"/>
            <w:noWrap/>
            <w:hideMark/>
          </w:tcPr>
          <w:p w14:paraId="46034DE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00" w:type="dxa"/>
            <w:noWrap/>
            <w:hideMark/>
          </w:tcPr>
          <w:p w14:paraId="07D1920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24.98 </w:t>
            </w:r>
          </w:p>
        </w:tc>
      </w:tr>
      <w:tr w:rsidR="00C0269A" w:rsidRPr="00C67737" w14:paraId="502EF9B1"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755B0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12109</w:t>
            </w:r>
          </w:p>
        </w:tc>
        <w:tc>
          <w:tcPr>
            <w:tcW w:w="5400" w:type="dxa"/>
            <w:noWrap/>
            <w:hideMark/>
          </w:tcPr>
          <w:p w14:paraId="1B329E46"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Promoting Green and Blue Sustainable Economic Pathways through Natural Capital Assessment and Accounting, Policy transformation and Environmental Investment in the Dominican Republic</w:t>
            </w:r>
          </w:p>
        </w:tc>
        <w:tc>
          <w:tcPr>
            <w:tcW w:w="810" w:type="dxa"/>
            <w:noWrap/>
            <w:hideMark/>
          </w:tcPr>
          <w:p w14:paraId="7FEE9ED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050C64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Dominican</w:t>
            </w:r>
            <w:proofErr w:type="spellEnd"/>
            <w:r w:rsidRPr="00C67737">
              <w:rPr>
                <w:rFonts w:eastAsia="Times New Roman" w:cstheme="minorHAnsi"/>
                <w:color w:val="000000"/>
                <w:sz w:val="16"/>
                <w:szCs w:val="16"/>
              </w:rPr>
              <w:t xml:space="preserve"> Republic</w:t>
            </w:r>
          </w:p>
        </w:tc>
        <w:tc>
          <w:tcPr>
            <w:tcW w:w="990" w:type="dxa"/>
            <w:noWrap/>
            <w:hideMark/>
          </w:tcPr>
          <w:p w14:paraId="35D229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A8CA3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06E15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A3FA50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2.19 </w:t>
            </w:r>
          </w:p>
        </w:tc>
        <w:tc>
          <w:tcPr>
            <w:tcW w:w="990" w:type="dxa"/>
            <w:noWrap/>
            <w:hideMark/>
          </w:tcPr>
          <w:p w14:paraId="76AB404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3.99 </w:t>
            </w:r>
          </w:p>
        </w:tc>
        <w:tc>
          <w:tcPr>
            <w:tcW w:w="900" w:type="dxa"/>
            <w:noWrap/>
            <w:hideMark/>
          </w:tcPr>
          <w:p w14:paraId="22CDE74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6.18 </w:t>
            </w:r>
          </w:p>
        </w:tc>
      </w:tr>
      <w:tr w:rsidR="00C0269A" w:rsidRPr="00C67737" w14:paraId="0710F9A2"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2DE62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12107</w:t>
            </w:r>
          </w:p>
        </w:tc>
        <w:tc>
          <w:tcPr>
            <w:tcW w:w="5400" w:type="dxa"/>
            <w:noWrap/>
            <w:hideMark/>
          </w:tcPr>
          <w:p w14:paraId="3CE31A65"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Catalyzing Sustainable Ocean Plans (SOPs) for Transboundary Marine Ecosystem Management</w:t>
            </w:r>
          </w:p>
        </w:tc>
        <w:tc>
          <w:tcPr>
            <w:tcW w:w="810" w:type="dxa"/>
            <w:noWrap/>
            <w:hideMark/>
          </w:tcPr>
          <w:p w14:paraId="6F785F5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77EDA35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729FC5E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7678EB0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7DDC5A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1F4B4F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4.52 </w:t>
            </w:r>
          </w:p>
        </w:tc>
        <w:tc>
          <w:tcPr>
            <w:tcW w:w="990" w:type="dxa"/>
            <w:noWrap/>
            <w:hideMark/>
          </w:tcPr>
          <w:p w14:paraId="13CE658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32.00 </w:t>
            </w:r>
          </w:p>
        </w:tc>
        <w:tc>
          <w:tcPr>
            <w:tcW w:w="900" w:type="dxa"/>
            <w:noWrap/>
            <w:hideMark/>
          </w:tcPr>
          <w:p w14:paraId="7018EB8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36.52 </w:t>
            </w:r>
          </w:p>
        </w:tc>
      </w:tr>
      <w:tr w:rsidR="00C0269A" w:rsidRPr="00C67737" w14:paraId="67872713"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456FE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12106</w:t>
            </w:r>
          </w:p>
        </w:tc>
        <w:tc>
          <w:tcPr>
            <w:tcW w:w="5400" w:type="dxa"/>
            <w:noWrap/>
            <w:hideMark/>
          </w:tcPr>
          <w:p w14:paraId="4FE3BA27"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Sustainable and Resilient Ecosystems: Community and Territorial Strategies for Wildfire Management in Natural Protected Areas, their buffer zones and other conservation modalities in Peru</w:t>
            </w:r>
          </w:p>
        </w:tc>
        <w:tc>
          <w:tcPr>
            <w:tcW w:w="810" w:type="dxa"/>
            <w:noWrap/>
            <w:hideMark/>
          </w:tcPr>
          <w:p w14:paraId="6E6948F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582089D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7355B93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AAFCD0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55928D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880626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3.70 </w:t>
            </w:r>
          </w:p>
        </w:tc>
        <w:tc>
          <w:tcPr>
            <w:tcW w:w="990" w:type="dxa"/>
            <w:noWrap/>
            <w:hideMark/>
          </w:tcPr>
          <w:p w14:paraId="004CAA6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34.98 </w:t>
            </w:r>
          </w:p>
        </w:tc>
        <w:tc>
          <w:tcPr>
            <w:tcW w:w="900" w:type="dxa"/>
            <w:noWrap/>
            <w:hideMark/>
          </w:tcPr>
          <w:p w14:paraId="183294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38.68 </w:t>
            </w:r>
          </w:p>
        </w:tc>
      </w:tr>
      <w:tr w:rsidR="00C0269A" w:rsidRPr="00C67737" w14:paraId="16799BCC"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F3053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12104</w:t>
            </w:r>
          </w:p>
        </w:tc>
        <w:tc>
          <w:tcPr>
            <w:tcW w:w="5400" w:type="dxa"/>
            <w:noWrap/>
            <w:hideMark/>
          </w:tcPr>
          <w:p w14:paraId="741BB79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the Conservation and Sustainable Use of Chilean Wetlands to Protect Migratory Birds through the Implementation of SBAP Conservation Tools</w:t>
            </w:r>
          </w:p>
        </w:tc>
        <w:tc>
          <w:tcPr>
            <w:tcW w:w="810" w:type="dxa"/>
            <w:noWrap/>
            <w:hideMark/>
          </w:tcPr>
          <w:p w14:paraId="665F06E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6699A1A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2EDBE25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4487909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FC3521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33116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2.40 </w:t>
            </w:r>
          </w:p>
        </w:tc>
        <w:tc>
          <w:tcPr>
            <w:tcW w:w="990" w:type="dxa"/>
            <w:noWrap/>
            <w:hideMark/>
          </w:tcPr>
          <w:p w14:paraId="2D3E8D1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00" w:type="dxa"/>
            <w:noWrap/>
            <w:hideMark/>
          </w:tcPr>
          <w:p w14:paraId="53B65F7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7.40 </w:t>
            </w:r>
          </w:p>
        </w:tc>
      </w:tr>
      <w:tr w:rsidR="00C0269A" w:rsidRPr="00C67737" w14:paraId="4B60E58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5A97B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12103</w:t>
            </w:r>
          </w:p>
        </w:tc>
        <w:tc>
          <w:tcPr>
            <w:tcW w:w="5400" w:type="dxa"/>
            <w:noWrap/>
            <w:hideMark/>
          </w:tcPr>
          <w:p w14:paraId="787BCABB"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Pacific Island Countries and Territories access and use of environmental data – Pacific Environmental Data (PED) Project</w:t>
            </w:r>
          </w:p>
        </w:tc>
        <w:tc>
          <w:tcPr>
            <w:tcW w:w="810" w:type="dxa"/>
            <w:noWrap/>
            <w:hideMark/>
          </w:tcPr>
          <w:p w14:paraId="401D540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02E7B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2362C8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3570F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E07419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76BDD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3.78 </w:t>
            </w:r>
          </w:p>
        </w:tc>
        <w:tc>
          <w:tcPr>
            <w:tcW w:w="990" w:type="dxa"/>
            <w:noWrap/>
            <w:hideMark/>
          </w:tcPr>
          <w:p w14:paraId="402ABD2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0.25 </w:t>
            </w:r>
          </w:p>
        </w:tc>
        <w:tc>
          <w:tcPr>
            <w:tcW w:w="900" w:type="dxa"/>
            <w:noWrap/>
            <w:hideMark/>
          </w:tcPr>
          <w:p w14:paraId="42A83E0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4.03 </w:t>
            </w:r>
          </w:p>
        </w:tc>
      </w:tr>
      <w:tr w:rsidR="00C0269A" w:rsidRPr="00C67737" w14:paraId="015685B1"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52CC2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12096</w:t>
            </w:r>
          </w:p>
        </w:tc>
        <w:tc>
          <w:tcPr>
            <w:tcW w:w="5400" w:type="dxa"/>
            <w:noWrap/>
            <w:hideMark/>
          </w:tcPr>
          <w:p w14:paraId="066ED906"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landscape management, sustainable use of biodiversity, and drought resilience in the North and Far North regions of Cameroon</w:t>
            </w:r>
          </w:p>
        </w:tc>
        <w:tc>
          <w:tcPr>
            <w:tcW w:w="810" w:type="dxa"/>
            <w:noWrap/>
            <w:hideMark/>
          </w:tcPr>
          <w:p w14:paraId="6588816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0D8945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Cameroon</w:t>
            </w:r>
            <w:proofErr w:type="spellEnd"/>
          </w:p>
        </w:tc>
        <w:tc>
          <w:tcPr>
            <w:tcW w:w="990" w:type="dxa"/>
            <w:noWrap/>
            <w:hideMark/>
          </w:tcPr>
          <w:p w14:paraId="4FC0DF7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3548F7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B4E901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FFB1D2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3.44 </w:t>
            </w:r>
          </w:p>
        </w:tc>
        <w:tc>
          <w:tcPr>
            <w:tcW w:w="990" w:type="dxa"/>
            <w:noWrap/>
            <w:hideMark/>
          </w:tcPr>
          <w:p w14:paraId="7F99FD4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13.50 </w:t>
            </w:r>
          </w:p>
        </w:tc>
        <w:tc>
          <w:tcPr>
            <w:tcW w:w="900" w:type="dxa"/>
            <w:noWrap/>
            <w:hideMark/>
          </w:tcPr>
          <w:p w14:paraId="5195F7F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16.94 </w:t>
            </w:r>
          </w:p>
        </w:tc>
      </w:tr>
      <w:tr w:rsidR="00C0269A" w:rsidRPr="00C67737" w14:paraId="1E241154"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538B4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12088</w:t>
            </w:r>
          </w:p>
        </w:tc>
        <w:tc>
          <w:tcPr>
            <w:tcW w:w="5400" w:type="dxa"/>
            <w:noWrap/>
            <w:hideMark/>
          </w:tcPr>
          <w:p w14:paraId="7313E50F"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Southern Africa Great Green Wall Accelerator.</w:t>
            </w:r>
          </w:p>
        </w:tc>
        <w:tc>
          <w:tcPr>
            <w:tcW w:w="810" w:type="dxa"/>
            <w:noWrap/>
            <w:hideMark/>
          </w:tcPr>
          <w:p w14:paraId="5D475EF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AfDB</w:t>
            </w:r>
            <w:proofErr w:type="spellEnd"/>
          </w:p>
        </w:tc>
        <w:tc>
          <w:tcPr>
            <w:tcW w:w="990" w:type="dxa"/>
            <w:noWrap/>
            <w:hideMark/>
          </w:tcPr>
          <w:p w14:paraId="161326F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7C98CA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0A2660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D603D3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019ECE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4.37 </w:t>
            </w:r>
          </w:p>
        </w:tc>
        <w:tc>
          <w:tcPr>
            <w:tcW w:w="990" w:type="dxa"/>
            <w:noWrap/>
            <w:hideMark/>
          </w:tcPr>
          <w:p w14:paraId="2DA340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3.03 </w:t>
            </w:r>
          </w:p>
        </w:tc>
        <w:tc>
          <w:tcPr>
            <w:tcW w:w="900" w:type="dxa"/>
            <w:noWrap/>
            <w:hideMark/>
          </w:tcPr>
          <w:p w14:paraId="6AFD9AA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7.41 </w:t>
            </w:r>
          </w:p>
        </w:tc>
      </w:tr>
      <w:tr w:rsidR="00C0269A" w:rsidRPr="00C67737" w14:paraId="4277CD21"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B990C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12087</w:t>
            </w:r>
          </w:p>
        </w:tc>
        <w:tc>
          <w:tcPr>
            <w:tcW w:w="5400" w:type="dxa"/>
            <w:noWrap/>
            <w:hideMark/>
          </w:tcPr>
          <w:p w14:paraId="31F39375"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Blue-Green Atolls: Addressing Land Degradation, Groundwater Salinization &amp; Coastal Erosion in RMI via climate resilient strategies</w:t>
            </w:r>
          </w:p>
        </w:tc>
        <w:tc>
          <w:tcPr>
            <w:tcW w:w="810" w:type="dxa"/>
            <w:noWrap/>
            <w:hideMark/>
          </w:tcPr>
          <w:p w14:paraId="686CCA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0A8C45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Marshall </w:t>
            </w:r>
            <w:proofErr w:type="spellStart"/>
            <w:r w:rsidRPr="00C67737">
              <w:rPr>
                <w:rFonts w:eastAsia="Times New Roman" w:cstheme="minorHAnsi"/>
                <w:color w:val="000000"/>
                <w:sz w:val="16"/>
                <w:szCs w:val="16"/>
              </w:rPr>
              <w:t>Islands</w:t>
            </w:r>
            <w:proofErr w:type="spellEnd"/>
          </w:p>
        </w:tc>
        <w:tc>
          <w:tcPr>
            <w:tcW w:w="990" w:type="dxa"/>
            <w:noWrap/>
            <w:hideMark/>
          </w:tcPr>
          <w:p w14:paraId="55800D0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C7F8DF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SCCF-</w:t>
            </w:r>
            <w:r w:rsidRPr="00C67737">
              <w:rPr>
                <w:rFonts w:eastAsia="Times New Roman" w:cstheme="minorHAnsi"/>
                <w:color w:val="000000"/>
                <w:sz w:val="16"/>
                <w:szCs w:val="16"/>
              </w:rPr>
              <w:lastRenderedPageBreak/>
              <w:t>A, MTF</w:t>
            </w:r>
          </w:p>
        </w:tc>
        <w:tc>
          <w:tcPr>
            <w:tcW w:w="810" w:type="dxa"/>
            <w:noWrap/>
            <w:hideMark/>
          </w:tcPr>
          <w:p w14:paraId="34763C2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lastRenderedPageBreak/>
              <w:t>FSP</w:t>
            </w:r>
          </w:p>
        </w:tc>
        <w:tc>
          <w:tcPr>
            <w:tcW w:w="990" w:type="dxa"/>
            <w:noWrap/>
            <w:hideMark/>
          </w:tcPr>
          <w:p w14:paraId="36EFAFC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9.57 </w:t>
            </w:r>
          </w:p>
        </w:tc>
        <w:tc>
          <w:tcPr>
            <w:tcW w:w="990" w:type="dxa"/>
            <w:noWrap/>
            <w:hideMark/>
          </w:tcPr>
          <w:p w14:paraId="2437B49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38.50 </w:t>
            </w:r>
          </w:p>
        </w:tc>
        <w:tc>
          <w:tcPr>
            <w:tcW w:w="900" w:type="dxa"/>
            <w:noWrap/>
            <w:hideMark/>
          </w:tcPr>
          <w:p w14:paraId="0819023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48.07 </w:t>
            </w:r>
          </w:p>
        </w:tc>
      </w:tr>
      <w:tr w:rsidR="00C0269A" w:rsidRPr="00C67737" w14:paraId="39173EF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05453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12086</w:t>
            </w:r>
          </w:p>
        </w:tc>
        <w:tc>
          <w:tcPr>
            <w:tcW w:w="5400" w:type="dxa"/>
            <w:noWrap/>
            <w:hideMark/>
          </w:tcPr>
          <w:p w14:paraId="2A3CAA0B"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Resilient landscapes and Livelihoods through Integrated Landscape Management and Nature-Based Solutions in South Sudan</w:t>
            </w:r>
          </w:p>
        </w:tc>
        <w:tc>
          <w:tcPr>
            <w:tcW w:w="810" w:type="dxa"/>
            <w:noWrap/>
            <w:hideMark/>
          </w:tcPr>
          <w:p w14:paraId="74542CC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C46C4C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Sudan</w:t>
            </w:r>
            <w:proofErr w:type="spellEnd"/>
          </w:p>
        </w:tc>
        <w:tc>
          <w:tcPr>
            <w:tcW w:w="990" w:type="dxa"/>
            <w:noWrap/>
            <w:hideMark/>
          </w:tcPr>
          <w:p w14:paraId="21F700B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BE28BA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D152B9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036EF9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7.57 </w:t>
            </w:r>
          </w:p>
        </w:tc>
        <w:tc>
          <w:tcPr>
            <w:tcW w:w="990" w:type="dxa"/>
            <w:noWrap/>
            <w:hideMark/>
          </w:tcPr>
          <w:p w14:paraId="2693421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52.98 </w:t>
            </w:r>
          </w:p>
        </w:tc>
        <w:tc>
          <w:tcPr>
            <w:tcW w:w="900" w:type="dxa"/>
            <w:noWrap/>
            <w:hideMark/>
          </w:tcPr>
          <w:p w14:paraId="7A5C117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60.55 </w:t>
            </w:r>
          </w:p>
        </w:tc>
      </w:tr>
      <w:tr w:rsidR="00C0269A" w:rsidRPr="00C67737" w14:paraId="3FCB2A7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D7C59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12084</w:t>
            </w:r>
          </w:p>
        </w:tc>
        <w:tc>
          <w:tcPr>
            <w:tcW w:w="5400" w:type="dxa"/>
            <w:noWrap/>
            <w:hideMark/>
          </w:tcPr>
          <w:p w14:paraId="2FC3808E"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Introduction of climate smart agricultural (CSA) technologies in the District of </w:t>
            </w:r>
            <w:proofErr w:type="spellStart"/>
            <w:r w:rsidRPr="00D10503">
              <w:rPr>
                <w:rFonts w:eastAsia="Times New Roman" w:cstheme="minorHAnsi"/>
                <w:color w:val="000000"/>
                <w:sz w:val="16"/>
                <w:szCs w:val="16"/>
                <w:lang w:val="en-US"/>
              </w:rPr>
              <w:t>Coronie</w:t>
            </w:r>
            <w:proofErr w:type="spellEnd"/>
            <w:r w:rsidRPr="00D10503">
              <w:rPr>
                <w:rFonts w:eastAsia="Times New Roman" w:cstheme="minorHAnsi"/>
                <w:color w:val="000000"/>
                <w:sz w:val="16"/>
                <w:szCs w:val="16"/>
                <w:lang w:val="en-US"/>
              </w:rPr>
              <w:t xml:space="preserve"> to increase climate resilience</w:t>
            </w:r>
          </w:p>
        </w:tc>
        <w:tc>
          <w:tcPr>
            <w:tcW w:w="810" w:type="dxa"/>
            <w:noWrap/>
            <w:hideMark/>
          </w:tcPr>
          <w:p w14:paraId="7A278D7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A6C06A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Suriname</w:t>
            </w:r>
          </w:p>
        </w:tc>
        <w:tc>
          <w:tcPr>
            <w:tcW w:w="990" w:type="dxa"/>
            <w:noWrap/>
            <w:hideMark/>
          </w:tcPr>
          <w:p w14:paraId="7D48BD8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A9C34C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SCCF-A, MTF</w:t>
            </w:r>
          </w:p>
        </w:tc>
        <w:tc>
          <w:tcPr>
            <w:tcW w:w="810" w:type="dxa"/>
            <w:noWrap/>
            <w:hideMark/>
          </w:tcPr>
          <w:p w14:paraId="05A22BB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972AD8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3.20 </w:t>
            </w:r>
          </w:p>
        </w:tc>
        <w:tc>
          <w:tcPr>
            <w:tcW w:w="990" w:type="dxa"/>
            <w:noWrap/>
            <w:hideMark/>
          </w:tcPr>
          <w:p w14:paraId="7F78869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0.50 </w:t>
            </w:r>
          </w:p>
        </w:tc>
        <w:tc>
          <w:tcPr>
            <w:tcW w:w="900" w:type="dxa"/>
            <w:noWrap/>
            <w:hideMark/>
          </w:tcPr>
          <w:p w14:paraId="4DD0013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3.70 </w:t>
            </w:r>
          </w:p>
        </w:tc>
      </w:tr>
      <w:tr w:rsidR="00C0269A" w:rsidRPr="00C67737" w14:paraId="4B50A582"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29EE4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12083</w:t>
            </w:r>
          </w:p>
        </w:tc>
        <w:tc>
          <w:tcPr>
            <w:tcW w:w="5400" w:type="dxa"/>
            <w:noWrap/>
            <w:hideMark/>
          </w:tcPr>
          <w:p w14:paraId="13A5FC39"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Healthy and productive ecosystems for healthy and productive rural communities in DRC</w:t>
            </w:r>
          </w:p>
        </w:tc>
        <w:tc>
          <w:tcPr>
            <w:tcW w:w="810" w:type="dxa"/>
            <w:noWrap/>
            <w:hideMark/>
          </w:tcPr>
          <w:p w14:paraId="61C9CAA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56F7DF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Congo DR</w:t>
            </w:r>
          </w:p>
        </w:tc>
        <w:tc>
          <w:tcPr>
            <w:tcW w:w="990" w:type="dxa"/>
            <w:noWrap/>
            <w:hideMark/>
          </w:tcPr>
          <w:p w14:paraId="71407A1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199C7B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390547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303F7B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6.80 </w:t>
            </w:r>
          </w:p>
        </w:tc>
        <w:tc>
          <w:tcPr>
            <w:tcW w:w="990" w:type="dxa"/>
            <w:noWrap/>
            <w:hideMark/>
          </w:tcPr>
          <w:p w14:paraId="6A424B8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20.80 </w:t>
            </w:r>
          </w:p>
        </w:tc>
        <w:tc>
          <w:tcPr>
            <w:tcW w:w="900" w:type="dxa"/>
            <w:noWrap/>
            <w:hideMark/>
          </w:tcPr>
          <w:p w14:paraId="0C58F23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27.60 </w:t>
            </w:r>
          </w:p>
        </w:tc>
      </w:tr>
      <w:tr w:rsidR="00C0269A" w:rsidRPr="00C67737" w14:paraId="734B1B9F"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EA464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12082</w:t>
            </w:r>
          </w:p>
        </w:tc>
        <w:tc>
          <w:tcPr>
            <w:tcW w:w="5400" w:type="dxa"/>
            <w:noWrap/>
            <w:hideMark/>
          </w:tcPr>
          <w:p w14:paraId="09976B7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project to strengthen the resilience of vulnerable communities and ecosystems in a changing climate</w:t>
            </w:r>
          </w:p>
        </w:tc>
        <w:tc>
          <w:tcPr>
            <w:tcW w:w="810" w:type="dxa"/>
            <w:noWrap/>
            <w:hideMark/>
          </w:tcPr>
          <w:p w14:paraId="11025AF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268B26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259149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1C067A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D55C7B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EDC757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2A939EA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49.60 </w:t>
            </w:r>
          </w:p>
        </w:tc>
        <w:tc>
          <w:tcPr>
            <w:tcW w:w="900" w:type="dxa"/>
            <w:noWrap/>
            <w:hideMark/>
          </w:tcPr>
          <w:p w14:paraId="7C3AB55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59.60 </w:t>
            </w:r>
          </w:p>
        </w:tc>
      </w:tr>
      <w:tr w:rsidR="00C0269A" w:rsidRPr="00C67737" w14:paraId="1B26D0A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6FA75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12081</w:t>
            </w:r>
          </w:p>
        </w:tc>
        <w:tc>
          <w:tcPr>
            <w:tcW w:w="5400" w:type="dxa"/>
            <w:noWrap/>
            <w:hideMark/>
          </w:tcPr>
          <w:p w14:paraId="0D7267FB"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Enhancing Transboundary Water Resources Management through  sustainable financing and integrated management approaches in the </w:t>
            </w:r>
            <w:proofErr w:type="spellStart"/>
            <w:r w:rsidRPr="00D10503">
              <w:rPr>
                <w:rFonts w:eastAsia="Times New Roman" w:cstheme="minorHAnsi"/>
                <w:color w:val="000000"/>
                <w:sz w:val="16"/>
                <w:szCs w:val="16"/>
                <w:lang w:val="en-US"/>
              </w:rPr>
              <w:t>Cubango</w:t>
            </w:r>
            <w:proofErr w:type="spellEnd"/>
            <w:r w:rsidRPr="00D10503">
              <w:rPr>
                <w:rFonts w:eastAsia="Times New Roman" w:cstheme="minorHAnsi"/>
                <w:color w:val="000000"/>
                <w:sz w:val="16"/>
                <w:szCs w:val="16"/>
                <w:lang w:val="en-US"/>
              </w:rPr>
              <w:t>-Okavango River Basin.</w:t>
            </w:r>
          </w:p>
        </w:tc>
        <w:tc>
          <w:tcPr>
            <w:tcW w:w="810" w:type="dxa"/>
            <w:noWrap/>
            <w:hideMark/>
          </w:tcPr>
          <w:p w14:paraId="790BB9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1D1F81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F26D70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1014177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DD5D84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FD6C24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2CE912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16.25 </w:t>
            </w:r>
          </w:p>
        </w:tc>
        <w:tc>
          <w:tcPr>
            <w:tcW w:w="900" w:type="dxa"/>
            <w:noWrap/>
            <w:hideMark/>
          </w:tcPr>
          <w:p w14:paraId="046E6B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21.89 </w:t>
            </w:r>
          </w:p>
        </w:tc>
      </w:tr>
      <w:tr w:rsidR="00C0269A" w:rsidRPr="00C67737" w14:paraId="11A87DD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1F5E9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12076</w:t>
            </w:r>
          </w:p>
        </w:tc>
        <w:tc>
          <w:tcPr>
            <w:tcW w:w="5400" w:type="dxa"/>
            <w:noWrap/>
            <w:hideMark/>
          </w:tcPr>
          <w:p w14:paraId="3D7CFBC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China’s Green Shipping Transition Model and Demonstration</w:t>
            </w:r>
          </w:p>
        </w:tc>
        <w:tc>
          <w:tcPr>
            <w:tcW w:w="810" w:type="dxa"/>
            <w:noWrap/>
            <w:hideMark/>
          </w:tcPr>
          <w:p w14:paraId="7ED5011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4C971DA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5C5A65B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2FCFE9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EBFA9E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9E665A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19.03 </w:t>
            </w:r>
          </w:p>
        </w:tc>
        <w:tc>
          <w:tcPr>
            <w:tcW w:w="990" w:type="dxa"/>
            <w:noWrap/>
            <w:hideMark/>
          </w:tcPr>
          <w:p w14:paraId="46D683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158.29 </w:t>
            </w:r>
          </w:p>
        </w:tc>
        <w:tc>
          <w:tcPr>
            <w:tcW w:w="900" w:type="dxa"/>
            <w:noWrap/>
            <w:hideMark/>
          </w:tcPr>
          <w:p w14:paraId="2E8DD17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177.32 </w:t>
            </w:r>
          </w:p>
        </w:tc>
      </w:tr>
      <w:tr w:rsidR="00C0269A" w:rsidRPr="00C67737" w14:paraId="7B36F023"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F09E3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12074</w:t>
            </w:r>
          </w:p>
        </w:tc>
        <w:tc>
          <w:tcPr>
            <w:tcW w:w="5400" w:type="dxa"/>
            <w:noWrap/>
            <w:hideMark/>
          </w:tcPr>
          <w:p w14:paraId="34F34AA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Management of Critical Habitats, Coastal and Marine Ecosystems for Sustainable Blue Economy</w:t>
            </w:r>
          </w:p>
        </w:tc>
        <w:tc>
          <w:tcPr>
            <w:tcW w:w="810" w:type="dxa"/>
            <w:noWrap/>
            <w:hideMark/>
          </w:tcPr>
          <w:p w14:paraId="748491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CCA41D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164C4B2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7EB77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F619C8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EBE683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39B1E8C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43.26 </w:t>
            </w:r>
          </w:p>
        </w:tc>
        <w:tc>
          <w:tcPr>
            <w:tcW w:w="900" w:type="dxa"/>
            <w:noWrap/>
            <w:hideMark/>
          </w:tcPr>
          <w:p w14:paraId="793B83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49.26 </w:t>
            </w:r>
          </w:p>
        </w:tc>
      </w:tr>
      <w:tr w:rsidR="00C0269A" w:rsidRPr="00C67737" w14:paraId="6918A9DB"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A777C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12073</w:t>
            </w:r>
          </w:p>
        </w:tc>
        <w:tc>
          <w:tcPr>
            <w:tcW w:w="5400" w:type="dxa"/>
            <w:noWrap/>
            <w:hideMark/>
          </w:tcPr>
          <w:p w14:paraId="04AA2FDD"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Policy Coherence for a Sustainable Blue Economy in Indonesia</w:t>
            </w:r>
          </w:p>
        </w:tc>
        <w:tc>
          <w:tcPr>
            <w:tcW w:w="810" w:type="dxa"/>
            <w:noWrap/>
            <w:hideMark/>
          </w:tcPr>
          <w:p w14:paraId="0FFAD15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43E600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07F5FF4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34FE6E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B59A25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8B540C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4C827E4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75.00 </w:t>
            </w:r>
          </w:p>
        </w:tc>
        <w:tc>
          <w:tcPr>
            <w:tcW w:w="900" w:type="dxa"/>
            <w:noWrap/>
            <w:hideMark/>
          </w:tcPr>
          <w:p w14:paraId="4533A39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84.00 </w:t>
            </w:r>
          </w:p>
        </w:tc>
      </w:tr>
      <w:tr w:rsidR="00C0269A" w:rsidRPr="00C67737" w14:paraId="440BCB93"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391F0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12072</w:t>
            </w:r>
          </w:p>
        </w:tc>
        <w:tc>
          <w:tcPr>
            <w:tcW w:w="5400" w:type="dxa"/>
            <w:noWrap/>
            <w:hideMark/>
          </w:tcPr>
          <w:p w14:paraId="1467718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Resilient Integrated Livestock and Aquaculture Project (RILAP)</w:t>
            </w:r>
          </w:p>
        </w:tc>
        <w:tc>
          <w:tcPr>
            <w:tcW w:w="810" w:type="dxa"/>
            <w:noWrap/>
            <w:hideMark/>
          </w:tcPr>
          <w:p w14:paraId="5F7A63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7550350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Malawi</w:t>
            </w:r>
          </w:p>
        </w:tc>
        <w:tc>
          <w:tcPr>
            <w:tcW w:w="990" w:type="dxa"/>
            <w:noWrap/>
            <w:hideMark/>
          </w:tcPr>
          <w:p w14:paraId="210E32D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8C0527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528979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14B649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6.02 </w:t>
            </w:r>
          </w:p>
        </w:tc>
        <w:tc>
          <w:tcPr>
            <w:tcW w:w="990" w:type="dxa"/>
            <w:noWrap/>
            <w:hideMark/>
          </w:tcPr>
          <w:p w14:paraId="045E3F8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33.00 </w:t>
            </w:r>
          </w:p>
        </w:tc>
        <w:tc>
          <w:tcPr>
            <w:tcW w:w="900" w:type="dxa"/>
            <w:noWrap/>
            <w:hideMark/>
          </w:tcPr>
          <w:p w14:paraId="2EB72B7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39.02 </w:t>
            </w:r>
          </w:p>
        </w:tc>
      </w:tr>
      <w:tr w:rsidR="00C0269A" w:rsidRPr="00C67737" w14:paraId="7026592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8DA19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12070</w:t>
            </w:r>
          </w:p>
        </w:tc>
        <w:tc>
          <w:tcPr>
            <w:tcW w:w="5400" w:type="dxa"/>
            <w:noWrap/>
            <w:hideMark/>
          </w:tcPr>
          <w:p w14:paraId="3B7CF9DE"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Sustainable Land Management (SLM) in Ecosystems of the Gulf of Fonseca Region in Honduras Generates Environmental and Global Benefits</w:t>
            </w:r>
          </w:p>
        </w:tc>
        <w:tc>
          <w:tcPr>
            <w:tcW w:w="810" w:type="dxa"/>
            <w:noWrap/>
            <w:hideMark/>
          </w:tcPr>
          <w:p w14:paraId="448A95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399707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Honduras</w:t>
            </w:r>
          </w:p>
        </w:tc>
        <w:tc>
          <w:tcPr>
            <w:tcW w:w="990" w:type="dxa"/>
            <w:noWrap/>
            <w:hideMark/>
          </w:tcPr>
          <w:p w14:paraId="007C37F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387B8AB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685911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D1BA89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5.31 </w:t>
            </w:r>
          </w:p>
        </w:tc>
        <w:tc>
          <w:tcPr>
            <w:tcW w:w="990" w:type="dxa"/>
            <w:noWrap/>
            <w:hideMark/>
          </w:tcPr>
          <w:p w14:paraId="291ED01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31.77 </w:t>
            </w:r>
          </w:p>
        </w:tc>
        <w:tc>
          <w:tcPr>
            <w:tcW w:w="900" w:type="dxa"/>
            <w:noWrap/>
            <w:hideMark/>
          </w:tcPr>
          <w:p w14:paraId="1E20ECB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37.08 </w:t>
            </w:r>
          </w:p>
        </w:tc>
      </w:tr>
      <w:tr w:rsidR="00C0269A" w:rsidRPr="00C67737" w14:paraId="02FCD265"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375F9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12069</w:t>
            </w:r>
          </w:p>
        </w:tc>
        <w:tc>
          <w:tcPr>
            <w:tcW w:w="5400" w:type="dxa"/>
            <w:noWrap/>
            <w:hideMark/>
          </w:tcPr>
          <w:p w14:paraId="095A509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Unlocking Blue Pacific Prosperity (UBPP) through the Ocean Flagship</w:t>
            </w:r>
          </w:p>
        </w:tc>
        <w:tc>
          <w:tcPr>
            <w:tcW w:w="810" w:type="dxa"/>
            <w:noWrap/>
            <w:hideMark/>
          </w:tcPr>
          <w:p w14:paraId="68D3521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0E00A83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A418BB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4F98ACA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F23D0E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C1289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90" w:type="dxa"/>
            <w:noWrap/>
            <w:hideMark/>
          </w:tcPr>
          <w:p w14:paraId="3E3E8EA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102.71 </w:t>
            </w:r>
          </w:p>
        </w:tc>
        <w:tc>
          <w:tcPr>
            <w:tcW w:w="900" w:type="dxa"/>
            <w:noWrap/>
            <w:hideMark/>
          </w:tcPr>
          <w:p w14:paraId="00F2F06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122.71 </w:t>
            </w:r>
          </w:p>
        </w:tc>
      </w:tr>
      <w:tr w:rsidR="00C0269A" w:rsidRPr="00C67737" w14:paraId="3C080B47"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202AA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12066</w:t>
            </w:r>
          </w:p>
        </w:tc>
        <w:tc>
          <w:tcPr>
            <w:tcW w:w="5400" w:type="dxa"/>
            <w:noWrap/>
            <w:hideMark/>
          </w:tcPr>
          <w:p w14:paraId="45115CB0"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Accelerating Community-Led Actions for Ecosystem Resilience and Biodiversity Conservation Through Integrated Landscape Management (ACT)</w:t>
            </w:r>
          </w:p>
        </w:tc>
        <w:tc>
          <w:tcPr>
            <w:tcW w:w="810" w:type="dxa"/>
            <w:noWrap/>
            <w:hideMark/>
          </w:tcPr>
          <w:p w14:paraId="461D9B8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78E3C6A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5549F61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17304B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488759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214C40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7.28 </w:t>
            </w:r>
          </w:p>
        </w:tc>
        <w:tc>
          <w:tcPr>
            <w:tcW w:w="990" w:type="dxa"/>
            <w:noWrap/>
            <w:hideMark/>
          </w:tcPr>
          <w:p w14:paraId="71B2138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50.96 </w:t>
            </w:r>
          </w:p>
        </w:tc>
        <w:tc>
          <w:tcPr>
            <w:tcW w:w="900" w:type="dxa"/>
            <w:noWrap/>
            <w:hideMark/>
          </w:tcPr>
          <w:p w14:paraId="57A3A54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58.24 </w:t>
            </w:r>
          </w:p>
        </w:tc>
      </w:tr>
      <w:tr w:rsidR="00C0269A" w:rsidRPr="00C67737" w14:paraId="44E92BB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A57A0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12064</w:t>
            </w:r>
          </w:p>
        </w:tc>
        <w:tc>
          <w:tcPr>
            <w:tcW w:w="5400" w:type="dxa"/>
            <w:noWrap/>
            <w:hideMark/>
          </w:tcPr>
          <w:p w14:paraId="3646890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Promoting Policy Coherence through support for Brazil’s Ecological Transformation Plan</w:t>
            </w:r>
          </w:p>
        </w:tc>
        <w:tc>
          <w:tcPr>
            <w:tcW w:w="810" w:type="dxa"/>
            <w:noWrap/>
            <w:hideMark/>
          </w:tcPr>
          <w:p w14:paraId="4B0487E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7DE43A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74D6CB0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F38294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8938EB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FD7A0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7E2EB52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44.22 </w:t>
            </w:r>
          </w:p>
        </w:tc>
        <w:tc>
          <w:tcPr>
            <w:tcW w:w="900" w:type="dxa"/>
            <w:noWrap/>
            <w:hideMark/>
          </w:tcPr>
          <w:p w14:paraId="60E8253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53.22 </w:t>
            </w:r>
          </w:p>
        </w:tc>
      </w:tr>
      <w:tr w:rsidR="00C0269A" w:rsidRPr="00C67737" w14:paraId="61C82281"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3ED8C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12063</w:t>
            </w:r>
          </w:p>
        </w:tc>
        <w:tc>
          <w:tcPr>
            <w:tcW w:w="5400" w:type="dxa"/>
            <w:noWrap/>
            <w:hideMark/>
          </w:tcPr>
          <w:p w14:paraId="4610420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Mexico’s first national policy for deforestation-free and low-emission: transforming the livestock sector</w:t>
            </w:r>
          </w:p>
        </w:tc>
        <w:tc>
          <w:tcPr>
            <w:tcW w:w="810" w:type="dxa"/>
            <w:noWrap/>
            <w:hideMark/>
          </w:tcPr>
          <w:p w14:paraId="78C3108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E5D745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1245061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D07B47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BA3FD3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D36371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33EB6C5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64.20 </w:t>
            </w:r>
          </w:p>
        </w:tc>
        <w:tc>
          <w:tcPr>
            <w:tcW w:w="900" w:type="dxa"/>
            <w:noWrap/>
            <w:hideMark/>
          </w:tcPr>
          <w:p w14:paraId="69A7B49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73.20 </w:t>
            </w:r>
          </w:p>
        </w:tc>
      </w:tr>
      <w:tr w:rsidR="00C0269A" w:rsidRPr="00C67737" w14:paraId="0804D135"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E08F4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12061</w:t>
            </w:r>
          </w:p>
        </w:tc>
        <w:tc>
          <w:tcPr>
            <w:tcW w:w="5400" w:type="dxa"/>
            <w:noWrap/>
            <w:hideMark/>
          </w:tcPr>
          <w:p w14:paraId="22E627AF"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Policy Coherence for Supervision &amp; Management on China’s Key Ecological Spaces</w:t>
            </w:r>
          </w:p>
        </w:tc>
        <w:tc>
          <w:tcPr>
            <w:tcW w:w="810" w:type="dxa"/>
            <w:noWrap/>
            <w:hideMark/>
          </w:tcPr>
          <w:p w14:paraId="728D2C9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FECO</w:t>
            </w:r>
          </w:p>
        </w:tc>
        <w:tc>
          <w:tcPr>
            <w:tcW w:w="990" w:type="dxa"/>
            <w:noWrap/>
            <w:hideMark/>
          </w:tcPr>
          <w:p w14:paraId="2CF418F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2B6E5E2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441DB36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278AF6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AEE616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5.61 </w:t>
            </w:r>
          </w:p>
        </w:tc>
        <w:tc>
          <w:tcPr>
            <w:tcW w:w="990" w:type="dxa"/>
            <w:noWrap/>
            <w:hideMark/>
          </w:tcPr>
          <w:p w14:paraId="161B9BD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35.00 </w:t>
            </w:r>
          </w:p>
        </w:tc>
        <w:tc>
          <w:tcPr>
            <w:tcW w:w="900" w:type="dxa"/>
            <w:noWrap/>
            <w:hideMark/>
          </w:tcPr>
          <w:p w14:paraId="3C363E6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40.61 </w:t>
            </w:r>
          </w:p>
        </w:tc>
      </w:tr>
      <w:tr w:rsidR="00C0269A" w:rsidRPr="00C67737" w14:paraId="06BE93AF"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DAA54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12058</w:t>
            </w:r>
          </w:p>
        </w:tc>
        <w:tc>
          <w:tcPr>
            <w:tcW w:w="5400" w:type="dxa"/>
            <w:noWrap/>
            <w:hideMark/>
          </w:tcPr>
          <w:p w14:paraId="4E03C2DA"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proofErr w:type="spellStart"/>
            <w:r w:rsidRPr="00D10503">
              <w:rPr>
                <w:rFonts w:eastAsia="Times New Roman" w:cstheme="minorHAnsi"/>
                <w:color w:val="000000"/>
                <w:sz w:val="16"/>
                <w:szCs w:val="16"/>
                <w:lang w:val="en-US"/>
              </w:rPr>
              <w:t>Cubango</w:t>
            </w:r>
            <w:proofErr w:type="spellEnd"/>
            <w:r w:rsidRPr="00D10503">
              <w:rPr>
                <w:rFonts w:eastAsia="Times New Roman" w:cstheme="minorHAnsi"/>
                <w:color w:val="000000"/>
                <w:sz w:val="16"/>
                <w:szCs w:val="16"/>
                <w:lang w:val="en-US"/>
              </w:rPr>
              <w:t>-Okavango River Basin (CORB): Financing Innovation in Transboundary Waters</w:t>
            </w:r>
          </w:p>
        </w:tc>
        <w:tc>
          <w:tcPr>
            <w:tcW w:w="810" w:type="dxa"/>
            <w:noWrap/>
            <w:hideMark/>
          </w:tcPr>
          <w:p w14:paraId="0156FD2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013AF12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D4318A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2216753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29B41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919998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10.90 </w:t>
            </w:r>
          </w:p>
        </w:tc>
        <w:tc>
          <w:tcPr>
            <w:tcW w:w="990" w:type="dxa"/>
            <w:noWrap/>
            <w:hideMark/>
          </w:tcPr>
          <w:p w14:paraId="5623CB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312.96 </w:t>
            </w:r>
          </w:p>
        </w:tc>
        <w:tc>
          <w:tcPr>
            <w:tcW w:w="900" w:type="dxa"/>
            <w:noWrap/>
            <w:hideMark/>
          </w:tcPr>
          <w:p w14:paraId="36521A0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323.86 </w:t>
            </w:r>
          </w:p>
        </w:tc>
      </w:tr>
      <w:tr w:rsidR="00C0269A" w:rsidRPr="00C67737" w14:paraId="2B102653"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34591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12033</w:t>
            </w:r>
          </w:p>
        </w:tc>
        <w:tc>
          <w:tcPr>
            <w:tcW w:w="5400" w:type="dxa"/>
            <w:noWrap/>
            <w:hideMark/>
          </w:tcPr>
          <w:p w14:paraId="6B49DFB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Integrated Nature-Based Management of </w:t>
            </w:r>
            <w:proofErr w:type="spellStart"/>
            <w:r w:rsidRPr="00D10503">
              <w:rPr>
                <w:rFonts w:eastAsia="Times New Roman" w:cstheme="minorHAnsi"/>
                <w:color w:val="000000"/>
                <w:sz w:val="16"/>
                <w:szCs w:val="16"/>
                <w:lang w:val="en-US"/>
              </w:rPr>
              <w:t>Jaflong-Dawki</w:t>
            </w:r>
            <w:proofErr w:type="spellEnd"/>
            <w:r w:rsidRPr="00D10503">
              <w:rPr>
                <w:rFonts w:eastAsia="Times New Roman" w:cstheme="minorHAnsi"/>
                <w:color w:val="000000"/>
                <w:sz w:val="16"/>
                <w:szCs w:val="16"/>
                <w:lang w:val="en-US"/>
              </w:rPr>
              <w:t xml:space="preserve">, Cox’s Bazar-Teknaf Peninsula and </w:t>
            </w:r>
            <w:proofErr w:type="spellStart"/>
            <w:r w:rsidRPr="00D10503">
              <w:rPr>
                <w:rFonts w:eastAsia="Times New Roman" w:cstheme="minorHAnsi"/>
                <w:color w:val="000000"/>
                <w:sz w:val="16"/>
                <w:szCs w:val="16"/>
                <w:lang w:val="en-US"/>
              </w:rPr>
              <w:t>Sonadia</w:t>
            </w:r>
            <w:proofErr w:type="spellEnd"/>
            <w:r w:rsidRPr="00D10503">
              <w:rPr>
                <w:rFonts w:eastAsia="Times New Roman" w:cstheme="minorHAnsi"/>
                <w:color w:val="000000"/>
                <w:sz w:val="16"/>
                <w:szCs w:val="16"/>
                <w:lang w:val="en-US"/>
              </w:rPr>
              <w:t xml:space="preserve"> Ecologically Critical Areas (ECAs) in Bangladesh</w:t>
            </w:r>
          </w:p>
        </w:tc>
        <w:tc>
          <w:tcPr>
            <w:tcW w:w="810" w:type="dxa"/>
            <w:noWrap/>
            <w:hideMark/>
          </w:tcPr>
          <w:p w14:paraId="0C18DAC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08D05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Bangladesh</w:t>
            </w:r>
          </w:p>
        </w:tc>
        <w:tc>
          <w:tcPr>
            <w:tcW w:w="990" w:type="dxa"/>
            <w:noWrap/>
            <w:hideMark/>
          </w:tcPr>
          <w:p w14:paraId="2D16860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420D3C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A6917D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CC5575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10.38 </w:t>
            </w:r>
          </w:p>
        </w:tc>
        <w:tc>
          <w:tcPr>
            <w:tcW w:w="990" w:type="dxa"/>
            <w:noWrap/>
            <w:hideMark/>
          </w:tcPr>
          <w:p w14:paraId="39B3BD0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50.00 </w:t>
            </w:r>
          </w:p>
        </w:tc>
        <w:tc>
          <w:tcPr>
            <w:tcW w:w="900" w:type="dxa"/>
            <w:noWrap/>
            <w:hideMark/>
          </w:tcPr>
          <w:p w14:paraId="3F689B0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60.38 </w:t>
            </w:r>
          </w:p>
        </w:tc>
      </w:tr>
      <w:tr w:rsidR="00C0269A" w:rsidRPr="00C67737" w14:paraId="29A2779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9AFC4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12028</w:t>
            </w:r>
          </w:p>
        </w:tc>
        <w:tc>
          <w:tcPr>
            <w:tcW w:w="5400" w:type="dxa"/>
            <w:noWrap/>
            <w:hideMark/>
          </w:tcPr>
          <w:p w14:paraId="45CCACCC"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Securing Nature’s Contribution to People: Advancing Indigenous and Local Community Livelihoods, Cultural Practices, and Sustainable Land Management.</w:t>
            </w:r>
          </w:p>
        </w:tc>
        <w:tc>
          <w:tcPr>
            <w:tcW w:w="810" w:type="dxa"/>
            <w:noWrap/>
            <w:hideMark/>
          </w:tcPr>
          <w:p w14:paraId="580DDDC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701388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Africa</w:t>
            </w:r>
            <w:proofErr w:type="spellEnd"/>
          </w:p>
        </w:tc>
        <w:tc>
          <w:tcPr>
            <w:tcW w:w="990" w:type="dxa"/>
            <w:noWrap/>
            <w:hideMark/>
          </w:tcPr>
          <w:p w14:paraId="74E2D08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C66FFC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66F06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C6899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6.08 </w:t>
            </w:r>
          </w:p>
        </w:tc>
        <w:tc>
          <w:tcPr>
            <w:tcW w:w="990" w:type="dxa"/>
            <w:noWrap/>
            <w:hideMark/>
          </w:tcPr>
          <w:p w14:paraId="53DD09F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41.09 </w:t>
            </w:r>
          </w:p>
        </w:tc>
        <w:tc>
          <w:tcPr>
            <w:tcW w:w="900" w:type="dxa"/>
            <w:noWrap/>
            <w:hideMark/>
          </w:tcPr>
          <w:p w14:paraId="61D453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47.18 </w:t>
            </w:r>
          </w:p>
        </w:tc>
      </w:tr>
      <w:tr w:rsidR="00C0269A" w:rsidRPr="00C67737" w14:paraId="3BFA66E0"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D3A79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12014</w:t>
            </w:r>
          </w:p>
        </w:tc>
        <w:tc>
          <w:tcPr>
            <w:tcW w:w="5400" w:type="dxa"/>
            <w:noWrap/>
            <w:hideMark/>
          </w:tcPr>
          <w:p w14:paraId="4AD01DDF"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Coastal Adaptation and Resilience in Bangladesh (CARB)</w:t>
            </w:r>
          </w:p>
        </w:tc>
        <w:tc>
          <w:tcPr>
            <w:tcW w:w="810" w:type="dxa"/>
            <w:noWrap/>
            <w:hideMark/>
          </w:tcPr>
          <w:p w14:paraId="2D16D6B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037269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Bangladesh</w:t>
            </w:r>
          </w:p>
        </w:tc>
        <w:tc>
          <w:tcPr>
            <w:tcW w:w="990" w:type="dxa"/>
            <w:noWrap/>
            <w:hideMark/>
          </w:tcPr>
          <w:p w14:paraId="3ED0EE2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04C88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4328593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DF376D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9.80 </w:t>
            </w:r>
          </w:p>
        </w:tc>
        <w:tc>
          <w:tcPr>
            <w:tcW w:w="990" w:type="dxa"/>
            <w:noWrap/>
            <w:hideMark/>
          </w:tcPr>
          <w:p w14:paraId="0023B4A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7.63 </w:t>
            </w:r>
          </w:p>
        </w:tc>
        <w:tc>
          <w:tcPr>
            <w:tcW w:w="900" w:type="dxa"/>
            <w:noWrap/>
            <w:hideMark/>
          </w:tcPr>
          <w:p w14:paraId="74D575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17.43 </w:t>
            </w:r>
          </w:p>
        </w:tc>
      </w:tr>
      <w:tr w:rsidR="00C0269A" w:rsidRPr="00C67737" w14:paraId="6576BD7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496DF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12004</w:t>
            </w:r>
          </w:p>
        </w:tc>
        <w:tc>
          <w:tcPr>
            <w:tcW w:w="5400" w:type="dxa"/>
            <w:noWrap/>
            <w:hideMark/>
          </w:tcPr>
          <w:p w14:paraId="6C0CD80C"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Management of Small Island Landscapes and Seascapes in the Philippines (ISLAS)</w:t>
            </w:r>
          </w:p>
        </w:tc>
        <w:tc>
          <w:tcPr>
            <w:tcW w:w="810" w:type="dxa"/>
            <w:noWrap/>
            <w:hideMark/>
          </w:tcPr>
          <w:p w14:paraId="43C948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BED935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043A142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4322C6D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83347A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2509C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799D053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42.00 </w:t>
            </w:r>
          </w:p>
        </w:tc>
        <w:tc>
          <w:tcPr>
            <w:tcW w:w="900" w:type="dxa"/>
            <w:noWrap/>
            <w:hideMark/>
          </w:tcPr>
          <w:p w14:paraId="17DF1D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48.00 </w:t>
            </w:r>
          </w:p>
        </w:tc>
      </w:tr>
      <w:tr w:rsidR="00C0269A" w:rsidRPr="00C67737" w14:paraId="0A001AE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4F9D6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12003</w:t>
            </w:r>
          </w:p>
        </w:tc>
        <w:tc>
          <w:tcPr>
            <w:tcW w:w="5400" w:type="dxa"/>
            <w:noWrap/>
            <w:hideMark/>
          </w:tcPr>
          <w:p w14:paraId="64556495"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Biodiversity and Inclusive Governance for Resilience Karst Ecosystem and Community Livelihood (BIO-KARST)</w:t>
            </w:r>
          </w:p>
        </w:tc>
        <w:tc>
          <w:tcPr>
            <w:tcW w:w="810" w:type="dxa"/>
            <w:noWrap/>
            <w:hideMark/>
          </w:tcPr>
          <w:p w14:paraId="3B0099D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11BCF8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42F4A3B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E39762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D7590E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243C6C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5D2CAAB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00" w:type="dxa"/>
            <w:noWrap/>
            <w:hideMark/>
          </w:tcPr>
          <w:p w14:paraId="159ED93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r>
      <w:tr w:rsidR="00C0269A" w:rsidRPr="00C67737" w14:paraId="55B6FE0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14D66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12002</w:t>
            </w:r>
          </w:p>
        </w:tc>
        <w:tc>
          <w:tcPr>
            <w:tcW w:w="5400" w:type="dxa"/>
            <w:noWrap/>
            <w:hideMark/>
          </w:tcPr>
          <w:p w14:paraId="5772EA8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the Conservation of Cetaceans in Türkiye</w:t>
            </w:r>
          </w:p>
        </w:tc>
        <w:tc>
          <w:tcPr>
            <w:tcW w:w="810" w:type="dxa"/>
            <w:noWrap/>
            <w:hideMark/>
          </w:tcPr>
          <w:p w14:paraId="6E9B986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23288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Türkiye</w:t>
            </w:r>
          </w:p>
        </w:tc>
        <w:tc>
          <w:tcPr>
            <w:tcW w:w="990" w:type="dxa"/>
            <w:noWrap/>
            <w:hideMark/>
          </w:tcPr>
          <w:p w14:paraId="479B270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635277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038A81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89692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3.11 </w:t>
            </w:r>
          </w:p>
        </w:tc>
        <w:tc>
          <w:tcPr>
            <w:tcW w:w="990" w:type="dxa"/>
            <w:noWrap/>
            <w:hideMark/>
          </w:tcPr>
          <w:p w14:paraId="43818E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12.40 </w:t>
            </w:r>
          </w:p>
        </w:tc>
        <w:tc>
          <w:tcPr>
            <w:tcW w:w="900" w:type="dxa"/>
            <w:noWrap/>
            <w:hideMark/>
          </w:tcPr>
          <w:p w14:paraId="5C3E1BA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15.51 </w:t>
            </w:r>
          </w:p>
        </w:tc>
      </w:tr>
      <w:tr w:rsidR="00C0269A" w:rsidRPr="00C67737" w14:paraId="001BF689"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3B324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11999</w:t>
            </w:r>
          </w:p>
        </w:tc>
        <w:tc>
          <w:tcPr>
            <w:tcW w:w="5400" w:type="dxa"/>
            <w:noWrap/>
            <w:hideMark/>
          </w:tcPr>
          <w:p w14:paraId="42046CF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TDPS System 2 – SAP </w:t>
            </w:r>
            <w:proofErr w:type="spellStart"/>
            <w:r w:rsidRPr="00C67737">
              <w:rPr>
                <w:rFonts w:eastAsia="Times New Roman" w:cstheme="minorHAnsi"/>
                <w:color w:val="000000"/>
                <w:sz w:val="16"/>
                <w:szCs w:val="16"/>
              </w:rPr>
              <w:t>Implementation</w:t>
            </w:r>
            <w:proofErr w:type="spellEnd"/>
          </w:p>
        </w:tc>
        <w:tc>
          <w:tcPr>
            <w:tcW w:w="810" w:type="dxa"/>
            <w:noWrap/>
            <w:hideMark/>
          </w:tcPr>
          <w:p w14:paraId="3ED508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DBEE4A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F57C2F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14E09E0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81B7A3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12D4E2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621B04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64.07 </w:t>
            </w:r>
          </w:p>
        </w:tc>
        <w:tc>
          <w:tcPr>
            <w:tcW w:w="900" w:type="dxa"/>
            <w:noWrap/>
            <w:hideMark/>
          </w:tcPr>
          <w:p w14:paraId="4198059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72.07 </w:t>
            </w:r>
          </w:p>
        </w:tc>
      </w:tr>
      <w:tr w:rsidR="00C0269A" w:rsidRPr="00C67737" w14:paraId="3E166EA2"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CD967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11996</w:t>
            </w:r>
          </w:p>
        </w:tc>
        <w:tc>
          <w:tcPr>
            <w:tcW w:w="5400" w:type="dxa"/>
            <w:noWrap/>
            <w:hideMark/>
          </w:tcPr>
          <w:p w14:paraId="29127C59"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Accelerating Electronic Monitoring in Tuna Fisheries for Strengthening Transparency and Addressing Illegal, Unreported, and Unregulated Fishing (EM4IUU)</w:t>
            </w:r>
          </w:p>
        </w:tc>
        <w:tc>
          <w:tcPr>
            <w:tcW w:w="810" w:type="dxa"/>
            <w:noWrap/>
            <w:hideMark/>
          </w:tcPr>
          <w:p w14:paraId="453922C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BF7C18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AC70E7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318393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FC6F08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E0660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45AF342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50.00 </w:t>
            </w:r>
          </w:p>
        </w:tc>
        <w:tc>
          <w:tcPr>
            <w:tcW w:w="900" w:type="dxa"/>
            <w:noWrap/>
            <w:hideMark/>
          </w:tcPr>
          <w:p w14:paraId="6D71B41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56.00 </w:t>
            </w:r>
          </w:p>
        </w:tc>
      </w:tr>
      <w:tr w:rsidR="00C0269A" w:rsidRPr="00C67737" w14:paraId="7300FB8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9F10F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11995</w:t>
            </w:r>
          </w:p>
        </w:tc>
        <w:tc>
          <w:tcPr>
            <w:tcW w:w="5400" w:type="dxa"/>
            <w:noWrap/>
            <w:hideMark/>
          </w:tcPr>
          <w:p w14:paraId="5A5BDFC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Restoring the Degraded Habitats of Forested Areas in the Agricultural Landscapes of Northern Jordan</w:t>
            </w:r>
          </w:p>
        </w:tc>
        <w:tc>
          <w:tcPr>
            <w:tcW w:w="810" w:type="dxa"/>
            <w:noWrap/>
            <w:hideMark/>
          </w:tcPr>
          <w:p w14:paraId="11A59B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943E56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Jordan</w:t>
            </w:r>
          </w:p>
        </w:tc>
        <w:tc>
          <w:tcPr>
            <w:tcW w:w="990" w:type="dxa"/>
            <w:noWrap/>
            <w:hideMark/>
          </w:tcPr>
          <w:p w14:paraId="5CC3EFF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3D8B6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BD9B2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9A2D89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375BA96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6.05 </w:t>
            </w:r>
          </w:p>
        </w:tc>
        <w:tc>
          <w:tcPr>
            <w:tcW w:w="900" w:type="dxa"/>
            <w:noWrap/>
            <w:hideMark/>
          </w:tcPr>
          <w:p w14:paraId="527F26D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7.05 </w:t>
            </w:r>
          </w:p>
        </w:tc>
      </w:tr>
      <w:tr w:rsidR="00C0269A" w:rsidRPr="00C67737" w14:paraId="4E97DB22"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BFA2C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11989</w:t>
            </w:r>
          </w:p>
        </w:tc>
        <w:tc>
          <w:tcPr>
            <w:tcW w:w="5400" w:type="dxa"/>
            <w:noWrap/>
            <w:hideMark/>
          </w:tcPr>
          <w:p w14:paraId="5DD4494A"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Management of Permafrost Peatland in Northern China for Biodiversity Conservation and Climate Actions</w:t>
            </w:r>
          </w:p>
        </w:tc>
        <w:tc>
          <w:tcPr>
            <w:tcW w:w="810" w:type="dxa"/>
            <w:noWrap/>
            <w:hideMark/>
          </w:tcPr>
          <w:p w14:paraId="340C810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EBF185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6416059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BE25ED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65CE27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46844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0F0B2EB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42.00 </w:t>
            </w:r>
          </w:p>
        </w:tc>
        <w:tc>
          <w:tcPr>
            <w:tcW w:w="900" w:type="dxa"/>
            <w:noWrap/>
            <w:hideMark/>
          </w:tcPr>
          <w:p w14:paraId="3B0BCBD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50.00 </w:t>
            </w:r>
          </w:p>
        </w:tc>
      </w:tr>
      <w:tr w:rsidR="00C0269A" w:rsidRPr="00C67737" w14:paraId="2CD80F7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BE940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11988</w:t>
            </w:r>
          </w:p>
        </w:tc>
        <w:tc>
          <w:tcPr>
            <w:tcW w:w="5400" w:type="dxa"/>
            <w:noWrap/>
            <w:hideMark/>
          </w:tcPr>
          <w:p w14:paraId="54408603" w14:textId="3166C41F"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Implementation of the National Biosafety Framework in Uzbekistan in accordance with the Cartagena Protocol on Biosafety</w:t>
            </w:r>
          </w:p>
        </w:tc>
        <w:tc>
          <w:tcPr>
            <w:tcW w:w="810" w:type="dxa"/>
            <w:noWrap/>
            <w:hideMark/>
          </w:tcPr>
          <w:p w14:paraId="4A61FB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C09AC7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Uzbekistan</w:t>
            </w:r>
            <w:proofErr w:type="spellEnd"/>
          </w:p>
        </w:tc>
        <w:tc>
          <w:tcPr>
            <w:tcW w:w="990" w:type="dxa"/>
            <w:noWrap/>
            <w:hideMark/>
          </w:tcPr>
          <w:p w14:paraId="0A29A85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B2B24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132DCC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74D712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50F9AB7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00" w:type="dxa"/>
            <w:noWrap/>
            <w:hideMark/>
          </w:tcPr>
          <w:p w14:paraId="1534FC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r>
      <w:tr w:rsidR="00C0269A" w:rsidRPr="00C67737" w14:paraId="0B5806C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D68D1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11987</w:t>
            </w:r>
          </w:p>
        </w:tc>
        <w:tc>
          <w:tcPr>
            <w:tcW w:w="5400" w:type="dxa"/>
            <w:noWrap/>
            <w:hideMark/>
          </w:tcPr>
          <w:p w14:paraId="7CEEA58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Harnessing Natural Capital - Unlocking Zimbabwe's Biodiversity Potential in the </w:t>
            </w:r>
            <w:proofErr w:type="spellStart"/>
            <w:r w:rsidRPr="00D10503">
              <w:rPr>
                <w:rFonts w:eastAsia="Times New Roman" w:cstheme="minorHAnsi"/>
                <w:color w:val="000000"/>
                <w:sz w:val="16"/>
                <w:szCs w:val="16"/>
                <w:lang w:val="en-US"/>
              </w:rPr>
              <w:t>Sebungwe</w:t>
            </w:r>
            <w:proofErr w:type="spellEnd"/>
            <w:r w:rsidRPr="00D10503">
              <w:rPr>
                <w:rFonts w:eastAsia="Times New Roman" w:cstheme="minorHAnsi"/>
                <w:color w:val="000000"/>
                <w:sz w:val="16"/>
                <w:szCs w:val="16"/>
                <w:lang w:val="en-US"/>
              </w:rPr>
              <w:t xml:space="preserve"> Landscape</w:t>
            </w:r>
          </w:p>
        </w:tc>
        <w:tc>
          <w:tcPr>
            <w:tcW w:w="810" w:type="dxa"/>
            <w:noWrap/>
            <w:hideMark/>
          </w:tcPr>
          <w:p w14:paraId="6A51430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A85175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Zimbabwe</w:t>
            </w:r>
          </w:p>
        </w:tc>
        <w:tc>
          <w:tcPr>
            <w:tcW w:w="990" w:type="dxa"/>
            <w:noWrap/>
            <w:hideMark/>
          </w:tcPr>
          <w:p w14:paraId="6EDC6BF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926F85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712D7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8E55A2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6.39 </w:t>
            </w:r>
          </w:p>
        </w:tc>
        <w:tc>
          <w:tcPr>
            <w:tcW w:w="990" w:type="dxa"/>
            <w:noWrap/>
            <w:hideMark/>
          </w:tcPr>
          <w:p w14:paraId="11BF662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25.58 </w:t>
            </w:r>
          </w:p>
        </w:tc>
        <w:tc>
          <w:tcPr>
            <w:tcW w:w="900" w:type="dxa"/>
            <w:noWrap/>
            <w:hideMark/>
          </w:tcPr>
          <w:p w14:paraId="76BEA8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31.97 </w:t>
            </w:r>
          </w:p>
        </w:tc>
      </w:tr>
      <w:tr w:rsidR="00C0269A" w:rsidRPr="00C67737" w14:paraId="1101847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07BAB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11986</w:t>
            </w:r>
          </w:p>
        </w:tc>
        <w:tc>
          <w:tcPr>
            <w:tcW w:w="5400" w:type="dxa"/>
            <w:noWrap/>
            <w:hideMark/>
          </w:tcPr>
          <w:p w14:paraId="02928C1F"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Enabling Pathways for Long-term Low Emission Development Strategies for the Built Environment in India</w:t>
            </w:r>
          </w:p>
        </w:tc>
        <w:tc>
          <w:tcPr>
            <w:tcW w:w="810" w:type="dxa"/>
            <w:noWrap/>
            <w:hideMark/>
          </w:tcPr>
          <w:p w14:paraId="4B1636F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E48447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2576FDF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60FAC9A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017A18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59B996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5.62 </w:t>
            </w:r>
          </w:p>
        </w:tc>
        <w:tc>
          <w:tcPr>
            <w:tcW w:w="990" w:type="dxa"/>
            <w:noWrap/>
            <w:hideMark/>
          </w:tcPr>
          <w:p w14:paraId="6D59899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25.05 </w:t>
            </w:r>
          </w:p>
        </w:tc>
        <w:tc>
          <w:tcPr>
            <w:tcW w:w="900" w:type="dxa"/>
            <w:noWrap/>
            <w:hideMark/>
          </w:tcPr>
          <w:p w14:paraId="1F01540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30.67 </w:t>
            </w:r>
          </w:p>
        </w:tc>
      </w:tr>
      <w:tr w:rsidR="00C0269A" w:rsidRPr="00C67737" w14:paraId="091FF03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43564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11981</w:t>
            </w:r>
          </w:p>
        </w:tc>
        <w:tc>
          <w:tcPr>
            <w:tcW w:w="5400" w:type="dxa"/>
            <w:noWrap/>
            <w:hideMark/>
          </w:tcPr>
          <w:p w14:paraId="6C515FC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Restoration through Science-based Execution and Established Biodiverse Registry for Degraded Ecosystems in Protected Areas and Broader Landscapes in the Philippines (</w:t>
            </w:r>
            <w:proofErr w:type="spellStart"/>
            <w:r w:rsidRPr="00D10503">
              <w:rPr>
                <w:rFonts w:eastAsia="Times New Roman" w:cstheme="minorHAnsi"/>
                <w:color w:val="000000"/>
                <w:sz w:val="16"/>
                <w:szCs w:val="16"/>
                <w:lang w:val="en-US"/>
              </w:rPr>
              <w:t>RESEEDPh</w:t>
            </w:r>
            <w:proofErr w:type="spellEnd"/>
            <w:r w:rsidRPr="00D10503">
              <w:rPr>
                <w:rFonts w:eastAsia="Times New Roman" w:cstheme="minorHAnsi"/>
                <w:color w:val="000000"/>
                <w:sz w:val="16"/>
                <w:szCs w:val="16"/>
                <w:lang w:val="en-US"/>
              </w:rPr>
              <w:t>)</w:t>
            </w:r>
          </w:p>
        </w:tc>
        <w:tc>
          <w:tcPr>
            <w:tcW w:w="810" w:type="dxa"/>
            <w:noWrap/>
            <w:hideMark/>
          </w:tcPr>
          <w:p w14:paraId="08D3E61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442E723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44DFB55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53CA7E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301B52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38EDB5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3.28 </w:t>
            </w:r>
          </w:p>
        </w:tc>
        <w:tc>
          <w:tcPr>
            <w:tcW w:w="990" w:type="dxa"/>
            <w:noWrap/>
            <w:hideMark/>
          </w:tcPr>
          <w:p w14:paraId="5A81EB2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8.60 </w:t>
            </w:r>
          </w:p>
        </w:tc>
        <w:tc>
          <w:tcPr>
            <w:tcW w:w="900" w:type="dxa"/>
            <w:noWrap/>
            <w:hideMark/>
          </w:tcPr>
          <w:p w14:paraId="452720B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11.88 </w:t>
            </w:r>
          </w:p>
        </w:tc>
      </w:tr>
      <w:tr w:rsidR="00C0269A" w:rsidRPr="00C67737" w14:paraId="6D9CF67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503E7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11979</w:t>
            </w:r>
          </w:p>
        </w:tc>
        <w:tc>
          <w:tcPr>
            <w:tcW w:w="5400" w:type="dxa"/>
            <w:noWrap/>
            <w:hideMark/>
          </w:tcPr>
          <w:p w14:paraId="0679EB39"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Valuing resilience: building capacity for smallholder farmers and agribusinesses in East Africa to </w:t>
            </w:r>
            <w:proofErr w:type="spellStart"/>
            <w:r w:rsidRPr="00D10503">
              <w:rPr>
                <w:rFonts w:eastAsia="Times New Roman" w:cstheme="minorHAnsi"/>
                <w:color w:val="000000"/>
                <w:sz w:val="16"/>
                <w:szCs w:val="16"/>
                <w:lang w:val="en-US"/>
              </w:rPr>
              <w:t>monetise</w:t>
            </w:r>
            <w:proofErr w:type="spellEnd"/>
            <w:r w:rsidRPr="00D10503">
              <w:rPr>
                <w:rFonts w:eastAsia="Times New Roman" w:cstheme="minorHAnsi"/>
                <w:color w:val="000000"/>
                <w:sz w:val="16"/>
                <w:szCs w:val="16"/>
                <w:lang w:val="en-US"/>
              </w:rPr>
              <w:t xml:space="preserve"> climate resilience outcomes</w:t>
            </w:r>
          </w:p>
        </w:tc>
        <w:tc>
          <w:tcPr>
            <w:tcW w:w="810" w:type="dxa"/>
            <w:noWrap/>
            <w:hideMark/>
          </w:tcPr>
          <w:p w14:paraId="0E41AAD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DBSA</w:t>
            </w:r>
          </w:p>
        </w:tc>
        <w:tc>
          <w:tcPr>
            <w:tcW w:w="990" w:type="dxa"/>
            <w:noWrap/>
            <w:hideMark/>
          </w:tcPr>
          <w:p w14:paraId="08430E3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F84F1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A400A6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 SCCF-B, MTF</w:t>
            </w:r>
          </w:p>
        </w:tc>
        <w:tc>
          <w:tcPr>
            <w:tcW w:w="810" w:type="dxa"/>
            <w:noWrap/>
            <w:hideMark/>
          </w:tcPr>
          <w:p w14:paraId="05DCA83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D2E8E8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7E200D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0.94 </w:t>
            </w:r>
          </w:p>
        </w:tc>
        <w:tc>
          <w:tcPr>
            <w:tcW w:w="900" w:type="dxa"/>
            <w:noWrap/>
            <w:hideMark/>
          </w:tcPr>
          <w:p w14:paraId="2EBEED2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1.94 </w:t>
            </w:r>
          </w:p>
        </w:tc>
      </w:tr>
      <w:tr w:rsidR="00C0269A" w:rsidRPr="00C67737" w14:paraId="64BD5F73"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A8126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11978</w:t>
            </w:r>
          </w:p>
        </w:tc>
        <w:tc>
          <w:tcPr>
            <w:tcW w:w="5400" w:type="dxa"/>
            <w:noWrap/>
            <w:hideMark/>
          </w:tcPr>
          <w:p w14:paraId="7FD6542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Adaptation Innovation </w:t>
            </w:r>
            <w:proofErr w:type="spellStart"/>
            <w:r w:rsidRPr="00C67737">
              <w:rPr>
                <w:rFonts w:eastAsia="Times New Roman" w:cstheme="minorHAnsi"/>
                <w:color w:val="000000"/>
                <w:sz w:val="16"/>
                <w:szCs w:val="16"/>
              </w:rPr>
              <w:t>through</w:t>
            </w:r>
            <w:proofErr w:type="spellEnd"/>
            <w:r w:rsidRPr="00C67737">
              <w:rPr>
                <w:rFonts w:eastAsia="Times New Roman" w:cstheme="minorHAnsi"/>
                <w:color w:val="000000"/>
                <w:sz w:val="16"/>
                <w:szCs w:val="16"/>
              </w:rPr>
              <w:t xml:space="preserve"> Emissions </w:t>
            </w:r>
            <w:proofErr w:type="spellStart"/>
            <w:r w:rsidRPr="00C67737">
              <w:rPr>
                <w:rFonts w:eastAsia="Times New Roman" w:cstheme="minorHAnsi"/>
                <w:color w:val="000000"/>
                <w:sz w:val="16"/>
                <w:szCs w:val="16"/>
              </w:rPr>
              <w:t>Reductions</w:t>
            </w:r>
            <w:proofErr w:type="spell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Traditional</w:t>
            </w:r>
            <w:proofErr w:type="spellEnd"/>
            <w:r w:rsidRPr="00C67737">
              <w:rPr>
                <w:rFonts w:eastAsia="Times New Roman" w:cstheme="minorHAnsi"/>
                <w:color w:val="000000"/>
                <w:sz w:val="16"/>
                <w:szCs w:val="16"/>
              </w:rPr>
              <w:t xml:space="preserve"> Fire Management</w:t>
            </w:r>
          </w:p>
        </w:tc>
        <w:tc>
          <w:tcPr>
            <w:tcW w:w="810" w:type="dxa"/>
            <w:noWrap/>
            <w:hideMark/>
          </w:tcPr>
          <w:p w14:paraId="5C6837F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DBSA</w:t>
            </w:r>
          </w:p>
        </w:tc>
        <w:tc>
          <w:tcPr>
            <w:tcW w:w="990" w:type="dxa"/>
            <w:noWrap/>
            <w:hideMark/>
          </w:tcPr>
          <w:p w14:paraId="25389F4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84353B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9F0578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345B603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085F27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1.81 </w:t>
            </w:r>
          </w:p>
        </w:tc>
        <w:tc>
          <w:tcPr>
            <w:tcW w:w="990" w:type="dxa"/>
            <w:noWrap/>
            <w:hideMark/>
          </w:tcPr>
          <w:p w14:paraId="1DB3C80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0.80 </w:t>
            </w:r>
          </w:p>
        </w:tc>
        <w:tc>
          <w:tcPr>
            <w:tcW w:w="900" w:type="dxa"/>
            <w:noWrap/>
            <w:hideMark/>
          </w:tcPr>
          <w:p w14:paraId="150E682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2.61 </w:t>
            </w:r>
          </w:p>
        </w:tc>
      </w:tr>
      <w:tr w:rsidR="00C0269A" w:rsidRPr="00C67737" w14:paraId="054A92F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03B81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11976</w:t>
            </w:r>
          </w:p>
        </w:tc>
        <w:tc>
          <w:tcPr>
            <w:tcW w:w="5400" w:type="dxa"/>
            <w:noWrap/>
            <w:hideMark/>
          </w:tcPr>
          <w:p w14:paraId="39BA00C1"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Promotion of sustainable rangeland management and restoration strategies and practices in the northwest coastal region of Egypt</w:t>
            </w:r>
          </w:p>
        </w:tc>
        <w:tc>
          <w:tcPr>
            <w:tcW w:w="810" w:type="dxa"/>
            <w:noWrap/>
            <w:hideMark/>
          </w:tcPr>
          <w:p w14:paraId="2FBBC10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0E83BD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Egypt</w:t>
            </w:r>
          </w:p>
        </w:tc>
        <w:tc>
          <w:tcPr>
            <w:tcW w:w="990" w:type="dxa"/>
            <w:noWrap/>
            <w:hideMark/>
          </w:tcPr>
          <w:p w14:paraId="784CD0A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35EE0BF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84E90B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911E7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4EF6E6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12.29 </w:t>
            </w:r>
          </w:p>
        </w:tc>
        <w:tc>
          <w:tcPr>
            <w:tcW w:w="900" w:type="dxa"/>
            <w:noWrap/>
            <w:hideMark/>
          </w:tcPr>
          <w:p w14:paraId="70FBC1E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14.29 </w:t>
            </w:r>
          </w:p>
        </w:tc>
      </w:tr>
      <w:tr w:rsidR="00C0269A" w:rsidRPr="00C67737" w14:paraId="532FDA9D"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F4AB5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11968</w:t>
            </w:r>
          </w:p>
        </w:tc>
        <w:tc>
          <w:tcPr>
            <w:tcW w:w="5400" w:type="dxa"/>
            <w:noWrap/>
            <w:hideMark/>
          </w:tcPr>
          <w:p w14:paraId="7D5D85A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Transboundary Water Support through the Global Facility for Transboundary Water Cooperation</w:t>
            </w:r>
          </w:p>
        </w:tc>
        <w:tc>
          <w:tcPr>
            <w:tcW w:w="810" w:type="dxa"/>
            <w:noWrap/>
            <w:hideMark/>
          </w:tcPr>
          <w:p w14:paraId="07DE986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0189EE8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38F961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67DD84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4DF250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F9C37A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571132F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21.20 </w:t>
            </w:r>
          </w:p>
        </w:tc>
        <w:tc>
          <w:tcPr>
            <w:tcW w:w="900" w:type="dxa"/>
            <w:noWrap/>
            <w:hideMark/>
          </w:tcPr>
          <w:p w14:paraId="49DD8B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26.20 </w:t>
            </w:r>
          </w:p>
        </w:tc>
      </w:tr>
      <w:tr w:rsidR="00C0269A" w:rsidRPr="00C67737" w14:paraId="28019E15"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E2A08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11967</w:t>
            </w:r>
          </w:p>
        </w:tc>
        <w:tc>
          <w:tcPr>
            <w:tcW w:w="5400" w:type="dxa"/>
            <w:noWrap/>
            <w:hideMark/>
          </w:tcPr>
          <w:p w14:paraId="2A34958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Sustainable Wildlife Management and Resilient Communities in the Greater </w:t>
            </w:r>
            <w:proofErr w:type="spellStart"/>
            <w:r w:rsidRPr="00D10503">
              <w:rPr>
                <w:rFonts w:eastAsia="Times New Roman" w:cstheme="minorHAnsi"/>
                <w:color w:val="000000"/>
                <w:sz w:val="16"/>
                <w:szCs w:val="16"/>
                <w:lang w:val="en-US"/>
              </w:rPr>
              <w:t>Ruaha</w:t>
            </w:r>
            <w:proofErr w:type="spellEnd"/>
            <w:r w:rsidRPr="00D10503">
              <w:rPr>
                <w:rFonts w:eastAsia="Times New Roman" w:cstheme="minorHAnsi"/>
                <w:color w:val="000000"/>
                <w:sz w:val="16"/>
                <w:szCs w:val="16"/>
                <w:lang w:val="en-US"/>
              </w:rPr>
              <w:t>-Katavi Landscape of Tanzania</w:t>
            </w:r>
          </w:p>
        </w:tc>
        <w:tc>
          <w:tcPr>
            <w:tcW w:w="810" w:type="dxa"/>
            <w:noWrap/>
            <w:hideMark/>
          </w:tcPr>
          <w:p w14:paraId="3E5886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53A1EE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01BF74B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8EDFF5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D69FC3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5FE60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3.56 </w:t>
            </w:r>
          </w:p>
        </w:tc>
        <w:tc>
          <w:tcPr>
            <w:tcW w:w="990" w:type="dxa"/>
            <w:noWrap/>
            <w:hideMark/>
          </w:tcPr>
          <w:p w14:paraId="3AD3FAC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10.90 </w:t>
            </w:r>
          </w:p>
        </w:tc>
        <w:tc>
          <w:tcPr>
            <w:tcW w:w="900" w:type="dxa"/>
            <w:noWrap/>
            <w:hideMark/>
          </w:tcPr>
          <w:p w14:paraId="7149670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14.46 </w:t>
            </w:r>
          </w:p>
        </w:tc>
      </w:tr>
      <w:tr w:rsidR="00C0269A" w:rsidRPr="00C67737" w14:paraId="2C2C0E75"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1A43E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11966</w:t>
            </w:r>
          </w:p>
        </w:tc>
        <w:tc>
          <w:tcPr>
            <w:tcW w:w="5400" w:type="dxa"/>
            <w:noWrap/>
            <w:hideMark/>
          </w:tcPr>
          <w:p w14:paraId="47ABB83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community-based landscape management and nature-based actions to Restore Degraded Ecosystems and Promote Livelihoods Resilience in the Western Highlands and Center region of Cameroon</w:t>
            </w:r>
          </w:p>
        </w:tc>
        <w:tc>
          <w:tcPr>
            <w:tcW w:w="810" w:type="dxa"/>
            <w:noWrap/>
            <w:hideMark/>
          </w:tcPr>
          <w:p w14:paraId="21C6811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7529C1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Cameroon</w:t>
            </w:r>
            <w:proofErr w:type="spellEnd"/>
          </w:p>
        </w:tc>
        <w:tc>
          <w:tcPr>
            <w:tcW w:w="990" w:type="dxa"/>
            <w:noWrap/>
            <w:hideMark/>
          </w:tcPr>
          <w:p w14:paraId="173B885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61EAEF0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CE02BC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EFBEAB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3.26 </w:t>
            </w:r>
          </w:p>
        </w:tc>
        <w:tc>
          <w:tcPr>
            <w:tcW w:w="990" w:type="dxa"/>
            <w:noWrap/>
            <w:hideMark/>
          </w:tcPr>
          <w:p w14:paraId="7167AF7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23.00 </w:t>
            </w:r>
          </w:p>
        </w:tc>
        <w:tc>
          <w:tcPr>
            <w:tcW w:w="900" w:type="dxa"/>
            <w:noWrap/>
            <w:hideMark/>
          </w:tcPr>
          <w:p w14:paraId="31C34B4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26.26 </w:t>
            </w:r>
          </w:p>
        </w:tc>
      </w:tr>
      <w:tr w:rsidR="00C0269A" w:rsidRPr="00C67737" w14:paraId="49819832"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33574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11965</w:t>
            </w:r>
          </w:p>
        </w:tc>
        <w:tc>
          <w:tcPr>
            <w:tcW w:w="5400" w:type="dxa"/>
            <w:noWrap/>
            <w:hideMark/>
          </w:tcPr>
          <w:p w14:paraId="19A8F2A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Nature Positive Renewable Energy Development in Egypt</w:t>
            </w:r>
          </w:p>
        </w:tc>
        <w:tc>
          <w:tcPr>
            <w:tcW w:w="810" w:type="dxa"/>
            <w:noWrap/>
            <w:hideMark/>
          </w:tcPr>
          <w:p w14:paraId="0172983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4452B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Egypt</w:t>
            </w:r>
          </w:p>
        </w:tc>
        <w:tc>
          <w:tcPr>
            <w:tcW w:w="990" w:type="dxa"/>
            <w:noWrap/>
            <w:hideMark/>
          </w:tcPr>
          <w:p w14:paraId="0CB1F4D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209C83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C5380D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A83CFC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2.60 </w:t>
            </w:r>
          </w:p>
        </w:tc>
        <w:tc>
          <w:tcPr>
            <w:tcW w:w="990" w:type="dxa"/>
            <w:noWrap/>
            <w:hideMark/>
          </w:tcPr>
          <w:p w14:paraId="0DC5EE2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17.37 </w:t>
            </w:r>
          </w:p>
        </w:tc>
        <w:tc>
          <w:tcPr>
            <w:tcW w:w="900" w:type="dxa"/>
            <w:noWrap/>
            <w:hideMark/>
          </w:tcPr>
          <w:p w14:paraId="7D4E8C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19.97 </w:t>
            </w:r>
          </w:p>
        </w:tc>
      </w:tr>
      <w:tr w:rsidR="00C0269A" w:rsidRPr="00C67737" w14:paraId="5C745BBB"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B89B3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11955</w:t>
            </w:r>
          </w:p>
        </w:tc>
        <w:tc>
          <w:tcPr>
            <w:tcW w:w="5400" w:type="dxa"/>
            <w:noWrap/>
            <w:hideMark/>
          </w:tcPr>
          <w:p w14:paraId="442874A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proofErr w:type="spellStart"/>
            <w:r w:rsidRPr="00D10503">
              <w:rPr>
                <w:rFonts w:eastAsia="Times New Roman" w:cstheme="minorHAnsi"/>
                <w:color w:val="000000"/>
                <w:sz w:val="16"/>
                <w:szCs w:val="16"/>
                <w:lang w:val="en-US"/>
              </w:rPr>
              <w:t>PlanetGold</w:t>
            </w:r>
            <w:proofErr w:type="spellEnd"/>
            <w:r w:rsidRPr="00D10503">
              <w:rPr>
                <w:rFonts w:eastAsia="Times New Roman" w:cstheme="minorHAnsi"/>
                <w:color w:val="000000"/>
                <w:sz w:val="16"/>
                <w:szCs w:val="16"/>
                <w:lang w:val="en-US"/>
              </w:rPr>
              <w:t xml:space="preserve"> Cameroon - Advancing formalization and mercury reduction in artisanal and small-scale gold mining</w:t>
            </w:r>
          </w:p>
        </w:tc>
        <w:tc>
          <w:tcPr>
            <w:tcW w:w="810" w:type="dxa"/>
            <w:noWrap/>
            <w:hideMark/>
          </w:tcPr>
          <w:p w14:paraId="5F0F664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6CD2D20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Cameroon</w:t>
            </w:r>
            <w:proofErr w:type="spellEnd"/>
          </w:p>
        </w:tc>
        <w:tc>
          <w:tcPr>
            <w:tcW w:w="990" w:type="dxa"/>
            <w:noWrap/>
            <w:hideMark/>
          </w:tcPr>
          <w:p w14:paraId="6ED077D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4E9335F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08A5F7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77CE8B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5.15 </w:t>
            </w:r>
          </w:p>
        </w:tc>
        <w:tc>
          <w:tcPr>
            <w:tcW w:w="990" w:type="dxa"/>
            <w:noWrap/>
            <w:hideMark/>
          </w:tcPr>
          <w:p w14:paraId="6DF88C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30.00 </w:t>
            </w:r>
          </w:p>
        </w:tc>
        <w:tc>
          <w:tcPr>
            <w:tcW w:w="900" w:type="dxa"/>
            <w:noWrap/>
            <w:hideMark/>
          </w:tcPr>
          <w:p w14:paraId="733F3F8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35.15 </w:t>
            </w:r>
          </w:p>
        </w:tc>
      </w:tr>
      <w:tr w:rsidR="00C0269A" w:rsidRPr="00C67737" w14:paraId="1C5A61A2"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EFF85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11952</w:t>
            </w:r>
          </w:p>
        </w:tc>
        <w:tc>
          <w:tcPr>
            <w:tcW w:w="5400" w:type="dxa"/>
            <w:noWrap/>
            <w:hideMark/>
          </w:tcPr>
          <w:p w14:paraId="6F17E30C"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 Food Waste Breakthrough: Methane Mitigation</w:t>
            </w:r>
          </w:p>
        </w:tc>
        <w:tc>
          <w:tcPr>
            <w:tcW w:w="810" w:type="dxa"/>
            <w:noWrap/>
            <w:hideMark/>
          </w:tcPr>
          <w:p w14:paraId="026E267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6C76F3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C034B3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6569FFA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E80C49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D02AD6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0AC3D68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11.46 </w:t>
            </w:r>
          </w:p>
        </w:tc>
        <w:tc>
          <w:tcPr>
            <w:tcW w:w="900" w:type="dxa"/>
            <w:noWrap/>
            <w:hideMark/>
          </w:tcPr>
          <w:p w14:paraId="160A187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14.46 </w:t>
            </w:r>
          </w:p>
        </w:tc>
      </w:tr>
      <w:tr w:rsidR="00C0269A" w:rsidRPr="00C67737" w14:paraId="1A26A9B7"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603EB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11951</w:t>
            </w:r>
          </w:p>
        </w:tc>
        <w:tc>
          <w:tcPr>
            <w:tcW w:w="5400" w:type="dxa"/>
            <w:noWrap/>
            <w:hideMark/>
          </w:tcPr>
          <w:p w14:paraId="5153F662"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Soil Management for Resilience and Sustainability in Morocco</w:t>
            </w:r>
          </w:p>
        </w:tc>
        <w:tc>
          <w:tcPr>
            <w:tcW w:w="810" w:type="dxa"/>
            <w:noWrap/>
            <w:hideMark/>
          </w:tcPr>
          <w:p w14:paraId="1D1FF5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E06F45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Morocco</w:t>
            </w:r>
          </w:p>
        </w:tc>
        <w:tc>
          <w:tcPr>
            <w:tcW w:w="990" w:type="dxa"/>
            <w:noWrap/>
            <w:hideMark/>
          </w:tcPr>
          <w:p w14:paraId="1BD78FC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7B4BDA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BDCBE7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E84567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3.13 </w:t>
            </w:r>
          </w:p>
        </w:tc>
        <w:tc>
          <w:tcPr>
            <w:tcW w:w="990" w:type="dxa"/>
            <w:noWrap/>
            <w:hideMark/>
          </w:tcPr>
          <w:p w14:paraId="45F5EE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26.30 </w:t>
            </w:r>
          </w:p>
        </w:tc>
        <w:tc>
          <w:tcPr>
            <w:tcW w:w="900" w:type="dxa"/>
            <w:noWrap/>
            <w:hideMark/>
          </w:tcPr>
          <w:p w14:paraId="06D0FA8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29.43 </w:t>
            </w:r>
          </w:p>
        </w:tc>
      </w:tr>
      <w:tr w:rsidR="00C0269A" w:rsidRPr="00C67737" w14:paraId="10D642ED"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49813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11944</w:t>
            </w:r>
          </w:p>
        </w:tc>
        <w:tc>
          <w:tcPr>
            <w:tcW w:w="5400" w:type="dxa"/>
            <w:noWrap/>
            <w:hideMark/>
          </w:tcPr>
          <w:p w14:paraId="16EEC325"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Inclusive management of the Central Highlands of Sri Lanka for conservation of globally significant biodiversity and ecological integrity</w:t>
            </w:r>
          </w:p>
        </w:tc>
        <w:tc>
          <w:tcPr>
            <w:tcW w:w="810" w:type="dxa"/>
            <w:noWrap/>
            <w:hideMark/>
          </w:tcPr>
          <w:p w14:paraId="60C123B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6C83923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0E8E5D4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69CE69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C466C5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4B6543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21CA88D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16.00 </w:t>
            </w:r>
          </w:p>
        </w:tc>
        <w:tc>
          <w:tcPr>
            <w:tcW w:w="900" w:type="dxa"/>
            <w:noWrap/>
            <w:hideMark/>
          </w:tcPr>
          <w:p w14:paraId="71EF9F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r>
      <w:tr w:rsidR="00C0269A" w:rsidRPr="00C67737" w14:paraId="225C76F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D2480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11943</w:t>
            </w:r>
          </w:p>
        </w:tc>
        <w:tc>
          <w:tcPr>
            <w:tcW w:w="5400" w:type="dxa"/>
            <w:noWrap/>
            <w:hideMark/>
          </w:tcPr>
          <w:p w14:paraId="4C22FF4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Supporting sustainable fisheries development through the promotion of initiatives, environmentally-friendly technology application, and climate adaptation</w:t>
            </w:r>
          </w:p>
        </w:tc>
        <w:tc>
          <w:tcPr>
            <w:tcW w:w="810" w:type="dxa"/>
            <w:noWrap/>
            <w:hideMark/>
          </w:tcPr>
          <w:p w14:paraId="75A8177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C9A084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4C3D4F6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671C360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0517DF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159406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3.60 </w:t>
            </w:r>
          </w:p>
        </w:tc>
        <w:tc>
          <w:tcPr>
            <w:tcW w:w="990" w:type="dxa"/>
            <w:noWrap/>
            <w:hideMark/>
          </w:tcPr>
          <w:p w14:paraId="2808453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49.87 </w:t>
            </w:r>
          </w:p>
        </w:tc>
        <w:tc>
          <w:tcPr>
            <w:tcW w:w="900" w:type="dxa"/>
            <w:noWrap/>
            <w:hideMark/>
          </w:tcPr>
          <w:p w14:paraId="605470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53.47 </w:t>
            </w:r>
          </w:p>
        </w:tc>
      </w:tr>
      <w:tr w:rsidR="00C0269A" w:rsidRPr="00C67737" w14:paraId="54DD56A1"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4D01C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11940</w:t>
            </w:r>
          </w:p>
        </w:tc>
        <w:tc>
          <w:tcPr>
            <w:tcW w:w="5400" w:type="dxa"/>
            <w:noWrap/>
            <w:hideMark/>
          </w:tcPr>
          <w:p w14:paraId="354A0889"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Governance and Community-Based Management of Inland Fisheries to support Sustainable Use of Biodiversity and Building Resilience of the Economic Systems (IBES)</w:t>
            </w:r>
          </w:p>
        </w:tc>
        <w:tc>
          <w:tcPr>
            <w:tcW w:w="810" w:type="dxa"/>
            <w:noWrap/>
            <w:hideMark/>
          </w:tcPr>
          <w:p w14:paraId="7436300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DDE83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3C6577B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1BAE966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3CBB42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8C9DB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42F7DB2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35.00 </w:t>
            </w:r>
          </w:p>
        </w:tc>
        <w:tc>
          <w:tcPr>
            <w:tcW w:w="900" w:type="dxa"/>
            <w:noWrap/>
            <w:hideMark/>
          </w:tcPr>
          <w:p w14:paraId="39A047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40.00 </w:t>
            </w:r>
          </w:p>
        </w:tc>
      </w:tr>
      <w:tr w:rsidR="00C0269A" w:rsidRPr="00C67737" w14:paraId="7E439DCC"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5134A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11937</w:t>
            </w:r>
          </w:p>
        </w:tc>
        <w:tc>
          <w:tcPr>
            <w:tcW w:w="5400" w:type="dxa"/>
            <w:noWrap/>
            <w:hideMark/>
          </w:tcPr>
          <w:p w14:paraId="285DE68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Outrigger Impact Technical Assistance Facility (OTAF)</w:t>
            </w:r>
          </w:p>
        </w:tc>
        <w:tc>
          <w:tcPr>
            <w:tcW w:w="810" w:type="dxa"/>
            <w:noWrap/>
            <w:hideMark/>
          </w:tcPr>
          <w:p w14:paraId="3561862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79659B4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A03DE3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16FFC8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 SCCF-B, MTF</w:t>
            </w:r>
          </w:p>
        </w:tc>
        <w:tc>
          <w:tcPr>
            <w:tcW w:w="810" w:type="dxa"/>
            <w:noWrap/>
            <w:hideMark/>
          </w:tcPr>
          <w:p w14:paraId="1036C0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F8872D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1.80 </w:t>
            </w:r>
          </w:p>
        </w:tc>
        <w:tc>
          <w:tcPr>
            <w:tcW w:w="990" w:type="dxa"/>
            <w:noWrap/>
            <w:hideMark/>
          </w:tcPr>
          <w:p w14:paraId="50AAB5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3.79 </w:t>
            </w:r>
          </w:p>
        </w:tc>
        <w:tc>
          <w:tcPr>
            <w:tcW w:w="900" w:type="dxa"/>
            <w:noWrap/>
            <w:hideMark/>
          </w:tcPr>
          <w:p w14:paraId="4004412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5.59 </w:t>
            </w:r>
          </w:p>
        </w:tc>
      </w:tr>
      <w:tr w:rsidR="00C0269A" w:rsidRPr="00C67737" w14:paraId="4CD7F7D1"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09A34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11936</w:t>
            </w:r>
          </w:p>
        </w:tc>
        <w:tc>
          <w:tcPr>
            <w:tcW w:w="5400" w:type="dxa"/>
            <w:noWrap/>
            <w:hideMark/>
          </w:tcPr>
          <w:p w14:paraId="23C8D01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the Conservation in the Tian Shan mountain regions in Central and Eastern Kyrgyzstan</w:t>
            </w:r>
          </w:p>
        </w:tc>
        <w:tc>
          <w:tcPr>
            <w:tcW w:w="810" w:type="dxa"/>
            <w:noWrap/>
            <w:hideMark/>
          </w:tcPr>
          <w:p w14:paraId="69E446F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5837A8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Kyrgyz</w:t>
            </w:r>
            <w:proofErr w:type="spellEnd"/>
            <w:r w:rsidRPr="00C67737">
              <w:rPr>
                <w:rFonts w:eastAsia="Times New Roman" w:cstheme="minorHAnsi"/>
                <w:color w:val="000000"/>
                <w:sz w:val="16"/>
                <w:szCs w:val="16"/>
              </w:rPr>
              <w:t xml:space="preserve"> Republic</w:t>
            </w:r>
          </w:p>
        </w:tc>
        <w:tc>
          <w:tcPr>
            <w:tcW w:w="990" w:type="dxa"/>
            <w:noWrap/>
            <w:hideMark/>
          </w:tcPr>
          <w:p w14:paraId="5001409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B19060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A09147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962A52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 </w:t>
            </w:r>
          </w:p>
        </w:tc>
        <w:tc>
          <w:tcPr>
            <w:tcW w:w="990" w:type="dxa"/>
            <w:noWrap/>
            <w:hideMark/>
          </w:tcPr>
          <w:p w14:paraId="586651B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15.13 </w:t>
            </w:r>
          </w:p>
        </w:tc>
        <w:tc>
          <w:tcPr>
            <w:tcW w:w="900" w:type="dxa"/>
            <w:noWrap/>
            <w:hideMark/>
          </w:tcPr>
          <w:p w14:paraId="685981D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17.63 </w:t>
            </w:r>
          </w:p>
        </w:tc>
      </w:tr>
      <w:tr w:rsidR="00C0269A" w:rsidRPr="00C67737" w14:paraId="0725D2E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4AE26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11933</w:t>
            </w:r>
          </w:p>
        </w:tc>
        <w:tc>
          <w:tcPr>
            <w:tcW w:w="5400" w:type="dxa"/>
            <w:noWrap/>
            <w:hideMark/>
          </w:tcPr>
          <w:p w14:paraId="17DD0661"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Women Ocean Guardians: Empowering Women for the Conservation and Sustainable Use of Large Marine Ecosystems</w:t>
            </w:r>
          </w:p>
        </w:tc>
        <w:tc>
          <w:tcPr>
            <w:tcW w:w="810" w:type="dxa"/>
            <w:noWrap/>
            <w:hideMark/>
          </w:tcPr>
          <w:p w14:paraId="154A731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42EB1A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6E62C54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E385FE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3C3486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5BE69F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54F3356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23.05 </w:t>
            </w:r>
          </w:p>
        </w:tc>
        <w:tc>
          <w:tcPr>
            <w:tcW w:w="900" w:type="dxa"/>
            <w:noWrap/>
            <w:hideMark/>
          </w:tcPr>
          <w:p w14:paraId="11550EC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27.05 </w:t>
            </w:r>
          </w:p>
        </w:tc>
      </w:tr>
      <w:tr w:rsidR="00C0269A" w:rsidRPr="00C67737" w14:paraId="72C33A5C"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178D4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11931</w:t>
            </w:r>
          </w:p>
        </w:tc>
        <w:tc>
          <w:tcPr>
            <w:tcW w:w="5400" w:type="dxa"/>
            <w:noWrap/>
            <w:hideMark/>
          </w:tcPr>
          <w:p w14:paraId="0F93B596"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Building national institutional capacity and capability to protect and restore biodiversity and increase resilience to climate change by managing invasive species</w:t>
            </w:r>
          </w:p>
        </w:tc>
        <w:tc>
          <w:tcPr>
            <w:tcW w:w="810" w:type="dxa"/>
            <w:noWrap/>
            <w:hideMark/>
          </w:tcPr>
          <w:p w14:paraId="30A9F85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3A8C19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C17F9E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EDBCFC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1BF585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4ADDBC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4CD51B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14.46 </w:t>
            </w:r>
          </w:p>
        </w:tc>
        <w:tc>
          <w:tcPr>
            <w:tcW w:w="900" w:type="dxa"/>
            <w:noWrap/>
            <w:hideMark/>
          </w:tcPr>
          <w:p w14:paraId="26930F6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19.46 </w:t>
            </w:r>
          </w:p>
        </w:tc>
      </w:tr>
      <w:tr w:rsidR="00C0269A" w:rsidRPr="00C67737" w14:paraId="383702B7"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A2C7F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11925</w:t>
            </w:r>
          </w:p>
        </w:tc>
        <w:tc>
          <w:tcPr>
            <w:tcW w:w="5400" w:type="dxa"/>
            <w:noWrap/>
            <w:hideMark/>
          </w:tcPr>
          <w:p w14:paraId="6DDF3CC1"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Private Finance and Investments for Nature Positive: ?   Developing a Framework and Guidance for Financial Institutions</w:t>
            </w:r>
          </w:p>
        </w:tc>
        <w:tc>
          <w:tcPr>
            <w:tcW w:w="810" w:type="dxa"/>
            <w:noWrap/>
            <w:hideMark/>
          </w:tcPr>
          <w:p w14:paraId="282A9E0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05FCDA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5056E1D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023260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F76154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01C57D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0.90 </w:t>
            </w:r>
          </w:p>
        </w:tc>
        <w:tc>
          <w:tcPr>
            <w:tcW w:w="990" w:type="dxa"/>
            <w:noWrap/>
            <w:hideMark/>
          </w:tcPr>
          <w:p w14:paraId="5A6261F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1.07 </w:t>
            </w:r>
          </w:p>
        </w:tc>
        <w:tc>
          <w:tcPr>
            <w:tcW w:w="900" w:type="dxa"/>
            <w:noWrap/>
            <w:hideMark/>
          </w:tcPr>
          <w:p w14:paraId="0B54330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1.97 </w:t>
            </w:r>
          </w:p>
        </w:tc>
      </w:tr>
      <w:tr w:rsidR="00C0269A" w:rsidRPr="00C67737" w14:paraId="0D4125AC"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6FF88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11918</w:t>
            </w:r>
          </w:p>
        </w:tc>
        <w:tc>
          <w:tcPr>
            <w:tcW w:w="5400" w:type="dxa"/>
            <w:noWrap/>
            <w:hideMark/>
          </w:tcPr>
          <w:p w14:paraId="2F9E28E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Sustainable Transformation of Agriculture in Uruguay</w:t>
            </w:r>
          </w:p>
        </w:tc>
        <w:tc>
          <w:tcPr>
            <w:tcW w:w="810" w:type="dxa"/>
            <w:noWrap/>
            <w:hideMark/>
          </w:tcPr>
          <w:p w14:paraId="619452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232B81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Uruguay</w:t>
            </w:r>
          </w:p>
        </w:tc>
        <w:tc>
          <w:tcPr>
            <w:tcW w:w="990" w:type="dxa"/>
            <w:noWrap/>
            <w:hideMark/>
          </w:tcPr>
          <w:p w14:paraId="3ECE114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2794AA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231A03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4DB422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2A84E40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00" w:type="dxa"/>
            <w:noWrap/>
            <w:hideMark/>
          </w:tcPr>
          <w:p w14:paraId="472C659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r>
      <w:tr w:rsidR="00C0269A" w:rsidRPr="00C67737" w14:paraId="72F87BC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4F019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11916</w:t>
            </w:r>
          </w:p>
        </w:tc>
        <w:tc>
          <w:tcPr>
            <w:tcW w:w="5400" w:type="dxa"/>
            <w:noWrap/>
            <w:hideMark/>
          </w:tcPr>
          <w:p w14:paraId="4CFCC9FB"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Establishing the National Framework and Operational Capacities for Implementing the Nagoya Protocol through demonstration of replicable models for equitable access and benefit sharing (ABS) in Equatorial Guinea</w:t>
            </w:r>
          </w:p>
        </w:tc>
        <w:tc>
          <w:tcPr>
            <w:tcW w:w="810" w:type="dxa"/>
            <w:noWrap/>
            <w:hideMark/>
          </w:tcPr>
          <w:p w14:paraId="18DD91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7109F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Equatorial </w:t>
            </w:r>
            <w:proofErr w:type="spellStart"/>
            <w:r w:rsidRPr="00C67737">
              <w:rPr>
                <w:rFonts w:eastAsia="Times New Roman" w:cstheme="minorHAnsi"/>
                <w:color w:val="000000"/>
                <w:sz w:val="16"/>
                <w:szCs w:val="16"/>
              </w:rPr>
              <w:t>Guinea</w:t>
            </w:r>
            <w:proofErr w:type="spellEnd"/>
          </w:p>
        </w:tc>
        <w:tc>
          <w:tcPr>
            <w:tcW w:w="990" w:type="dxa"/>
            <w:noWrap/>
            <w:hideMark/>
          </w:tcPr>
          <w:p w14:paraId="23C92CF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7CF107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DB888E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B695C7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 </w:t>
            </w:r>
          </w:p>
        </w:tc>
        <w:tc>
          <w:tcPr>
            <w:tcW w:w="990" w:type="dxa"/>
            <w:noWrap/>
            <w:hideMark/>
          </w:tcPr>
          <w:p w14:paraId="640C0FF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13.50 </w:t>
            </w:r>
          </w:p>
        </w:tc>
        <w:tc>
          <w:tcPr>
            <w:tcW w:w="900" w:type="dxa"/>
            <w:noWrap/>
            <w:hideMark/>
          </w:tcPr>
          <w:p w14:paraId="3DCCC04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r>
      <w:tr w:rsidR="00C0269A" w:rsidRPr="00C67737" w14:paraId="20ADEE78"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B1F01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11914</w:t>
            </w:r>
          </w:p>
        </w:tc>
        <w:tc>
          <w:tcPr>
            <w:tcW w:w="5400" w:type="dxa"/>
            <w:noWrap/>
            <w:hideMark/>
          </w:tcPr>
          <w:p w14:paraId="625477FF"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Jaguar Corridors in the Face of Rapid Environmental Change: A dynamic monitoring and assessment system for prioritizing conservation investments</w:t>
            </w:r>
          </w:p>
        </w:tc>
        <w:tc>
          <w:tcPr>
            <w:tcW w:w="810" w:type="dxa"/>
            <w:noWrap/>
            <w:hideMark/>
          </w:tcPr>
          <w:p w14:paraId="5D8C631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DC1D04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3F5F2D3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4156B4D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66504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C6BC0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2CC3F7D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1.15 </w:t>
            </w:r>
          </w:p>
        </w:tc>
        <w:tc>
          <w:tcPr>
            <w:tcW w:w="900" w:type="dxa"/>
            <w:noWrap/>
            <w:hideMark/>
          </w:tcPr>
          <w:p w14:paraId="7506CB3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3.05 </w:t>
            </w:r>
          </w:p>
        </w:tc>
      </w:tr>
      <w:tr w:rsidR="00C0269A" w:rsidRPr="00C67737" w14:paraId="35C5C2D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A2392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11908</w:t>
            </w:r>
          </w:p>
        </w:tc>
        <w:tc>
          <w:tcPr>
            <w:tcW w:w="5400" w:type="dxa"/>
            <w:noWrap/>
            <w:hideMark/>
          </w:tcPr>
          <w:p w14:paraId="2977528E"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Support to Preparation of the First National Report on Implementation of the Nagoya Protocol on Access to Genetic Resources and the Fair and Equitable Sharing of Benefits Arising from their Utilization </w:t>
            </w:r>
          </w:p>
        </w:tc>
        <w:tc>
          <w:tcPr>
            <w:tcW w:w="810" w:type="dxa"/>
            <w:noWrap/>
            <w:hideMark/>
          </w:tcPr>
          <w:p w14:paraId="61A6CCB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707FB4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6840474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4FB899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0DA706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1716CD4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4.05 </w:t>
            </w:r>
          </w:p>
        </w:tc>
        <w:tc>
          <w:tcPr>
            <w:tcW w:w="990" w:type="dxa"/>
            <w:noWrap/>
            <w:hideMark/>
          </w:tcPr>
          <w:p w14:paraId="60CDD6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   </w:t>
            </w:r>
          </w:p>
        </w:tc>
        <w:tc>
          <w:tcPr>
            <w:tcW w:w="900" w:type="dxa"/>
            <w:noWrap/>
            <w:hideMark/>
          </w:tcPr>
          <w:p w14:paraId="53AD2DE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4.05 </w:t>
            </w:r>
          </w:p>
        </w:tc>
      </w:tr>
      <w:tr w:rsidR="00C0269A" w:rsidRPr="00C67737" w14:paraId="3DF3459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D185F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11907</w:t>
            </w:r>
          </w:p>
        </w:tc>
        <w:tc>
          <w:tcPr>
            <w:tcW w:w="5400" w:type="dxa"/>
            <w:noWrap/>
            <w:hideMark/>
          </w:tcPr>
          <w:p w14:paraId="470DC506" w14:textId="6D2B43CE"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Support to Preparation of the Fifth National Reports on the Implementation of the Cartagena Protocol on Biosafety</w:t>
            </w:r>
          </w:p>
        </w:tc>
        <w:tc>
          <w:tcPr>
            <w:tcW w:w="810" w:type="dxa"/>
            <w:noWrap/>
            <w:hideMark/>
          </w:tcPr>
          <w:p w14:paraId="764C651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BCF5BD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D02B5A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BFF6ED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14CA15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03D5B7D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4.45 </w:t>
            </w:r>
          </w:p>
        </w:tc>
        <w:tc>
          <w:tcPr>
            <w:tcW w:w="990" w:type="dxa"/>
            <w:noWrap/>
            <w:hideMark/>
          </w:tcPr>
          <w:p w14:paraId="38FB2A1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   </w:t>
            </w:r>
          </w:p>
        </w:tc>
        <w:tc>
          <w:tcPr>
            <w:tcW w:w="900" w:type="dxa"/>
            <w:noWrap/>
            <w:hideMark/>
          </w:tcPr>
          <w:p w14:paraId="1689C26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4.45 </w:t>
            </w:r>
          </w:p>
        </w:tc>
      </w:tr>
      <w:tr w:rsidR="00C0269A" w:rsidRPr="00C67737" w14:paraId="0772E0D6"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C2058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11906</w:t>
            </w:r>
          </w:p>
        </w:tc>
        <w:tc>
          <w:tcPr>
            <w:tcW w:w="5400" w:type="dxa"/>
            <w:noWrap/>
            <w:hideMark/>
          </w:tcPr>
          <w:p w14:paraId="065AEB0E"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Regional program for integrated water resources management in the transboundary basin of the Ubangi River between the Central African Republic (CAR) and the Democratic Republic of Congo (DRC)</w:t>
            </w:r>
          </w:p>
        </w:tc>
        <w:tc>
          <w:tcPr>
            <w:tcW w:w="810" w:type="dxa"/>
            <w:noWrap/>
            <w:hideMark/>
          </w:tcPr>
          <w:p w14:paraId="68F837D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AfDB</w:t>
            </w:r>
            <w:proofErr w:type="spellEnd"/>
          </w:p>
        </w:tc>
        <w:tc>
          <w:tcPr>
            <w:tcW w:w="990" w:type="dxa"/>
            <w:noWrap/>
            <w:hideMark/>
          </w:tcPr>
          <w:p w14:paraId="15836FC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E63E7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09A1F6A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580C7C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87CE5F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8.97 </w:t>
            </w:r>
          </w:p>
        </w:tc>
        <w:tc>
          <w:tcPr>
            <w:tcW w:w="990" w:type="dxa"/>
            <w:noWrap/>
            <w:hideMark/>
          </w:tcPr>
          <w:p w14:paraId="4A8F62A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67.36 </w:t>
            </w:r>
          </w:p>
        </w:tc>
        <w:tc>
          <w:tcPr>
            <w:tcW w:w="900" w:type="dxa"/>
            <w:noWrap/>
            <w:hideMark/>
          </w:tcPr>
          <w:p w14:paraId="79C7F79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76.32 </w:t>
            </w:r>
          </w:p>
        </w:tc>
      </w:tr>
      <w:tr w:rsidR="00C0269A" w:rsidRPr="00C67737" w14:paraId="5B6185B9"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28180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11889</w:t>
            </w:r>
          </w:p>
        </w:tc>
        <w:tc>
          <w:tcPr>
            <w:tcW w:w="5400" w:type="dxa"/>
            <w:noWrap/>
            <w:hideMark/>
          </w:tcPr>
          <w:p w14:paraId="662EBDC6"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Supporting Land Degradation Neutrality in St. Kitts and Nevis</w:t>
            </w:r>
          </w:p>
        </w:tc>
        <w:tc>
          <w:tcPr>
            <w:tcW w:w="810" w:type="dxa"/>
            <w:noWrap/>
            <w:hideMark/>
          </w:tcPr>
          <w:p w14:paraId="2A33511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DBA920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 Kitts and Nevis</w:t>
            </w:r>
          </w:p>
        </w:tc>
        <w:tc>
          <w:tcPr>
            <w:tcW w:w="990" w:type="dxa"/>
            <w:noWrap/>
            <w:hideMark/>
          </w:tcPr>
          <w:p w14:paraId="4980287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549D8A5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AD00F8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AF0A08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4.50 </w:t>
            </w:r>
          </w:p>
        </w:tc>
        <w:tc>
          <w:tcPr>
            <w:tcW w:w="990" w:type="dxa"/>
            <w:noWrap/>
            <w:hideMark/>
          </w:tcPr>
          <w:p w14:paraId="5C4B703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6.91 </w:t>
            </w:r>
          </w:p>
        </w:tc>
        <w:tc>
          <w:tcPr>
            <w:tcW w:w="900" w:type="dxa"/>
            <w:noWrap/>
            <w:hideMark/>
          </w:tcPr>
          <w:p w14:paraId="551D2D5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11.41 </w:t>
            </w:r>
          </w:p>
        </w:tc>
      </w:tr>
      <w:tr w:rsidR="00C0269A" w:rsidRPr="00C67737" w14:paraId="2EB73F55"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53F49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11887</w:t>
            </w:r>
          </w:p>
        </w:tc>
        <w:tc>
          <w:tcPr>
            <w:tcW w:w="5400" w:type="dxa"/>
            <w:noWrap/>
            <w:hideMark/>
          </w:tcPr>
          <w:p w14:paraId="7ADBB572"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Enhanced climate resilience for coastal communities and marine ecosystems: Strengthening adaptation capacities to climate change and variability through sustainable management of fisheries, aquaculture and natural habitats</w:t>
            </w:r>
          </w:p>
        </w:tc>
        <w:tc>
          <w:tcPr>
            <w:tcW w:w="810" w:type="dxa"/>
            <w:noWrap/>
            <w:hideMark/>
          </w:tcPr>
          <w:p w14:paraId="59CCE02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3BF4CC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7CF1FCC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6A7B7A3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1E0C900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2FE6D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55A8A0F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00" w:type="dxa"/>
            <w:noWrap/>
            <w:hideMark/>
          </w:tcPr>
          <w:p w14:paraId="4135241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25.00 </w:t>
            </w:r>
          </w:p>
        </w:tc>
      </w:tr>
      <w:tr w:rsidR="00C0269A" w:rsidRPr="00C67737" w14:paraId="39A0BFD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056EB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11886</w:t>
            </w:r>
          </w:p>
        </w:tc>
        <w:tc>
          <w:tcPr>
            <w:tcW w:w="5400" w:type="dxa"/>
            <w:noWrap/>
            <w:hideMark/>
          </w:tcPr>
          <w:p w14:paraId="3674CC87"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Community Based Marine and Coastal Ecosystem Restoration</w:t>
            </w:r>
          </w:p>
        </w:tc>
        <w:tc>
          <w:tcPr>
            <w:tcW w:w="810" w:type="dxa"/>
            <w:noWrap/>
            <w:hideMark/>
          </w:tcPr>
          <w:p w14:paraId="39D7286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0E364E6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Eritrea</w:t>
            </w:r>
          </w:p>
        </w:tc>
        <w:tc>
          <w:tcPr>
            <w:tcW w:w="990" w:type="dxa"/>
            <w:noWrap/>
            <w:hideMark/>
          </w:tcPr>
          <w:p w14:paraId="546A0AA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328591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3DEF148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7F2A5C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52CFB3D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22.27 </w:t>
            </w:r>
          </w:p>
        </w:tc>
        <w:tc>
          <w:tcPr>
            <w:tcW w:w="900" w:type="dxa"/>
            <w:noWrap/>
            <w:hideMark/>
          </w:tcPr>
          <w:p w14:paraId="053411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32.27 </w:t>
            </w:r>
          </w:p>
        </w:tc>
      </w:tr>
      <w:tr w:rsidR="00C0269A" w:rsidRPr="00C67737" w14:paraId="0B3A7A0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EC4F8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11882</w:t>
            </w:r>
          </w:p>
        </w:tc>
        <w:tc>
          <w:tcPr>
            <w:tcW w:w="5400" w:type="dxa"/>
            <w:noWrap/>
            <w:hideMark/>
          </w:tcPr>
          <w:p w14:paraId="12B4DA1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Control and reduction of mercury emissions from the cement industry in the Small Island Developing States of the Caribbean region</w:t>
            </w:r>
          </w:p>
        </w:tc>
        <w:tc>
          <w:tcPr>
            <w:tcW w:w="810" w:type="dxa"/>
            <w:noWrap/>
            <w:hideMark/>
          </w:tcPr>
          <w:p w14:paraId="3F20A17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61DE3F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629592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1B4D86B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83686C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EDE62A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16.68 </w:t>
            </w:r>
          </w:p>
        </w:tc>
        <w:tc>
          <w:tcPr>
            <w:tcW w:w="990" w:type="dxa"/>
            <w:noWrap/>
            <w:hideMark/>
          </w:tcPr>
          <w:p w14:paraId="247A938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105.00 </w:t>
            </w:r>
          </w:p>
        </w:tc>
        <w:tc>
          <w:tcPr>
            <w:tcW w:w="900" w:type="dxa"/>
            <w:noWrap/>
            <w:hideMark/>
          </w:tcPr>
          <w:p w14:paraId="0D798D9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121.68 </w:t>
            </w:r>
          </w:p>
        </w:tc>
      </w:tr>
      <w:tr w:rsidR="00C0269A" w:rsidRPr="00C67737" w14:paraId="63F6C11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684F0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11879</w:t>
            </w:r>
          </w:p>
        </w:tc>
        <w:tc>
          <w:tcPr>
            <w:tcW w:w="5400" w:type="dxa"/>
            <w:noWrap/>
            <w:hideMark/>
          </w:tcPr>
          <w:p w14:paraId="05ABF239"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Establishing sustainable wetland management cornerstones in Madagascar</w:t>
            </w:r>
          </w:p>
        </w:tc>
        <w:tc>
          <w:tcPr>
            <w:tcW w:w="810" w:type="dxa"/>
            <w:noWrap/>
            <w:hideMark/>
          </w:tcPr>
          <w:p w14:paraId="307816C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A0F82C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1017D62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D7F0D7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E34D87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C610A4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7.20 </w:t>
            </w:r>
          </w:p>
        </w:tc>
        <w:tc>
          <w:tcPr>
            <w:tcW w:w="990" w:type="dxa"/>
            <w:noWrap/>
            <w:hideMark/>
          </w:tcPr>
          <w:p w14:paraId="51D4E0D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34.84 </w:t>
            </w:r>
          </w:p>
        </w:tc>
        <w:tc>
          <w:tcPr>
            <w:tcW w:w="900" w:type="dxa"/>
            <w:noWrap/>
            <w:hideMark/>
          </w:tcPr>
          <w:p w14:paraId="6EC3AD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42.03 </w:t>
            </w:r>
          </w:p>
        </w:tc>
      </w:tr>
      <w:tr w:rsidR="00C0269A" w:rsidRPr="00C67737" w14:paraId="77D626C7"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5A64B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11873</w:t>
            </w:r>
          </w:p>
        </w:tc>
        <w:tc>
          <w:tcPr>
            <w:tcW w:w="5400" w:type="dxa"/>
            <w:noWrap/>
            <w:hideMark/>
          </w:tcPr>
          <w:p w14:paraId="02D5FC99"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The Rehabilitation of Degraded Pastures to Promote Land Degradation Neutrality and Improve Livelihoods in Georgia</w:t>
            </w:r>
          </w:p>
        </w:tc>
        <w:tc>
          <w:tcPr>
            <w:tcW w:w="810" w:type="dxa"/>
            <w:noWrap/>
            <w:hideMark/>
          </w:tcPr>
          <w:p w14:paraId="66483D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C738D6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Georgia</w:t>
            </w:r>
          </w:p>
        </w:tc>
        <w:tc>
          <w:tcPr>
            <w:tcW w:w="990" w:type="dxa"/>
            <w:noWrap/>
            <w:hideMark/>
          </w:tcPr>
          <w:p w14:paraId="7804EB6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6FC6DA5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AB3A11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838971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1.74 </w:t>
            </w:r>
          </w:p>
        </w:tc>
        <w:tc>
          <w:tcPr>
            <w:tcW w:w="990" w:type="dxa"/>
            <w:noWrap/>
            <w:hideMark/>
          </w:tcPr>
          <w:p w14:paraId="4E09717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5.43 </w:t>
            </w:r>
          </w:p>
        </w:tc>
        <w:tc>
          <w:tcPr>
            <w:tcW w:w="900" w:type="dxa"/>
            <w:noWrap/>
            <w:hideMark/>
          </w:tcPr>
          <w:p w14:paraId="5B521AA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7.17 </w:t>
            </w:r>
          </w:p>
        </w:tc>
      </w:tr>
      <w:tr w:rsidR="00C0269A" w:rsidRPr="00C67737" w14:paraId="5E029C8B"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9A888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11872</w:t>
            </w:r>
          </w:p>
        </w:tc>
        <w:tc>
          <w:tcPr>
            <w:tcW w:w="5400" w:type="dxa"/>
            <w:noWrap/>
            <w:hideMark/>
          </w:tcPr>
          <w:p w14:paraId="5C74234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Promoting Sustainable Rangeland Management and Restoration Practices and Strategies to Achieve LDN in the Northern Badia of Jordan</w:t>
            </w:r>
          </w:p>
        </w:tc>
        <w:tc>
          <w:tcPr>
            <w:tcW w:w="810" w:type="dxa"/>
            <w:noWrap/>
            <w:hideMark/>
          </w:tcPr>
          <w:p w14:paraId="6E79D68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3279EF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Jordan</w:t>
            </w:r>
          </w:p>
        </w:tc>
        <w:tc>
          <w:tcPr>
            <w:tcW w:w="990" w:type="dxa"/>
            <w:noWrap/>
            <w:hideMark/>
          </w:tcPr>
          <w:p w14:paraId="3209F38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42D113D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9F2A14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C2204E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6022B8C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c>
          <w:tcPr>
            <w:tcW w:w="900" w:type="dxa"/>
            <w:noWrap/>
            <w:hideMark/>
          </w:tcPr>
          <w:p w14:paraId="2F189B1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r>
      <w:tr w:rsidR="00C0269A" w:rsidRPr="00C67737" w14:paraId="7A050F4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3C5C8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11866</w:t>
            </w:r>
          </w:p>
        </w:tc>
        <w:tc>
          <w:tcPr>
            <w:tcW w:w="5400" w:type="dxa"/>
            <w:noWrap/>
            <w:hideMark/>
          </w:tcPr>
          <w:p w14:paraId="17B5C32B"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Regenerative Agriculture for Food Supply Chains (RASC)</w:t>
            </w:r>
          </w:p>
        </w:tc>
        <w:tc>
          <w:tcPr>
            <w:tcW w:w="810" w:type="dxa"/>
            <w:noWrap/>
            <w:hideMark/>
          </w:tcPr>
          <w:p w14:paraId="330CF73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1375452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4EB0E9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89C52E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0257F2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98AB73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90" w:type="dxa"/>
            <w:noWrap/>
            <w:hideMark/>
          </w:tcPr>
          <w:p w14:paraId="59A42C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202.20 </w:t>
            </w:r>
          </w:p>
        </w:tc>
        <w:tc>
          <w:tcPr>
            <w:tcW w:w="900" w:type="dxa"/>
            <w:noWrap/>
            <w:hideMark/>
          </w:tcPr>
          <w:p w14:paraId="0A51AA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217.20 </w:t>
            </w:r>
          </w:p>
        </w:tc>
      </w:tr>
      <w:tr w:rsidR="00C0269A" w:rsidRPr="00C67737" w14:paraId="4C49EC34"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2859F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11862</w:t>
            </w:r>
          </w:p>
        </w:tc>
        <w:tc>
          <w:tcPr>
            <w:tcW w:w="5400" w:type="dxa"/>
            <w:noWrap/>
            <w:hideMark/>
          </w:tcPr>
          <w:p w14:paraId="3A10D2C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Revitalizing natural ecosystems and habitats in Djibouti's </w:t>
            </w:r>
            <w:proofErr w:type="spellStart"/>
            <w:r w:rsidRPr="00D10503">
              <w:rPr>
                <w:rFonts w:eastAsia="Times New Roman" w:cstheme="minorHAnsi"/>
                <w:color w:val="000000"/>
                <w:sz w:val="16"/>
                <w:szCs w:val="16"/>
                <w:lang w:val="en-US"/>
              </w:rPr>
              <w:t>Mabla</w:t>
            </w:r>
            <w:proofErr w:type="spellEnd"/>
            <w:r w:rsidRPr="00D10503">
              <w:rPr>
                <w:rFonts w:eastAsia="Times New Roman" w:cstheme="minorHAnsi"/>
                <w:color w:val="000000"/>
                <w:sz w:val="16"/>
                <w:szCs w:val="16"/>
                <w:lang w:val="en-US"/>
              </w:rPr>
              <w:t xml:space="preserve"> and </w:t>
            </w:r>
            <w:proofErr w:type="spellStart"/>
            <w:r w:rsidRPr="00D10503">
              <w:rPr>
                <w:rFonts w:eastAsia="Times New Roman" w:cstheme="minorHAnsi"/>
                <w:color w:val="000000"/>
                <w:sz w:val="16"/>
                <w:szCs w:val="16"/>
                <w:lang w:val="en-US"/>
              </w:rPr>
              <w:t>Madgoul</w:t>
            </w:r>
            <w:proofErr w:type="spellEnd"/>
            <w:r w:rsidRPr="00D10503">
              <w:rPr>
                <w:rFonts w:eastAsia="Times New Roman" w:cstheme="minorHAnsi"/>
                <w:color w:val="000000"/>
                <w:sz w:val="16"/>
                <w:szCs w:val="16"/>
                <w:lang w:val="en-US"/>
              </w:rPr>
              <w:t xml:space="preserve"> landscapes</w:t>
            </w:r>
          </w:p>
        </w:tc>
        <w:tc>
          <w:tcPr>
            <w:tcW w:w="810" w:type="dxa"/>
            <w:noWrap/>
            <w:hideMark/>
          </w:tcPr>
          <w:p w14:paraId="3272883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EE065B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Djibouti</w:t>
            </w:r>
          </w:p>
        </w:tc>
        <w:tc>
          <w:tcPr>
            <w:tcW w:w="990" w:type="dxa"/>
            <w:noWrap/>
            <w:hideMark/>
          </w:tcPr>
          <w:p w14:paraId="31AC19F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26D00F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ACA83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632368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2F622F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21.76 </w:t>
            </w:r>
          </w:p>
        </w:tc>
        <w:tc>
          <w:tcPr>
            <w:tcW w:w="900" w:type="dxa"/>
            <w:noWrap/>
            <w:hideMark/>
          </w:tcPr>
          <w:p w14:paraId="64C09CB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25.76 </w:t>
            </w:r>
          </w:p>
        </w:tc>
      </w:tr>
      <w:tr w:rsidR="00C0269A" w:rsidRPr="00C67737" w14:paraId="5450FF4B"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F7762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11861</w:t>
            </w:r>
          </w:p>
        </w:tc>
        <w:tc>
          <w:tcPr>
            <w:tcW w:w="5400" w:type="dxa"/>
            <w:noWrap/>
            <w:hideMark/>
          </w:tcPr>
          <w:p w14:paraId="127CD29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Excelling Protected Area Management Effectiveness for Biodiversity Conservation through Landscape Based Approach (ENABLE)</w:t>
            </w:r>
          </w:p>
        </w:tc>
        <w:tc>
          <w:tcPr>
            <w:tcW w:w="810" w:type="dxa"/>
            <w:noWrap/>
            <w:hideMark/>
          </w:tcPr>
          <w:p w14:paraId="59A8DB6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DF6D13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40C61F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BC2955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2E916A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31801C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 </w:t>
            </w:r>
          </w:p>
        </w:tc>
        <w:tc>
          <w:tcPr>
            <w:tcW w:w="990" w:type="dxa"/>
            <w:noWrap/>
            <w:hideMark/>
          </w:tcPr>
          <w:p w14:paraId="4B081C3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48.00 </w:t>
            </w:r>
          </w:p>
        </w:tc>
        <w:tc>
          <w:tcPr>
            <w:tcW w:w="900" w:type="dxa"/>
            <w:noWrap/>
            <w:hideMark/>
          </w:tcPr>
          <w:p w14:paraId="112F07F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55.50 </w:t>
            </w:r>
          </w:p>
        </w:tc>
      </w:tr>
      <w:tr w:rsidR="00C0269A" w:rsidRPr="00C67737" w14:paraId="5197CA74"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5ED06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11854</w:t>
            </w:r>
          </w:p>
        </w:tc>
        <w:tc>
          <w:tcPr>
            <w:tcW w:w="5400" w:type="dxa"/>
            <w:noWrap/>
            <w:hideMark/>
          </w:tcPr>
          <w:p w14:paraId="4A6E4920"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proofErr w:type="spellStart"/>
            <w:r w:rsidRPr="00D10503">
              <w:rPr>
                <w:rFonts w:eastAsia="Times New Roman" w:cstheme="minorHAnsi"/>
                <w:color w:val="000000"/>
                <w:sz w:val="16"/>
                <w:szCs w:val="16"/>
                <w:lang w:val="en-US"/>
              </w:rPr>
              <w:t>Revolutionising</w:t>
            </w:r>
            <w:proofErr w:type="spellEnd"/>
            <w:r w:rsidRPr="00D10503">
              <w:rPr>
                <w:rFonts w:eastAsia="Times New Roman" w:cstheme="minorHAnsi"/>
                <w:color w:val="000000"/>
                <w:sz w:val="16"/>
                <w:szCs w:val="16"/>
                <w:lang w:val="en-US"/>
              </w:rPr>
              <w:t xml:space="preserve"> indicators of (un)sustainable wildlife use and trade by harnessing social media big data</w:t>
            </w:r>
          </w:p>
        </w:tc>
        <w:tc>
          <w:tcPr>
            <w:tcW w:w="810" w:type="dxa"/>
            <w:noWrap/>
            <w:hideMark/>
          </w:tcPr>
          <w:p w14:paraId="03F8299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625F6A7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183C8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7B4457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9DAC26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86191C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5221A83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3.73 </w:t>
            </w:r>
          </w:p>
        </w:tc>
        <w:tc>
          <w:tcPr>
            <w:tcW w:w="900" w:type="dxa"/>
            <w:noWrap/>
            <w:hideMark/>
          </w:tcPr>
          <w:p w14:paraId="703F908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5.63 </w:t>
            </w:r>
          </w:p>
        </w:tc>
      </w:tr>
      <w:tr w:rsidR="00C0269A" w:rsidRPr="00C67737" w14:paraId="3E76EF6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3EAE7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11851</w:t>
            </w:r>
          </w:p>
        </w:tc>
        <w:tc>
          <w:tcPr>
            <w:tcW w:w="5400" w:type="dxa"/>
            <w:noWrap/>
            <w:hideMark/>
          </w:tcPr>
          <w:p w14:paraId="4AB7DB6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Management of key biodiversity areas and priority species through other effective area-based conservation measures (OECMs)</w:t>
            </w:r>
          </w:p>
        </w:tc>
        <w:tc>
          <w:tcPr>
            <w:tcW w:w="810" w:type="dxa"/>
            <w:noWrap/>
            <w:hideMark/>
          </w:tcPr>
          <w:p w14:paraId="0A68E5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548561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731C5AC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1D409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E8B67A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5157CD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44631CE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22.30 </w:t>
            </w:r>
          </w:p>
        </w:tc>
        <w:tc>
          <w:tcPr>
            <w:tcW w:w="900" w:type="dxa"/>
            <w:noWrap/>
            <w:hideMark/>
          </w:tcPr>
          <w:p w14:paraId="2958606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24.30 </w:t>
            </w:r>
          </w:p>
        </w:tc>
      </w:tr>
      <w:tr w:rsidR="00C0269A" w:rsidRPr="00C67737" w14:paraId="77928CF5"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CB7E7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11850</w:t>
            </w:r>
          </w:p>
        </w:tc>
        <w:tc>
          <w:tcPr>
            <w:tcW w:w="5400" w:type="dxa"/>
            <w:noWrap/>
            <w:hideMark/>
          </w:tcPr>
          <w:p w14:paraId="60C0581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Building Access and Benefit Sharing (ABS) Framework for Biodiversity Conservation and Sustainable Use in Thailand</w:t>
            </w:r>
          </w:p>
        </w:tc>
        <w:tc>
          <w:tcPr>
            <w:tcW w:w="810" w:type="dxa"/>
            <w:noWrap/>
            <w:hideMark/>
          </w:tcPr>
          <w:p w14:paraId="4E00BD6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D6FF29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1ABA453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6FE88A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DCD4C8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7FEAD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3065AAE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14.30 </w:t>
            </w:r>
          </w:p>
        </w:tc>
        <w:tc>
          <w:tcPr>
            <w:tcW w:w="900" w:type="dxa"/>
            <w:noWrap/>
            <w:hideMark/>
          </w:tcPr>
          <w:p w14:paraId="475A8AF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16.20 </w:t>
            </w:r>
          </w:p>
        </w:tc>
      </w:tr>
      <w:tr w:rsidR="00C0269A" w:rsidRPr="00C67737" w14:paraId="746BD58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3681A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11849</w:t>
            </w:r>
          </w:p>
        </w:tc>
        <w:tc>
          <w:tcPr>
            <w:tcW w:w="5400" w:type="dxa"/>
            <w:noWrap/>
            <w:hideMark/>
          </w:tcPr>
          <w:p w14:paraId="6219884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Systemic Capital for Adaptation Localization and Expansion (SCALE)</w:t>
            </w:r>
          </w:p>
        </w:tc>
        <w:tc>
          <w:tcPr>
            <w:tcW w:w="810" w:type="dxa"/>
            <w:noWrap/>
            <w:hideMark/>
          </w:tcPr>
          <w:p w14:paraId="088D57F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1739E1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B8443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C2AD8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 SCCF-B, MTF</w:t>
            </w:r>
          </w:p>
        </w:tc>
        <w:tc>
          <w:tcPr>
            <w:tcW w:w="810" w:type="dxa"/>
            <w:noWrap/>
            <w:hideMark/>
          </w:tcPr>
          <w:p w14:paraId="72BA172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8184B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 </w:t>
            </w:r>
          </w:p>
        </w:tc>
        <w:tc>
          <w:tcPr>
            <w:tcW w:w="990" w:type="dxa"/>
            <w:noWrap/>
            <w:hideMark/>
          </w:tcPr>
          <w:p w14:paraId="0724B11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2.71 </w:t>
            </w:r>
          </w:p>
        </w:tc>
        <w:tc>
          <w:tcPr>
            <w:tcW w:w="900" w:type="dxa"/>
            <w:noWrap/>
            <w:hideMark/>
          </w:tcPr>
          <w:p w14:paraId="25A98BF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4.11 </w:t>
            </w:r>
          </w:p>
        </w:tc>
      </w:tr>
      <w:tr w:rsidR="00C0269A" w:rsidRPr="00C67737" w14:paraId="1697D8AE"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EA8DF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11843</w:t>
            </w:r>
          </w:p>
        </w:tc>
        <w:tc>
          <w:tcPr>
            <w:tcW w:w="5400" w:type="dxa"/>
            <w:noWrap/>
            <w:hideMark/>
          </w:tcPr>
          <w:p w14:paraId="2C55A10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Accelerating Integration, Policy Coherence, and Food Systems Investment with the TCC – Learning from Africa’s Food Systems Vanguard Countries</w:t>
            </w:r>
          </w:p>
        </w:tc>
        <w:tc>
          <w:tcPr>
            <w:tcW w:w="810" w:type="dxa"/>
            <w:noWrap/>
            <w:hideMark/>
          </w:tcPr>
          <w:p w14:paraId="6C0FC1B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3387757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EB1B33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2360BA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E6A772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56A4A2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49AB36A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0.90 </w:t>
            </w:r>
          </w:p>
        </w:tc>
        <w:tc>
          <w:tcPr>
            <w:tcW w:w="900" w:type="dxa"/>
            <w:noWrap/>
            <w:hideMark/>
          </w:tcPr>
          <w:p w14:paraId="485C438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2.80 </w:t>
            </w:r>
          </w:p>
        </w:tc>
      </w:tr>
      <w:tr w:rsidR="00C0269A" w:rsidRPr="00C67737" w14:paraId="517F096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6052F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11840</w:t>
            </w:r>
          </w:p>
        </w:tc>
        <w:tc>
          <w:tcPr>
            <w:tcW w:w="5400" w:type="dxa"/>
            <w:noWrap/>
            <w:hideMark/>
          </w:tcPr>
          <w:p w14:paraId="3C5CB490"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Collaboration for Complex Challenges: addressing the food-biodiversity-climate nexus</w:t>
            </w:r>
          </w:p>
        </w:tc>
        <w:tc>
          <w:tcPr>
            <w:tcW w:w="810" w:type="dxa"/>
            <w:noWrap/>
            <w:hideMark/>
          </w:tcPr>
          <w:p w14:paraId="4B87CD6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3E0DB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5464496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660119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E8F914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4C5B00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5EFDF45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7.21 </w:t>
            </w:r>
          </w:p>
        </w:tc>
        <w:tc>
          <w:tcPr>
            <w:tcW w:w="900" w:type="dxa"/>
            <w:noWrap/>
            <w:hideMark/>
          </w:tcPr>
          <w:p w14:paraId="4F92E59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9.11 </w:t>
            </w:r>
          </w:p>
        </w:tc>
      </w:tr>
      <w:tr w:rsidR="00C0269A" w:rsidRPr="00C67737" w14:paraId="0AA25A6D"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999B8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11835</w:t>
            </w:r>
          </w:p>
        </w:tc>
        <w:tc>
          <w:tcPr>
            <w:tcW w:w="5400" w:type="dxa"/>
            <w:noWrap/>
            <w:hideMark/>
          </w:tcPr>
          <w:p w14:paraId="4CF13AD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AgroWeb3: Market Access Window Project</w:t>
            </w:r>
          </w:p>
        </w:tc>
        <w:tc>
          <w:tcPr>
            <w:tcW w:w="810" w:type="dxa"/>
            <w:noWrap/>
            <w:hideMark/>
          </w:tcPr>
          <w:p w14:paraId="5D6B93B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030F8BA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66C94C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0E936DD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8EA4EC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FDE00C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1.82 </w:t>
            </w:r>
          </w:p>
        </w:tc>
        <w:tc>
          <w:tcPr>
            <w:tcW w:w="990" w:type="dxa"/>
            <w:noWrap/>
            <w:hideMark/>
          </w:tcPr>
          <w:p w14:paraId="62D09C7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0.82 </w:t>
            </w:r>
          </w:p>
        </w:tc>
        <w:tc>
          <w:tcPr>
            <w:tcW w:w="900" w:type="dxa"/>
            <w:noWrap/>
            <w:hideMark/>
          </w:tcPr>
          <w:p w14:paraId="780FA10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2.64 </w:t>
            </w:r>
          </w:p>
        </w:tc>
      </w:tr>
      <w:tr w:rsidR="00C0269A" w:rsidRPr="00C67737" w14:paraId="14ABBD6C"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73ADE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11833</w:t>
            </w:r>
          </w:p>
        </w:tc>
        <w:tc>
          <w:tcPr>
            <w:tcW w:w="5400" w:type="dxa"/>
            <w:noWrap/>
            <w:hideMark/>
          </w:tcPr>
          <w:p w14:paraId="1DE2B05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The Freshwater Challenge: Accelerating Restoration and Conservation of Freshwater Ecosystems</w:t>
            </w:r>
          </w:p>
        </w:tc>
        <w:tc>
          <w:tcPr>
            <w:tcW w:w="810" w:type="dxa"/>
            <w:noWrap/>
            <w:hideMark/>
          </w:tcPr>
          <w:p w14:paraId="1C93A90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7C8974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15609D4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367E1A1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EBAA1E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8E280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4.96 </w:t>
            </w:r>
          </w:p>
        </w:tc>
        <w:tc>
          <w:tcPr>
            <w:tcW w:w="990" w:type="dxa"/>
            <w:noWrap/>
            <w:hideMark/>
          </w:tcPr>
          <w:p w14:paraId="246876F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12.08 </w:t>
            </w:r>
          </w:p>
        </w:tc>
        <w:tc>
          <w:tcPr>
            <w:tcW w:w="900" w:type="dxa"/>
            <w:noWrap/>
            <w:hideMark/>
          </w:tcPr>
          <w:p w14:paraId="56A8615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17.04 </w:t>
            </w:r>
          </w:p>
        </w:tc>
      </w:tr>
      <w:tr w:rsidR="00C0269A" w:rsidRPr="00C67737" w14:paraId="44B64DC8"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8E982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11832</w:t>
            </w:r>
          </w:p>
        </w:tc>
        <w:tc>
          <w:tcPr>
            <w:tcW w:w="5400" w:type="dxa"/>
            <w:noWrap/>
            <w:hideMark/>
          </w:tcPr>
          <w:p w14:paraId="486FC152"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Integrated Coastal Forests Biodiversity Hotspot Management and Restoration for Increased Ecosystem Services in Kenya</w:t>
            </w:r>
          </w:p>
        </w:tc>
        <w:tc>
          <w:tcPr>
            <w:tcW w:w="810" w:type="dxa"/>
            <w:noWrap/>
            <w:hideMark/>
          </w:tcPr>
          <w:p w14:paraId="025846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F9A27D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27F63F8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CF06DF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EB79EF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559EB0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3.35 </w:t>
            </w:r>
          </w:p>
        </w:tc>
        <w:tc>
          <w:tcPr>
            <w:tcW w:w="990" w:type="dxa"/>
            <w:noWrap/>
            <w:hideMark/>
          </w:tcPr>
          <w:p w14:paraId="6599629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13.80 </w:t>
            </w:r>
          </w:p>
        </w:tc>
        <w:tc>
          <w:tcPr>
            <w:tcW w:w="900" w:type="dxa"/>
            <w:noWrap/>
            <w:hideMark/>
          </w:tcPr>
          <w:p w14:paraId="486779B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17.15 </w:t>
            </w:r>
          </w:p>
        </w:tc>
      </w:tr>
      <w:tr w:rsidR="00C0269A" w:rsidRPr="00C67737" w14:paraId="3EB4A55B"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D2D0B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11831</w:t>
            </w:r>
          </w:p>
        </w:tc>
        <w:tc>
          <w:tcPr>
            <w:tcW w:w="5400" w:type="dxa"/>
            <w:noWrap/>
            <w:hideMark/>
          </w:tcPr>
          <w:p w14:paraId="529ECFC1"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BBNJ - Global and regional support to the BBNJ Agreement ratification process and implementation readiness.</w:t>
            </w:r>
          </w:p>
        </w:tc>
        <w:tc>
          <w:tcPr>
            <w:tcW w:w="810" w:type="dxa"/>
            <w:noWrap/>
            <w:hideMark/>
          </w:tcPr>
          <w:p w14:paraId="31950AF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DD15B4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3A76E3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693BE90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A67A27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4D0587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37DDBD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18.14 </w:t>
            </w:r>
          </w:p>
        </w:tc>
        <w:tc>
          <w:tcPr>
            <w:tcW w:w="900" w:type="dxa"/>
            <w:noWrap/>
            <w:hideMark/>
          </w:tcPr>
          <w:p w14:paraId="50AE02F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23.14 </w:t>
            </w:r>
          </w:p>
        </w:tc>
      </w:tr>
      <w:tr w:rsidR="00C0269A" w:rsidRPr="00C67737" w14:paraId="7C1FE3E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3875E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11828</w:t>
            </w:r>
          </w:p>
        </w:tc>
        <w:tc>
          <w:tcPr>
            <w:tcW w:w="5400" w:type="dxa"/>
            <w:noWrap/>
            <w:hideMark/>
          </w:tcPr>
          <w:p w14:paraId="1810746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Operationalizing the Nagoya Protocol Access and Benefit Sharing and Traditional Knowledge Regime in Burkina Faso (ONATRAB)</w:t>
            </w:r>
          </w:p>
        </w:tc>
        <w:tc>
          <w:tcPr>
            <w:tcW w:w="810" w:type="dxa"/>
            <w:noWrap/>
            <w:hideMark/>
          </w:tcPr>
          <w:p w14:paraId="4A4DE6C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99A96C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Burkina Faso</w:t>
            </w:r>
          </w:p>
        </w:tc>
        <w:tc>
          <w:tcPr>
            <w:tcW w:w="990" w:type="dxa"/>
            <w:noWrap/>
            <w:hideMark/>
          </w:tcPr>
          <w:p w14:paraId="2A9795F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46091E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7CAF43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008720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7F0BFE7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00" w:type="dxa"/>
            <w:noWrap/>
            <w:hideMark/>
          </w:tcPr>
          <w:p w14:paraId="0A2D04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r>
      <w:tr w:rsidR="00C0269A" w:rsidRPr="00C67737" w14:paraId="5A91BEF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77046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11827</w:t>
            </w:r>
          </w:p>
        </w:tc>
        <w:tc>
          <w:tcPr>
            <w:tcW w:w="5400" w:type="dxa"/>
            <w:noWrap/>
            <w:hideMark/>
          </w:tcPr>
          <w:p w14:paraId="66F114C5"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Local Investment </w:t>
            </w:r>
            <w:proofErr w:type="gramStart"/>
            <w:r w:rsidRPr="00D10503">
              <w:rPr>
                <w:rFonts w:eastAsia="Times New Roman" w:cstheme="minorHAnsi"/>
                <w:color w:val="000000"/>
                <w:sz w:val="16"/>
                <w:szCs w:val="16"/>
                <w:lang w:val="en-US"/>
              </w:rPr>
              <w:t>And</w:t>
            </w:r>
            <w:proofErr w:type="gramEnd"/>
            <w:r w:rsidRPr="00D10503">
              <w:rPr>
                <w:rFonts w:eastAsia="Times New Roman" w:cstheme="minorHAnsi"/>
                <w:color w:val="000000"/>
                <w:sz w:val="16"/>
                <w:szCs w:val="16"/>
                <w:lang w:val="en-US"/>
              </w:rPr>
              <w:t xml:space="preserve"> Action </w:t>
            </w:r>
            <w:proofErr w:type="gramStart"/>
            <w:r w:rsidRPr="00D10503">
              <w:rPr>
                <w:rFonts w:eastAsia="Times New Roman" w:cstheme="minorHAnsi"/>
                <w:color w:val="000000"/>
                <w:sz w:val="16"/>
                <w:szCs w:val="16"/>
                <w:lang w:val="en-US"/>
              </w:rPr>
              <w:t>For</w:t>
            </w:r>
            <w:proofErr w:type="gramEnd"/>
            <w:r w:rsidRPr="00D10503">
              <w:rPr>
                <w:rFonts w:eastAsia="Times New Roman" w:cstheme="minorHAnsi"/>
                <w:color w:val="000000"/>
                <w:sz w:val="16"/>
                <w:szCs w:val="16"/>
                <w:lang w:val="en-US"/>
              </w:rPr>
              <w:t xml:space="preserve"> Climate Resilient, Water Secure </w:t>
            </w:r>
            <w:proofErr w:type="gramStart"/>
            <w:r w:rsidRPr="00D10503">
              <w:rPr>
                <w:rFonts w:eastAsia="Times New Roman" w:cstheme="minorHAnsi"/>
                <w:color w:val="000000"/>
                <w:sz w:val="16"/>
                <w:szCs w:val="16"/>
                <w:lang w:val="en-US"/>
              </w:rPr>
              <w:t>And</w:t>
            </w:r>
            <w:proofErr w:type="gramEnd"/>
            <w:r w:rsidRPr="00D10503">
              <w:rPr>
                <w:rFonts w:eastAsia="Times New Roman" w:cstheme="minorHAnsi"/>
                <w:color w:val="000000"/>
                <w:sz w:val="16"/>
                <w:szCs w:val="16"/>
                <w:lang w:val="en-US"/>
              </w:rPr>
              <w:t xml:space="preserve"> Healthy Farming Communities </w:t>
            </w:r>
            <w:proofErr w:type="gramStart"/>
            <w:r w:rsidRPr="00D10503">
              <w:rPr>
                <w:rFonts w:eastAsia="Times New Roman" w:cstheme="minorHAnsi"/>
                <w:color w:val="000000"/>
                <w:sz w:val="16"/>
                <w:szCs w:val="16"/>
                <w:lang w:val="en-US"/>
              </w:rPr>
              <w:t>In</w:t>
            </w:r>
            <w:proofErr w:type="gramEnd"/>
            <w:r w:rsidRPr="00D10503">
              <w:rPr>
                <w:rFonts w:eastAsia="Times New Roman" w:cstheme="minorHAnsi"/>
                <w:color w:val="000000"/>
                <w:sz w:val="16"/>
                <w:szCs w:val="16"/>
                <w:lang w:val="en-US"/>
              </w:rPr>
              <w:t xml:space="preserve"> Timor Leste</w:t>
            </w:r>
          </w:p>
        </w:tc>
        <w:tc>
          <w:tcPr>
            <w:tcW w:w="810" w:type="dxa"/>
            <w:noWrap/>
            <w:hideMark/>
          </w:tcPr>
          <w:p w14:paraId="49B6C7A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416DFD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Timor Leste</w:t>
            </w:r>
          </w:p>
        </w:tc>
        <w:tc>
          <w:tcPr>
            <w:tcW w:w="990" w:type="dxa"/>
            <w:noWrap/>
            <w:hideMark/>
          </w:tcPr>
          <w:p w14:paraId="7C96D49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1674EC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3345BD3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5781B0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3BB0C82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5.25 </w:t>
            </w:r>
          </w:p>
        </w:tc>
        <w:tc>
          <w:tcPr>
            <w:tcW w:w="900" w:type="dxa"/>
            <w:noWrap/>
            <w:hideMark/>
          </w:tcPr>
          <w:p w14:paraId="07FB9B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10.25 </w:t>
            </w:r>
          </w:p>
        </w:tc>
      </w:tr>
      <w:tr w:rsidR="00C0269A" w:rsidRPr="00C67737" w14:paraId="76989AA0"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58748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11761</w:t>
            </w:r>
          </w:p>
        </w:tc>
        <w:tc>
          <w:tcPr>
            <w:tcW w:w="5400" w:type="dxa"/>
            <w:noWrap/>
            <w:hideMark/>
          </w:tcPr>
          <w:p w14:paraId="707C4F7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Heart of Conservation Initiative</w:t>
            </w:r>
          </w:p>
        </w:tc>
        <w:tc>
          <w:tcPr>
            <w:tcW w:w="810" w:type="dxa"/>
            <w:noWrap/>
            <w:hideMark/>
          </w:tcPr>
          <w:p w14:paraId="6C0166F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0CD6F5C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DA0B9F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A0B730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447B64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E2844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25.00 </w:t>
            </w:r>
          </w:p>
        </w:tc>
        <w:tc>
          <w:tcPr>
            <w:tcW w:w="990" w:type="dxa"/>
            <w:noWrap/>
            <w:hideMark/>
          </w:tcPr>
          <w:p w14:paraId="69E3DD6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83.80 </w:t>
            </w:r>
          </w:p>
        </w:tc>
        <w:tc>
          <w:tcPr>
            <w:tcW w:w="900" w:type="dxa"/>
            <w:noWrap/>
            <w:hideMark/>
          </w:tcPr>
          <w:p w14:paraId="65B1F1D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108.80 </w:t>
            </w:r>
          </w:p>
        </w:tc>
      </w:tr>
      <w:tr w:rsidR="00C0269A" w:rsidRPr="00C67737" w14:paraId="0437FEE1"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70E92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11759</w:t>
            </w:r>
          </w:p>
        </w:tc>
        <w:tc>
          <w:tcPr>
            <w:tcW w:w="5400" w:type="dxa"/>
            <w:noWrap/>
            <w:hideMark/>
          </w:tcPr>
          <w:p w14:paraId="21AE69B2"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&amp; Sustaining Kiribati’s Resilient Future: Integrating Green Economy Transformations to strengthen Atolls Climate Change Adaptation and Sustainable Land Use Management</w:t>
            </w:r>
          </w:p>
        </w:tc>
        <w:tc>
          <w:tcPr>
            <w:tcW w:w="810" w:type="dxa"/>
            <w:noWrap/>
            <w:hideMark/>
          </w:tcPr>
          <w:p w14:paraId="3B199F4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6100BA9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Kiribati</w:t>
            </w:r>
          </w:p>
        </w:tc>
        <w:tc>
          <w:tcPr>
            <w:tcW w:w="990" w:type="dxa"/>
            <w:noWrap/>
            <w:hideMark/>
          </w:tcPr>
          <w:p w14:paraId="740405F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9664C1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LDCF, MTF</w:t>
            </w:r>
          </w:p>
        </w:tc>
        <w:tc>
          <w:tcPr>
            <w:tcW w:w="810" w:type="dxa"/>
            <w:noWrap/>
            <w:hideMark/>
          </w:tcPr>
          <w:p w14:paraId="448118F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7A6BD8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28.58 </w:t>
            </w:r>
          </w:p>
        </w:tc>
        <w:tc>
          <w:tcPr>
            <w:tcW w:w="990" w:type="dxa"/>
            <w:noWrap/>
            <w:hideMark/>
          </w:tcPr>
          <w:p w14:paraId="42C2A88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25.00 </w:t>
            </w:r>
          </w:p>
        </w:tc>
        <w:tc>
          <w:tcPr>
            <w:tcW w:w="900" w:type="dxa"/>
            <w:noWrap/>
            <w:hideMark/>
          </w:tcPr>
          <w:p w14:paraId="40C943B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53.58 </w:t>
            </w:r>
          </w:p>
        </w:tc>
      </w:tr>
      <w:tr w:rsidR="00C0269A" w:rsidRPr="00C67737" w14:paraId="1B69173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39BC1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11757</w:t>
            </w:r>
          </w:p>
        </w:tc>
        <w:tc>
          <w:tcPr>
            <w:tcW w:w="5400" w:type="dxa"/>
            <w:noWrap/>
            <w:hideMark/>
          </w:tcPr>
          <w:p w14:paraId="08F129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SGP CSO Challenge Program</w:t>
            </w:r>
          </w:p>
        </w:tc>
        <w:tc>
          <w:tcPr>
            <w:tcW w:w="810" w:type="dxa"/>
            <w:noWrap/>
            <w:hideMark/>
          </w:tcPr>
          <w:p w14:paraId="26E1464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B51F6F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27B840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7839E8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F66B4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222FBA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231E013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4.26 </w:t>
            </w:r>
          </w:p>
        </w:tc>
        <w:tc>
          <w:tcPr>
            <w:tcW w:w="900" w:type="dxa"/>
            <w:noWrap/>
            <w:hideMark/>
          </w:tcPr>
          <w:p w14:paraId="5121DEB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14.26 </w:t>
            </w:r>
          </w:p>
        </w:tc>
      </w:tr>
      <w:tr w:rsidR="00C0269A" w:rsidRPr="00C67737" w14:paraId="031E4EA3"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ACC74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11726</w:t>
            </w:r>
          </w:p>
        </w:tc>
        <w:tc>
          <w:tcPr>
            <w:tcW w:w="5400" w:type="dxa"/>
            <w:noWrap/>
            <w:hideMark/>
          </w:tcPr>
          <w:p w14:paraId="64654235" w14:textId="77777777" w:rsidR="00C0269A" w:rsidRPr="00CA5A8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Eighth Operational Phase of the GEF Small Grants Programme (Tranche 2)</w:t>
            </w:r>
          </w:p>
        </w:tc>
        <w:tc>
          <w:tcPr>
            <w:tcW w:w="810" w:type="dxa"/>
            <w:noWrap/>
            <w:hideMark/>
          </w:tcPr>
          <w:p w14:paraId="1BA9E88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04A9E3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9A4AB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D4104F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268CCD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986AAF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80.66 </w:t>
            </w:r>
          </w:p>
        </w:tc>
        <w:tc>
          <w:tcPr>
            <w:tcW w:w="990" w:type="dxa"/>
            <w:noWrap/>
            <w:hideMark/>
          </w:tcPr>
          <w:p w14:paraId="3E59D0A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56.73 </w:t>
            </w:r>
          </w:p>
        </w:tc>
        <w:tc>
          <w:tcPr>
            <w:tcW w:w="900" w:type="dxa"/>
            <w:noWrap/>
            <w:hideMark/>
          </w:tcPr>
          <w:p w14:paraId="16A6412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137.39 </w:t>
            </w:r>
          </w:p>
        </w:tc>
      </w:tr>
      <w:tr w:rsidR="00C0269A" w:rsidRPr="00C67737" w14:paraId="06605BD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BB720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11720</w:t>
            </w:r>
          </w:p>
        </w:tc>
        <w:tc>
          <w:tcPr>
            <w:tcW w:w="5400" w:type="dxa"/>
            <w:noWrap/>
            <w:hideMark/>
          </w:tcPr>
          <w:p w14:paraId="7E12FDF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Promoting Sustainable land management for the achievement of Land Degradation Neutrality for Improved Equity, Sustainability, and Resilience in Rice Landscapes of Liberia</w:t>
            </w:r>
          </w:p>
        </w:tc>
        <w:tc>
          <w:tcPr>
            <w:tcW w:w="810" w:type="dxa"/>
            <w:noWrap/>
            <w:hideMark/>
          </w:tcPr>
          <w:p w14:paraId="39A6DCA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16AE0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Liberia</w:t>
            </w:r>
          </w:p>
        </w:tc>
        <w:tc>
          <w:tcPr>
            <w:tcW w:w="990" w:type="dxa"/>
            <w:noWrap/>
            <w:hideMark/>
          </w:tcPr>
          <w:p w14:paraId="0C43FF8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7ADA0B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AFACCA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28992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5.76 </w:t>
            </w:r>
          </w:p>
        </w:tc>
        <w:tc>
          <w:tcPr>
            <w:tcW w:w="990" w:type="dxa"/>
            <w:noWrap/>
            <w:hideMark/>
          </w:tcPr>
          <w:p w14:paraId="42CE0F8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43.43 </w:t>
            </w:r>
          </w:p>
        </w:tc>
        <w:tc>
          <w:tcPr>
            <w:tcW w:w="900" w:type="dxa"/>
            <w:noWrap/>
            <w:hideMark/>
          </w:tcPr>
          <w:p w14:paraId="7635BB5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49.20 </w:t>
            </w:r>
          </w:p>
        </w:tc>
      </w:tr>
      <w:tr w:rsidR="00C0269A" w:rsidRPr="00C67737" w14:paraId="12AB902B"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AFDDC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11719</w:t>
            </w:r>
          </w:p>
        </w:tc>
        <w:tc>
          <w:tcPr>
            <w:tcW w:w="5400" w:type="dxa"/>
            <w:noWrap/>
            <w:hideMark/>
          </w:tcPr>
          <w:p w14:paraId="2ADD297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Conservation International GEF Small Grants Programme 2.0 (CI SGP 2.0)</w:t>
            </w:r>
          </w:p>
        </w:tc>
        <w:tc>
          <w:tcPr>
            <w:tcW w:w="810" w:type="dxa"/>
            <w:noWrap/>
            <w:hideMark/>
          </w:tcPr>
          <w:p w14:paraId="018C76D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04B83AA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AAEC7A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E2E0C5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79D63A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C03E1C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4.82 </w:t>
            </w:r>
          </w:p>
        </w:tc>
        <w:tc>
          <w:tcPr>
            <w:tcW w:w="990" w:type="dxa"/>
            <w:noWrap/>
            <w:hideMark/>
          </w:tcPr>
          <w:p w14:paraId="0BF9800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6.97 </w:t>
            </w:r>
          </w:p>
        </w:tc>
        <w:tc>
          <w:tcPr>
            <w:tcW w:w="900" w:type="dxa"/>
            <w:noWrap/>
            <w:hideMark/>
          </w:tcPr>
          <w:p w14:paraId="7DB1378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11.79 </w:t>
            </w:r>
          </w:p>
        </w:tc>
      </w:tr>
      <w:tr w:rsidR="00C0269A" w:rsidRPr="00C67737" w14:paraId="773BBD3D"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C68F5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11718</w:t>
            </w:r>
          </w:p>
        </w:tc>
        <w:tc>
          <w:tcPr>
            <w:tcW w:w="5400" w:type="dxa"/>
            <w:noWrap/>
            <w:hideMark/>
          </w:tcPr>
          <w:p w14:paraId="0E75247E"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Revitalizing Ecosystems for Sustainable Agriculture and Resilience in Fiji (RESAR)</w:t>
            </w:r>
          </w:p>
        </w:tc>
        <w:tc>
          <w:tcPr>
            <w:tcW w:w="810" w:type="dxa"/>
            <w:noWrap/>
            <w:hideMark/>
          </w:tcPr>
          <w:p w14:paraId="3F05B83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5979B40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Fiji</w:t>
            </w:r>
          </w:p>
        </w:tc>
        <w:tc>
          <w:tcPr>
            <w:tcW w:w="990" w:type="dxa"/>
            <w:noWrap/>
            <w:hideMark/>
          </w:tcPr>
          <w:p w14:paraId="2CFD6A4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0E2326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0B47DB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748EA8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9.23 </w:t>
            </w:r>
          </w:p>
        </w:tc>
        <w:tc>
          <w:tcPr>
            <w:tcW w:w="990" w:type="dxa"/>
            <w:noWrap/>
            <w:hideMark/>
          </w:tcPr>
          <w:p w14:paraId="035AAE6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25.36 </w:t>
            </w:r>
          </w:p>
        </w:tc>
        <w:tc>
          <w:tcPr>
            <w:tcW w:w="900" w:type="dxa"/>
            <w:noWrap/>
            <w:hideMark/>
          </w:tcPr>
          <w:p w14:paraId="48E0E84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34.59 </w:t>
            </w:r>
          </w:p>
        </w:tc>
      </w:tr>
      <w:tr w:rsidR="00C0269A" w:rsidRPr="00C67737" w14:paraId="289B8066"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D7B80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11714</w:t>
            </w:r>
          </w:p>
        </w:tc>
        <w:tc>
          <w:tcPr>
            <w:tcW w:w="5400" w:type="dxa"/>
            <w:noWrap/>
            <w:hideMark/>
          </w:tcPr>
          <w:p w14:paraId="73BAFF76"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Spatial-based Natural Forest Planning and Governance for Robust Ecosystems (SPARE)</w:t>
            </w:r>
          </w:p>
        </w:tc>
        <w:tc>
          <w:tcPr>
            <w:tcW w:w="810" w:type="dxa"/>
            <w:noWrap/>
            <w:hideMark/>
          </w:tcPr>
          <w:p w14:paraId="67E750C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01370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74D1FE9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721664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75DE09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77E44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90" w:type="dxa"/>
            <w:noWrap/>
            <w:hideMark/>
          </w:tcPr>
          <w:p w14:paraId="1224D91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40.00 </w:t>
            </w:r>
          </w:p>
        </w:tc>
        <w:tc>
          <w:tcPr>
            <w:tcW w:w="900" w:type="dxa"/>
            <w:noWrap/>
            <w:hideMark/>
          </w:tcPr>
          <w:p w14:paraId="2AA8CBB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47.00 </w:t>
            </w:r>
          </w:p>
        </w:tc>
      </w:tr>
      <w:tr w:rsidR="00C0269A" w:rsidRPr="00C67737" w14:paraId="7EA046F2"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9991E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11706</w:t>
            </w:r>
          </w:p>
        </w:tc>
        <w:tc>
          <w:tcPr>
            <w:tcW w:w="5400" w:type="dxa"/>
            <w:noWrap/>
            <w:hideMark/>
          </w:tcPr>
          <w:p w14:paraId="4E7E7A38"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Land and Water Management (ILWM) for enhanced ecosystem goods and services in Libya</w:t>
            </w:r>
          </w:p>
        </w:tc>
        <w:tc>
          <w:tcPr>
            <w:tcW w:w="810" w:type="dxa"/>
            <w:noWrap/>
            <w:hideMark/>
          </w:tcPr>
          <w:p w14:paraId="65239E9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28713E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Libya</w:t>
            </w:r>
            <w:proofErr w:type="spellEnd"/>
          </w:p>
        </w:tc>
        <w:tc>
          <w:tcPr>
            <w:tcW w:w="990" w:type="dxa"/>
            <w:noWrap/>
            <w:hideMark/>
          </w:tcPr>
          <w:p w14:paraId="3313DF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C7CEB7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F6174E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8CF228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5.80 </w:t>
            </w:r>
          </w:p>
        </w:tc>
        <w:tc>
          <w:tcPr>
            <w:tcW w:w="990" w:type="dxa"/>
            <w:noWrap/>
            <w:hideMark/>
          </w:tcPr>
          <w:p w14:paraId="1D6D6AA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00" w:type="dxa"/>
            <w:noWrap/>
            <w:hideMark/>
          </w:tcPr>
          <w:p w14:paraId="09A0F33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25.80 </w:t>
            </w:r>
          </w:p>
        </w:tc>
      </w:tr>
      <w:tr w:rsidR="00C0269A" w:rsidRPr="00C67737" w14:paraId="15F48E9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CE9F4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11701</w:t>
            </w:r>
          </w:p>
        </w:tc>
        <w:tc>
          <w:tcPr>
            <w:tcW w:w="5400" w:type="dxa"/>
            <w:noWrap/>
            <w:hideMark/>
          </w:tcPr>
          <w:p w14:paraId="42C27B0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Building a Climate-Resilient and Sustainable Shea Landscape of Northern Uganda</w:t>
            </w:r>
          </w:p>
        </w:tc>
        <w:tc>
          <w:tcPr>
            <w:tcW w:w="810" w:type="dxa"/>
            <w:noWrap/>
            <w:hideMark/>
          </w:tcPr>
          <w:p w14:paraId="39F6B9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4945834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Uganda</w:t>
            </w:r>
          </w:p>
        </w:tc>
        <w:tc>
          <w:tcPr>
            <w:tcW w:w="990" w:type="dxa"/>
            <w:noWrap/>
            <w:hideMark/>
          </w:tcPr>
          <w:p w14:paraId="0ACAA1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AA5494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1F8666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17D802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 </w:t>
            </w:r>
          </w:p>
        </w:tc>
        <w:tc>
          <w:tcPr>
            <w:tcW w:w="990" w:type="dxa"/>
            <w:noWrap/>
            <w:hideMark/>
          </w:tcPr>
          <w:p w14:paraId="06AACA0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13.42 </w:t>
            </w:r>
          </w:p>
        </w:tc>
        <w:tc>
          <w:tcPr>
            <w:tcW w:w="900" w:type="dxa"/>
            <w:noWrap/>
            <w:hideMark/>
          </w:tcPr>
          <w:p w14:paraId="6115A1F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20.92 </w:t>
            </w:r>
          </w:p>
        </w:tc>
      </w:tr>
      <w:tr w:rsidR="00C0269A" w:rsidRPr="00C67737" w14:paraId="789D47A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0F710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11700</w:t>
            </w:r>
          </w:p>
        </w:tc>
        <w:tc>
          <w:tcPr>
            <w:tcW w:w="5400" w:type="dxa"/>
            <w:noWrap/>
            <w:hideMark/>
          </w:tcPr>
          <w:p w14:paraId="0570E807"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Climate Adaptation, Biodiversity Conservation, and Combating Land Degradation through Ecosystem-based Adaptation in Samoa</w:t>
            </w:r>
          </w:p>
        </w:tc>
        <w:tc>
          <w:tcPr>
            <w:tcW w:w="810" w:type="dxa"/>
            <w:noWrap/>
            <w:hideMark/>
          </w:tcPr>
          <w:p w14:paraId="5782020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19483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Samoa</w:t>
            </w:r>
          </w:p>
        </w:tc>
        <w:tc>
          <w:tcPr>
            <w:tcW w:w="990" w:type="dxa"/>
            <w:noWrap/>
            <w:hideMark/>
          </w:tcPr>
          <w:p w14:paraId="2992728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2413B7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SCCF-A, MTF</w:t>
            </w:r>
          </w:p>
        </w:tc>
        <w:tc>
          <w:tcPr>
            <w:tcW w:w="810" w:type="dxa"/>
            <w:noWrap/>
            <w:hideMark/>
          </w:tcPr>
          <w:p w14:paraId="4B9390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712253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0E29B44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37.02 </w:t>
            </w:r>
          </w:p>
        </w:tc>
        <w:tc>
          <w:tcPr>
            <w:tcW w:w="900" w:type="dxa"/>
            <w:noWrap/>
            <w:hideMark/>
          </w:tcPr>
          <w:p w14:paraId="70F4C10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43.02 </w:t>
            </w:r>
          </w:p>
        </w:tc>
      </w:tr>
      <w:tr w:rsidR="00C0269A" w:rsidRPr="00C67737" w14:paraId="6CAF013F"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D3FC6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11699</w:t>
            </w:r>
          </w:p>
        </w:tc>
        <w:tc>
          <w:tcPr>
            <w:tcW w:w="5400" w:type="dxa"/>
            <w:noWrap/>
            <w:hideMark/>
          </w:tcPr>
          <w:p w14:paraId="1386268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Resilient rural economic growth and food security</w:t>
            </w:r>
          </w:p>
        </w:tc>
        <w:tc>
          <w:tcPr>
            <w:tcW w:w="810" w:type="dxa"/>
            <w:noWrap/>
            <w:hideMark/>
          </w:tcPr>
          <w:p w14:paraId="1C80C43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2F51EA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Solomon Islands</w:t>
            </w:r>
          </w:p>
        </w:tc>
        <w:tc>
          <w:tcPr>
            <w:tcW w:w="990" w:type="dxa"/>
            <w:noWrap/>
            <w:hideMark/>
          </w:tcPr>
          <w:p w14:paraId="60A65D0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694C171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271E614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38713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0003D12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29.73 </w:t>
            </w:r>
          </w:p>
        </w:tc>
        <w:tc>
          <w:tcPr>
            <w:tcW w:w="900" w:type="dxa"/>
            <w:noWrap/>
            <w:hideMark/>
          </w:tcPr>
          <w:p w14:paraId="2D7B426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39.73 </w:t>
            </w:r>
          </w:p>
        </w:tc>
      </w:tr>
      <w:tr w:rsidR="00C0269A" w:rsidRPr="00C67737" w14:paraId="4E6BC53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CFAC6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11698</w:t>
            </w:r>
          </w:p>
        </w:tc>
        <w:tc>
          <w:tcPr>
            <w:tcW w:w="5400" w:type="dxa"/>
            <w:noWrap/>
            <w:hideMark/>
          </w:tcPr>
          <w:p w14:paraId="0A16043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Eighth Operational Phase of the GEF Small Grants Programme (Tranche II)</w:t>
            </w:r>
          </w:p>
        </w:tc>
        <w:tc>
          <w:tcPr>
            <w:tcW w:w="810" w:type="dxa"/>
            <w:noWrap/>
            <w:hideMark/>
          </w:tcPr>
          <w:p w14:paraId="09ABDA0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0D79B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A82D03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77A95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4C7948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7996D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19.00 </w:t>
            </w:r>
          </w:p>
        </w:tc>
        <w:tc>
          <w:tcPr>
            <w:tcW w:w="990" w:type="dxa"/>
            <w:noWrap/>
            <w:hideMark/>
          </w:tcPr>
          <w:p w14:paraId="6408213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17.43 </w:t>
            </w:r>
          </w:p>
        </w:tc>
        <w:tc>
          <w:tcPr>
            <w:tcW w:w="900" w:type="dxa"/>
            <w:noWrap/>
            <w:hideMark/>
          </w:tcPr>
          <w:p w14:paraId="26EF891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36.43 </w:t>
            </w:r>
          </w:p>
        </w:tc>
      </w:tr>
      <w:tr w:rsidR="00C0269A" w:rsidRPr="00C67737" w14:paraId="242CC39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7AE61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11696</w:t>
            </w:r>
          </w:p>
        </w:tc>
        <w:tc>
          <w:tcPr>
            <w:tcW w:w="5400" w:type="dxa"/>
            <w:noWrap/>
            <w:hideMark/>
          </w:tcPr>
          <w:p w14:paraId="60D8EE65"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Fostering water security and catchment resilience in Uganda’s Cattle Corridor</w:t>
            </w:r>
          </w:p>
        </w:tc>
        <w:tc>
          <w:tcPr>
            <w:tcW w:w="810" w:type="dxa"/>
            <w:noWrap/>
            <w:hideMark/>
          </w:tcPr>
          <w:p w14:paraId="7D3E78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0AE123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Uganda</w:t>
            </w:r>
          </w:p>
        </w:tc>
        <w:tc>
          <w:tcPr>
            <w:tcW w:w="990" w:type="dxa"/>
            <w:noWrap/>
            <w:hideMark/>
          </w:tcPr>
          <w:p w14:paraId="10FDA0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6D07C90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EB8068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4DE718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8.50 </w:t>
            </w:r>
          </w:p>
        </w:tc>
        <w:tc>
          <w:tcPr>
            <w:tcW w:w="990" w:type="dxa"/>
            <w:noWrap/>
            <w:hideMark/>
          </w:tcPr>
          <w:p w14:paraId="74B6531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56.11 </w:t>
            </w:r>
          </w:p>
        </w:tc>
        <w:tc>
          <w:tcPr>
            <w:tcW w:w="900" w:type="dxa"/>
            <w:noWrap/>
            <w:hideMark/>
          </w:tcPr>
          <w:p w14:paraId="119F37C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64.61 </w:t>
            </w:r>
          </w:p>
        </w:tc>
      </w:tr>
      <w:tr w:rsidR="00C0269A" w:rsidRPr="00C67737" w14:paraId="03D7E95C"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572A1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11695</w:t>
            </w:r>
          </w:p>
        </w:tc>
        <w:tc>
          <w:tcPr>
            <w:tcW w:w="5400" w:type="dxa"/>
            <w:noWrap/>
            <w:hideMark/>
          </w:tcPr>
          <w:p w14:paraId="7EF70986"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Promoting climate-resilience through ecosystem-based adaptation (</w:t>
            </w:r>
            <w:proofErr w:type="spellStart"/>
            <w:r w:rsidRPr="00D10503">
              <w:rPr>
                <w:rFonts w:eastAsia="Times New Roman" w:cstheme="minorHAnsi"/>
                <w:color w:val="000000"/>
                <w:sz w:val="16"/>
                <w:szCs w:val="16"/>
                <w:lang w:val="en-US"/>
              </w:rPr>
              <w:t>EbA</w:t>
            </w:r>
            <w:proofErr w:type="spellEnd"/>
            <w:r w:rsidRPr="00D10503">
              <w:rPr>
                <w:rFonts w:eastAsia="Times New Roman" w:cstheme="minorHAnsi"/>
                <w:color w:val="000000"/>
                <w:sz w:val="16"/>
                <w:szCs w:val="16"/>
                <w:lang w:val="en-US"/>
              </w:rPr>
              <w:t>) solutions in the Northern Lao PDR</w:t>
            </w:r>
          </w:p>
        </w:tc>
        <w:tc>
          <w:tcPr>
            <w:tcW w:w="810" w:type="dxa"/>
            <w:noWrap/>
            <w:hideMark/>
          </w:tcPr>
          <w:p w14:paraId="663550F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66FF42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Lao PDR</w:t>
            </w:r>
          </w:p>
        </w:tc>
        <w:tc>
          <w:tcPr>
            <w:tcW w:w="990" w:type="dxa"/>
            <w:noWrap/>
            <w:hideMark/>
          </w:tcPr>
          <w:p w14:paraId="2FF6C0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83D44E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188814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CD5095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90" w:type="dxa"/>
            <w:noWrap/>
            <w:hideMark/>
          </w:tcPr>
          <w:p w14:paraId="13D51CF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27.30 </w:t>
            </w:r>
          </w:p>
        </w:tc>
        <w:tc>
          <w:tcPr>
            <w:tcW w:w="900" w:type="dxa"/>
            <w:noWrap/>
            <w:hideMark/>
          </w:tcPr>
          <w:p w14:paraId="71C3E93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34.30 </w:t>
            </w:r>
          </w:p>
        </w:tc>
      </w:tr>
      <w:tr w:rsidR="00C0269A" w:rsidRPr="00C67737" w14:paraId="4B3BD35F"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202F6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11694</w:t>
            </w:r>
          </w:p>
        </w:tc>
        <w:tc>
          <w:tcPr>
            <w:tcW w:w="5400" w:type="dxa"/>
            <w:noWrap/>
            <w:hideMark/>
          </w:tcPr>
          <w:p w14:paraId="26C6AEF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Madagascar Science-based management of Biodiversity and Natural Resources for Economic Development Project</w:t>
            </w:r>
          </w:p>
        </w:tc>
        <w:tc>
          <w:tcPr>
            <w:tcW w:w="810" w:type="dxa"/>
            <w:noWrap/>
            <w:hideMark/>
          </w:tcPr>
          <w:p w14:paraId="2F326CC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3C83F99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2E0AF3E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53B4A1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LDCF, MTF</w:t>
            </w:r>
          </w:p>
        </w:tc>
        <w:tc>
          <w:tcPr>
            <w:tcW w:w="810" w:type="dxa"/>
            <w:noWrap/>
            <w:hideMark/>
          </w:tcPr>
          <w:p w14:paraId="7E96538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80E858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22.10 </w:t>
            </w:r>
          </w:p>
        </w:tc>
        <w:tc>
          <w:tcPr>
            <w:tcW w:w="990" w:type="dxa"/>
            <w:noWrap/>
            <w:hideMark/>
          </w:tcPr>
          <w:p w14:paraId="102499A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162.30 </w:t>
            </w:r>
          </w:p>
        </w:tc>
        <w:tc>
          <w:tcPr>
            <w:tcW w:w="900" w:type="dxa"/>
            <w:noWrap/>
            <w:hideMark/>
          </w:tcPr>
          <w:p w14:paraId="6726815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184.40 </w:t>
            </w:r>
          </w:p>
        </w:tc>
      </w:tr>
      <w:tr w:rsidR="00C0269A" w:rsidRPr="00C67737" w14:paraId="7AFF6C3C"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28C04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11693</w:t>
            </w:r>
          </w:p>
        </w:tc>
        <w:tc>
          <w:tcPr>
            <w:tcW w:w="5400" w:type="dxa"/>
            <w:noWrap/>
            <w:hideMark/>
          </w:tcPr>
          <w:p w14:paraId="2365125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Conserving Biodiversity and Natural Resources through Spatial Planning and Integrated Landscape Management</w:t>
            </w:r>
          </w:p>
        </w:tc>
        <w:tc>
          <w:tcPr>
            <w:tcW w:w="810" w:type="dxa"/>
            <w:noWrap/>
            <w:hideMark/>
          </w:tcPr>
          <w:p w14:paraId="777CCC4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9B5764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1186EAA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FE46A8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8D855F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E66241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6.20 </w:t>
            </w:r>
          </w:p>
        </w:tc>
        <w:tc>
          <w:tcPr>
            <w:tcW w:w="990" w:type="dxa"/>
            <w:noWrap/>
            <w:hideMark/>
          </w:tcPr>
          <w:p w14:paraId="4F82837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59.40 </w:t>
            </w:r>
          </w:p>
        </w:tc>
        <w:tc>
          <w:tcPr>
            <w:tcW w:w="900" w:type="dxa"/>
            <w:noWrap/>
            <w:hideMark/>
          </w:tcPr>
          <w:p w14:paraId="5CF9ECD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65.60 </w:t>
            </w:r>
          </w:p>
        </w:tc>
      </w:tr>
      <w:tr w:rsidR="00C0269A" w:rsidRPr="00C67737" w14:paraId="4A28B03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E8373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11681</w:t>
            </w:r>
          </w:p>
        </w:tc>
        <w:tc>
          <w:tcPr>
            <w:tcW w:w="5400" w:type="dxa"/>
            <w:noWrap/>
            <w:hideMark/>
          </w:tcPr>
          <w:p w14:paraId="6E9B889B"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Chemicals and Wastes Financing Partnership Facility (CWFPF)</w:t>
            </w:r>
          </w:p>
        </w:tc>
        <w:tc>
          <w:tcPr>
            <w:tcW w:w="810" w:type="dxa"/>
            <w:noWrap/>
            <w:hideMark/>
          </w:tcPr>
          <w:p w14:paraId="5FD488A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778B9A0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1A0E83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54F87E2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C0BD27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C96F41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32.00 </w:t>
            </w:r>
          </w:p>
        </w:tc>
        <w:tc>
          <w:tcPr>
            <w:tcW w:w="990" w:type="dxa"/>
            <w:noWrap/>
            <w:hideMark/>
          </w:tcPr>
          <w:p w14:paraId="561E87F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314.42 </w:t>
            </w:r>
          </w:p>
        </w:tc>
        <w:tc>
          <w:tcPr>
            <w:tcW w:w="900" w:type="dxa"/>
            <w:noWrap/>
            <w:hideMark/>
          </w:tcPr>
          <w:p w14:paraId="6C5313B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346.42 </w:t>
            </w:r>
          </w:p>
        </w:tc>
      </w:tr>
      <w:tr w:rsidR="00C0269A" w:rsidRPr="00C67737" w14:paraId="6C8F05A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FD32A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11680</w:t>
            </w:r>
          </w:p>
        </w:tc>
        <w:tc>
          <w:tcPr>
            <w:tcW w:w="5400" w:type="dxa"/>
            <w:noWrap/>
            <w:hideMark/>
          </w:tcPr>
          <w:p w14:paraId="2D8E0AF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Transboundary biodiversity conservation between North Macedonia and Albania</w:t>
            </w:r>
          </w:p>
        </w:tc>
        <w:tc>
          <w:tcPr>
            <w:tcW w:w="810" w:type="dxa"/>
            <w:noWrap/>
            <w:hideMark/>
          </w:tcPr>
          <w:p w14:paraId="3D48543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AD3A6B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4AE663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193E8E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25AC4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F21FFB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565C33B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00" w:type="dxa"/>
            <w:noWrap/>
            <w:hideMark/>
          </w:tcPr>
          <w:p w14:paraId="2A39200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11.00 </w:t>
            </w:r>
          </w:p>
        </w:tc>
      </w:tr>
      <w:tr w:rsidR="00C0269A" w:rsidRPr="00C67737" w14:paraId="4E22A01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D9F38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11679</w:t>
            </w:r>
          </w:p>
        </w:tc>
        <w:tc>
          <w:tcPr>
            <w:tcW w:w="5400" w:type="dxa"/>
            <w:noWrap/>
            <w:hideMark/>
          </w:tcPr>
          <w:p w14:paraId="55612E21"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Participatory restoration to improve ecosystem service provision and connectivity at the landscape scale in Colombia</w:t>
            </w:r>
          </w:p>
        </w:tc>
        <w:tc>
          <w:tcPr>
            <w:tcW w:w="810" w:type="dxa"/>
            <w:noWrap/>
            <w:hideMark/>
          </w:tcPr>
          <w:p w14:paraId="0C3393E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1BD348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4294AFF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D2FE59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18858B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6BFD2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20.06 </w:t>
            </w:r>
          </w:p>
        </w:tc>
        <w:tc>
          <w:tcPr>
            <w:tcW w:w="990" w:type="dxa"/>
            <w:noWrap/>
            <w:hideMark/>
          </w:tcPr>
          <w:p w14:paraId="7803DB2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56.57 </w:t>
            </w:r>
          </w:p>
        </w:tc>
        <w:tc>
          <w:tcPr>
            <w:tcW w:w="900" w:type="dxa"/>
            <w:noWrap/>
            <w:hideMark/>
          </w:tcPr>
          <w:p w14:paraId="46FC0A4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76.63 </w:t>
            </w:r>
          </w:p>
        </w:tc>
      </w:tr>
      <w:tr w:rsidR="00C0269A" w:rsidRPr="00C67737" w14:paraId="557D29D9"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64F7A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11677</w:t>
            </w:r>
          </w:p>
        </w:tc>
        <w:tc>
          <w:tcPr>
            <w:tcW w:w="5400" w:type="dxa"/>
            <w:noWrap/>
            <w:hideMark/>
          </w:tcPr>
          <w:p w14:paraId="397CFB29"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Phase 2: NBS Invest. Accelerating Investments in Nature Based Solutions to help address climate adaptation in Least Developed Countries</w:t>
            </w:r>
          </w:p>
        </w:tc>
        <w:tc>
          <w:tcPr>
            <w:tcW w:w="810" w:type="dxa"/>
            <w:noWrap/>
            <w:hideMark/>
          </w:tcPr>
          <w:p w14:paraId="0ABC30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0A371E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956633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229382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25D189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8848D6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10.90 </w:t>
            </w:r>
          </w:p>
        </w:tc>
        <w:tc>
          <w:tcPr>
            <w:tcW w:w="990" w:type="dxa"/>
            <w:noWrap/>
            <w:hideMark/>
          </w:tcPr>
          <w:p w14:paraId="703185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64.48 </w:t>
            </w:r>
          </w:p>
        </w:tc>
        <w:tc>
          <w:tcPr>
            <w:tcW w:w="900" w:type="dxa"/>
            <w:noWrap/>
            <w:hideMark/>
          </w:tcPr>
          <w:p w14:paraId="36E049D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75.38 </w:t>
            </w:r>
          </w:p>
        </w:tc>
      </w:tr>
      <w:tr w:rsidR="00C0269A" w:rsidRPr="00C67737" w14:paraId="5890FE6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BB4FE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11674</w:t>
            </w:r>
          </w:p>
        </w:tc>
        <w:tc>
          <w:tcPr>
            <w:tcW w:w="5400" w:type="dxa"/>
            <w:noWrap/>
            <w:hideMark/>
          </w:tcPr>
          <w:p w14:paraId="55F47A1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The Digital Seafood Revolution: Electronic catch documentation and traceability systems (</w:t>
            </w:r>
            <w:proofErr w:type="spellStart"/>
            <w:r w:rsidRPr="00D10503">
              <w:rPr>
                <w:rFonts w:eastAsia="Times New Roman" w:cstheme="minorHAnsi"/>
                <w:color w:val="000000"/>
                <w:sz w:val="16"/>
                <w:szCs w:val="16"/>
                <w:lang w:val="en-US"/>
              </w:rPr>
              <w:t>eCDT</w:t>
            </w:r>
            <w:proofErr w:type="spellEnd"/>
            <w:r w:rsidRPr="00D10503">
              <w:rPr>
                <w:rFonts w:eastAsia="Times New Roman" w:cstheme="minorHAnsi"/>
                <w:color w:val="000000"/>
                <w:sz w:val="16"/>
                <w:szCs w:val="16"/>
                <w:lang w:val="en-US"/>
              </w:rPr>
              <w:t>) for sustainable and legal fisheries in Chile, Peru, and Ecuador</w:t>
            </w:r>
          </w:p>
        </w:tc>
        <w:tc>
          <w:tcPr>
            <w:tcW w:w="810" w:type="dxa"/>
            <w:noWrap/>
            <w:hideMark/>
          </w:tcPr>
          <w:p w14:paraId="1EFC171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80EFF0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259E34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4D7084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0AABD3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129FFF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8.98 </w:t>
            </w:r>
          </w:p>
        </w:tc>
        <w:tc>
          <w:tcPr>
            <w:tcW w:w="990" w:type="dxa"/>
            <w:noWrap/>
            <w:hideMark/>
          </w:tcPr>
          <w:p w14:paraId="234E3D1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116.57 </w:t>
            </w:r>
          </w:p>
        </w:tc>
        <w:tc>
          <w:tcPr>
            <w:tcW w:w="900" w:type="dxa"/>
            <w:noWrap/>
            <w:hideMark/>
          </w:tcPr>
          <w:p w14:paraId="0B8A6D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125.55 </w:t>
            </w:r>
          </w:p>
        </w:tc>
      </w:tr>
      <w:tr w:rsidR="00C0269A" w:rsidRPr="00C67737" w14:paraId="478B1E5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7D0C9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11668</w:t>
            </w:r>
          </w:p>
        </w:tc>
        <w:tc>
          <w:tcPr>
            <w:tcW w:w="5400" w:type="dxa"/>
            <w:noWrap/>
            <w:hideMark/>
          </w:tcPr>
          <w:p w14:paraId="5159B049"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Nature-Based Solutions to Restore Ecosystems, and Conserve and Enhance Blue Carbon Stocks and Biodiversity in Viet Nam</w:t>
            </w:r>
          </w:p>
        </w:tc>
        <w:tc>
          <w:tcPr>
            <w:tcW w:w="810" w:type="dxa"/>
            <w:noWrap/>
            <w:hideMark/>
          </w:tcPr>
          <w:p w14:paraId="78CCC4C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2A5BB1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0B0849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80B2B7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F8ED1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51AB05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4BED281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23.00 </w:t>
            </w:r>
          </w:p>
        </w:tc>
        <w:tc>
          <w:tcPr>
            <w:tcW w:w="900" w:type="dxa"/>
            <w:noWrap/>
            <w:hideMark/>
          </w:tcPr>
          <w:p w14:paraId="6427022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27.00 </w:t>
            </w:r>
          </w:p>
        </w:tc>
      </w:tr>
      <w:tr w:rsidR="00C0269A" w:rsidRPr="00C67737" w14:paraId="37078034"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17A69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11664</w:t>
            </w:r>
          </w:p>
        </w:tc>
        <w:tc>
          <w:tcPr>
            <w:tcW w:w="5400" w:type="dxa"/>
            <w:noWrap/>
            <w:hideMark/>
          </w:tcPr>
          <w:p w14:paraId="095F483A"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Enhanced protected areas network for biodiversity conservation and development</w:t>
            </w:r>
          </w:p>
        </w:tc>
        <w:tc>
          <w:tcPr>
            <w:tcW w:w="810" w:type="dxa"/>
            <w:noWrap/>
            <w:hideMark/>
          </w:tcPr>
          <w:p w14:paraId="27628A3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A5D8C8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Ukraine</w:t>
            </w:r>
          </w:p>
        </w:tc>
        <w:tc>
          <w:tcPr>
            <w:tcW w:w="990" w:type="dxa"/>
            <w:noWrap/>
            <w:hideMark/>
          </w:tcPr>
          <w:p w14:paraId="41E5702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1A0DA40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85B4C8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194C88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43DD3D2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23.00 </w:t>
            </w:r>
          </w:p>
        </w:tc>
        <w:tc>
          <w:tcPr>
            <w:tcW w:w="900" w:type="dxa"/>
            <w:noWrap/>
            <w:hideMark/>
          </w:tcPr>
          <w:p w14:paraId="197EF84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27.00 </w:t>
            </w:r>
          </w:p>
        </w:tc>
      </w:tr>
      <w:tr w:rsidR="00C0269A" w:rsidRPr="00C67737" w14:paraId="6170010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CE1E8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11658</w:t>
            </w:r>
          </w:p>
        </w:tc>
        <w:tc>
          <w:tcPr>
            <w:tcW w:w="5400" w:type="dxa"/>
            <w:noWrap/>
            <w:hideMark/>
          </w:tcPr>
          <w:p w14:paraId="3F755657"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Resilient Recovery for Nutmeg </w:t>
            </w:r>
            <w:proofErr w:type="spellStart"/>
            <w:r w:rsidRPr="00D10503">
              <w:rPr>
                <w:rFonts w:eastAsia="Times New Roman" w:cstheme="minorHAnsi"/>
                <w:color w:val="000000"/>
                <w:sz w:val="16"/>
                <w:szCs w:val="16"/>
                <w:lang w:val="en-US"/>
              </w:rPr>
              <w:t>Agro</w:t>
            </w:r>
            <w:proofErr w:type="spellEnd"/>
            <w:r w:rsidRPr="00D10503">
              <w:rPr>
                <w:rFonts w:eastAsia="Times New Roman" w:cstheme="minorHAnsi"/>
                <w:color w:val="000000"/>
                <w:sz w:val="16"/>
                <w:szCs w:val="16"/>
                <w:lang w:val="en-US"/>
              </w:rPr>
              <w:t>-Forest Systems in Grenada</w:t>
            </w:r>
          </w:p>
        </w:tc>
        <w:tc>
          <w:tcPr>
            <w:tcW w:w="810" w:type="dxa"/>
            <w:noWrap/>
            <w:hideMark/>
          </w:tcPr>
          <w:p w14:paraId="137E1DC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8490A6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Grenada</w:t>
            </w:r>
          </w:p>
        </w:tc>
        <w:tc>
          <w:tcPr>
            <w:tcW w:w="990" w:type="dxa"/>
            <w:noWrap/>
            <w:hideMark/>
          </w:tcPr>
          <w:p w14:paraId="5521B4B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91F98E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SCCF-A, SCCF</w:t>
            </w:r>
          </w:p>
        </w:tc>
        <w:tc>
          <w:tcPr>
            <w:tcW w:w="810" w:type="dxa"/>
            <w:noWrap/>
            <w:hideMark/>
          </w:tcPr>
          <w:p w14:paraId="1C3941B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B99D52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379224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4.40 </w:t>
            </w:r>
          </w:p>
        </w:tc>
        <w:tc>
          <w:tcPr>
            <w:tcW w:w="900" w:type="dxa"/>
            <w:noWrap/>
            <w:hideMark/>
          </w:tcPr>
          <w:p w14:paraId="7C9B008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5.40 </w:t>
            </w:r>
          </w:p>
        </w:tc>
      </w:tr>
      <w:tr w:rsidR="00C0269A" w:rsidRPr="00C67737" w14:paraId="6E2B6FDF"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E4363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11657</w:t>
            </w:r>
          </w:p>
        </w:tc>
        <w:tc>
          <w:tcPr>
            <w:tcW w:w="5400" w:type="dxa"/>
            <w:noWrap/>
            <w:hideMark/>
          </w:tcPr>
          <w:p w14:paraId="6DFFEF0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Mainstreaming Nature-based Solutions to enhance the climate resilience of communities and ecosystems in the Himalayan Region of Nepal</w:t>
            </w:r>
          </w:p>
        </w:tc>
        <w:tc>
          <w:tcPr>
            <w:tcW w:w="810" w:type="dxa"/>
            <w:noWrap/>
            <w:hideMark/>
          </w:tcPr>
          <w:p w14:paraId="0E82021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C95F8E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Nepal</w:t>
            </w:r>
            <w:proofErr w:type="spellEnd"/>
          </w:p>
        </w:tc>
        <w:tc>
          <w:tcPr>
            <w:tcW w:w="990" w:type="dxa"/>
            <w:noWrap/>
            <w:hideMark/>
          </w:tcPr>
          <w:p w14:paraId="107A8EA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8BEB91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7CF71D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C4EE75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4.50 </w:t>
            </w:r>
          </w:p>
        </w:tc>
        <w:tc>
          <w:tcPr>
            <w:tcW w:w="990" w:type="dxa"/>
            <w:noWrap/>
            <w:hideMark/>
          </w:tcPr>
          <w:p w14:paraId="0A0E1B8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15.91 </w:t>
            </w:r>
          </w:p>
        </w:tc>
        <w:tc>
          <w:tcPr>
            <w:tcW w:w="900" w:type="dxa"/>
            <w:noWrap/>
            <w:hideMark/>
          </w:tcPr>
          <w:p w14:paraId="5A43980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20.41 </w:t>
            </w:r>
          </w:p>
        </w:tc>
      </w:tr>
      <w:tr w:rsidR="00C0269A" w:rsidRPr="00C67737" w14:paraId="64771E12"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6FB47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11648</w:t>
            </w:r>
          </w:p>
        </w:tc>
        <w:tc>
          <w:tcPr>
            <w:tcW w:w="5400" w:type="dxa"/>
            <w:noWrap/>
            <w:hideMark/>
          </w:tcPr>
          <w:p w14:paraId="3F6B668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Transforming food systems through ecosystem-based approaches to combat land degradation and loss in ecosystem services in value-chains in Tonga</w:t>
            </w:r>
          </w:p>
        </w:tc>
        <w:tc>
          <w:tcPr>
            <w:tcW w:w="810" w:type="dxa"/>
            <w:noWrap/>
            <w:hideMark/>
          </w:tcPr>
          <w:p w14:paraId="16499B2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0D19A3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Tonga</w:t>
            </w:r>
          </w:p>
        </w:tc>
        <w:tc>
          <w:tcPr>
            <w:tcW w:w="990" w:type="dxa"/>
            <w:noWrap/>
            <w:hideMark/>
          </w:tcPr>
          <w:p w14:paraId="2415AC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E944F7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AB8FA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56CB11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25D1C83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00" w:type="dxa"/>
            <w:noWrap/>
            <w:hideMark/>
          </w:tcPr>
          <w:p w14:paraId="7BFAED8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r>
      <w:tr w:rsidR="00C0269A" w:rsidRPr="00C67737" w14:paraId="1DD30212"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C9841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11578</w:t>
            </w:r>
          </w:p>
        </w:tc>
        <w:tc>
          <w:tcPr>
            <w:tcW w:w="5400" w:type="dxa"/>
            <w:noWrap/>
            <w:hideMark/>
          </w:tcPr>
          <w:p w14:paraId="75DC266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Scaling-up conservation and sustainable management of priority wetlands of the East-Asian Australasian Flyway in the Philippines (PHIL FLYWAY)</w:t>
            </w:r>
          </w:p>
        </w:tc>
        <w:tc>
          <w:tcPr>
            <w:tcW w:w="810" w:type="dxa"/>
            <w:noWrap/>
            <w:hideMark/>
          </w:tcPr>
          <w:p w14:paraId="19B9963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7FC52F6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4AB921D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B542C9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74078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F56BF9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6E00A69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22.86 </w:t>
            </w:r>
          </w:p>
        </w:tc>
        <w:tc>
          <w:tcPr>
            <w:tcW w:w="900" w:type="dxa"/>
            <w:noWrap/>
            <w:hideMark/>
          </w:tcPr>
          <w:p w14:paraId="2A05066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25.86 </w:t>
            </w:r>
          </w:p>
        </w:tc>
      </w:tr>
      <w:tr w:rsidR="00C0269A" w:rsidRPr="00C67737" w14:paraId="46E817F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033AE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11577</w:t>
            </w:r>
          </w:p>
        </w:tc>
        <w:tc>
          <w:tcPr>
            <w:tcW w:w="5400" w:type="dxa"/>
            <w:noWrap/>
            <w:hideMark/>
          </w:tcPr>
          <w:p w14:paraId="6DF7FCB2"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Implementation of Sustainable Transport Solutions in Togo</w:t>
            </w:r>
          </w:p>
        </w:tc>
        <w:tc>
          <w:tcPr>
            <w:tcW w:w="810" w:type="dxa"/>
            <w:noWrap/>
            <w:hideMark/>
          </w:tcPr>
          <w:p w14:paraId="5DA622C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BOAD</w:t>
            </w:r>
          </w:p>
        </w:tc>
        <w:tc>
          <w:tcPr>
            <w:tcW w:w="990" w:type="dxa"/>
            <w:noWrap/>
            <w:hideMark/>
          </w:tcPr>
          <w:p w14:paraId="4990747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Togo</w:t>
            </w:r>
          </w:p>
        </w:tc>
        <w:tc>
          <w:tcPr>
            <w:tcW w:w="990" w:type="dxa"/>
            <w:noWrap/>
            <w:hideMark/>
          </w:tcPr>
          <w:p w14:paraId="45D113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0E35C2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GET, </w:t>
            </w:r>
            <w:proofErr w:type="gramStart"/>
            <w:r w:rsidRPr="00C67737">
              <w:rPr>
                <w:rFonts w:eastAsia="Times New Roman" w:cstheme="minorHAnsi"/>
                <w:color w:val="000000"/>
                <w:sz w:val="16"/>
                <w:szCs w:val="16"/>
              </w:rPr>
              <w:t>LDCF,MTF</w:t>
            </w:r>
            <w:proofErr w:type="gramEnd"/>
          </w:p>
        </w:tc>
        <w:tc>
          <w:tcPr>
            <w:tcW w:w="810" w:type="dxa"/>
            <w:noWrap/>
            <w:hideMark/>
          </w:tcPr>
          <w:p w14:paraId="2D51E01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90E892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10.38 </w:t>
            </w:r>
          </w:p>
        </w:tc>
        <w:tc>
          <w:tcPr>
            <w:tcW w:w="990" w:type="dxa"/>
            <w:noWrap/>
            <w:hideMark/>
          </w:tcPr>
          <w:p w14:paraId="7DAF93D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56.00 </w:t>
            </w:r>
          </w:p>
        </w:tc>
        <w:tc>
          <w:tcPr>
            <w:tcW w:w="900" w:type="dxa"/>
            <w:noWrap/>
            <w:hideMark/>
          </w:tcPr>
          <w:p w14:paraId="53C8516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66.38 </w:t>
            </w:r>
          </w:p>
        </w:tc>
      </w:tr>
      <w:tr w:rsidR="00C0269A" w:rsidRPr="00C67737" w14:paraId="04A0E65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EC2B0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11574</w:t>
            </w:r>
          </w:p>
        </w:tc>
        <w:tc>
          <w:tcPr>
            <w:tcW w:w="5400" w:type="dxa"/>
            <w:noWrap/>
            <w:hideMark/>
          </w:tcPr>
          <w:p w14:paraId="0F3AC21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Control and reduction of mercury emissions from the cement industry in Brazil</w:t>
            </w:r>
          </w:p>
        </w:tc>
        <w:tc>
          <w:tcPr>
            <w:tcW w:w="810" w:type="dxa"/>
            <w:noWrap/>
            <w:hideMark/>
          </w:tcPr>
          <w:p w14:paraId="5C35E34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1A5DB1C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1778F61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16863E1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709528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BB09C4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13.41 </w:t>
            </w:r>
          </w:p>
        </w:tc>
        <w:tc>
          <w:tcPr>
            <w:tcW w:w="990" w:type="dxa"/>
            <w:noWrap/>
            <w:hideMark/>
          </w:tcPr>
          <w:p w14:paraId="41690ED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216.46 </w:t>
            </w:r>
          </w:p>
        </w:tc>
        <w:tc>
          <w:tcPr>
            <w:tcW w:w="900" w:type="dxa"/>
            <w:noWrap/>
            <w:hideMark/>
          </w:tcPr>
          <w:p w14:paraId="766B121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229.86 </w:t>
            </w:r>
          </w:p>
        </w:tc>
      </w:tr>
      <w:tr w:rsidR="00C0269A" w:rsidRPr="00C67737" w14:paraId="0B160804"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B1CBF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11572</w:t>
            </w:r>
          </w:p>
        </w:tc>
        <w:tc>
          <w:tcPr>
            <w:tcW w:w="5400" w:type="dxa"/>
            <w:noWrap/>
            <w:hideMark/>
          </w:tcPr>
          <w:p w14:paraId="5EEA57DC"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Zambezi River Basin Management towards Climate Resilience and Ecosystem Health.</w:t>
            </w:r>
          </w:p>
        </w:tc>
        <w:tc>
          <w:tcPr>
            <w:tcW w:w="810" w:type="dxa"/>
            <w:noWrap/>
            <w:hideMark/>
          </w:tcPr>
          <w:p w14:paraId="5F39754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AfDB</w:t>
            </w:r>
            <w:proofErr w:type="spellEnd"/>
          </w:p>
        </w:tc>
        <w:tc>
          <w:tcPr>
            <w:tcW w:w="990" w:type="dxa"/>
            <w:noWrap/>
            <w:hideMark/>
          </w:tcPr>
          <w:p w14:paraId="3A55F7C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F0F108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4FF96A8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E7876F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E78A4D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10.57 </w:t>
            </w:r>
          </w:p>
        </w:tc>
        <w:tc>
          <w:tcPr>
            <w:tcW w:w="990" w:type="dxa"/>
            <w:noWrap/>
            <w:hideMark/>
          </w:tcPr>
          <w:p w14:paraId="5559A8E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149.36 </w:t>
            </w:r>
          </w:p>
        </w:tc>
        <w:tc>
          <w:tcPr>
            <w:tcW w:w="900" w:type="dxa"/>
            <w:noWrap/>
            <w:hideMark/>
          </w:tcPr>
          <w:p w14:paraId="6BB147A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159.93 </w:t>
            </w:r>
          </w:p>
        </w:tc>
      </w:tr>
      <w:tr w:rsidR="00C0269A" w:rsidRPr="00C67737" w14:paraId="08D6E1DF"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3E462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11565</w:t>
            </w:r>
          </w:p>
        </w:tc>
        <w:tc>
          <w:tcPr>
            <w:tcW w:w="5400" w:type="dxa"/>
            <w:noWrap/>
            <w:hideMark/>
          </w:tcPr>
          <w:p w14:paraId="5B16826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Integrated Landscape Management for Biodiversity Conservation in the Caatinga - </w:t>
            </w:r>
            <w:proofErr w:type="spellStart"/>
            <w:r w:rsidRPr="00D10503">
              <w:rPr>
                <w:rFonts w:eastAsia="Times New Roman" w:cstheme="minorHAnsi"/>
                <w:color w:val="000000"/>
                <w:sz w:val="16"/>
                <w:szCs w:val="16"/>
                <w:lang w:val="en-US"/>
              </w:rPr>
              <w:t>Conecta</w:t>
            </w:r>
            <w:proofErr w:type="spellEnd"/>
            <w:r w:rsidRPr="00D10503">
              <w:rPr>
                <w:rFonts w:eastAsia="Times New Roman" w:cstheme="minorHAnsi"/>
                <w:color w:val="000000"/>
                <w:sz w:val="16"/>
                <w:szCs w:val="16"/>
                <w:lang w:val="en-US"/>
              </w:rPr>
              <w:t xml:space="preserve"> Caatinga</w:t>
            </w:r>
          </w:p>
        </w:tc>
        <w:tc>
          <w:tcPr>
            <w:tcW w:w="810" w:type="dxa"/>
            <w:noWrap/>
            <w:hideMark/>
          </w:tcPr>
          <w:p w14:paraId="0994F49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Funbio</w:t>
            </w:r>
            <w:proofErr w:type="spellEnd"/>
          </w:p>
        </w:tc>
        <w:tc>
          <w:tcPr>
            <w:tcW w:w="990" w:type="dxa"/>
            <w:noWrap/>
            <w:hideMark/>
          </w:tcPr>
          <w:p w14:paraId="327842E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4AAAC5D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1475D9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832370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975533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6.07 </w:t>
            </w:r>
          </w:p>
        </w:tc>
        <w:tc>
          <w:tcPr>
            <w:tcW w:w="990" w:type="dxa"/>
            <w:noWrap/>
            <w:hideMark/>
          </w:tcPr>
          <w:p w14:paraId="7507539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21.00 </w:t>
            </w:r>
          </w:p>
        </w:tc>
        <w:tc>
          <w:tcPr>
            <w:tcW w:w="900" w:type="dxa"/>
            <w:noWrap/>
            <w:hideMark/>
          </w:tcPr>
          <w:p w14:paraId="351F323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27.07 </w:t>
            </w:r>
          </w:p>
        </w:tc>
      </w:tr>
      <w:tr w:rsidR="00C0269A" w:rsidRPr="00C67737" w14:paraId="649286A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A3D2B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11564</w:t>
            </w:r>
          </w:p>
        </w:tc>
        <w:tc>
          <w:tcPr>
            <w:tcW w:w="5400" w:type="dxa"/>
            <w:noWrap/>
            <w:hideMark/>
          </w:tcPr>
          <w:p w14:paraId="45D7CB37"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Building Urban Resilience to Climate Change and Transitioning to Green Economy in Somalia</w:t>
            </w:r>
          </w:p>
        </w:tc>
        <w:tc>
          <w:tcPr>
            <w:tcW w:w="810" w:type="dxa"/>
            <w:noWrap/>
            <w:hideMark/>
          </w:tcPr>
          <w:p w14:paraId="029BC5D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D00855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Somalia</w:t>
            </w:r>
          </w:p>
        </w:tc>
        <w:tc>
          <w:tcPr>
            <w:tcW w:w="990" w:type="dxa"/>
            <w:noWrap/>
            <w:hideMark/>
          </w:tcPr>
          <w:p w14:paraId="08075C9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D7776A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0B10ADA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9E3B61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13.00 </w:t>
            </w:r>
          </w:p>
        </w:tc>
        <w:tc>
          <w:tcPr>
            <w:tcW w:w="990" w:type="dxa"/>
            <w:noWrap/>
            <w:hideMark/>
          </w:tcPr>
          <w:p w14:paraId="4FCD6DF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 </w:t>
            </w:r>
          </w:p>
        </w:tc>
        <w:tc>
          <w:tcPr>
            <w:tcW w:w="900" w:type="dxa"/>
            <w:noWrap/>
            <w:hideMark/>
          </w:tcPr>
          <w:p w14:paraId="16FF8B5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15.30 </w:t>
            </w:r>
          </w:p>
        </w:tc>
      </w:tr>
      <w:tr w:rsidR="00C0269A" w:rsidRPr="00C67737" w14:paraId="5A6E24E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4508B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11552</w:t>
            </w:r>
          </w:p>
        </w:tc>
        <w:tc>
          <w:tcPr>
            <w:tcW w:w="5400" w:type="dxa"/>
            <w:noWrap/>
            <w:hideMark/>
          </w:tcPr>
          <w:p w14:paraId="476C2FF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Sao Tome e Principe – Development of the Transport and Coastal Protection Sector</w:t>
            </w:r>
          </w:p>
        </w:tc>
        <w:tc>
          <w:tcPr>
            <w:tcW w:w="810" w:type="dxa"/>
            <w:noWrap/>
            <w:hideMark/>
          </w:tcPr>
          <w:p w14:paraId="1C790E9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6B328ED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Sao Tome and Principe</w:t>
            </w:r>
          </w:p>
        </w:tc>
        <w:tc>
          <w:tcPr>
            <w:tcW w:w="990" w:type="dxa"/>
            <w:noWrap/>
            <w:hideMark/>
          </w:tcPr>
          <w:p w14:paraId="0D9F17A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B5B9FE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75128E9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3F5856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c>
          <w:tcPr>
            <w:tcW w:w="990" w:type="dxa"/>
            <w:noWrap/>
            <w:hideMark/>
          </w:tcPr>
          <w:p w14:paraId="5D0CC4E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42.10 </w:t>
            </w:r>
          </w:p>
        </w:tc>
        <w:tc>
          <w:tcPr>
            <w:tcW w:w="900" w:type="dxa"/>
            <w:noWrap/>
            <w:hideMark/>
          </w:tcPr>
          <w:p w14:paraId="4DEB642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56.10 </w:t>
            </w:r>
          </w:p>
        </w:tc>
      </w:tr>
      <w:tr w:rsidR="00C0269A" w:rsidRPr="00C67737" w14:paraId="500E6DB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89971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11551</w:t>
            </w:r>
          </w:p>
        </w:tc>
        <w:tc>
          <w:tcPr>
            <w:tcW w:w="5400" w:type="dxa"/>
            <w:noWrap/>
            <w:hideMark/>
          </w:tcPr>
          <w:p w14:paraId="0F772967"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Rehabilitation and restoration of ecosystems in the Gum Arabic belt and sustainable use of forest resources in Mauritania</w:t>
            </w:r>
          </w:p>
        </w:tc>
        <w:tc>
          <w:tcPr>
            <w:tcW w:w="810" w:type="dxa"/>
            <w:noWrap/>
            <w:hideMark/>
          </w:tcPr>
          <w:p w14:paraId="697BFD2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4ACA05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Mauritania</w:t>
            </w:r>
            <w:proofErr w:type="spellEnd"/>
          </w:p>
        </w:tc>
        <w:tc>
          <w:tcPr>
            <w:tcW w:w="990" w:type="dxa"/>
            <w:noWrap/>
            <w:hideMark/>
          </w:tcPr>
          <w:p w14:paraId="7D90AA4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31E27E1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90B95F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C84F04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0301F16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00" w:type="dxa"/>
            <w:noWrap/>
            <w:hideMark/>
          </w:tcPr>
          <w:p w14:paraId="7C97366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r>
      <w:tr w:rsidR="00C0269A" w:rsidRPr="00C67737" w14:paraId="74F90A2A"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94496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11548</w:t>
            </w:r>
          </w:p>
        </w:tc>
        <w:tc>
          <w:tcPr>
            <w:tcW w:w="5400" w:type="dxa"/>
            <w:noWrap/>
            <w:hideMark/>
          </w:tcPr>
          <w:p w14:paraId="57D16756"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Strengthening the resilience of natural and </w:t>
            </w:r>
            <w:proofErr w:type="spellStart"/>
            <w:r w:rsidRPr="00D10503">
              <w:rPr>
                <w:rFonts w:eastAsia="Times New Roman" w:cstheme="minorHAnsi"/>
                <w:color w:val="000000"/>
                <w:sz w:val="16"/>
                <w:szCs w:val="16"/>
                <w:lang w:val="en-US"/>
              </w:rPr>
              <w:t>agro</w:t>
            </w:r>
            <w:proofErr w:type="spellEnd"/>
            <w:r w:rsidRPr="00D10503">
              <w:rPr>
                <w:rFonts w:eastAsia="Times New Roman" w:cstheme="minorHAnsi"/>
                <w:color w:val="000000"/>
                <w:sz w:val="16"/>
                <w:szCs w:val="16"/>
                <w:lang w:val="en-US"/>
              </w:rPr>
              <w:t>-ecosystems and communities to climate change in Central Togo</w:t>
            </w:r>
          </w:p>
        </w:tc>
        <w:tc>
          <w:tcPr>
            <w:tcW w:w="810" w:type="dxa"/>
            <w:noWrap/>
            <w:hideMark/>
          </w:tcPr>
          <w:p w14:paraId="1776237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A3A475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Togo</w:t>
            </w:r>
          </w:p>
        </w:tc>
        <w:tc>
          <w:tcPr>
            <w:tcW w:w="990" w:type="dxa"/>
            <w:noWrap/>
            <w:hideMark/>
          </w:tcPr>
          <w:p w14:paraId="18CEE1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39FFF7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GET, </w:t>
            </w:r>
            <w:proofErr w:type="gramStart"/>
            <w:r w:rsidRPr="00C67737">
              <w:rPr>
                <w:rFonts w:eastAsia="Times New Roman" w:cstheme="minorHAnsi"/>
                <w:color w:val="000000"/>
                <w:sz w:val="16"/>
                <w:szCs w:val="16"/>
              </w:rPr>
              <w:t>LDCF,MTF</w:t>
            </w:r>
            <w:proofErr w:type="gramEnd"/>
          </w:p>
        </w:tc>
        <w:tc>
          <w:tcPr>
            <w:tcW w:w="810" w:type="dxa"/>
            <w:noWrap/>
            <w:hideMark/>
          </w:tcPr>
          <w:p w14:paraId="3C1751F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5B0483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 </w:t>
            </w:r>
          </w:p>
        </w:tc>
        <w:tc>
          <w:tcPr>
            <w:tcW w:w="990" w:type="dxa"/>
            <w:noWrap/>
            <w:hideMark/>
          </w:tcPr>
          <w:p w14:paraId="36D078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161.10 </w:t>
            </w:r>
          </w:p>
        </w:tc>
        <w:tc>
          <w:tcPr>
            <w:tcW w:w="900" w:type="dxa"/>
            <w:noWrap/>
            <w:hideMark/>
          </w:tcPr>
          <w:p w14:paraId="76B410E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168.60 </w:t>
            </w:r>
          </w:p>
        </w:tc>
      </w:tr>
      <w:tr w:rsidR="00C0269A" w:rsidRPr="00C67737" w14:paraId="1AF0C33C"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07D98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11547</w:t>
            </w:r>
          </w:p>
        </w:tc>
        <w:tc>
          <w:tcPr>
            <w:tcW w:w="5400" w:type="dxa"/>
            <w:noWrap/>
            <w:hideMark/>
          </w:tcPr>
          <w:p w14:paraId="7530FC0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Unlocking the groundwater potential of the Kilimanjaro Water Tower</w:t>
            </w:r>
          </w:p>
        </w:tc>
        <w:tc>
          <w:tcPr>
            <w:tcW w:w="810" w:type="dxa"/>
            <w:noWrap/>
            <w:hideMark/>
          </w:tcPr>
          <w:p w14:paraId="7340F57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E1622D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2442E2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1CABA56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FF41C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2F574E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2D9269B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56.53 </w:t>
            </w:r>
          </w:p>
        </w:tc>
        <w:tc>
          <w:tcPr>
            <w:tcW w:w="900" w:type="dxa"/>
            <w:noWrap/>
            <w:hideMark/>
          </w:tcPr>
          <w:p w14:paraId="64EE09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64.53 </w:t>
            </w:r>
          </w:p>
        </w:tc>
      </w:tr>
      <w:tr w:rsidR="00C0269A" w:rsidRPr="00C67737" w14:paraId="4462534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7E8EF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11545</w:t>
            </w:r>
          </w:p>
        </w:tc>
        <w:tc>
          <w:tcPr>
            <w:tcW w:w="5400" w:type="dxa"/>
            <w:noWrap/>
            <w:hideMark/>
          </w:tcPr>
          <w:p w14:paraId="0F3E8B9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climate resilience of communities in Angola through community-based adaptation action</w:t>
            </w:r>
          </w:p>
        </w:tc>
        <w:tc>
          <w:tcPr>
            <w:tcW w:w="810" w:type="dxa"/>
            <w:noWrap/>
            <w:hideMark/>
          </w:tcPr>
          <w:p w14:paraId="6D7E0A1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756770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Angola</w:t>
            </w:r>
          </w:p>
        </w:tc>
        <w:tc>
          <w:tcPr>
            <w:tcW w:w="990" w:type="dxa"/>
            <w:noWrap/>
            <w:hideMark/>
          </w:tcPr>
          <w:p w14:paraId="6B2099C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CB7A85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0CC26E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A1E638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1ADC43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33.83 </w:t>
            </w:r>
          </w:p>
        </w:tc>
        <w:tc>
          <w:tcPr>
            <w:tcW w:w="900" w:type="dxa"/>
            <w:noWrap/>
            <w:hideMark/>
          </w:tcPr>
          <w:p w14:paraId="0F22C81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43.83 </w:t>
            </w:r>
          </w:p>
        </w:tc>
      </w:tr>
      <w:tr w:rsidR="00C0269A" w:rsidRPr="00C67737" w14:paraId="51CC6A25"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2089A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11543</w:t>
            </w:r>
          </w:p>
        </w:tc>
        <w:tc>
          <w:tcPr>
            <w:tcW w:w="5400" w:type="dxa"/>
            <w:noWrap/>
            <w:hideMark/>
          </w:tcPr>
          <w:p w14:paraId="7A4CB4FC"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Life Cycle Management Project in Plastic Industry in China</w:t>
            </w:r>
          </w:p>
        </w:tc>
        <w:tc>
          <w:tcPr>
            <w:tcW w:w="810" w:type="dxa"/>
            <w:noWrap/>
            <w:hideMark/>
          </w:tcPr>
          <w:p w14:paraId="6BC81D0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70EB4E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0A3F5C5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3BC6154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92BFE7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7CD1C3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22.42 </w:t>
            </w:r>
          </w:p>
        </w:tc>
        <w:tc>
          <w:tcPr>
            <w:tcW w:w="990" w:type="dxa"/>
            <w:noWrap/>
            <w:hideMark/>
          </w:tcPr>
          <w:p w14:paraId="42C0BB7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193.11 </w:t>
            </w:r>
          </w:p>
        </w:tc>
        <w:tc>
          <w:tcPr>
            <w:tcW w:w="900" w:type="dxa"/>
            <w:noWrap/>
            <w:hideMark/>
          </w:tcPr>
          <w:p w14:paraId="76E5326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215.53 </w:t>
            </w:r>
          </w:p>
        </w:tc>
      </w:tr>
      <w:tr w:rsidR="00C0269A" w:rsidRPr="00C67737" w14:paraId="2EDC868D"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10F2A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11541</w:t>
            </w:r>
          </w:p>
        </w:tc>
        <w:tc>
          <w:tcPr>
            <w:tcW w:w="5400" w:type="dxa"/>
            <w:noWrap/>
            <w:hideMark/>
          </w:tcPr>
          <w:p w14:paraId="673A732B"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Watershed Action for Restoring Ecosystems in the South Corridor of St. Vincent</w:t>
            </w:r>
          </w:p>
        </w:tc>
        <w:tc>
          <w:tcPr>
            <w:tcW w:w="810" w:type="dxa"/>
            <w:noWrap/>
            <w:hideMark/>
          </w:tcPr>
          <w:p w14:paraId="48612BC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2D99E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 Vincent and Grenadines</w:t>
            </w:r>
          </w:p>
        </w:tc>
        <w:tc>
          <w:tcPr>
            <w:tcW w:w="990" w:type="dxa"/>
            <w:noWrap/>
            <w:hideMark/>
          </w:tcPr>
          <w:p w14:paraId="01AEF89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3082AC7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01E35C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20121A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6.89 </w:t>
            </w:r>
          </w:p>
        </w:tc>
        <w:tc>
          <w:tcPr>
            <w:tcW w:w="990" w:type="dxa"/>
            <w:noWrap/>
            <w:hideMark/>
          </w:tcPr>
          <w:p w14:paraId="4073E24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14.54 </w:t>
            </w:r>
          </w:p>
        </w:tc>
        <w:tc>
          <w:tcPr>
            <w:tcW w:w="900" w:type="dxa"/>
            <w:noWrap/>
            <w:hideMark/>
          </w:tcPr>
          <w:p w14:paraId="38BC678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21.43 </w:t>
            </w:r>
          </w:p>
        </w:tc>
      </w:tr>
      <w:tr w:rsidR="00C0269A" w:rsidRPr="00C67737" w14:paraId="1B047A41"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22A74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11533</w:t>
            </w:r>
          </w:p>
        </w:tc>
        <w:tc>
          <w:tcPr>
            <w:tcW w:w="5400" w:type="dxa"/>
            <w:noWrap/>
            <w:hideMark/>
          </w:tcPr>
          <w:p w14:paraId="15779F97"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management of multiple use landscapes/seascapes to promote biodiversity conservation, ecosystem restoration, improve land and marine productivity and economic benefits to local communities</w:t>
            </w:r>
          </w:p>
        </w:tc>
        <w:tc>
          <w:tcPr>
            <w:tcW w:w="810" w:type="dxa"/>
            <w:noWrap/>
            <w:hideMark/>
          </w:tcPr>
          <w:p w14:paraId="29322D1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4F7840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Montenegro</w:t>
            </w:r>
          </w:p>
        </w:tc>
        <w:tc>
          <w:tcPr>
            <w:tcW w:w="990" w:type="dxa"/>
            <w:noWrap/>
            <w:hideMark/>
          </w:tcPr>
          <w:p w14:paraId="269193E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9E3F31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8F0871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E7BC59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6.29 </w:t>
            </w:r>
          </w:p>
        </w:tc>
        <w:tc>
          <w:tcPr>
            <w:tcW w:w="990" w:type="dxa"/>
            <w:noWrap/>
            <w:hideMark/>
          </w:tcPr>
          <w:p w14:paraId="2D570C5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77.10 </w:t>
            </w:r>
          </w:p>
        </w:tc>
        <w:tc>
          <w:tcPr>
            <w:tcW w:w="900" w:type="dxa"/>
            <w:noWrap/>
            <w:hideMark/>
          </w:tcPr>
          <w:p w14:paraId="7F81361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83.39 </w:t>
            </w:r>
          </w:p>
        </w:tc>
      </w:tr>
      <w:tr w:rsidR="00C0269A" w:rsidRPr="00C67737" w14:paraId="6AD88B95"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D2D32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11532</w:t>
            </w:r>
          </w:p>
        </w:tc>
        <w:tc>
          <w:tcPr>
            <w:tcW w:w="5400" w:type="dxa"/>
            <w:noWrap/>
            <w:hideMark/>
          </w:tcPr>
          <w:p w14:paraId="53FA3F5A"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Climate-resilient Banjul: Enhancing Urban Resilience in the Greater Banjul Area (CLIMB)</w:t>
            </w:r>
          </w:p>
        </w:tc>
        <w:tc>
          <w:tcPr>
            <w:tcW w:w="810" w:type="dxa"/>
            <w:noWrap/>
            <w:hideMark/>
          </w:tcPr>
          <w:p w14:paraId="425D398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D750E7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Gambia</w:t>
            </w:r>
            <w:proofErr w:type="spellEnd"/>
          </w:p>
        </w:tc>
        <w:tc>
          <w:tcPr>
            <w:tcW w:w="990" w:type="dxa"/>
            <w:noWrap/>
            <w:hideMark/>
          </w:tcPr>
          <w:p w14:paraId="5EB7DE7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EDD634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1E36668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808D4D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c>
          <w:tcPr>
            <w:tcW w:w="990" w:type="dxa"/>
            <w:noWrap/>
            <w:hideMark/>
          </w:tcPr>
          <w:p w14:paraId="75D9F69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25.44 </w:t>
            </w:r>
          </w:p>
        </w:tc>
        <w:tc>
          <w:tcPr>
            <w:tcW w:w="900" w:type="dxa"/>
            <w:noWrap/>
            <w:hideMark/>
          </w:tcPr>
          <w:p w14:paraId="45D72C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39.44 </w:t>
            </w:r>
          </w:p>
        </w:tc>
      </w:tr>
      <w:tr w:rsidR="00C0269A" w:rsidRPr="00C67737" w14:paraId="1AC6C271"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6FC49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11531</w:t>
            </w:r>
          </w:p>
        </w:tc>
        <w:tc>
          <w:tcPr>
            <w:tcW w:w="5400" w:type="dxa"/>
            <w:noWrap/>
            <w:hideMark/>
          </w:tcPr>
          <w:p w14:paraId="2AD4EF2E"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Upscaling ecosystem-based adaptation to enhance ecosystem services and community adaptive capacity in Tanzania's Greater Serengeti Ecosystem.</w:t>
            </w:r>
          </w:p>
        </w:tc>
        <w:tc>
          <w:tcPr>
            <w:tcW w:w="810" w:type="dxa"/>
            <w:noWrap/>
            <w:hideMark/>
          </w:tcPr>
          <w:p w14:paraId="45E87EE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358E0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0399EEC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36B38D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037162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FED2C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10.91 </w:t>
            </w:r>
          </w:p>
        </w:tc>
        <w:tc>
          <w:tcPr>
            <w:tcW w:w="990" w:type="dxa"/>
            <w:noWrap/>
            <w:hideMark/>
          </w:tcPr>
          <w:p w14:paraId="38DDE88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20.25 </w:t>
            </w:r>
          </w:p>
        </w:tc>
        <w:tc>
          <w:tcPr>
            <w:tcW w:w="900" w:type="dxa"/>
            <w:noWrap/>
            <w:hideMark/>
          </w:tcPr>
          <w:p w14:paraId="342F6F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31.16 </w:t>
            </w:r>
          </w:p>
        </w:tc>
      </w:tr>
      <w:tr w:rsidR="00C0269A" w:rsidRPr="00C67737" w14:paraId="53DDDBCC"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1E3C2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11530</w:t>
            </w:r>
          </w:p>
        </w:tc>
        <w:tc>
          <w:tcPr>
            <w:tcW w:w="5400" w:type="dxa"/>
            <w:noWrap/>
            <w:hideMark/>
          </w:tcPr>
          <w:p w14:paraId="60F6422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the integrated landscape management and governance for the conservation and sustainable use of forested areas important for biodiversity and ecosystem services (AIBDES) in Indonesia</w:t>
            </w:r>
          </w:p>
        </w:tc>
        <w:tc>
          <w:tcPr>
            <w:tcW w:w="810" w:type="dxa"/>
            <w:noWrap/>
            <w:hideMark/>
          </w:tcPr>
          <w:p w14:paraId="62542BB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21E77C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75E6EF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783CC8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649429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38D3B0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6C1E6C0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55.32 </w:t>
            </w:r>
          </w:p>
        </w:tc>
        <w:tc>
          <w:tcPr>
            <w:tcW w:w="900" w:type="dxa"/>
            <w:noWrap/>
            <w:hideMark/>
          </w:tcPr>
          <w:p w14:paraId="66227B3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63.32 </w:t>
            </w:r>
          </w:p>
        </w:tc>
      </w:tr>
      <w:tr w:rsidR="00C0269A" w:rsidRPr="00C67737" w14:paraId="5BA5FCC5"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4613C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11528</w:t>
            </w:r>
          </w:p>
        </w:tc>
        <w:tc>
          <w:tcPr>
            <w:tcW w:w="5400" w:type="dxa"/>
            <w:noWrap/>
            <w:hideMark/>
          </w:tcPr>
          <w:p w14:paraId="7870832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Sulu-Sulawesi Seascape Approach to Coral Reef Livelihoods (SEACONNECT)</w:t>
            </w:r>
          </w:p>
        </w:tc>
        <w:tc>
          <w:tcPr>
            <w:tcW w:w="810" w:type="dxa"/>
            <w:noWrap/>
            <w:hideMark/>
          </w:tcPr>
          <w:p w14:paraId="0F63E67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068DB90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5FF17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262DF12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B89AC5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BA4E4B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6.70 </w:t>
            </w:r>
          </w:p>
        </w:tc>
        <w:tc>
          <w:tcPr>
            <w:tcW w:w="990" w:type="dxa"/>
            <w:noWrap/>
            <w:hideMark/>
          </w:tcPr>
          <w:p w14:paraId="7FE6FDE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49.24 </w:t>
            </w:r>
          </w:p>
        </w:tc>
        <w:tc>
          <w:tcPr>
            <w:tcW w:w="900" w:type="dxa"/>
            <w:noWrap/>
            <w:hideMark/>
          </w:tcPr>
          <w:p w14:paraId="5BA81E7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55.94 </w:t>
            </w:r>
          </w:p>
        </w:tc>
      </w:tr>
      <w:tr w:rsidR="00C0269A" w:rsidRPr="00C67737" w14:paraId="0F8BF3CC"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DEF23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11526</w:t>
            </w:r>
          </w:p>
        </w:tc>
        <w:tc>
          <w:tcPr>
            <w:tcW w:w="5400" w:type="dxa"/>
            <w:noWrap/>
            <w:hideMark/>
          </w:tcPr>
          <w:p w14:paraId="48FF5AA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Promoting the Integrated Management of Sargassum: Building Resilient Tourism and Fisheries Sectors through the Conservation of Marine Ecosystems in Caribbean countries (</w:t>
            </w:r>
            <w:proofErr w:type="spellStart"/>
            <w:r w:rsidRPr="00D10503">
              <w:rPr>
                <w:rFonts w:eastAsia="Times New Roman" w:cstheme="minorHAnsi"/>
                <w:color w:val="000000"/>
                <w:sz w:val="16"/>
                <w:szCs w:val="16"/>
                <w:lang w:val="en-US"/>
              </w:rPr>
              <w:t>SargMarine</w:t>
            </w:r>
            <w:proofErr w:type="spellEnd"/>
            <w:r w:rsidRPr="00D10503">
              <w:rPr>
                <w:rFonts w:eastAsia="Times New Roman" w:cstheme="minorHAnsi"/>
                <w:color w:val="000000"/>
                <w:sz w:val="16"/>
                <w:szCs w:val="16"/>
                <w:lang w:val="en-US"/>
              </w:rPr>
              <w:t>)</w:t>
            </w:r>
          </w:p>
        </w:tc>
        <w:tc>
          <w:tcPr>
            <w:tcW w:w="810" w:type="dxa"/>
            <w:noWrap/>
            <w:hideMark/>
          </w:tcPr>
          <w:p w14:paraId="0746CD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4249971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C35E52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AA60CC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F44D3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E710CF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11.23 </w:t>
            </w:r>
          </w:p>
        </w:tc>
        <w:tc>
          <w:tcPr>
            <w:tcW w:w="990" w:type="dxa"/>
            <w:noWrap/>
            <w:hideMark/>
          </w:tcPr>
          <w:p w14:paraId="520A406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67.33 </w:t>
            </w:r>
          </w:p>
        </w:tc>
        <w:tc>
          <w:tcPr>
            <w:tcW w:w="900" w:type="dxa"/>
            <w:noWrap/>
            <w:hideMark/>
          </w:tcPr>
          <w:p w14:paraId="6E56B5D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78.55 </w:t>
            </w:r>
          </w:p>
        </w:tc>
      </w:tr>
      <w:tr w:rsidR="00C0269A" w:rsidRPr="00C67737" w14:paraId="3230FE48"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148D3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11524</w:t>
            </w:r>
          </w:p>
        </w:tc>
        <w:tc>
          <w:tcPr>
            <w:tcW w:w="5400" w:type="dxa"/>
            <w:noWrap/>
            <w:hideMark/>
          </w:tcPr>
          <w:p w14:paraId="3A792721"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Management of Seascapes of the Kazakhstani part of the Caspian Sea and Land Resources of Adjacent Territories</w:t>
            </w:r>
          </w:p>
        </w:tc>
        <w:tc>
          <w:tcPr>
            <w:tcW w:w="810" w:type="dxa"/>
            <w:noWrap/>
            <w:hideMark/>
          </w:tcPr>
          <w:p w14:paraId="54DEFBC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96DAC2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Kazakhstan</w:t>
            </w:r>
          </w:p>
        </w:tc>
        <w:tc>
          <w:tcPr>
            <w:tcW w:w="990" w:type="dxa"/>
            <w:noWrap/>
            <w:hideMark/>
          </w:tcPr>
          <w:p w14:paraId="4F722A1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9C65B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9A2A42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F7F671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8.18 </w:t>
            </w:r>
          </w:p>
        </w:tc>
        <w:tc>
          <w:tcPr>
            <w:tcW w:w="990" w:type="dxa"/>
            <w:noWrap/>
            <w:hideMark/>
          </w:tcPr>
          <w:p w14:paraId="05A2ED2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90.86 </w:t>
            </w:r>
          </w:p>
        </w:tc>
        <w:tc>
          <w:tcPr>
            <w:tcW w:w="900" w:type="dxa"/>
            <w:noWrap/>
            <w:hideMark/>
          </w:tcPr>
          <w:p w14:paraId="56706DC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99.04 </w:t>
            </w:r>
          </w:p>
        </w:tc>
      </w:tr>
      <w:tr w:rsidR="00C0269A" w:rsidRPr="00C67737" w14:paraId="43B75E8B"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97DB7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11523</w:t>
            </w:r>
          </w:p>
        </w:tc>
        <w:tc>
          <w:tcPr>
            <w:tcW w:w="5400" w:type="dxa"/>
            <w:noWrap/>
            <w:hideMark/>
          </w:tcPr>
          <w:p w14:paraId="08CB066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Safeguarding the future of Namibia’s Protected Area Network through Financing4Future</w:t>
            </w:r>
          </w:p>
        </w:tc>
        <w:tc>
          <w:tcPr>
            <w:tcW w:w="810" w:type="dxa"/>
            <w:noWrap/>
            <w:hideMark/>
          </w:tcPr>
          <w:p w14:paraId="6FC14A4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54C3E3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Namibia</w:t>
            </w:r>
          </w:p>
        </w:tc>
        <w:tc>
          <w:tcPr>
            <w:tcW w:w="990" w:type="dxa"/>
            <w:noWrap/>
            <w:hideMark/>
          </w:tcPr>
          <w:p w14:paraId="38FCBB7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2AFE5F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11647F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ED3A5A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6.91 </w:t>
            </w:r>
          </w:p>
        </w:tc>
        <w:tc>
          <w:tcPr>
            <w:tcW w:w="990" w:type="dxa"/>
            <w:noWrap/>
            <w:hideMark/>
          </w:tcPr>
          <w:p w14:paraId="68869FC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98.74 </w:t>
            </w:r>
          </w:p>
        </w:tc>
        <w:tc>
          <w:tcPr>
            <w:tcW w:w="900" w:type="dxa"/>
            <w:noWrap/>
            <w:hideMark/>
          </w:tcPr>
          <w:p w14:paraId="0FAB8FC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105.65 </w:t>
            </w:r>
          </w:p>
        </w:tc>
      </w:tr>
      <w:tr w:rsidR="00C0269A" w:rsidRPr="00C67737" w14:paraId="07D3CF95"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B2DC8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11522</w:t>
            </w:r>
          </w:p>
        </w:tc>
        <w:tc>
          <w:tcPr>
            <w:tcW w:w="5400" w:type="dxa"/>
            <w:noWrap/>
            <w:hideMark/>
          </w:tcPr>
          <w:p w14:paraId="24C20AD2"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Increased Access to Water Supply for Resilience in Comoros (</w:t>
            </w:r>
            <w:proofErr w:type="spellStart"/>
            <w:r w:rsidRPr="00D10503">
              <w:rPr>
                <w:rFonts w:eastAsia="Times New Roman" w:cstheme="minorHAnsi"/>
                <w:color w:val="000000"/>
                <w:sz w:val="16"/>
                <w:szCs w:val="16"/>
                <w:lang w:val="en-US"/>
              </w:rPr>
              <w:t>IAWASuR</w:t>
            </w:r>
            <w:proofErr w:type="spellEnd"/>
            <w:r w:rsidRPr="00D10503">
              <w:rPr>
                <w:rFonts w:eastAsia="Times New Roman" w:cstheme="minorHAnsi"/>
                <w:color w:val="000000"/>
                <w:sz w:val="16"/>
                <w:szCs w:val="16"/>
                <w:lang w:val="en-US"/>
              </w:rPr>
              <w:t>)</w:t>
            </w:r>
          </w:p>
        </w:tc>
        <w:tc>
          <w:tcPr>
            <w:tcW w:w="810" w:type="dxa"/>
            <w:noWrap/>
            <w:hideMark/>
          </w:tcPr>
          <w:p w14:paraId="4325D88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DF1974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Comoros</w:t>
            </w:r>
            <w:proofErr w:type="spellEnd"/>
          </w:p>
        </w:tc>
        <w:tc>
          <w:tcPr>
            <w:tcW w:w="990" w:type="dxa"/>
            <w:noWrap/>
            <w:hideMark/>
          </w:tcPr>
          <w:p w14:paraId="5844600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2247D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CF44CD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33505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443376A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63.00 </w:t>
            </w:r>
          </w:p>
        </w:tc>
        <w:tc>
          <w:tcPr>
            <w:tcW w:w="900" w:type="dxa"/>
            <w:noWrap/>
            <w:hideMark/>
          </w:tcPr>
          <w:p w14:paraId="055ACF6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73.00 </w:t>
            </w:r>
          </w:p>
        </w:tc>
      </w:tr>
      <w:tr w:rsidR="00C0269A" w:rsidRPr="00C67737" w14:paraId="318B93E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CF31D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11520</w:t>
            </w:r>
          </w:p>
        </w:tc>
        <w:tc>
          <w:tcPr>
            <w:tcW w:w="5400" w:type="dxa"/>
            <w:noWrap/>
            <w:hideMark/>
          </w:tcPr>
          <w:p w14:paraId="1EB7CD1D"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Improving source-to-sea governance to reduce the drivers of land-based impacts on the Large Marine Ecosystems in the SICA region</w:t>
            </w:r>
          </w:p>
        </w:tc>
        <w:tc>
          <w:tcPr>
            <w:tcW w:w="810" w:type="dxa"/>
            <w:noWrap/>
            <w:hideMark/>
          </w:tcPr>
          <w:p w14:paraId="0C449A5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EE2D0E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E75161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0CDC767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0B8DF5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F5BC91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90" w:type="dxa"/>
            <w:noWrap/>
            <w:hideMark/>
          </w:tcPr>
          <w:p w14:paraId="0F3F61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152.53 </w:t>
            </w:r>
          </w:p>
        </w:tc>
        <w:tc>
          <w:tcPr>
            <w:tcW w:w="900" w:type="dxa"/>
            <w:noWrap/>
            <w:hideMark/>
          </w:tcPr>
          <w:p w14:paraId="0D8E923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172.53 </w:t>
            </w:r>
          </w:p>
        </w:tc>
      </w:tr>
      <w:tr w:rsidR="00C0269A" w:rsidRPr="00C67737" w14:paraId="6DE40DCB"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B5FBE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11514</w:t>
            </w:r>
          </w:p>
        </w:tc>
        <w:tc>
          <w:tcPr>
            <w:tcW w:w="5400" w:type="dxa"/>
            <w:noWrap/>
            <w:hideMark/>
          </w:tcPr>
          <w:p w14:paraId="2A8DB7D8"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Rwanda Wildlife Conservation Bond (WCB) Operation</w:t>
            </w:r>
          </w:p>
        </w:tc>
        <w:tc>
          <w:tcPr>
            <w:tcW w:w="810" w:type="dxa"/>
            <w:noWrap/>
            <w:hideMark/>
          </w:tcPr>
          <w:p w14:paraId="19D294A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3E9E044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Rwanda</w:t>
            </w:r>
          </w:p>
        </w:tc>
        <w:tc>
          <w:tcPr>
            <w:tcW w:w="990" w:type="dxa"/>
            <w:noWrap/>
            <w:hideMark/>
          </w:tcPr>
          <w:p w14:paraId="4F167B9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C91513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DE565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46B146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9.86 </w:t>
            </w:r>
          </w:p>
        </w:tc>
        <w:tc>
          <w:tcPr>
            <w:tcW w:w="990" w:type="dxa"/>
            <w:noWrap/>
            <w:hideMark/>
          </w:tcPr>
          <w:p w14:paraId="5AFABB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158.20 </w:t>
            </w:r>
          </w:p>
        </w:tc>
        <w:tc>
          <w:tcPr>
            <w:tcW w:w="900" w:type="dxa"/>
            <w:noWrap/>
            <w:hideMark/>
          </w:tcPr>
          <w:p w14:paraId="6002FE5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168.06 </w:t>
            </w:r>
          </w:p>
        </w:tc>
      </w:tr>
      <w:tr w:rsidR="00C0269A" w:rsidRPr="00C67737" w14:paraId="1C08EC2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F21BC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11501</w:t>
            </w:r>
          </w:p>
        </w:tc>
        <w:tc>
          <w:tcPr>
            <w:tcW w:w="5400" w:type="dxa"/>
            <w:noWrap/>
            <w:hideMark/>
          </w:tcPr>
          <w:p w14:paraId="43219FCD"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Addressing tenure governance and gender equality in land rights to strengthen LDN initiatives</w:t>
            </w:r>
          </w:p>
        </w:tc>
        <w:tc>
          <w:tcPr>
            <w:tcW w:w="810" w:type="dxa"/>
            <w:noWrap/>
            <w:hideMark/>
          </w:tcPr>
          <w:p w14:paraId="7BFC5FE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BF6FD8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6D67EB5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46BC72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6862E1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4A299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2.24 </w:t>
            </w:r>
          </w:p>
        </w:tc>
        <w:tc>
          <w:tcPr>
            <w:tcW w:w="990" w:type="dxa"/>
            <w:noWrap/>
            <w:hideMark/>
          </w:tcPr>
          <w:p w14:paraId="0CF3DDF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3.28 </w:t>
            </w:r>
          </w:p>
        </w:tc>
        <w:tc>
          <w:tcPr>
            <w:tcW w:w="900" w:type="dxa"/>
            <w:noWrap/>
            <w:hideMark/>
          </w:tcPr>
          <w:p w14:paraId="0297FE7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5.52 </w:t>
            </w:r>
          </w:p>
        </w:tc>
      </w:tr>
      <w:tr w:rsidR="00C0269A" w:rsidRPr="00C67737" w14:paraId="7FA9D938"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574E8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11499</w:t>
            </w:r>
          </w:p>
        </w:tc>
        <w:tc>
          <w:tcPr>
            <w:tcW w:w="5400" w:type="dxa"/>
            <w:noWrap/>
            <w:hideMark/>
          </w:tcPr>
          <w:p w14:paraId="396BBBA0"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Inclusive GEF Assembly Challenge Programme in Developing Countries</w:t>
            </w:r>
          </w:p>
        </w:tc>
        <w:tc>
          <w:tcPr>
            <w:tcW w:w="810" w:type="dxa"/>
            <w:noWrap/>
            <w:hideMark/>
          </w:tcPr>
          <w:p w14:paraId="7509C04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1221D41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6D117E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E8E7AD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SCCF-B, SCCF</w:t>
            </w:r>
          </w:p>
        </w:tc>
        <w:tc>
          <w:tcPr>
            <w:tcW w:w="810" w:type="dxa"/>
            <w:noWrap/>
            <w:hideMark/>
          </w:tcPr>
          <w:p w14:paraId="0B0C65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5AC0F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1.96 </w:t>
            </w:r>
          </w:p>
        </w:tc>
        <w:tc>
          <w:tcPr>
            <w:tcW w:w="990" w:type="dxa"/>
            <w:noWrap/>
            <w:hideMark/>
          </w:tcPr>
          <w:p w14:paraId="64D96B8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1.58 </w:t>
            </w:r>
          </w:p>
        </w:tc>
        <w:tc>
          <w:tcPr>
            <w:tcW w:w="900" w:type="dxa"/>
            <w:noWrap/>
            <w:hideMark/>
          </w:tcPr>
          <w:p w14:paraId="03FF995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3.54 </w:t>
            </w:r>
          </w:p>
        </w:tc>
      </w:tr>
      <w:tr w:rsidR="00C0269A" w:rsidRPr="00C67737" w14:paraId="667DDED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FF31E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11498</w:t>
            </w:r>
          </w:p>
        </w:tc>
        <w:tc>
          <w:tcPr>
            <w:tcW w:w="5400" w:type="dxa"/>
            <w:noWrap/>
            <w:hideMark/>
          </w:tcPr>
          <w:p w14:paraId="262A4ECD"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Inclusive GEF Assembly Challenge Programme in Least Developed Countries (LDCs)</w:t>
            </w:r>
          </w:p>
        </w:tc>
        <w:tc>
          <w:tcPr>
            <w:tcW w:w="810" w:type="dxa"/>
            <w:noWrap/>
            <w:hideMark/>
          </w:tcPr>
          <w:p w14:paraId="401DC6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5161308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18901E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6BF13A8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205F1A1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B77F3E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1.87 </w:t>
            </w:r>
          </w:p>
        </w:tc>
        <w:tc>
          <w:tcPr>
            <w:tcW w:w="990" w:type="dxa"/>
            <w:noWrap/>
            <w:hideMark/>
          </w:tcPr>
          <w:p w14:paraId="43D4330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 </w:t>
            </w:r>
          </w:p>
        </w:tc>
        <w:tc>
          <w:tcPr>
            <w:tcW w:w="900" w:type="dxa"/>
            <w:noWrap/>
            <w:hideMark/>
          </w:tcPr>
          <w:p w14:paraId="3EB5FB7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3.04 </w:t>
            </w:r>
          </w:p>
        </w:tc>
      </w:tr>
      <w:tr w:rsidR="00C0269A" w:rsidRPr="00C67737" w14:paraId="62F43DC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DB0F0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11495</w:t>
            </w:r>
          </w:p>
        </w:tc>
        <w:tc>
          <w:tcPr>
            <w:tcW w:w="5400" w:type="dxa"/>
            <w:noWrap/>
            <w:hideMark/>
          </w:tcPr>
          <w:p w14:paraId="3FDBBA4F"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Conservation of Primary Forests through Partnership Enhancement and Coordination of Support</w:t>
            </w:r>
          </w:p>
        </w:tc>
        <w:tc>
          <w:tcPr>
            <w:tcW w:w="810" w:type="dxa"/>
            <w:noWrap/>
            <w:hideMark/>
          </w:tcPr>
          <w:p w14:paraId="6B8748D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4001EEF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5386C3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09B691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51AA62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A647B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2.22 </w:t>
            </w:r>
          </w:p>
        </w:tc>
        <w:tc>
          <w:tcPr>
            <w:tcW w:w="990" w:type="dxa"/>
            <w:noWrap/>
            <w:hideMark/>
          </w:tcPr>
          <w:p w14:paraId="0BDB6EE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1.26 </w:t>
            </w:r>
          </w:p>
        </w:tc>
        <w:tc>
          <w:tcPr>
            <w:tcW w:w="900" w:type="dxa"/>
            <w:noWrap/>
            <w:hideMark/>
          </w:tcPr>
          <w:p w14:paraId="7C3A484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3.48 </w:t>
            </w:r>
          </w:p>
        </w:tc>
      </w:tr>
      <w:tr w:rsidR="00C0269A" w:rsidRPr="00C67737" w14:paraId="71CD8F5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F4230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11493</w:t>
            </w:r>
          </w:p>
        </w:tc>
        <w:tc>
          <w:tcPr>
            <w:tcW w:w="5400" w:type="dxa"/>
            <w:noWrap/>
            <w:hideMark/>
          </w:tcPr>
          <w:p w14:paraId="06F00AC0"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Mainstreaming Natural Capital Accounting into Planning and Implementation of Sustainable Landscape Management in Pakistan</w:t>
            </w:r>
          </w:p>
        </w:tc>
        <w:tc>
          <w:tcPr>
            <w:tcW w:w="810" w:type="dxa"/>
            <w:noWrap/>
            <w:hideMark/>
          </w:tcPr>
          <w:p w14:paraId="41D9275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2C7FCC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Pakistan</w:t>
            </w:r>
          </w:p>
        </w:tc>
        <w:tc>
          <w:tcPr>
            <w:tcW w:w="990" w:type="dxa"/>
            <w:noWrap/>
            <w:hideMark/>
          </w:tcPr>
          <w:p w14:paraId="0D39C1B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BC8D4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29028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F7B189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406C49C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6.50 </w:t>
            </w:r>
          </w:p>
        </w:tc>
        <w:tc>
          <w:tcPr>
            <w:tcW w:w="900" w:type="dxa"/>
            <w:noWrap/>
            <w:hideMark/>
          </w:tcPr>
          <w:p w14:paraId="1558269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8.50 </w:t>
            </w:r>
          </w:p>
        </w:tc>
      </w:tr>
      <w:tr w:rsidR="00C0269A" w:rsidRPr="00C67737" w14:paraId="22276789"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014C6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11490</w:t>
            </w:r>
          </w:p>
        </w:tc>
        <w:tc>
          <w:tcPr>
            <w:tcW w:w="5400" w:type="dxa"/>
            <w:noWrap/>
            <w:hideMark/>
          </w:tcPr>
          <w:p w14:paraId="2ADC199B"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Ecosystem restoration in seven national protected areas of Argentina</w:t>
            </w:r>
          </w:p>
        </w:tc>
        <w:tc>
          <w:tcPr>
            <w:tcW w:w="810" w:type="dxa"/>
            <w:noWrap/>
            <w:hideMark/>
          </w:tcPr>
          <w:p w14:paraId="58CF063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192EE4B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Argentina</w:t>
            </w:r>
          </w:p>
        </w:tc>
        <w:tc>
          <w:tcPr>
            <w:tcW w:w="990" w:type="dxa"/>
            <w:noWrap/>
            <w:hideMark/>
          </w:tcPr>
          <w:p w14:paraId="370A28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1BC6BAD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1FB26C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B0B2A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90" w:type="dxa"/>
            <w:noWrap/>
            <w:hideMark/>
          </w:tcPr>
          <w:p w14:paraId="467524F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44.18 </w:t>
            </w:r>
          </w:p>
        </w:tc>
        <w:tc>
          <w:tcPr>
            <w:tcW w:w="900" w:type="dxa"/>
            <w:noWrap/>
            <w:hideMark/>
          </w:tcPr>
          <w:p w14:paraId="1718815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51.17 </w:t>
            </w:r>
          </w:p>
        </w:tc>
      </w:tr>
      <w:tr w:rsidR="00C0269A" w:rsidRPr="00C67737" w14:paraId="0F0AE3B2"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BBC6B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11489</w:t>
            </w:r>
          </w:p>
        </w:tc>
        <w:tc>
          <w:tcPr>
            <w:tcW w:w="5400" w:type="dxa"/>
            <w:noWrap/>
            <w:hideMark/>
          </w:tcPr>
          <w:p w14:paraId="2AC23890"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Sustainable Land Management and improved Community Resilience in Dryland areas and livestock migratory hotspots of Tanzania</w:t>
            </w:r>
          </w:p>
        </w:tc>
        <w:tc>
          <w:tcPr>
            <w:tcW w:w="810" w:type="dxa"/>
            <w:noWrap/>
            <w:hideMark/>
          </w:tcPr>
          <w:p w14:paraId="7800B1F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DB95AA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5AD6A7F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7F72BA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053E12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CF20D8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3CFEDFB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27.00 </w:t>
            </w:r>
          </w:p>
        </w:tc>
        <w:tc>
          <w:tcPr>
            <w:tcW w:w="900" w:type="dxa"/>
            <w:noWrap/>
            <w:hideMark/>
          </w:tcPr>
          <w:p w14:paraId="18DA701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36.00 </w:t>
            </w:r>
          </w:p>
        </w:tc>
      </w:tr>
      <w:tr w:rsidR="00C0269A" w:rsidRPr="00C67737" w14:paraId="0206EC93"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CDE62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11484</w:t>
            </w:r>
          </w:p>
        </w:tc>
        <w:tc>
          <w:tcPr>
            <w:tcW w:w="5400" w:type="dxa"/>
            <w:noWrap/>
            <w:hideMark/>
          </w:tcPr>
          <w:p w14:paraId="090237E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Atlantic Forest Great Reserve Project</w:t>
            </w:r>
          </w:p>
        </w:tc>
        <w:tc>
          <w:tcPr>
            <w:tcW w:w="810" w:type="dxa"/>
            <w:noWrap/>
            <w:hideMark/>
          </w:tcPr>
          <w:p w14:paraId="3526C6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Funbio</w:t>
            </w:r>
            <w:proofErr w:type="spellEnd"/>
          </w:p>
        </w:tc>
        <w:tc>
          <w:tcPr>
            <w:tcW w:w="990" w:type="dxa"/>
            <w:noWrap/>
            <w:hideMark/>
          </w:tcPr>
          <w:p w14:paraId="2B9137D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7D18B0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746D69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3A469C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57BC7B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38A9CD6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6.16 </w:t>
            </w:r>
          </w:p>
        </w:tc>
        <w:tc>
          <w:tcPr>
            <w:tcW w:w="900" w:type="dxa"/>
            <w:noWrap/>
            <w:hideMark/>
          </w:tcPr>
          <w:p w14:paraId="653A20B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8.16 </w:t>
            </w:r>
          </w:p>
        </w:tc>
      </w:tr>
      <w:tr w:rsidR="00C0269A" w:rsidRPr="00C67737" w14:paraId="5218AC8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AE64D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11478</w:t>
            </w:r>
          </w:p>
        </w:tc>
        <w:tc>
          <w:tcPr>
            <w:tcW w:w="5400" w:type="dxa"/>
            <w:noWrap/>
            <w:hideMark/>
          </w:tcPr>
          <w:p w14:paraId="635EA69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proofErr w:type="spellStart"/>
            <w:r w:rsidRPr="00D10503">
              <w:rPr>
                <w:rFonts w:eastAsia="Times New Roman" w:cstheme="minorHAnsi"/>
                <w:color w:val="000000"/>
                <w:sz w:val="16"/>
                <w:szCs w:val="16"/>
                <w:lang w:val="en-US"/>
              </w:rPr>
              <w:t>CoHABITAT</w:t>
            </w:r>
            <w:proofErr w:type="spellEnd"/>
            <w:r w:rsidRPr="00D10503">
              <w:rPr>
                <w:rFonts w:eastAsia="Times New Roman" w:cstheme="minorHAnsi"/>
                <w:color w:val="000000"/>
                <w:sz w:val="16"/>
                <w:szCs w:val="16"/>
                <w:lang w:val="en-US"/>
              </w:rPr>
              <w:t xml:space="preserve"> – Conservation and sustainable management of wetlands, forest and grasslands to secure the population of Migratory species along Central Asian Flyway in India</w:t>
            </w:r>
          </w:p>
        </w:tc>
        <w:tc>
          <w:tcPr>
            <w:tcW w:w="810" w:type="dxa"/>
            <w:noWrap/>
            <w:hideMark/>
          </w:tcPr>
          <w:p w14:paraId="412967E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C834D6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043E1F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E5A712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EB4B5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596389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c>
          <w:tcPr>
            <w:tcW w:w="990" w:type="dxa"/>
            <w:noWrap/>
            <w:hideMark/>
          </w:tcPr>
          <w:p w14:paraId="6F04CA4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72.67 </w:t>
            </w:r>
          </w:p>
        </w:tc>
        <w:tc>
          <w:tcPr>
            <w:tcW w:w="900" w:type="dxa"/>
            <w:noWrap/>
            <w:hideMark/>
          </w:tcPr>
          <w:p w14:paraId="25D0B0B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84.67 </w:t>
            </w:r>
          </w:p>
        </w:tc>
      </w:tr>
      <w:tr w:rsidR="00C0269A" w:rsidRPr="00C67737" w14:paraId="046361DC"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A0AD6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11476</w:t>
            </w:r>
          </w:p>
        </w:tc>
        <w:tc>
          <w:tcPr>
            <w:tcW w:w="5400" w:type="dxa"/>
            <w:noWrap/>
            <w:hideMark/>
          </w:tcPr>
          <w:p w14:paraId="0A2874B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Foster transboundary cooperation and capacities for the management of the marine biodiversity of the Southwest Atlantic Large Marine Ecosystems through regional and national actions</w:t>
            </w:r>
          </w:p>
        </w:tc>
        <w:tc>
          <w:tcPr>
            <w:tcW w:w="810" w:type="dxa"/>
            <w:noWrap/>
            <w:hideMark/>
          </w:tcPr>
          <w:p w14:paraId="4D12BB2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62A331E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9BEE14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1AD569F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84FD8C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A3C9AF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10.14 </w:t>
            </w:r>
          </w:p>
        </w:tc>
        <w:tc>
          <w:tcPr>
            <w:tcW w:w="990" w:type="dxa"/>
            <w:noWrap/>
            <w:hideMark/>
          </w:tcPr>
          <w:p w14:paraId="0211F0E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111.60 </w:t>
            </w:r>
          </w:p>
        </w:tc>
        <w:tc>
          <w:tcPr>
            <w:tcW w:w="900" w:type="dxa"/>
            <w:noWrap/>
            <w:hideMark/>
          </w:tcPr>
          <w:p w14:paraId="05540C2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121.74 </w:t>
            </w:r>
          </w:p>
        </w:tc>
      </w:tr>
      <w:tr w:rsidR="00C0269A" w:rsidRPr="00C67737" w14:paraId="0CA0AD13"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ADDAA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11453</w:t>
            </w:r>
          </w:p>
        </w:tc>
        <w:tc>
          <w:tcPr>
            <w:tcW w:w="5400" w:type="dxa"/>
            <w:noWrap/>
            <w:hideMark/>
          </w:tcPr>
          <w:p w14:paraId="6FAAFE6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Promoting social and ecological resilience in land-water-food systems in blue economy sectors in Benin</w:t>
            </w:r>
          </w:p>
        </w:tc>
        <w:tc>
          <w:tcPr>
            <w:tcW w:w="810" w:type="dxa"/>
            <w:noWrap/>
            <w:hideMark/>
          </w:tcPr>
          <w:p w14:paraId="0DEED3B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AfDB</w:t>
            </w:r>
            <w:proofErr w:type="spellEnd"/>
          </w:p>
        </w:tc>
        <w:tc>
          <w:tcPr>
            <w:tcW w:w="990" w:type="dxa"/>
            <w:noWrap/>
            <w:hideMark/>
          </w:tcPr>
          <w:p w14:paraId="1E3DF28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Benin</w:t>
            </w:r>
          </w:p>
        </w:tc>
        <w:tc>
          <w:tcPr>
            <w:tcW w:w="990" w:type="dxa"/>
            <w:noWrap/>
            <w:hideMark/>
          </w:tcPr>
          <w:p w14:paraId="498DB1A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BE45B1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288110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902C4F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1A4AF5C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26.43 </w:t>
            </w:r>
          </w:p>
        </w:tc>
        <w:tc>
          <w:tcPr>
            <w:tcW w:w="900" w:type="dxa"/>
            <w:noWrap/>
            <w:hideMark/>
          </w:tcPr>
          <w:p w14:paraId="48C36F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36.43 </w:t>
            </w:r>
          </w:p>
        </w:tc>
      </w:tr>
      <w:tr w:rsidR="00C0269A" w:rsidRPr="00C67737" w14:paraId="2FE78909"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1C683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11452</w:t>
            </w:r>
          </w:p>
        </w:tc>
        <w:tc>
          <w:tcPr>
            <w:tcW w:w="5400" w:type="dxa"/>
            <w:noWrap/>
            <w:hideMark/>
          </w:tcPr>
          <w:p w14:paraId="5BD746FF"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Program for improving sustainable marine fisheries opportunities in SADC – The Case of the Mozambique Channel.</w:t>
            </w:r>
          </w:p>
        </w:tc>
        <w:tc>
          <w:tcPr>
            <w:tcW w:w="810" w:type="dxa"/>
            <w:noWrap/>
            <w:hideMark/>
          </w:tcPr>
          <w:p w14:paraId="6CCB7AE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AfDB</w:t>
            </w:r>
            <w:proofErr w:type="spellEnd"/>
          </w:p>
        </w:tc>
        <w:tc>
          <w:tcPr>
            <w:tcW w:w="990" w:type="dxa"/>
            <w:noWrap/>
            <w:hideMark/>
          </w:tcPr>
          <w:p w14:paraId="5535E63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FCD121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493AB9F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CFE185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AF9B8D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5.91 </w:t>
            </w:r>
          </w:p>
        </w:tc>
        <w:tc>
          <w:tcPr>
            <w:tcW w:w="990" w:type="dxa"/>
            <w:noWrap/>
            <w:hideMark/>
          </w:tcPr>
          <w:p w14:paraId="0935297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11.20 </w:t>
            </w:r>
          </w:p>
        </w:tc>
        <w:tc>
          <w:tcPr>
            <w:tcW w:w="900" w:type="dxa"/>
            <w:noWrap/>
            <w:hideMark/>
          </w:tcPr>
          <w:p w14:paraId="57854CF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17.11 </w:t>
            </w:r>
          </w:p>
        </w:tc>
      </w:tr>
      <w:tr w:rsidR="00C0269A" w:rsidRPr="00C67737" w14:paraId="5ED4F2D2"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80F32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11449</w:t>
            </w:r>
          </w:p>
        </w:tc>
        <w:tc>
          <w:tcPr>
            <w:tcW w:w="5400" w:type="dxa"/>
            <w:noWrap/>
            <w:hideMark/>
          </w:tcPr>
          <w:p w14:paraId="4DFD6461"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the System of Protected Areas and Improvement of its Financial Sustainability</w:t>
            </w:r>
          </w:p>
        </w:tc>
        <w:tc>
          <w:tcPr>
            <w:tcW w:w="810" w:type="dxa"/>
            <w:noWrap/>
            <w:hideMark/>
          </w:tcPr>
          <w:p w14:paraId="0D00BA1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FEF46C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Paraguay</w:t>
            </w:r>
          </w:p>
        </w:tc>
        <w:tc>
          <w:tcPr>
            <w:tcW w:w="990" w:type="dxa"/>
            <w:noWrap/>
            <w:hideMark/>
          </w:tcPr>
          <w:p w14:paraId="497A9B3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FA0F72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D3758A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F5100A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5.70 </w:t>
            </w:r>
          </w:p>
        </w:tc>
        <w:tc>
          <w:tcPr>
            <w:tcW w:w="990" w:type="dxa"/>
            <w:noWrap/>
            <w:hideMark/>
          </w:tcPr>
          <w:p w14:paraId="51937F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17.43 </w:t>
            </w:r>
          </w:p>
        </w:tc>
        <w:tc>
          <w:tcPr>
            <w:tcW w:w="900" w:type="dxa"/>
            <w:noWrap/>
            <w:hideMark/>
          </w:tcPr>
          <w:p w14:paraId="22923A5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23.13 </w:t>
            </w:r>
          </w:p>
        </w:tc>
      </w:tr>
      <w:tr w:rsidR="00C0269A" w:rsidRPr="00C67737" w14:paraId="26A9C3A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744C9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11448</w:t>
            </w:r>
          </w:p>
        </w:tc>
        <w:tc>
          <w:tcPr>
            <w:tcW w:w="5400" w:type="dxa"/>
            <w:noWrap/>
            <w:hideMark/>
          </w:tcPr>
          <w:p w14:paraId="4AABF335"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Conservation, development and livelihoods for thriving people and nature</w:t>
            </w:r>
          </w:p>
        </w:tc>
        <w:tc>
          <w:tcPr>
            <w:tcW w:w="810" w:type="dxa"/>
            <w:noWrap/>
            <w:hideMark/>
          </w:tcPr>
          <w:p w14:paraId="419E1FB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A341C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Africa</w:t>
            </w:r>
            <w:proofErr w:type="spellEnd"/>
          </w:p>
        </w:tc>
        <w:tc>
          <w:tcPr>
            <w:tcW w:w="990" w:type="dxa"/>
            <w:noWrap/>
            <w:hideMark/>
          </w:tcPr>
          <w:p w14:paraId="6C43C1D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E6F5AF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101D99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F05A60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66BE9C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13.71 </w:t>
            </w:r>
          </w:p>
        </w:tc>
        <w:tc>
          <w:tcPr>
            <w:tcW w:w="900" w:type="dxa"/>
            <w:noWrap/>
            <w:hideMark/>
          </w:tcPr>
          <w:p w14:paraId="39810BA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18.71 </w:t>
            </w:r>
          </w:p>
        </w:tc>
      </w:tr>
      <w:tr w:rsidR="00C0269A" w:rsidRPr="00C67737" w14:paraId="5C5A0217"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C4261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11436</w:t>
            </w:r>
          </w:p>
        </w:tc>
        <w:tc>
          <w:tcPr>
            <w:tcW w:w="5400" w:type="dxa"/>
            <w:noWrap/>
            <w:hideMark/>
          </w:tcPr>
          <w:p w14:paraId="54F6890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Championing Local Adaptation for Productive Ecosystems and Enhanced Resilience (CLAP for Resilience)</w:t>
            </w:r>
          </w:p>
        </w:tc>
        <w:tc>
          <w:tcPr>
            <w:tcW w:w="810" w:type="dxa"/>
            <w:noWrap/>
            <w:hideMark/>
          </w:tcPr>
          <w:p w14:paraId="10F3229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A81CC6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Malawi</w:t>
            </w:r>
          </w:p>
        </w:tc>
        <w:tc>
          <w:tcPr>
            <w:tcW w:w="990" w:type="dxa"/>
            <w:noWrap/>
            <w:hideMark/>
          </w:tcPr>
          <w:p w14:paraId="408C2A7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C46124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073777E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6005B9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06C5CAC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55.70 </w:t>
            </w:r>
          </w:p>
        </w:tc>
        <w:tc>
          <w:tcPr>
            <w:tcW w:w="900" w:type="dxa"/>
            <w:noWrap/>
            <w:hideMark/>
          </w:tcPr>
          <w:p w14:paraId="6D010CE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65.70 </w:t>
            </w:r>
          </w:p>
        </w:tc>
      </w:tr>
      <w:tr w:rsidR="00C0269A" w:rsidRPr="00C67737" w14:paraId="33B93680"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0F217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11435</w:t>
            </w:r>
          </w:p>
        </w:tc>
        <w:tc>
          <w:tcPr>
            <w:tcW w:w="5400" w:type="dxa"/>
            <w:noWrap/>
            <w:hideMark/>
          </w:tcPr>
          <w:p w14:paraId="5383CEC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Improving wetlands management for biodiversity and improved human-wildlife coexistence.</w:t>
            </w:r>
          </w:p>
        </w:tc>
        <w:tc>
          <w:tcPr>
            <w:tcW w:w="810" w:type="dxa"/>
            <w:noWrap/>
            <w:hideMark/>
          </w:tcPr>
          <w:p w14:paraId="029FE45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4B0774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Timor Leste</w:t>
            </w:r>
          </w:p>
        </w:tc>
        <w:tc>
          <w:tcPr>
            <w:tcW w:w="990" w:type="dxa"/>
            <w:noWrap/>
            <w:hideMark/>
          </w:tcPr>
          <w:p w14:paraId="7808B5D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134A23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B40F3B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5D2D9D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3.04 </w:t>
            </w:r>
          </w:p>
        </w:tc>
        <w:tc>
          <w:tcPr>
            <w:tcW w:w="990" w:type="dxa"/>
            <w:noWrap/>
            <w:hideMark/>
          </w:tcPr>
          <w:p w14:paraId="64FB3B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6.88 </w:t>
            </w:r>
          </w:p>
        </w:tc>
        <w:tc>
          <w:tcPr>
            <w:tcW w:w="900" w:type="dxa"/>
            <w:noWrap/>
            <w:hideMark/>
          </w:tcPr>
          <w:p w14:paraId="15352AD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9.92 </w:t>
            </w:r>
          </w:p>
        </w:tc>
      </w:tr>
      <w:tr w:rsidR="00C0269A" w:rsidRPr="00C67737" w14:paraId="5F629583"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6C8F6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11433</w:t>
            </w:r>
          </w:p>
        </w:tc>
        <w:tc>
          <w:tcPr>
            <w:tcW w:w="5400" w:type="dxa"/>
            <w:noWrap/>
            <w:hideMark/>
          </w:tcPr>
          <w:p w14:paraId="56C690DA"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Livestock Support for Climate Change Adaptation and Enhanced Resilience Project (LISCADERP) in Central African Republic</w:t>
            </w:r>
          </w:p>
        </w:tc>
        <w:tc>
          <w:tcPr>
            <w:tcW w:w="810" w:type="dxa"/>
            <w:noWrap/>
            <w:hideMark/>
          </w:tcPr>
          <w:p w14:paraId="1AAFCFA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65BD954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Central </w:t>
            </w:r>
            <w:proofErr w:type="spellStart"/>
            <w:r w:rsidRPr="00C67737">
              <w:rPr>
                <w:rFonts w:eastAsia="Times New Roman" w:cstheme="minorHAnsi"/>
                <w:color w:val="000000"/>
                <w:sz w:val="16"/>
                <w:szCs w:val="16"/>
              </w:rPr>
              <w:t>African</w:t>
            </w:r>
            <w:proofErr w:type="spellEnd"/>
            <w:r w:rsidRPr="00C67737">
              <w:rPr>
                <w:rFonts w:eastAsia="Times New Roman" w:cstheme="minorHAnsi"/>
                <w:color w:val="000000"/>
                <w:sz w:val="16"/>
                <w:szCs w:val="16"/>
              </w:rPr>
              <w:t xml:space="preserve"> Republic</w:t>
            </w:r>
          </w:p>
        </w:tc>
        <w:tc>
          <w:tcPr>
            <w:tcW w:w="990" w:type="dxa"/>
            <w:noWrap/>
            <w:hideMark/>
          </w:tcPr>
          <w:p w14:paraId="3513ADD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EFFDE2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48FB477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AF1F91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5FED1B0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35.45 </w:t>
            </w:r>
          </w:p>
        </w:tc>
        <w:tc>
          <w:tcPr>
            <w:tcW w:w="900" w:type="dxa"/>
            <w:noWrap/>
            <w:hideMark/>
          </w:tcPr>
          <w:p w14:paraId="2631CBC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45.45 </w:t>
            </w:r>
          </w:p>
        </w:tc>
      </w:tr>
      <w:tr w:rsidR="00C0269A" w:rsidRPr="00C67737" w14:paraId="453559E2"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0E99B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11432</w:t>
            </w:r>
          </w:p>
        </w:tc>
        <w:tc>
          <w:tcPr>
            <w:tcW w:w="5400" w:type="dxa"/>
            <w:noWrap/>
            <w:hideMark/>
          </w:tcPr>
          <w:p w14:paraId="1F2C7E4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proofErr w:type="spellStart"/>
            <w:r w:rsidRPr="00D10503">
              <w:rPr>
                <w:rFonts w:eastAsia="Times New Roman" w:cstheme="minorHAnsi"/>
                <w:color w:val="000000"/>
                <w:sz w:val="16"/>
                <w:szCs w:val="16"/>
                <w:lang w:val="en-US"/>
              </w:rPr>
              <w:t>BioSouth</w:t>
            </w:r>
            <w:proofErr w:type="spellEnd"/>
            <w:r w:rsidRPr="00D10503">
              <w:rPr>
                <w:rFonts w:eastAsia="Times New Roman" w:cstheme="minorHAnsi"/>
                <w:color w:val="000000"/>
                <w:sz w:val="16"/>
                <w:szCs w:val="16"/>
                <w:lang w:val="en-US"/>
              </w:rPr>
              <w:t>: The Pacific-Andean-Amazonian Ecological and Cultural Connectivity Corridor</w:t>
            </w:r>
          </w:p>
        </w:tc>
        <w:tc>
          <w:tcPr>
            <w:tcW w:w="810" w:type="dxa"/>
            <w:noWrap/>
            <w:hideMark/>
          </w:tcPr>
          <w:p w14:paraId="08F5B12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49AF27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5753FD3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C26263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E94A96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834A33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15.30 </w:t>
            </w:r>
          </w:p>
        </w:tc>
        <w:tc>
          <w:tcPr>
            <w:tcW w:w="990" w:type="dxa"/>
            <w:noWrap/>
            <w:hideMark/>
          </w:tcPr>
          <w:p w14:paraId="7665A4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41.34 </w:t>
            </w:r>
          </w:p>
        </w:tc>
        <w:tc>
          <w:tcPr>
            <w:tcW w:w="900" w:type="dxa"/>
            <w:noWrap/>
            <w:hideMark/>
          </w:tcPr>
          <w:p w14:paraId="347345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56.64 </w:t>
            </w:r>
          </w:p>
        </w:tc>
      </w:tr>
      <w:tr w:rsidR="00C0269A" w:rsidRPr="00C67737" w14:paraId="7838B76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C6099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11429</w:t>
            </w:r>
          </w:p>
        </w:tc>
        <w:tc>
          <w:tcPr>
            <w:tcW w:w="5400" w:type="dxa"/>
            <w:noWrap/>
            <w:hideMark/>
          </w:tcPr>
          <w:p w14:paraId="0A69F10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Blueing</w:t>
            </w:r>
            <w:proofErr w:type="spellEnd"/>
            <w:r w:rsidRPr="00C67737">
              <w:rPr>
                <w:rFonts w:eastAsia="Times New Roman" w:cstheme="minorHAnsi"/>
                <w:color w:val="000000"/>
                <w:sz w:val="16"/>
                <w:szCs w:val="16"/>
              </w:rPr>
              <w:t xml:space="preserve"> the Caspian </w:t>
            </w:r>
            <w:proofErr w:type="spellStart"/>
            <w:r w:rsidRPr="00C67737">
              <w:rPr>
                <w:rFonts w:eastAsia="Times New Roman" w:cstheme="minorHAnsi"/>
                <w:color w:val="000000"/>
                <w:sz w:val="16"/>
                <w:szCs w:val="16"/>
              </w:rPr>
              <w:t>Sea</w:t>
            </w:r>
            <w:proofErr w:type="spellEnd"/>
          </w:p>
        </w:tc>
        <w:tc>
          <w:tcPr>
            <w:tcW w:w="810" w:type="dxa"/>
            <w:noWrap/>
            <w:hideMark/>
          </w:tcPr>
          <w:p w14:paraId="1D51060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4860AB2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3F93FAD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B0B295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63D54D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9EC36A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13.00 </w:t>
            </w:r>
          </w:p>
        </w:tc>
        <w:tc>
          <w:tcPr>
            <w:tcW w:w="990" w:type="dxa"/>
            <w:noWrap/>
            <w:hideMark/>
          </w:tcPr>
          <w:p w14:paraId="55F8DB1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86.20 </w:t>
            </w:r>
          </w:p>
        </w:tc>
        <w:tc>
          <w:tcPr>
            <w:tcW w:w="900" w:type="dxa"/>
            <w:noWrap/>
            <w:hideMark/>
          </w:tcPr>
          <w:p w14:paraId="46F9CCF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99.20 </w:t>
            </w:r>
          </w:p>
        </w:tc>
      </w:tr>
      <w:tr w:rsidR="00C0269A" w:rsidRPr="00C67737" w14:paraId="3F53E3C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E0F9E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11426</w:t>
            </w:r>
          </w:p>
        </w:tc>
        <w:tc>
          <w:tcPr>
            <w:tcW w:w="5400" w:type="dxa"/>
            <w:noWrap/>
            <w:hideMark/>
          </w:tcPr>
          <w:p w14:paraId="7BE00D1F"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Restoration and Preservation of Key Biodiversity Areas and Ecosystems in Anbar Province, Iraq.</w:t>
            </w:r>
          </w:p>
        </w:tc>
        <w:tc>
          <w:tcPr>
            <w:tcW w:w="810" w:type="dxa"/>
            <w:noWrap/>
            <w:hideMark/>
          </w:tcPr>
          <w:p w14:paraId="5D64684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0015C1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Iraq</w:t>
            </w:r>
          </w:p>
        </w:tc>
        <w:tc>
          <w:tcPr>
            <w:tcW w:w="990" w:type="dxa"/>
            <w:noWrap/>
            <w:hideMark/>
          </w:tcPr>
          <w:p w14:paraId="7F3782B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F9EEA6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E93E46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AAE6C4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6.43 </w:t>
            </w:r>
          </w:p>
        </w:tc>
        <w:tc>
          <w:tcPr>
            <w:tcW w:w="990" w:type="dxa"/>
            <w:noWrap/>
            <w:hideMark/>
          </w:tcPr>
          <w:p w14:paraId="407DD63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c>
          <w:tcPr>
            <w:tcW w:w="900" w:type="dxa"/>
            <w:noWrap/>
            <w:hideMark/>
          </w:tcPr>
          <w:p w14:paraId="368FA25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18.43 </w:t>
            </w:r>
          </w:p>
        </w:tc>
      </w:tr>
      <w:tr w:rsidR="00C0269A" w:rsidRPr="00C67737" w14:paraId="125A5A5B"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574DE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11424</w:t>
            </w:r>
          </w:p>
        </w:tc>
        <w:tc>
          <w:tcPr>
            <w:tcW w:w="5400" w:type="dxa"/>
            <w:noWrap/>
            <w:hideMark/>
          </w:tcPr>
          <w:p w14:paraId="00533D6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Support and build a more Sustainable Blue Economy in Aqaba through Marine Spatial Planning (MSP) and effective management of the first marine reserve in the country.</w:t>
            </w:r>
          </w:p>
        </w:tc>
        <w:tc>
          <w:tcPr>
            <w:tcW w:w="810" w:type="dxa"/>
            <w:noWrap/>
            <w:hideMark/>
          </w:tcPr>
          <w:p w14:paraId="146766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DD993B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Jordan</w:t>
            </w:r>
          </w:p>
        </w:tc>
        <w:tc>
          <w:tcPr>
            <w:tcW w:w="990" w:type="dxa"/>
            <w:noWrap/>
            <w:hideMark/>
          </w:tcPr>
          <w:p w14:paraId="7F03EE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4CEA6A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6DD470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1FB1EB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59D5B1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20.40 </w:t>
            </w:r>
          </w:p>
        </w:tc>
        <w:tc>
          <w:tcPr>
            <w:tcW w:w="900" w:type="dxa"/>
            <w:noWrap/>
            <w:hideMark/>
          </w:tcPr>
          <w:p w14:paraId="760AAB4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22.40 </w:t>
            </w:r>
          </w:p>
        </w:tc>
      </w:tr>
      <w:tr w:rsidR="00C0269A" w:rsidRPr="00C67737" w14:paraId="4E8CFD18"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48FD2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11423</w:t>
            </w:r>
          </w:p>
        </w:tc>
        <w:tc>
          <w:tcPr>
            <w:tcW w:w="5400" w:type="dxa"/>
            <w:noWrap/>
            <w:hideMark/>
          </w:tcPr>
          <w:p w14:paraId="1E24551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the conservation and sustainable use of biodiversity to meet India’s commitment to the Kunming-Montreal Global Biodiversity Framework targets by 2030</w:t>
            </w:r>
          </w:p>
        </w:tc>
        <w:tc>
          <w:tcPr>
            <w:tcW w:w="810" w:type="dxa"/>
            <w:noWrap/>
            <w:hideMark/>
          </w:tcPr>
          <w:p w14:paraId="72E1860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0E0CF7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5B83857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FA3BE0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7BF162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8C17B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 </w:t>
            </w:r>
          </w:p>
        </w:tc>
        <w:tc>
          <w:tcPr>
            <w:tcW w:w="990" w:type="dxa"/>
            <w:noWrap/>
            <w:hideMark/>
          </w:tcPr>
          <w:p w14:paraId="61A5495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54.14 </w:t>
            </w:r>
          </w:p>
        </w:tc>
        <w:tc>
          <w:tcPr>
            <w:tcW w:w="900" w:type="dxa"/>
            <w:noWrap/>
            <w:hideMark/>
          </w:tcPr>
          <w:p w14:paraId="1CFA6F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61.64 </w:t>
            </w:r>
          </w:p>
        </w:tc>
      </w:tr>
      <w:tr w:rsidR="00C0269A" w:rsidRPr="00C67737" w14:paraId="2EB28CE7"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D661E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11422</w:t>
            </w:r>
          </w:p>
        </w:tc>
        <w:tc>
          <w:tcPr>
            <w:tcW w:w="5400" w:type="dxa"/>
            <w:noWrap/>
            <w:hideMark/>
          </w:tcPr>
          <w:p w14:paraId="6877A3A0"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Lake Ecosystem Restoration in Indonesia through Integrated Governance, Landscape, and Community-based Approaches.</w:t>
            </w:r>
          </w:p>
        </w:tc>
        <w:tc>
          <w:tcPr>
            <w:tcW w:w="810" w:type="dxa"/>
            <w:noWrap/>
            <w:hideMark/>
          </w:tcPr>
          <w:p w14:paraId="50CD2BD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6A185E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43F319C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031F37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754F65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17B3B9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3FAA4E4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49.65 </w:t>
            </w:r>
          </w:p>
        </w:tc>
        <w:tc>
          <w:tcPr>
            <w:tcW w:w="900" w:type="dxa"/>
            <w:noWrap/>
            <w:hideMark/>
          </w:tcPr>
          <w:p w14:paraId="0388B5C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57.65 </w:t>
            </w:r>
          </w:p>
        </w:tc>
      </w:tr>
      <w:tr w:rsidR="00C0269A" w:rsidRPr="00C67737" w14:paraId="1328ADDD"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D44C3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11419</w:t>
            </w:r>
          </w:p>
        </w:tc>
        <w:tc>
          <w:tcPr>
            <w:tcW w:w="5400" w:type="dxa"/>
            <w:noWrap/>
            <w:hideMark/>
          </w:tcPr>
          <w:p w14:paraId="757BB83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Artisanal </w:t>
            </w:r>
            <w:proofErr w:type="spellStart"/>
            <w:r w:rsidRPr="00C67737">
              <w:rPr>
                <w:rFonts w:eastAsia="Times New Roman" w:cstheme="minorHAnsi"/>
                <w:color w:val="000000"/>
                <w:sz w:val="16"/>
                <w:szCs w:val="16"/>
              </w:rPr>
              <w:t>Fisheries</w:t>
            </w:r>
            <w:proofErr w:type="spell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Resilient</w:t>
            </w:r>
            <w:proofErr w:type="spell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Development</w:t>
            </w:r>
            <w:proofErr w:type="spellEnd"/>
            <w:r w:rsidRPr="00C67737">
              <w:rPr>
                <w:rFonts w:eastAsia="Times New Roman" w:cstheme="minorHAnsi"/>
                <w:color w:val="000000"/>
                <w:sz w:val="16"/>
                <w:szCs w:val="16"/>
              </w:rPr>
              <w:t xml:space="preserve"> Project (PROPEIXE)</w:t>
            </w:r>
          </w:p>
        </w:tc>
        <w:tc>
          <w:tcPr>
            <w:tcW w:w="810" w:type="dxa"/>
            <w:noWrap/>
            <w:hideMark/>
          </w:tcPr>
          <w:p w14:paraId="2656C33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698CC9E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Mozambique</w:t>
            </w:r>
          </w:p>
        </w:tc>
        <w:tc>
          <w:tcPr>
            <w:tcW w:w="990" w:type="dxa"/>
            <w:noWrap/>
            <w:hideMark/>
          </w:tcPr>
          <w:p w14:paraId="592AC5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8F3920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1337069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104B11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6C0A77D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32.70 </w:t>
            </w:r>
          </w:p>
        </w:tc>
        <w:tc>
          <w:tcPr>
            <w:tcW w:w="900" w:type="dxa"/>
            <w:noWrap/>
            <w:hideMark/>
          </w:tcPr>
          <w:p w14:paraId="68A4BE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42.70 </w:t>
            </w:r>
          </w:p>
        </w:tc>
      </w:tr>
      <w:tr w:rsidR="00C0269A" w:rsidRPr="00C67737" w14:paraId="5E21722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A2BF3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11418</w:t>
            </w:r>
          </w:p>
        </w:tc>
        <w:tc>
          <w:tcPr>
            <w:tcW w:w="5400" w:type="dxa"/>
            <w:noWrap/>
            <w:hideMark/>
          </w:tcPr>
          <w:p w14:paraId="708E893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Strengthening Adaptation through Institutional Building and Resilient Livelihoods in South Sudanese </w:t>
            </w:r>
            <w:proofErr w:type="spellStart"/>
            <w:r w:rsidRPr="00D10503">
              <w:rPr>
                <w:rFonts w:eastAsia="Times New Roman" w:cstheme="minorHAnsi"/>
                <w:color w:val="000000"/>
                <w:sz w:val="16"/>
                <w:szCs w:val="16"/>
                <w:lang w:val="en-US"/>
              </w:rPr>
              <w:t>Agro</w:t>
            </w:r>
            <w:proofErr w:type="spellEnd"/>
            <w:r w:rsidRPr="00D10503">
              <w:rPr>
                <w:rFonts w:eastAsia="Times New Roman" w:cstheme="minorHAnsi"/>
                <w:color w:val="000000"/>
                <w:sz w:val="16"/>
                <w:szCs w:val="16"/>
                <w:lang w:val="en-US"/>
              </w:rPr>
              <w:t>-pastoral Landscapes (SABRELA)</w:t>
            </w:r>
          </w:p>
        </w:tc>
        <w:tc>
          <w:tcPr>
            <w:tcW w:w="810" w:type="dxa"/>
            <w:noWrap/>
            <w:hideMark/>
          </w:tcPr>
          <w:p w14:paraId="2732832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57DD70E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Sudan</w:t>
            </w:r>
            <w:proofErr w:type="spellEnd"/>
          </w:p>
        </w:tc>
        <w:tc>
          <w:tcPr>
            <w:tcW w:w="990" w:type="dxa"/>
            <w:noWrap/>
            <w:hideMark/>
          </w:tcPr>
          <w:p w14:paraId="6541985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07F6CC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37CAFD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17373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751545A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22.57 </w:t>
            </w:r>
          </w:p>
        </w:tc>
        <w:tc>
          <w:tcPr>
            <w:tcW w:w="900" w:type="dxa"/>
            <w:noWrap/>
            <w:hideMark/>
          </w:tcPr>
          <w:p w14:paraId="4C1F0C2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32.57 </w:t>
            </w:r>
          </w:p>
        </w:tc>
      </w:tr>
      <w:tr w:rsidR="00C0269A" w:rsidRPr="00C67737" w14:paraId="01B82BB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25416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11415</w:t>
            </w:r>
          </w:p>
        </w:tc>
        <w:tc>
          <w:tcPr>
            <w:tcW w:w="5400" w:type="dxa"/>
            <w:noWrap/>
            <w:hideMark/>
          </w:tcPr>
          <w:p w14:paraId="644AA9D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Supporting an integrated approach for ecosystem and biodiversity conservation and improved livelihoods in Central India (Madhya Pradesh and Maharashtra)</w:t>
            </w:r>
          </w:p>
        </w:tc>
        <w:tc>
          <w:tcPr>
            <w:tcW w:w="810" w:type="dxa"/>
            <w:noWrap/>
            <w:hideMark/>
          </w:tcPr>
          <w:p w14:paraId="1F636BE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42EACD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4DA8C77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EF8C52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8B0F18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72E283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11.00 </w:t>
            </w:r>
          </w:p>
        </w:tc>
        <w:tc>
          <w:tcPr>
            <w:tcW w:w="990" w:type="dxa"/>
            <w:noWrap/>
            <w:hideMark/>
          </w:tcPr>
          <w:p w14:paraId="10C8FEC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99.64 </w:t>
            </w:r>
          </w:p>
        </w:tc>
        <w:tc>
          <w:tcPr>
            <w:tcW w:w="900" w:type="dxa"/>
            <w:noWrap/>
            <w:hideMark/>
          </w:tcPr>
          <w:p w14:paraId="09E3C2E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110.64 </w:t>
            </w:r>
          </w:p>
        </w:tc>
      </w:tr>
      <w:tr w:rsidR="00C0269A" w:rsidRPr="00C67737" w14:paraId="42D354C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7226F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11414</w:t>
            </w:r>
          </w:p>
        </w:tc>
        <w:tc>
          <w:tcPr>
            <w:tcW w:w="5400" w:type="dxa"/>
            <w:noWrap/>
            <w:hideMark/>
          </w:tcPr>
          <w:p w14:paraId="634D5B2C"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Conserving terrestrial and marine biodiversity and restoring ecosystem services in globally relevant and vulnerable sites in Somalia</w:t>
            </w:r>
          </w:p>
        </w:tc>
        <w:tc>
          <w:tcPr>
            <w:tcW w:w="810" w:type="dxa"/>
            <w:noWrap/>
            <w:hideMark/>
          </w:tcPr>
          <w:p w14:paraId="29AF937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FB9B01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Somalia</w:t>
            </w:r>
          </w:p>
        </w:tc>
        <w:tc>
          <w:tcPr>
            <w:tcW w:w="990" w:type="dxa"/>
            <w:noWrap/>
            <w:hideMark/>
          </w:tcPr>
          <w:p w14:paraId="21A6785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A629A3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3C2DAD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552400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13.90 </w:t>
            </w:r>
          </w:p>
        </w:tc>
        <w:tc>
          <w:tcPr>
            <w:tcW w:w="990" w:type="dxa"/>
            <w:noWrap/>
            <w:hideMark/>
          </w:tcPr>
          <w:p w14:paraId="1F6FF35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6.50 </w:t>
            </w:r>
          </w:p>
        </w:tc>
        <w:tc>
          <w:tcPr>
            <w:tcW w:w="900" w:type="dxa"/>
            <w:noWrap/>
            <w:hideMark/>
          </w:tcPr>
          <w:p w14:paraId="24D60D9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20.40 </w:t>
            </w:r>
          </w:p>
        </w:tc>
      </w:tr>
      <w:tr w:rsidR="00C0269A" w:rsidRPr="00C67737" w14:paraId="65332B2B"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68661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11412</w:t>
            </w:r>
          </w:p>
        </w:tc>
        <w:tc>
          <w:tcPr>
            <w:tcW w:w="5400" w:type="dxa"/>
            <w:noWrap/>
            <w:hideMark/>
          </w:tcPr>
          <w:p w14:paraId="0020FCE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Climate Change Resilience in the Caribbean Fisheries Sector (CC4FISH-II)</w:t>
            </w:r>
          </w:p>
        </w:tc>
        <w:tc>
          <w:tcPr>
            <w:tcW w:w="810" w:type="dxa"/>
            <w:noWrap/>
            <w:hideMark/>
          </w:tcPr>
          <w:p w14:paraId="0C9342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8784E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A5F108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C09344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SCCF-A, SCCF</w:t>
            </w:r>
          </w:p>
        </w:tc>
        <w:tc>
          <w:tcPr>
            <w:tcW w:w="810" w:type="dxa"/>
            <w:noWrap/>
            <w:hideMark/>
          </w:tcPr>
          <w:p w14:paraId="0828688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13F93D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c>
          <w:tcPr>
            <w:tcW w:w="990" w:type="dxa"/>
            <w:noWrap/>
            <w:hideMark/>
          </w:tcPr>
          <w:p w14:paraId="4F181FF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51.89 </w:t>
            </w:r>
          </w:p>
        </w:tc>
        <w:tc>
          <w:tcPr>
            <w:tcW w:w="900" w:type="dxa"/>
            <w:noWrap/>
            <w:hideMark/>
          </w:tcPr>
          <w:p w14:paraId="6B8EED5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65.89 </w:t>
            </w:r>
          </w:p>
        </w:tc>
      </w:tr>
      <w:tr w:rsidR="00C0269A" w:rsidRPr="00C67737" w14:paraId="0101B44F"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0BFC7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11410</w:t>
            </w:r>
          </w:p>
        </w:tc>
        <w:tc>
          <w:tcPr>
            <w:tcW w:w="5400" w:type="dxa"/>
            <w:noWrap/>
            <w:hideMark/>
          </w:tcPr>
          <w:p w14:paraId="21E06381"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integrated transboundary source-to-sea management of the Ruvuma River Basin and its coastal zones to ensure ecosystem health and livelihood security</w:t>
            </w:r>
          </w:p>
        </w:tc>
        <w:tc>
          <w:tcPr>
            <w:tcW w:w="810" w:type="dxa"/>
            <w:noWrap/>
            <w:hideMark/>
          </w:tcPr>
          <w:p w14:paraId="3856076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767F04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97AEF6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0C3E063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280A1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BC3767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7.98 </w:t>
            </w:r>
          </w:p>
        </w:tc>
        <w:tc>
          <w:tcPr>
            <w:tcW w:w="990" w:type="dxa"/>
            <w:noWrap/>
            <w:hideMark/>
          </w:tcPr>
          <w:p w14:paraId="74A3B86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65.44 </w:t>
            </w:r>
          </w:p>
        </w:tc>
        <w:tc>
          <w:tcPr>
            <w:tcW w:w="900" w:type="dxa"/>
            <w:noWrap/>
            <w:hideMark/>
          </w:tcPr>
          <w:p w14:paraId="47E6EC3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73.42 </w:t>
            </w:r>
          </w:p>
        </w:tc>
      </w:tr>
      <w:tr w:rsidR="00C0269A" w:rsidRPr="00C67737" w14:paraId="46B6953B"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6EED8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11409</w:t>
            </w:r>
          </w:p>
        </w:tc>
        <w:tc>
          <w:tcPr>
            <w:tcW w:w="5400" w:type="dxa"/>
            <w:noWrap/>
            <w:hideMark/>
          </w:tcPr>
          <w:p w14:paraId="6F9A272F"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Integrated management of the </w:t>
            </w:r>
            <w:proofErr w:type="spellStart"/>
            <w:r w:rsidRPr="00D10503">
              <w:rPr>
                <w:rFonts w:eastAsia="Times New Roman" w:cstheme="minorHAnsi"/>
                <w:color w:val="000000"/>
                <w:sz w:val="16"/>
                <w:szCs w:val="16"/>
                <w:lang w:val="en-US"/>
              </w:rPr>
              <w:t>doumeraie</w:t>
            </w:r>
            <w:proofErr w:type="spellEnd"/>
            <w:r w:rsidRPr="00D10503">
              <w:rPr>
                <w:rFonts w:eastAsia="Times New Roman" w:cstheme="minorHAnsi"/>
                <w:color w:val="000000"/>
                <w:sz w:val="16"/>
                <w:szCs w:val="16"/>
                <w:lang w:val="en-US"/>
              </w:rPr>
              <w:t xml:space="preserve"> of the </w:t>
            </w:r>
            <w:proofErr w:type="spellStart"/>
            <w:r w:rsidRPr="00D10503">
              <w:rPr>
                <w:rFonts w:eastAsia="Times New Roman" w:cstheme="minorHAnsi"/>
                <w:color w:val="000000"/>
                <w:sz w:val="16"/>
                <w:szCs w:val="16"/>
                <w:lang w:val="en-US"/>
              </w:rPr>
              <w:t>Goulbi</w:t>
            </w:r>
            <w:proofErr w:type="spellEnd"/>
            <w:r w:rsidRPr="00D10503">
              <w:rPr>
                <w:rFonts w:eastAsia="Times New Roman" w:cstheme="minorHAnsi"/>
                <w:color w:val="000000"/>
                <w:sz w:val="16"/>
                <w:szCs w:val="16"/>
                <w:lang w:val="en-US"/>
              </w:rPr>
              <w:t xml:space="preserve"> </w:t>
            </w:r>
            <w:proofErr w:type="spellStart"/>
            <w:r w:rsidRPr="00D10503">
              <w:rPr>
                <w:rFonts w:eastAsia="Times New Roman" w:cstheme="minorHAnsi"/>
                <w:color w:val="000000"/>
                <w:sz w:val="16"/>
                <w:szCs w:val="16"/>
                <w:lang w:val="en-US"/>
              </w:rPr>
              <w:t>N’kaba</w:t>
            </w:r>
            <w:proofErr w:type="spellEnd"/>
            <w:r w:rsidRPr="00D10503">
              <w:rPr>
                <w:rFonts w:eastAsia="Times New Roman" w:cstheme="minorHAnsi"/>
                <w:color w:val="000000"/>
                <w:sz w:val="16"/>
                <w:szCs w:val="16"/>
                <w:lang w:val="en-US"/>
              </w:rPr>
              <w:t xml:space="preserve"> watershed and adjacent ecosystems (Maradi Region)</w:t>
            </w:r>
          </w:p>
        </w:tc>
        <w:tc>
          <w:tcPr>
            <w:tcW w:w="810" w:type="dxa"/>
            <w:noWrap/>
            <w:hideMark/>
          </w:tcPr>
          <w:p w14:paraId="07DE19A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E8B04F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w:t>
            </w:r>
          </w:p>
        </w:tc>
        <w:tc>
          <w:tcPr>
            <w:tcW w:w="990" w:type="dxa"/>
            <w:noWrap/>
            <w:hideMark/>
          </w:tcPr>
          <w:p w14:paraId="6649734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AD77F6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284020E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F3B59D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62F28D1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46.11 </w:t>
            </w:r>
          </w:p>
        </w:tc>
        <w:tc>
          <w:tcPr>
            <w:tcW w:w="900" w:type="dxa"/>
            <w:noWrap/>
            <w:hideMark/>
          </w:tcPr>
          <w:p w14:paraId="0E1B41C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56.11 </w:t>
            </w:r>
          </w:p>
        </w:tc>
      </w:tr>
      <w:tr w:rsidR="00C0269A" w:rsidRPr="00C67737" w14:paraId="4967E081"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87C58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11408</w:t>
            </w:r>
          </w:p>
        </w:tc>
        <w:tc>
          <w:tcPr>
            <w:tcW w:w="5400" w:type="dxa"/>
            <w:noWrap/>
            <w:hideMark/>
          </w:tcPr>
          <w:p w14:paraId="24B1EF1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Conservation and Sustainable Development in Socotra Archipelago and Aden Wetlands, Yemen</w:t>
            </w:r>
          </w:p>
        </w:tc>
        <w:tc>
          <w:tcPr>
            <w:tcW w:w="810" w:type="dxa"/>
            <w:noWrap/>
            <w:hideMark/>
          </w:tcPr>
          <w:p w14:paraId="592E026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51FC4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Yemen</w:t>
            </w:r>
            <w:proofErr w:type="spellEnd"/>
          </w:p>
        </w:tc>
        <w:tc>
          <w:tcPr>
            <w:tcW w:w="990" w:type="dxa"/>
            <w:noWrap/>
            <w:hideMark/>
          </w:tcPr>
          <w:p w14:paraId="3EC21F1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83099B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B85D6D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88F323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488678D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4.90 </w:t>
            </w:r>
          </w:p>
        </w:tc>
        <w:tc>
          <w:tcPr>
            <w:tcW w:w="900" w:type="dxa"/>
            <w:noWrap/>
            <w:hideMark/>
          </w:tcPr>
          <w:p w14:paraId="69D5C80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9.90 </w:t>
            </w:r>
          </w:p>
        </w:tc>
      </w:tr>
      <w:tr w:rsidR="00C0269A" w:rsidRPr="00C67737" w14:paraId="7CC4D8C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1C898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11407</w:t>
            </w:r>
          </w:p>
        </w:tc>
        <w:tc>
          <w:tcPr>
            <w:tcW w:w="5400" w:type="dxa"/>
            <w:noWrap/>
            <w:hideMark/>
          </w:tcPr>
          <w:p w14:paraId="2ED509F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Landscape Management for Sustainable Ecosystem Services and Community Livelihoods in Wami-</w:t>
            </w:r>
            <w:proofErr w:type="spellStart"/>
            <w:r w:rsidRPr="00D10503">
              <w:rPr>
                <w:rFonts w:eastAsia="Times New Roman" w:cstheme="minorHAnsi"/>
                <w:color w:val="000000"/>
                <w:sz w:val="16"/>
                <w:szCs w:val="16"/>
                <w:lang w:val="en-US"/>
              </w:rPr>
              <w:t>Ruvu</w:t>
            </w:r>
            <w:proofErr w:type="spellEnd"/>
            <w:r w:rsidRPr="00D10503">
              <w:rPr>
                <w:rFonts w:eastAsia="Times New Roman" w:cstheme="minorHAnsi"/>
                <w:color w:val="000000"/>
                <w:sz w:val="16"/>
                <w:szCs w:val="16"/>
                <w:lang w:val="en-US"/>
              </w:rPr>
              <w:t xml:space="preserve"> River Basin</w:t>
            </w:r>
          </w:p>
        </w:tc>
        <w:tc>
          <w:tcPr>
            <w:tcW w:w="810" w:type="dxa"/>
            <w:noWrap/>
            <w:hideMark/>
          </w:tcPr>
          <w:p w14:paraId="3DECF1B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603072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7D352F3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C60391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27B6D3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41AB26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2F3BBD5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25.80 </w:t>
            </w:r>
          </w:p>
        </w:tc>
        <w:tc>
          <w:tcPr>
            <w:tcW w:w="900" w:type="dxa"/>
            <w:noWrap/>
            <w:hideMark/>
          </w:tcPr>
          <w:p w14:paraId="21DB7FD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31.80 </w:t>
            </w:r>
          </w:p>
        </w:tc>
      </w:tr>
      <w:tr w:rsidR="00C0269A" w:rsidRPr="00C67737" w14:paraId="0D6D8DAC"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BE7EC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11402</w:t>
            </w:r>
          </w:p>
        </w:tc>
        <w:tc>
          <w:tcPr>
            <w:tcW w:w="5400" w:type="dxa"/>
            <w:noWrap/>
            <w:hideMark/>
          </w:tcPr>
          <w:p w14:paraId="751167D5"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Land Degradation Neutrality for Increased Resilience to Climate Change in Dominican Republic</w:t>
            </w:r>
          </w:p>
        </w:tc>
        <w:tc>
          <w:tcPr>
            <w:tcW w:w="810" w:type="dxa"/>
            <w:noWrap/>
            <w:hideMark/>
          </w:tcPr>
          <w:p w14:paraId="37C95FA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367342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Dominican</w:t>
            </w:r>
            <w:proofErr w:type="spellEnd"/>
            <w:r w:rsidRPr="00C67737">
              <w:rPr>
                <w:rFonts w:eastAsia="Times New Roman" w:cstheme="minorHAnsi"/>
                <w:color w:val="000000"/>
                <w:sz w:val="16"/>
                <w:szCs w:val="16"/>
              </w:rPr>
              <w:t xml:space="preserve"> Republic</w:t>
            </w:r>
          </w:p>
        </w:tc>
        <w:tc>
          <w:tcPr>
            <w:tcW w:w="990" w:type="dxa"/>
            <w:noWrap/>
            <w:hideMark/>
          </w:tcPr>
          <w:p w14:paraId="694895A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0A13D0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SCCF-A, MTF</w:t>
            </w:r>
          </w:p>
        </w:tc>
        <w:tc>
          <w:tcPr>
            <w:tcW w:w="810" w:type="dxa"/>
            <w:noWrap/>
            <w:hideMark/>
          </w:tcPr>
          <w:p w14:paraId="64AFBC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4F228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190D5F7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19.72 </w:t>
            </w:r>
          </w:p>
        </w:tc>
        <w:tc>
          <w:tcPr>
            <w:tcW w:w="900" w:type="dxa"/>
            <w:noWrap/>
            <w:hideMark/>
          </w:tcPr>
          <w:p w14:paraId="3114FE5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24.72 </w:t>
            </w:r>
          </w:p>
        </w:tc>
      </w:tr>
      <w:tr w:rsidR="00C0269A" w:rsidRPr="00C67737" w14:paraId="4CC8043A"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E0B8F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11401</w:t>
            </w:r>
          </w:p>
        </w:tc>
        <w:tc>
          <w:tcPr>
            <w:tcW w:w="5400" w:type="dxa"/>
            <w:noWrap/>
            <w:hideMark/>
          </w:tcPr>
          <w:p w14:paraId="4E244EB1"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Climate Resilient Transformation of Rice-based Farming and Food Systems in Central Nepal (CRAFT Nepal)</w:t>
            </w:r>
          </w:p>
        </w:tc>
        <w:tc>
          <w:tcPr>
            <w:tcW w:w="810" w:type="dxa"/>
            <w:noWrap/>
            <w:hideMark/>
          </w:tcPr>
          <w:p w14:paraId="61EBC5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CFBFAA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Nepal</w:t>
            </w:r>
            <w:proofErr w:type="spellEnd"/>
          </w:p>
        </w:tc>
        <w:tc>
          <w:tcPr>
            <w:tcW w:w="990" w:type="dxa"/>
            <w:noWrap/>
            <w:hideMark/>
          </w:tcPr>
          <w:p w14:paraId="59CAB10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FF733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9766EA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F7ECF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2EE8B0F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00" w:type="dxa"/>
            <w:noWrap/>
            <w:hideMark/>
          </w:tcPr>
          <w:p w14:paraId="2FD9ACD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r>
      <w:tr w:rsidR="00C0269A" w:rsidRPr="00C67737" w14:paraId="519BD83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56FC4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11400</w:t>
            </w:r>
          </w:p>
        </w:tc>
        <w:tc>
          <w:tcPr>
            <w:tcW w:w="5400" w:type="dxa"/>
            <w:noWrap/>
            <w:hideMark/>
          </w:tcPr>
          <w:p w14:paraId="141966D9"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Building climate resilience of communities in Cambodia’s protected landscapes: biodiversity-friendly crop-livestock systems for adaptation</w:t>
            </w:r>
          </w:p>
        </w:tc>
        <w:tc>
          <w:tcPr>
            <w:tcW w:w="810" w:type="dxa"/>
            <w:noWrap/>
            <w:hideMark/>
          </w:tcPr>
          <w:p w14:paraId="2D8B3C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1A2470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Cambodia</w:t>
            </w:r>
            <w:proofErr w:type="spellEnd"/>
          </w:p>
        </w:tc>
        <w:tc>
          <w:tcPr>
            <w:tcW w:w="990" w:type="dxa"/>
            <w:noWrap/>
            <w:hideMark/>
          </w:tcPr>
          <w:p w14:paraId="598CB8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67BE8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LDCF, MTF</w:t>
            </w:r>
          </w:p>
        </w:tc>
        <w:tc>
          <w:tcPr>
            <w:tcW w:w="810" w:type="dxa"/>
            <w:noWrap/>
            <w:hideMark/>
          </w:tcPr>
          <w:p w14:paraId="5AA5F79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C18593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3D23420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22.78 </w:t>
            </w:r>
          </w:p>
        </w:tc>
        <w:tc>
          <w:tcPr>
            <w:tcW w:w="900" w:type="dxa"/>
            <w:noWrap/>
            <w:hideMark/>
          </w:tcPr>
          <w:p w14:paraId="0CA92FC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31.78 </w:t>
            </w:r>
          </w:p>
        </w:tc>
      </w:tr>
      <w:tr w:rsidR="00C0269A" w:rsidRPr="00C67737" w14:paraId="3F36165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C187E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11398</w:t>
            </w:r>
          </w:p>
        </w:tc>
        <w:tc>
          <w:tcPr>
            <w:tcW w:w="5400" w:type="dxa"/>
            <w:noWrap/>
            <w:hideMark/>
          </w:tcPr>
          <w:p w14:paraId="3588447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Tajikistan Ecosystem Restoration and Resilient Agriculture (TERRA) Project</w:t>
            </w:r>
          </w:p>
        </w:tc>
        <w:tc>
          <w:tcPr>
            <w:tcW w:w="810" w:type="dxa"/>
            <w:noWrap/>
            <w:hideMark/>
          </w:tcPr>
          <w:p w14:paraId="47B6AFD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4684B08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Tajikistan</w:t>
            </w:r>
            <w:proofErr w:type="spellEnd"/>
          </w:p>
        </w:tc>
        <w:tc>
          <w:tcPr>
            <w:tcW w:w="990" w:type="dxa"/>
            <w:noWrap/>
            <w:hideMark/>
          </w:tcPr>
          <w:p w14:paraId="6B76358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0F0D5F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24C13C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B9EBC7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73B0E38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c>
          <w:tcPr>
            <w:tcW w:w="900" w:type="dxa"/>
            <w:noWrap/>
            <w:hideMark/>
          </w:tcPr>
          <w:p w14:paraId="64161BD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21.00 </w:t>
            </w:r>
          </w:p>
        </w:tc>
      </w:tr>
      <w:tr w:rsidR="00C0269A" w:rsidRPr="00C67737" w14:paraId="3701426F"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03D34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11396</w:t>
            </w:r>
          </w:p>
        </w:tc>
        <w:tc>
          <w:tcPr>
            <w:tcW w:w="5400" w:type="dxa"/>
            <w:noWrap/>
            <w:hideMark/>
          </w:tcPr>
          <w:p w14:paraId="42CD5C87"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Sustainable Management of Ecosystems in Miombo Ecoregions of Zambia</w:t>
            </w:r>
          </w:p>
        </w:tc>
        <w:tc>
          <w:tcPr>
            <w:tcW w:w="810" w:type="dxa"/>
            <w:noWrap/>
            <w:hideMark/>
          </w:tcPr>
          <w:p w14:paraId="5B638C0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15007C8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Zambia</w:t>
            </w:r>
            <w:proofErr w:type="spellEnd"/>
          </w:p>
        </w:tc>
        <w:tc>
          <w:tcPr>
            <w:tcW w:w="990" w:type="dxa"/>
            <w:noWrap/>
            <w:hideMark/>
          </w:tcPr>
          <w:p w14:paraId="4EB53A0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97FFE3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LDCF, MTF</w:t>
            </w:r>
          </w:p>
        </w:tc>
        <w:tc>
          <w:tcPr>
            <w:tcW w:w="810" w:type="dxa"/>
            <w:noWrap/>
            <w:hideMark/>
          </w:tcPr>
          <w:p w14:paraId="5E48CF2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A412F4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11.31 </w:t>
            </w:r>
          </w:p>
        </w:tc>
        <w:tc>
          <w:tcPr>
            <w:tcW w:w="990" w:type="dxa"/>
            <w:noWrap/>
            <w:hideMark/>
          </w:tcPr>
          <w:p w14:paraId="21C0155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127.01 </w:t>
            </w:r>
          </w:p>
        </w:tc>
        <w:tc>
          <w:tcPr>
            <w:tcW w:w="900" w:type="dxa"/>
            <w:noWrap/>
            <w:hideMark/>
          </w:tcPr>
          <w:p w14:paraId="60FF237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138.32 </w:t>
            </w:r>
          </w:p>
        </w:tc>
      </w:tr>
      <w:tr w:rsidR="00C0269A" w:rsidRPr="00C67737" w14:paraId="75AE3C09"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5E75D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11395</w:t>
            </w:r>
          </w:p>
        </w:tc>
        <w:tc>
          <w:tcPr>
            <w:tcW w:w="5400" w:type="dxa"/>
            <w:noWrap/>
            <w:hideMark/>
          </w:tcPr>
          <w:p w14:paraId="30DC7B7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biodiversity conservation and reducing climate vulnerability in Central Vietnam for sustainable development utilizing a landscape approach</w:t>
            </w:r>
          </w:p>
        </w:tc>
        <w:tc>
          <w:tcPr>
            <w:tcW w:w="810" w:type="dxa"/>
            <w:noWrap/>
            <w:hideMark/>
          </w:tcPr>
          <w:p w14:paraId="1578AE4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51C3199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44BA4F8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A8926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A8DB1B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8E8212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10.03 </w:t>
            </w:r>
          </w:p>
        </w:tc>
        <w:tc>
          <w:tcPr>
            <w:tcW w:w="990" w:type="dxa"/>
            <w:noWrap/>
            <w:hideMark/>
          </w:tcPr>
          <w:p w14:paraId="2C4CEDA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106.53 </w:t>
            </w:r>
          </w:p>
        </w:tc>
        <w:tc>
          <w:tcPr>
            <w:tcW w:w="900" w:type="dxa"/>
            <w:noWrap/>
            <w:hideMark/>
          </w:tcPr>
          <w:p w14:paraId="1E45C54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116.56 </w:t>
            </w:r>
          </w:p>
        </w:tc>
      </w:tr>
      <w:tr w:rsidR="00C0269A" w:rsidRPr="00C67737" w14:paraId="18F0D50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42202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11394</w:t>
            </w:r>
          </w:p>
        </w:tc>
        <w:tc>
          <w:tcPr>
            <w:tcW w:w="5400" w:type="dxa"/>
            <w:noWrap/>
            <w:hideMark/>
          </w:tcPr>
          <w:p w14:paraId="5BD84DCF"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Improving Conservation, Connectivity, and Mainstreaming of Biodiversity in Priority Ecoregions</w:t>
            </w:r>
          </w:p>
        </w:tc>
        <w:tc>
          <w:tcPr>
            <w:tcW w:w="810" w:type="dxa"/>
            <w:noWrap/>
            <w:hideMark/>
          </w:tcPr>
          <w:p w14:paraId="142DEF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14F409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Argentina</w:t>
            </w:r>
          </w:p>
        </w:tc>
        <w:tc>
          <w:tcPr>
            <w:tcW w:w="990" w:type="dxa"/>
            <w:noWrap/>
            <w:hideMark/>
          </w:tcPr>
          <w:p w14:paraId="186CDA4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2FEF3A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9D6B61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D14A1C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0B8FB1E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39.20 </w:t>
            </w:r>
          </w:p>
        </w:tc>
        <w:tc>
          <w:tcPr>
            <w:tcW w:w="900" w:type="dxa"/>
            <w:noWrap/>
            <w:hideMark/>
          </w:tcPr>
          <w:p w14:paraId="22A7C3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45.20 </w:t>
            </w:r>
          </w:p>
        </w:tc>
      </w:tr>
      <w:tr w:rsidR="00C0269A" w:rsidRPr="00C67737" w14:paraId="3B7A0C4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295B5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11390</w:t>
            </w:r>
          </w:p>
        </w:tc>
        <w:tc>
          <w:tcPr>
            <w:tcW w:w="5400" w:type="dxa"/>
            <w:noWrap/>
            <w:hideMark/>
          </w:tcPr>
          <w:p w14:paraId="4FA0E9DF"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CSIDS SOILCARE Phase 2 - Caribbean Small Islands Developing States (SIDS) multi-country soil management initiative for integrated Landscape Restoration and climate-resilient food systems</w:t>
            </w:r>
          </w:p>
        </w:tc>
        <w:tc>
          <w:tcPr>
            <w:tcW w:w="810" w:type="dxa"/>
            <w:noWrap/>
            <w:hideMark/>
          </w:tcPr>
          <w:p w14:paraId="6B38F9B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3D1867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81FCC0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16E2479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1E11DB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43C946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19.91 </w:t>
            </w:r>
          </w:p>
        </w:tc>
        <w:tc>
          <w:tcPr>
            <w:tcW w:w="990" w:type="dxa"/>
            <w:noWrap/>
            <w:hideMark/>
          </w:tcPr>
          <w:p w14:paraId="1315CE0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25.65 </w:t>
            </w:r>
          </w:p>
        </w:tc>
        <w:tc>
          <w:tcPr>
            <w:tcW w:w="900" w:type="dxa"/>
            <w:noWrap/>
            <w:hideMark/>
          </w:tcPr>
          <w:p w14:paraId="468D72C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45.56 </w:t>
            </w:r>
          </w:p>
        </w:tc>
      </w:tr>
      <w:tr w:rsidR="00C0269A" w:rsidRPr="00C67737" w14:paraId="62716665"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359F3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11389</w:t>
            </w:r>
          </w:p>
        </w:tc>
        <w:tc>
          <w:tcPr>
            <w:tcW w:w="5400" w:type="dxa"/>
            <w:noWrap/>
            <w:hideMark/>
          </w:tcPr>
          <w:p w14:paraId="2828D266"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Adaptive management and restoration of degraded Aleppo pine forest in the Kasserine governorate (Tunisia) to strengthen resilience to climate change, conserve biodiversity, improve productivity and food security</w:t>
            </w:r>
          </w:p>
        </w:tc>
        <w:tc>
          <w:tcPr>
            <w:tcW w:w="810" w:type="dxa"/>
            <w:noWrap/>
            <w:hideMark/>
          </w:tcPr>
          <w:p w14:paraId="411C645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942AD9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Tunisia</w:t>
            </w:r>
          </w:p>
        </w:tc>
        <w:tc>
          <w:tcPr>
            <w:tcW w:w="990" w:type="dxa"/>
            <w:noWrap/>
            <w:hideMark/>
          </w:tcPr>
          <w:p w14:paraId="0E0AF62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55918D0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BDC507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E078F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631B793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39.00 </w:t>
            </w:r>
          </w:p>
        </w:tc>
        <w:tc>
          <w:tcPr>
            <w:tcW w:w="900" w:type="dxa"/>
            <w:noWrap/>
            <w:hideMark/>
          </w:tcPr>
          <w:p w14:paraId="30059D5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42.00 </w:t>
            </w:r>
          </w:p>
        </w:tc>
      </w:tr>
      <w:tr w:rsidR="00C0269A" w:rsidRPr="00C67737" w14:paraId="292A9474"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722A7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11387</w:t>
            </w:r>
          </w:p>
        </w:tc>
        <w:tc>
          <w:tcPr>
            <w:tcW w:w="5400" w:type="dxa"/>
            <w:noWrap/>
            <w:hideMark/>
          </w:tcPr>
          <w:p w14:paraId="3DD35DFC"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Nature based solutions for increased climate resilience in Vulnerable Rural communities of Lesotho</w:t>
            </w:r>
          </w:p>
        </w:tc>
        <w:tc>
          <w:tcPr>
            <w:tcW w:w="810" w:type="dxa"/>
            <w:noWrap/>
            <w:hideMark/>
          </w:tcPr>
          <w:p w14:paraId="70C96F1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7AB726A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Lesotho</w:t>
            </w:r>
          </w:p>
        </w:tc>
        <w:tc>
          <w:tcPr>
            <w:tcW w:w="990" w:type="dxa"/>
            <w:noWrap/>
            <w:hideMark/>
          </w:tcPr>
          <w:p w14:paraId="5F52031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684CAAD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04404F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C7FCE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3E1288C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53.90 </w:t>
            </w:r>
          </w:p>
        </w:tc>
        <w:tc>
          <w:tcPr>
            <w:tcW w:w="900" w:type="dxa"/>
            <w:noWrap/>
            <w:hideMark/>
          </w:tcPr>
          <w:p w14:paraId="6815D8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63.90 </w:t>
            </w:r>
          </w:p>
        </w:tc>
      </w:tr>
      <w:tr w:rsidR="00C0269A" w:rsidRPr="00C67737" w14:paraId="6550A92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8DDC2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11386</w:t>
            </w:r>
          </w:p>
        </w:tc>
        <w:tc>
          <w:tcPr>
            <w:tcW w:w="5400" w:type="dxa"/>
            <w:noWrap/>
            <w:hideMark/>
          </w:tcPr>
          <w:p w14:paraId="1A440FAD"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Acción Páramos: conservation, restoration and sustainable use of the páramos in Ecuador</w:t>
            </w:r>
          </w:p>
        </w:tc>
        <w:tc>
          <w:tcPr>
            <w:tcW w:w="810" w:type="dxa"/>
            <w:noWrap/>
            <w:hideMark/>
          </w:tcPr>
          <w:p w14:paraId="401A203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552929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0BCE253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E77571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3552DE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5CFC0D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7E2555C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18.24 </w:t>
            </w:r>
          </w:p>
        </w:tc>
        <w:tc>
          <w:tcPr>
            <w:tcW w:w="900" w:type="dxa"/>
            <w:noWrap/>
            <w:hideMark/>
          </w:tcPr>
          <w:p w14:paraId="7958F8E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23.24 </w:t>
            </w:r>
          </w:p>
        </w:tc>
      </w:tr>
      <w:tr w:rsidR="00C0269A" w:rsidRPr="00C67737" w14:paraId="710A02D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75254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11365</w:t>
            </w:r>
          </w:p>
        </w:tc>
        <w:tc>
          <w:tcPr>
            <w:tcW w:w="5400" w:type="dxa"/>
            <w:noWrap/>
            <w:hideMark/>
          </w:tcPr>
          <w:p w14:paraId="43245A9B"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Program to strengthen smallholder resilience to climate change (RESI-2P)</w:t>
            </w:r>
          </w:p>
        </w:tc>
        <w:tc>
          <w:tcPr>
            <w:tcW w:w="810" w:type="dxa"/>
            <w:noWrap/>
            <w:hideMark/>
          </w:tcPr>
          <w:p w14:paraId="64B4B42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0370908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Burkina Faso</w:t>
            </w:r>
          </w:p>
        </w:tc>
        <w:tc>
          <w:tcPr>
            <w:tcW w:w="990" w:type="dxa"/>
            <w:noWrap/>
            <w:hideMark/>
          </w:tcPr>
          <w:p w14:paraId="1064E8F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A4999A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4499752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E3094A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38C31CE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92.16 </w:t>
            </w:r>
          </w:p>
        </w:tc>
        <w:tc>
          <w:tcPr>
            <w:tcW w:w="900" w:type="dxa"/>
            <w:noWrap/>
            <w:hideMark/>
          </w:tcPr>
          <w:p w14:paraId="30380AF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102.16 </w:t>
            </w:r>
          </w:p>
        </w:tc>
      </w:tr>
      <w:tr w:rsidR="00C0269A" w:rsidRPr="00C67737" w14:paraId="1ACE208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1BF32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11348</w:t>
            </w:r>
          </w:p>
        </w:tc>
        <w:tc>
          <w:tcPr>
            <w:tcW w:w="5400" w:type="dxa"/>
            <w:noWrap/>
            <w:hideMark/>
          </w:tcPr>
          <w:p w14:paraId="534B3119"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Restoring Ecosystem Connectivity for Biodiversity and Sustainable Livelihoods in the </w:t>
            </w:r>
            <w:proofErr w:type="spellStart"/>
            <w:r w:rsidRPr="00D10503">
              <w:rPr>
                <w:rFonts w:eastAsia="Times New Roman" w:cstheme="minorHAnsi"/>
                <w:color w:val="000000"/>
                <w:sz w:val="16"/>
                <w:szCs w:val="16"/>
                <w:lang w:val="en-US"/>
              </w:rPr>
              <w:t>Litani</w:t>
            </w:r>
            <w:proofErr w:type="spellEnd"/>
            <w:r w:rsidRPr="00D10503">
              <w:rPr>
                <w:rFonts w:eastAsia="Times New Roman" w:cstheme="minorHAnsi"/>
                <w:color w:val="000000"/>
                <w:sz w:val="16"/>
                <w:szCs w:val="16"/>
                <w:lang w:val="en-US"/>
              </w:rPr>
              <w:t xml:space="preserve"> Watershed Project (ECONNECT)</w:t>
            </w:r>
          </w:p>
        </w:tc>
        <w:tc>
          <w:tcPr>
            <w:tcW w:w="810" w:type="dxa"/>
            <w:noWrap/>
            <w:hideMark/>
          </w:tcPr>
          <w:p w14:paraId="06A76C7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5FF7F52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Lebanon</w:t>
            </w:r>
          </w:p>
        </w:tc>
        <w:tc>
          <w:tcPr>
            <w:tcW w:w="990" w:type="dxa"/>
            <w:noWrap/>
            <w:hideMark/>
          </w:tcPr>
          <w:p w14:paraId="4684CBA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6F85DAD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D29A97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2575D8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3.32 </w:t>
            </w:r>
          </w:p>
        </w:tc>
        <w:tc>
          <w:tcPr>
            <w:tcW w:w="990" w:type="dxa"/>
            <w:noWrap/>
            <w:hideMark/>
          </w:tcPr>
          <w:p w14:paraId="2CAAC98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16.36 </w:t>
            </w:r>
          </w:p>
        </w:tc>
        <w:tc>
          <w:tcPr>
            <w:tcW w:w="900" w:type="dxa"/>
            <w:noWrap/>
            <w:hideMark/>
          </w:tcPr>
          <w:p w14:paraId="2F02D5B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19.68 </w:t>
            </w:r>
          </w:p>
        </w:tc>
      </w:tr>
      <w:tr w:rsidR="00C0269A" w:rsidRPr="00C67737" w14:paraId="53EB515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C3B53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11347</w:t>
            </w:r>
          </w:p>
        </w:tc>
        <w:tc>
          <w:tcPr>
            <w:tcW w:w="5400" w:type="dxa"/>
            <w:noWrap/>
            <w:hideMark/>
          </w:tcPr>
          <w:p w14:paraId="1F0BB95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Reimagining National Parks for People and Nature - Mega Living Landscapes Project</w:t>
            </w:r>
          </w:p>
        </w:tc>
        <w:tc>
          <w:tcPr>
            <w:tcW w:w="810" w:type="dxa"/>
            <w:noWrap/>
            <w:hideMark/>
          </w:tcPr>
          <w:p w14:paraId="1FD2785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85FF98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Africa</w:t>
            </w:r>
            <w:proofErr w:type="spellEnd"/>
          </w:p>
        </w:tc>
        <w:tc>
          <w:tcPr>
            <w:tcW w:w="990" w:type="dxa"/>
            <w:noWrap/>
            <w:hideMark/>
          </w:tcPr>
          <w:p w14:paraId="44F55C6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13E7C95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E24FA1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B9AD6C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6E2ED11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62.04 </w:t>
            </w:r>
          </w:p>
        </w:tc>
        <w:tc>
          <w:tcPr>
            <w:tcW w:w="900" w:type="dxa"/>
            <w:noWrap/>
            <w:hideMark/>
          </w:tcPr>
          <w:p w14:paraId="1517FA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72.04 </w:t>
            </w:r>
          </w:p>
        </w:tc>
      </w:tr>
      <w:tr w:rsidR="00C0269A" w:rsidRPr="00C67737" w14:paraId="656E88C5"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9C54D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11346</w:t>
            </w:r>
          </w:p>
        </w:tc>
        <w:tc>
          <w:tcPr>
            <w:tcW w:w="5400" w:type="dxa"/>
            <w:noWrap/>
            <w:hideMark/>
          </w:tcPr>
          <w:p w14:paraId="59708F7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Restoring Ecological Integrity of Protected Areas of Galapagos, through Strengthening Capacities for Translocations of Birds and Snakes</w:t>
            </w:r>
          </w:p>
        </w:tc>
        <w:tc>
          <w:tcPr>
            <w:tcW w:w="810" w:type="dxa"/>
            <w:noWrap/>
            <w:hideMark/>
          </w:tcPr>
          <w:p w14:paraId="4E3C47E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79A059C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17A17C8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933922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A7B8C3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0BFA30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42DD229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c>
          <w:tcPr>
            <w:tcW w:w="900" w:type="dxa"/>
            <w:noWrap/>
            <w:hideMark/>
          </w:tcPr>
          <w:p w14:paraId="38851B2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16.00 </w:t>
            </w:r>
          </w:p>
        </w:tc>
      </w:tr>
      <w:tr w:rsidR="00C0269A" w:rsidRPr="00C67737" w14:paraId="72298F73"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81C7D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11336</w:t>
            </w:r>
          </w:p>
        </w:tc>
        <w:tc>
          <w:tcPr>
            <w:tcW w:w="5400" w:type="dxa"/>
            <w:noWrap/>
            <w:hideMark/>
          </w:tcPr>
          <w:p w14:paraId="79DCF1AD"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Recovering the Sustainability of Ecosystems Affected by Drought in Northeastern Argentina</w:t>
            </w:r>
          </w:p>
        </w:tc>
        <w:tc>
          <w:tcPr>
            <w:tcW w:w="810" w:type="dxa"/>
            <w:noWrap/>
            <w:hideMark/>
          </w:tcPr>
          <w:p w14:paraId="2C3060E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70141E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Argentina</w:t>
            </w:r>
          </w:p>
        </w:tc>
        <w:tc>
          <w:tcPr>
            <w:tcW w:w="990" w:type="dxa"/>
            <w:noWrap/>
            <w:hideMark/>
          </w:tcPr>
          <w:p w14:paraId="664ADEB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614DEB9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554D2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21D85D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3.30 </w:t>
            </w:r>
          </w:p>
        </w:tc>
        <w:tc>
          <w:tcPr>
            <w:tcW w:w="990" w:type="dxa"/>
            <w:noWrap/>
            <w:hideMark/>
          </w:tcPr>
          <w:p w14:paraId="61A4928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21.08 </w:t>
            </w:r>
          </w:p>
        </w:tc>
        <w:tc>
          <w:tcPr>
            <w:tcW w:w="900" w:type="dxa"/>
            <w:noWrap/>
            <w:hideMark/>
          </w:tcPr>
          <w:p w14:paraId="0195FD7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24.38 </w:t>
            </w:r>
          </w:p>
        </w:tc>
      </w:tr>
      <w:tr w:rsidR="00C0269A" w:rsidRPr="00C67737" w14:paraId="1D9A113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712B1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11335</w:t>
            </w:r>
          </w:p>
        </w:tc>
        <w:tc>
          <w:tcPr>
            <w:tcW w:w="5400" w:type="dxa"/>
            <w:noWrap/>
            <w:hideMark/>
          </w:tcPr>
          <w:p w14:paraId="738EB731"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Introducing Nature Based Solutions to Ensure Resilient Ecosystems, Green Recovery and Sustainable Livelihoods</w:t>
            </w:r>
          </w:p>
        </w:tc>
        <w:tc>
          <w:tcPr>
            <w:tcW w:w="810" w:type="dxa"/>
            <w:noWrap/>
            <w:hideMark/>
          </w:tcPr>
          <w:p w14:paraId="4516C89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61A110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Bosnia-</w:t>
            </w:r>
            <w:proofErr w:type="spellStart"/>
            <w:r w:rsidRPr="00C67737">
              <w:rPr>
                <w:rFonts w:eastAsia="Times New Roman" w:cstheme="minorHAnsi"/>
                <w:color w:val="000000"/>
                <w:sz w:val="16"/>
                <w:szCs w:val="16"/>
              </w:rPr>
              <w:t>Herzegovina</w:t>
            </w:r>
            <w:proofErr w:type="spellEnd"/>
          </w:p>
        </w:tc>
        <w:tc>
          <w:tcPr>
            <w:tcW w:w="990" w:type="dxa"/>
            <w:noWrap/>
            <w:hideMark/>
          </w:tcPr>
          <w:p w14:paraId="010B76D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FDB967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627093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299C06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5.46 </w:t>
            </w:r>
          </w:p>
        </w:tc>
        <w:tc>
          <w:tcPr>
            <w:tcW w:w="990" w:type="dxa"/>
            <w:noWrap/>
            <w:hideMark/>
          </w:tcPr>
          <w:p w14:paraId="0F785A0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40.15 </w:t>
            </w:r>
          </w:p>
        </w:tc>
        <w:tc>
          <w:tcPr>
            <w:tcW w:w="900" w:type="dxa"/>
            <w:noWrap/>
            <w:hideMark/>
          </w:tcPr>
          <w:p w14:paraId="1722656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45.61 </w:t>
            </w:r>
          </w:p>
        </w:tc>
      </w:tr>
      <w:tr w:rsidR="00C0269A" w:rsidRPr="00C67737" w14:paraId="6CFC2D0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93462B"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11333</w:t>
            </w:r>
          </w:p>
        </w:tc>
        <w:tc>
          <w:tcPr>
            <w:tcW w:w="5400" w:type="dxa"/>
            <w:noWrap/>
            <w:hideMark/>
          </w:tcPr>
          <w:p w14:paraId="3EF7BBA2"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Integrated landscape management in the Napo River Basin for sustainable land management and biodiversity conservation.</w:t>
            </w:r>
          </w:p>
        </w:tc>
        <w:tc>
          <w:tcPr>
            <w:tcW w:w="810" w:type="dxa"/>
            <w:noWrap/>
            <w:hideMark/>
          </w:tcPr>
          <w:p w14:paraId="40E611C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545475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5DCF20C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E2997B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CAEE38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C5BC95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184744B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69.11 </w:t>
            </w:r>
          </w:p>
        </w:tc>
        <w:tc>
          <w:tcPr>
            <w:tcW w:w="900" w:type="dxa"/>
            <w:noWrap/>
            <w:hideMark/>
          </w:tcPr>
          <w:p w14:paraId="012469D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79.11 </w:t>
            </w:r>
          </w:p>
        </w:tc>
      </w:tr>
      <w:tr w:rsidR="00C0269A" w:rsidRPr="00C67737" w14:paraId="2269D50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581E9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11332</w:t>
            </w:r>
          </w:p>
        </w:tc>
        <w:tc>
          <w:tcPr>
            <w:tcW w:w="5400" w:type="dxa"/>
            <w:noWrap/>
            <w:hideMark/>
          </w:tcPr>
          <w:p w14:paraId="4C99688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Building resilient livelihoods through nature-based solutions in the Tonle Sap Basin and Siem Reap/Phnom Kulen landscape</w:t>
            </w:r>
          </w:p>
        </w:tc>
        <w:tc>
          <w:tcPr>
            <w:tcW w:w="810" w:type="dxa"/>
            <w:noWrap/>
            <w:hideMark/>
          </w:tcPr>
          <w:p w14:paraId="344C0AA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441ECC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Cambodia</w:t>
            </w:r>
            <w:proofErr w:type="spellEnd"/>
          </w:p>
        </w:tc>
        <w:tc>
          <w:tcPr>
            <w:tcW w:w="990" w:type="dxa"/>
            <w:noWrap/>
            <w:hideMark/>
          </w:tcPr>
          <w:p w14:paraId="50248F8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5A287E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74497A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D7B1A1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7.54 </w:t>
            </w:r>
          </w:p>
        </w:tc>
        <w:tc>
          <w:tcPr>
            <w:tcW w:w="990" w:type="dxa"/>
            <w:noWrap/>
            <w:hideMark/>
          </w:tcPr>
          <w:p w14:paraId="06A3D8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00" w:type="dxa"/>
            <w:noWrap/>
            <w:hideMark/>
          </w:tcPr>
          <w:p w14:paraId="56BCC1F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22.54 </w:t>
            </w:r>
          </w:p>
        </w:tc>
      </w:tr>
      <w:tr w:rsidR="00C0269A" w:rsidRPr="00C67737" w14:paraId="5EA25C80"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1E658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11331</w:t>
            </w:r>
          </w:p>
        </w:tc>
        <w:tc>
          <w:tcPr>
            <w:tcW w:w="5400" w:type="dxa"/>
            <w:noWrap/>
            <w:hideMark/>
          </w:tcPr>
          <w:p w14:paraId="1628D84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Restoration and sustainable management of Land for improved livelihoods in the degraded landscapes of Free State and Northwest Provinces of South Africa</w:t>
            </w:r>
          </w:p>
        </w:tc>
        <w:tc>
          <w:tcPr>
            <w:tcW w:w="810" w:type="dxa"/>
            <w:noWrap/>
            <w:hideMark/>
          </w:tcPr>
          <w:p w14:paraId="37FE3AD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F25220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Africa</w:t>
            </w:r>
            <w:proofErr w:type="spellEnd"/>
          </w:p>
        </w:tc>
        <w:tc>
          <w:tcPr>
            <w:tcW w:w="990" w:type="dxa"/>
            <w:noWrap/>
            <w:hideMark/>
          </w:tcPr>
          <w:p w14:paraId="3E97360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A0113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6475EE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B10D18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6.05 </w:t>
            </w:r>
          </w:p>
        </w:tc>
        <w:tc>
          <w:tcPr>
            <w:tcW w:w="990" w:type="dxa"/>
            <w:noWrap/>
            <w:hideMark/>
          </w:tcPr>
          <w:p w14:paraId="6F4333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24.45 </w:t>
            </w:r>
          </w:p>
        </w:tc>
        <w:tc>
          <w:tcPr>
            <w:tcW w:w="900" w:type="dxa"/>
            <w:noWrap/>
            <w:hideMark/>
          </w:tcPr>
          <w:p w14:paraId="002676A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30.50 </w:t>
            </w:r>
          </w:p>
        </w:tc>
      </w:tr>
      <w:tr w:rsidR="00C0269A" w:rsidRPr="00C67737" w14:paraId="5133483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C37C1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11327</w:t>
            </w:r>
          </w:p>
        </w:tc>
        <w:tc>
          <w:tcPr>
            <w:tcW w:w="5400" w:type="dxa"/>
            <w:noWrap/>
            <w:hideMark/>
          </w:tcPr>
          <w:p w14:paraId="077B205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Living Amazon Mechanism</w:t>
            </w:r>
          </w:p>
        </w:tc>
        <w:tc>
          <w:tcPr>
            <w:tcW w:w="810" w:type="dxa"/>
            <w:noWrap/>
            <w:hideMark/>
          </w:tcPr>
          <w:p w14:paraId="1994A21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Funbio</w:t>
            </w:r>
            <w:proofErr w:type="spellEnd"/>
          </w:p>
        </w:tc>
        <w:tc>
          <w:tcPr>
            <w:tcW w:w="990" w:type="dxa"/>
            <w:noWrap/>
            <w:hideMark/>
          </w:tcPr>
          <w:p w14:paraId="761B293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0B0818A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0A6FFE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1B4526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DCB160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6.89 </w:t>
            </w:r>
          </w:p>
        </w:tc>
        <w:tc>
          <w:tcPr>
            <w:tcW w:w="990" w:type="dxa"/>
            <w:noWrap/>
            <w:hideMark/>
          </w:tcPr>
          <w:p w14:paraId="231A1DF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42.98 </w:t>
            </w:r>
          </w:p>
        </w:tc>
        <w:tc>
          <w:tcPr>
            <w:tcW w:w="900" w:type="dxa"/>
            <w:noWrap/>
            <w:hideMark/>
          </w:tcPr>
          <w:p w14:paraId="3BFC180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49.87 </w:t>
            </w:r>
          </w:p>
        </w:tc>
      </w:tr>
      <w:tr w:rsidR="00C0269A" w:rsidRPr="00C67737" w14:paraId="5DE0B7C3"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67621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11324</w:t>
            </w:r>
          </w:p>
        </w:tc>
        <w:tc>
          <w:tcPr>
            <w:tcW w:w="5400" w:type="dxa"/>
            <w:noWrap/>
            <w:hideMark/>
          </w:tcPr>
          <w:p w14:paraId="142AF7F5"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Innovative use of financial instruments for Biodiversity Conservation and Restoration in Latin America and the Caribbean</w:t>
            </w:r>
          </w:p>
        </w:tc>
        <w:tc>
          <w:tcPr>
            <w:tcW w:w="810" w:type="dxa"/>
            <w:noWrap/>
            <w:hideMark/>
          </w:tcPr>
          <w:p w14:paraId="4F771F2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27F43C3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FB70AA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C1FBDF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8C7BA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13C07B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43.80 </w:t>
            </w:r>
          </w:p>
        </w:tc>
        <w:tc>
          <w:tcPr>
            <w:tcW w:w="990" w:type="dxa"/>
            <w:noWrap/>
            <w:hideMark/>
          </w:tcPr>
          <w:p w14:paraId="5701944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641.28 </w:t>
            </w:r>
          </w:p>
        </w:tc>
        <w:tc>
          <w:tcPr>
            <w:tcW w:w="900" w:type="dxa"/>
            <w:noWrap/>
            <w:hideMark/>
          </w:tcPr>
          <w:p w14:paraId="72A277F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685.08 </w:t>
            </w:r>
          </w:p>
        </w:tc>
      </w:tr>
      <w:tr w:rsidR="00C0269A" w:rsidRPr="00C67737" w14:paraId="411E7407"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F691E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11323</w:t>
            </w:r>
          </w:p>
        </w:tc>
        <w:tc>
          <w:tcPr>
            <w:tcW w:w="5400" w:type="dxa"/>
            <w:noWrap/>
            <w:hideMark/>
          </w:tcPr>
          <w:p w14:paraId="5E4716A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 Coral Reef Bond</w:t>
            </w:r>
          </w:p>
        </w:tc>
        <w:tc>
          <w:tcPr>
            <w:tcW w:w="810" w:type="dxa"/>
            <w:noWrap/>
            <w:hideMark/>
          </w:tcPr>
          <w:p w14:paraId="683C6A5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0C97B5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7C8E186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24B89E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6F726D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2999C3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90" w:type="dxa"/>
            <w:noWrap/>
            <w:hideMark/>
          </w:tcPr>
          <w:p w14:paraId="3A0A8D7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166.10 </w:t>
            </w:r>
          </w:p>
        </w:tc>
        <w:tc>
          <w:tcPr>
            <w:tcW w:w="900" w:type="dxa"/>
            <w:noWrap/>
            <w:hideMark/>
          </w:tcPr>
          <w:p w14:paraId="41E31E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181.10 </w:t>
            </w:r>
          </w:p>
        </w:tc>
      </w:tr>
      <w:tr w:rsidR="00C0269A" w:rsidRPr="00C67737" w14:paraId="68A86DD3"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55FBB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11322</w:t>
            </w:r>
          </w:p>
        </w:tc>
        <w:tc>
          <w:tcPr>
            <w:tcW w:w="5400" w:type="dxa"/>
            <w:noWrap/>
            <w:hideMark/>
          </w:tcPr>
          <w:p w14:paraId="25A5BCA0"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Climate Adaptation and Resilience Enhancement for South Sudan (CARES)</w:t>
            </w:r>
          </w:p>
        </w:tc>
        <w:tc>
          <w:tcPr>
            <w:tcW w:w="810" w:type="dxa"/>
            <w:noWrap/>
            <w:hideMark/>
          </w:tcPr>
          <w:p w14:paraId="6241FB3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85097C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Sudan</w:t>
            </w:r>
            <w:proofErr w:type="spellEnd"/>
          </w:p>
        </w:tc>
        <w:tc>
          <w:tcPr>
            <w:tcW w:w="990" w:type="dxa"/>
            <w:noWrap/>
            <w:hideMark/>
          </w:tcPr>
          <w:p w14:paraId="66DB526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6F4501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5B08D8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132E08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57DC0BA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27.13 </w:t>
            </w:r>
          </w:p>
        </w:tc>
        <w:tc>
          <w:tcPr>
            <w:tcW w:w="900" w:type="dxa"/>
            <w:noWrap/>
            <w:hideMark/>
          </w:tcPr>
          <w:p w14:paraId="2FB9095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37.13 </w:t>
            </w:r>
          </w:p>
        </w:tc>
      </w:tr>
      <w:tr w:rsidR="00C0269A" w:rsidRPr="00C67737" w14:paraId="2318FF77"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8A375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11304</w:t>
            </w:r>
          </w:p>
        </w:tc>
        <w:tc>
          <w:tcPr>
            <w:tcW w:w="5400" w:type="dxa"/>
            <w:noWrap/>
            <w:hideMark/>
          </w:tcPr>
          <w:p w14:paraId="71797F22"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Enhancing transboundary fisheries management in the Lower Mekong Basin</w:t>
            </w:r>
          </w:p>
        </w:tc>
        <w:tc>
          <w:tcPr>
            <w:tcW w:w="810" w:type="dxa"/>
            <w:noWrap/>
            <w:hideMark/>
          </w:tcPr>
          <w:p w14:paraId="5D0F31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AEE399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024E1A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1F17E2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882CBF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CD74BA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c>
          <w:tcPr>
            <w:tcW w:w="990" w:type="dxa"/>
            <w:noWrap/>
            <w:hideMark/>
          </w:tcPr>
          <w:p w14:paraId="5A7DEA6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46.03 </w:t>
            </w:r>
          </w:p>
        </w:tc>
        <w:tc>
          <w:tcPr>
            <w:tcW w:w="900" w:type="dxa"/>
            <w:noWrap/>
            <w:hideMark/>
          </w:tcPr>
          <w:p w14:paraId="2B958B9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58.03 </w:t>
            </w:r>
          </w:p>
        </w:tc>
      </w:tr>
      <w:tr w:rsidR="00C0269A" w:rsidRPr="00C67737" w14:paraId="58B905B5"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0D496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11286</w:t>
            </w:r>
          </w:p>
        </w:tc>
        <w:tc>
          <w:tcPr>
            <w:tcW w:w="5400" w:type="dxa"/>
            <w:noWrap/>
            <w:hideMark/>
          </w:tcPr>
          <w:p w14:paraId="45C4DD36"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Umbrella Programme to Support NBSAP Update and the 7th National Reports</w:t>
            </w:r>
          </w:p>
        </w:tc>
        <w:tc>
          <w:tcPr>
            <w:tcW w:w="810" w:type="dxa"/>
            <w:noWrap/>
            <w:hideMark/>
          </w:tcPr>
          <w:p w14:paraId="2C674BB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1CF8E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6297F69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7ADBD68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EC19A1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44411B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38.80 </w:t>
            </w:r>
          </w:p>
        </w:tc>
        <w:tc>
          <w:tcPr>
            <w:tcW w:w="990" w:type="dxa"/>
            <w:noWrap/>
            <w:hideMark/>
          </w:tcPr>
          <w:p w14:paraId="10D7511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   </w:t>
            </w:r>
          </w:p>
        </w:tc>
        <w:tc>
          <w:tcPr>
            <w:tcW w:w="900" w:type="dxa"/>
            <w:noWrap/>
            <w:hideMark/>
          </w:tcPr>
          <w:p w14:paraId="2F4DDA3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38.80 </w:t>
            </w:r>
          </w:p>
        </w:tc>
      </w:tr>
      <w:tr w:rsidR="00C0269A" w:rsidRPr="00C67737" w14:paraId="3F66F74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1CE48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11285</w:t>
            </w:r>
          </w:p>
        </w:tc>
        <w:tc>
          <w:tcPr>
            <w:tcW w:w="5400" w:type="dxa"/>
            <w:noWrap/>
            <w:hideMark/>
          </w:tcPr>
          <w:p w14:paraId="68778E2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Eighth Operational Phase of the GEF Small Grants Programme (Part 1)</w:t>
            </w:r>
          </w:p>
        </w:tc>
        <w:tc>
          <w:tcPr>
            <w:tcW w:w="810" w:type="dxa"/>
            <w:noWrap/>
            <w:hideMark/>
          </w:tcPr>
          <w:p w14:paraId="4D94F46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67056B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7EBBF27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B51915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342068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7016B4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137.54 </w:t>
            </w:r>
          </w:p>
        </w:tc>
        <w:tc>
          <w:tcPr>
            <w:tcW w:w="990" w:type="dxa"/>
            <w:noWrap/>
            <w:hideMark/>
          </w:tcPr>
          <w:p w14:paraId="7C7D041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35.00 </w:t>
            </w:r>
          </w:p>
        </w:tc>
        <w:tc>
          <w:tcPr>
            <w:tcW w:w="900" w:type="dxa"/>
            <w:noWrap/>
            <w:hideMark/>
          </w:tcPr>
          <w:p w14:paraId="6311DD6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172.54 </w:t>
            </w:r>
          </w:p>
        </w:tc>
      </w:tr>
      <w:tr w:rsidR="00C0269A" w:rsidRPr="00C67737" w14:paraId="4890D594"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2A4B1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11282</w:t>
            </w:r>
          </w:p>
        </w:tc>
        <w:tc>
          <w:tcPr>
            <w:tcW w:w="5400" w:type="dxa"/>
            <w:noWrap/>
            <w:hideMark/>
          </w:tcPr>
          <w:p w14:paraId="2D8FB6CE"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Mainstreaming Climate-Resilient Blue Economy in the BCLME Region (BCLME IV Project)</w:t>
            </w:r>
          </w:p>
        </w:tc>
        <w:tc>
          <w:tcPr>
            <w:tcW w:w="810" w:type="dxa"/>
            <w:noWrap/>
            <w:hideMark/>
          </w:tcPr>
          <w:p w14:paraId="7D64C3A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DB25D5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EB4C3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7BC01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2917D3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27D5C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11.65 </w:t>
            </w:r>
          </w:p>
        </w:tc>
        <w:tc>
          <w:tcPr>
            <w:tcW w:w="990" w:type="dxa"/>
            <w:noWrap/>
            <w:hideMark/>
          </w:tcPr>
          <w:p w14:paraId="1E62E7E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55.56 </w:t>
            </w:r>
          </w:p>
        </w:tc>
        <w:tc>
          <w:tcPr>
            <w:tcW w:w="900" w:type="dxa"/>
            <w:noWrap/>
            <w:hideMark/>
          </w:tcPr>
          <w:p w14:paraId="53679A2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67.21 </w:t>
            </w:r>
          </w:p>
        </w:tc>
      </w:tr>
      <w:tr w:rsidR="00C0269A" w:rsidRPr="00C67737" w14:paraId="1E2E292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5E76B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11281</w:t>
            </w:r>
          </w:p>
        </w:tc>
        <w:tc>
          <w:tcPr>
            <w:tcW w:w="5400" w:type="dxa"/>
            <w:noWrap/>
            <w:hideMark/>
          </w:tcPr>
          <w:p w14:paraId="7DFC3BAA"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Umbrella Programme to Support NBSAP Update and the 7th National Reports</w:t>
            </w:r>
          </w:p>
        </w:tc>
        <w:tc>
          <w:tcPr>
            <w:tcW w:w="810" w:type="dxa"/>
            <w:noWrap/>
            <w:hideMark/>
          </w:tcPr>
          <w:p w14:paraId="5089E12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490049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40BEF4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48E6CD3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95B4B5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1E66F1D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39.71 </w:t>
            </w:r>
          </w:p>
        </w:tc>
        <w:tc>
          <w:tcPr>
            <w:tcW w:w="990" w:type="dxa"/>
            <w:noWrap/>
            <w:hideMark/>
          </w:tcPr>
          <w:p w14:paraId="6E58DB1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   </w:t>
            </w:r>
          </w:p>
        </w:tc>
        <w:tc>
          <w:tcPr>
            <w:tcW w:w="900" w:type="dxa"/>
            <w:noWrap/>
            <w:hideMark/>
          </w:tcPr>
          <w:p w14:paraId="61DAB3B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39.71 </w:t>
            </w:r>
          </w:p>
        </w:tc>
      </w:tr>
      <w:tr w:rsidR="00C0269A" w:rsidRPr="00C67737" w14:paraId="071597C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EDD90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11270</w:t>
            </w:r>
          </w:p>
        </w:tc>
        <w:tc>
          <w:tcPr>
            <w:tcW w:w="5400" w:type="dxa"/>
            <w:noWrap/>
            <w:hideMark/>
          </w:tcPr>
          <w:p w14:paraId="1EAB6777"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Barbados-Accelerating transition to resistant agrifood systems (BATRAS)</w:t>
            </w:r>
          </w:p>
        </w:tc>
        <w:tc>
          <w:tcPr>
            <w:tcW w:w="810" w:type="dxa"/>
            <w:noWrap/>
            <w:hideMark/>
          </w:tcPr>
          <w:p w14:paraId="30AD013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813A12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Barbados</w:t>
            </w:r>
            <w:proofErr w:type="spellEnd"/>
          </w:p>
        </w:tc>
        <w:tc>
          <w:tcPr>
            <w:tcW w:w="990" w:type="dxa"/>
            <w:noWrap/>
            <w:hideMark/>
          </w:tcPr>
          <w:p w14:paraId="2419FB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3CACAB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SCCF-A, MTF</w:t>
            </w:r>
          </w:p>
        </w:tc>
        <w:tc>
          <w:tcPr>
            <w:tcW w:w="810" w:type="dxa"/>
            <w:noWrap/>
            <w:hideMark/>
          </w:tcPr>
          <w:p w14:paraId="65CF66C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0A5F49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59A650E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160.19 </w:t>
            </w:r>
          </w:p>
        </w:tc>
        <w:tc>
          <w:tcPr>
            <w:tcW w:w="900" w:type="dxa"/>
            <w:noWrap/>
            <w:hideMark/>
          </w:tcPr>
          <w:p w14:paraId="5C7B73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164.19 </w:t>
            </w:r>
          </w:p>
        </w:tc>
      </w:tr>
      <w:tr w:rsidR="00C0269A" w:rsidRPr="00C67737" w14:paraId="7C22883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6C51C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11269</w:t>
            </w:r>
          </w:p>
        </w:tc>
        <w:tc>
          <w:tcPr>
            <w:tcW w:w="5400" w:type="dxa"/>
            <w:noWrap/>
            <w:hideMark/>
          </w:tcPr>
          <w:p w14:paraId="708A511A"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Empowering Indigenous Peoples and Local Communities (IPLCs) to manage biodiversity data and information as a strategy to conserve their territories, safeguard traditional knowledge, and promote integrated biodiversity management</w:t>
            </w:r>
          </w:p>
        </w:tc>
        <w:tc>
          <w:tcPr>
            <w:tcW w:w="810" w:type="dxa"/>
            <w:noWrap/>
            <w:hideMark/>
          </w:tcPr>
          <w:p w14:paraId="05563E6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8A55EF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5B39309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3C0A5B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477BCC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092A75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90" w:type="dxa"/>
            <w:noWrap/>
            <w:hideMark/>
          </w:tcPr>
          <w:p w14:paraId="052993B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74.70 </w:t>
            </w:r>
          </w:p>
        </w:tc>
        <w:tc>
          <w:tcPr>
            <w:tcW w:w="900" w:type="dxa"/>
            <w:noWrap/>
            <w:hideMark/>
          </w:tcPr>
          <w:p w14:paraId="27156DD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81.70 </w:t>
            </w:r>
          </w:p>
        </w:tc>
      </w:tr>
      <w:tr w:rsidR="00C0269A" w:rsidRPr="00C67737" w14:paraId="6D7C804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D0CD5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11268</w:t>
            </w:r>
          </w:p>
        </w:tc>
        <w:tc>
          <w:tcPr>
            <w:tcW w:w="5400" w:type="dxa"/>
            <w:noWrap/>
            <w:hideMark/>
          </w:tcPr>
          <w:p w14:paraId="0C6387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Wildlife</w:t>
            </w:r>
            <w:proofErr w:type="spell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Territories</w:t>
            </w:r>
            <w:proofErr w:type="spellEnd"/>
          </w:p>
        </w:tc>
        <w:tc>
          <w:tcPr>
            <w:tcW w:w="810" w:type="dxa"/>
            <w:noWrap/>
            <w:hideMark/>
          </w:tcPr>
          <w:p w14:paraId="6148CF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Funbio</w:t>
            </w:r>
            <w:proofErr w:type="spellEnd"/>
          </w:p>
        </w:tc>
        <w:tc>
          <w:tcPr>
            <w:tcW w:w="990" w:type="dxa"/>
            <w:noWrap/>
            <w:hideMark/>
          </w:tcPr>
          <w:p w14:paraId="4146E05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5719827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08AEB15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0D5896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B06175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18.50 </w:t>
            </w:r>
          </w:p>
        </w:tc>
        <w:tc>
          <w:tcPr>
            <w:tcW w:w="990" w:type="dxa"/>
            <w:noWrap/>
            <w:hideMark/>
          </w:tcPr>
          <w:p w14:paraId="03BAC21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62.32 </w:t>
            </w:r>
          </w:p>
        </w:tc>
        <w:tc>
          <w:tcPr>
            <w:tcW w:w="900" w:type="dxa"/>
            <w:noWrap/>
            <w:hideMark/>
          </w:tcPr>
          <w:p w14:paraId="2EB4E9D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80.82 </w:t>
            </w:r>
          </w:p>
        </w:tc>
      </w:tr>
      <w:tr w:rsidR="00C0269A" w:rsidRPr="00C67737" w14:paraId="43392A4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51F816"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11267</w:t>
            </w:r>
          </w:p>
        </w:tc>
        <w:tc>
          <w:tcPr>
            <w:tcW w:w="5400" w:type="dxa"/>
            <w:noWrap/>
            <w:hideMark/>
          </w:tcPr>
          <w:p w14:paraId="4FA74B2B"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Beyond 30x30: Securing resilience in the Eastern Tropical Pacific through enhanced transboundary cooperation</w:t>
            </w:r>
          </w:p>
        </w:tc>
        <w:tc>
          <w:tcPr>
            <w:tcW w:w="810" w:type="dxa"/>
            <w:noWrap/>
            <w:hideMark/>
          </w:tcPr>
          <w:p w14:paraId="5FFB8F0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50AAFAA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A5E9CD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2AB43C4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F79248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57BBD8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16.00 </w:t>
            </w:r>
          </w:p>
        </w:tc>
        <w:tc>
          <w:tcPr>
            <w:tcW w:w="990" w:type="dxa"/>
            <w:noWrap/>
            <w:hideMark/>
          </w:tcPr>
          <w:p w14:paraId="3723373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63.23 </w:t>
            </w:r>
          </w:p>
        </w:tc>
        <w:tc>
          <w:tcPr>
            <w:tcW w:w="900" w:type="dxa"/>
            <w:noWrap/>
            <w:hideMark/>
          </w:tcPr>
          <w:p w14:paraId="5D09276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79.23 </w:t>
            </w:r>
          </w:p>
        </w:tc>
      </w:tr>
      <w:tr w:rsidR="00C0269A" w:rsidRPr="00C67737" w14:paraId="1606BF32"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18B94C"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11249</w:t>
            </w:r>
          </w:p>
        </w:tc>
        <w:tc>
          <w:tcPr>
            <w:tcW w:w="5400" w:type="dxa"/>
            <w:noWrap/>
            <w:hideMark/>
          </w:tcPr>
          <w:p w14:paraId="66894C9C"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Ecosystem restoration and sustainable livelihoods in the Biocultural Corridor of the Central West of Mexico (COBIOCOM)</w:t>
            </w:r>
          </w:p>
        </w:tc>
        <w:tc>
          <w:tcPr>
            <w:tcW w:w="810" w:type="dxa"/>
            <w:noWrap/>
            <w:hideMark/>
          </w:tcPr>
          <w:p w14:paraId="3C4CD8C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B24846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72F791B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E9F26D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AA14FC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97E916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079D364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252.81 </w:t>
            </w:r>
          </w:p>
        </w:tc>
        <w:tc>
          <w:tcPr>
            <w:tcW w:w="900" w:type="dxa"/>
            <w:noWrap/>
            <w:hideMark/>
          </w:tcPr>
          <w:p w14:paraId="3536E54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262.81 </w:t>
            </w:r>
          </w:p>
        </w:tc>
      </w:tr>
      <w:tr w:rsidR="00C0269A" w:rsidRPr="00C67737" w14:paraId="73AA189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E191F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11238</w:t>
            </w:r>
          </w:p>
        </w:tc>
        <w:tc>
          <w:tcPr>
            <w:tcW w:w="5400" w:type="dxa"/>
            <w:noWrap/>
            <w:hideMark/>
          </w:tcPr>
          <w:p w14:paraId="37A8ADE8"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Land degradation neutrality initiative in Southern Haiti</w:t>
            </w:r>
          </w:p>
        </w:tc>
        <w:tc>
          <w:tcPr>
            <w:tcW w:w="810" w:type="dxa"/>
            <w:noWrap/>
            <w:hideMark/>
          </w:tcPr>
          <w:p w14:paraId="5D2471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A25FB8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Haiti</w:t>
            </w:r>
          </w:p>
        </w:tc>
        <w:tc>
          <w:tcPr>
            <w:tcW w:w="990" w:type="dxa"/>
            <w:noWrap/>
            <w:hideMark/>
          </w:tcPr>
          <w:p w14:paraId="7E2E5B4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5371983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7E8C6D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821695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6.10 </w:t>
            </w:r>
          </w:p>
        </w:tc>
        <w:tc>
          <w:tcPr>
            <w:tcW w:w="990" w:type="dxa"/>
            <w:noWrap/>
            <w:hideMark/>
          </w:tcPr>
          <w:p w14:paraId="44D422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30.53 </w:t>
            </w:r>
          </w:p>
        </w:tc>
        <w:tc>
          <w:tcPr>
            <w:tcW w:w="900" w:type="dxa"/>
            <w:noWrap/>
            <w:hideMark/>
          </w:tcPr>
          <w:p w14:paraId="1941280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36.63 </w:t>
            </w:r>
          </w:p>
        </w:tc>
      </w:tr>
      <w:tr w:rsidR="00C0269A" w:rsidRPr="00C67737" w14:paraId="7C20D7C7"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7F517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11213</w:t>
            </w:r>
          </w:p>
        </w:tc>
        <w:tc>
          <w:tcPr>
            <w:tcW w:w="5400" w:type="dxa"/>
            <w:noWrap/>
            <w:hideMark/>
          </w:tcPr>
          <w:p w14:paraId="3264598F"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Generating opportunities for livelihoods and biodiversity through participatory governance of natural resources and the economic diversification of the communities of the central forest corridor of Honduras</w:t>
            </w:r>
          </w:p>
        </w:tc>
        <w:tc>
          <w:tcPr>
            <w:tcW w:w="810" w:type="dxa"/>
            <w:noWrap/>
            <w:hideMark/>
          </w:tcPr>
          <w:p w14:paraId="4ECC7FF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65514D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Honduras</w:t>
            </w:r>
          </w:p>
        </w:tc>
        <w:tc>
          <w:tcPr>
            <w:tcW w:w="990" w:type="dxa"/>
            <w:noWrap/>
            <w:hideMark/>
          </w:tcPr>
          <w:p w14:paraId="590D899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7637D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ED1B08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D6ED53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6FF53C3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42.21 </w:t>
            </w:r>
          </w:p>
        </w:tc>
        <w:tc>
          <w:tcPr>
            <w:tcW w:w="900" w:type="dxa"/>
            <w:noWrap/>
            <w:hideMark/>
          </w:tcPr>
          <w:p w14:paraId="2E15245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48.21 </w:t>
            </w:r>
          </w:p>
        </w:tc>
      </w:tr>
      <w:tr w:rsidR="00C0269A" w:rsidRPr="00C67737" w14:paraId="76B0CE92"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02DEE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11212</w:t>
            </w:r>
          </w:p>
        </w:tc>
        <w:tc>
          <w:tcPr>
            <w:tcW w:w="5400" w:type="dxa"/>
            <w:noWrap/>
            <w:hideMark/>
          </w:tcPr>
          <w:p w14:paraId="702D6C06"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Resilient communities, land restoration and sustainable ecosystem management</w:t>
            </w:r>
          </w:p>
        </w:tc>
        <w:tc>
          <w:tcPr>
            <w:tcW w:w="810" w:type="dxa"/>
            <w:noWrap/>
            <w:hideMark/>
          </w:tcPr>
          <w:p w14:paraId="19961FE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F52FFB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Zambia</w:t>
            </w:r>
            <w:proofErr w:type="spellEnd"/>
          </w:p>
        </w:tc>
        <w:tc>
          <w:tcPr>
            <w:tcW w:w="990" w:type="dxa"/>
            <w:noWrap/>
            <w:hideMark/>
          </w:tcPr>
          <w:p w14:paraId="1E27FF2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F74F49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 LDCF, MTF</w:t>
            </w:r>
          </w:p>
        </w:tc>
        <w:tc>
          <w:tcPr>
            <w:tcW w:w="810" w:type="dxa"/>
            <w:noWrap/>
            <w:hideMark/>
          </w:tcPr>
          <w:p w14:paraId="44D8ABE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748D08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13.20 </w:t>
            </w:r>
          </w:p>
        </w:tc>
        <w:tc>
          <w:tcPr>
            <w:tcW w:w="990" w:type="dxa"/>
            <w:noWrap/>
            <w:hideMark/>
          </w:tcPr>
          <w:p w14:paraId="4F75C48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103.70 </w:t>
            </w:r>
          </w:p>
        </w:tc>
        <w:tc>
          <w:tcPr>
            <w:tcW w:w="900" w:type="dxa"/>
            <w:noWrap/>
            <w:hideMark/>
          </w:tcPr>
          <w:p w14:paraId="7401734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116.90 </w:t>
            </w:r>
          </w:p>
        </w:tc>
      </w:tr>
      <w:tr w:rsidR="00C0269A" w:rsidRPr="00C67737" w14:paraId="0E016022"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F1BE6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11210</w:t>
            </w:r>
          </w:p>
        </w:tc>
        <w:tc>
          <w:tcPr>
            <w:tcW w:w="5400" w:type="dxa"/>
            <w:noWrap/>
            <w:hideMark/>
          </w:tcPr>
          <w:p w14:paraId="10238ADC"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Sustainable Wool and Mohair Value chain Competitiveness project (</w:t>
            </w:r>
            <w:proofErr w:type="spellStart"/>
            <w:r w:rsidRPr="00D10503">
              <w:rPr>
                <w:rFonts w:eastAsia="Times New Roman" w:cstheme="minorHAnsi"/>
                <w:color w:val="000000"/>
                <w:sz w:val="16"/>
                <w:szCs w:val="16"/>
                <w:lang w:val="en-US"/>
              </w:rPr>
              <w:t>WaMCoP</w:t>
            </w:r>
            <w:proofErr w:type="spellEnd"/>
            <w:r w:rsidRPr="00D10503">
              <w:rPr>
                <w:rFonts w:eastAsia="Times New Roman" w:cstheme="minorHAnsi"/>
                <w:color w:val="000000"/>
                <w:sz w:val="16"/>
                <w:szCs w:val="16"/>
                <w:lang w:val="en-US"/>
              </w:rPr>
              <w:t>)</w:t>
            </w:r>
          </w:p>
        </w:tc>
        <w:tc>
          <w:tcPr>
            <w:tcW w:w="810" w:type="dxa"/>
            <w:noWrap/>
            <w:hideMark/>
          </w:tcPr>
          <w:p w14:paraId="3E92C80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200F9D0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Lesotho</w:t>
            </w:r>
          </w:p>
        </w:tc>
        <w:tc>
          <w:tcPr>
            <w:tcW w:w="990" w:type="dxa"/>
            <w:noWrap/>
            <w:hideMark/>
          </w:tcPr>
          <w:p w14:paraId="120857D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51E5FF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955766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EAC332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6F33EC1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60.00 </w:t>
            </w:r>
          </w:p>
        </w:tc>
        <w:tc>
          <w:tcPr>
            <w:tcW w:w="900" w:type="dxa"/>
            <w:noWrap/>
            <w:hideMark/>
          </w:tcPr>
          <w:p w14:paraId="35F4DE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66.00 </w:t>
            </w:r>
          </w:p>
        </w:tc>
      </w:tr>
      <w:tr w:rsidR="00C0269A" w:rsidRPr="00C67737" w14:paraId="313921B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D1AD4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11209</w:t>
            </w:r>
          </w:p>
        </w:tc>
        <w:tc>
          <w:tcPr>
            <w:tcW w:w="5400" w:type="dxa"/>
            <w:noWrap/>
            <w:hideMark/>
          </w:tcPr>
          <w:p w14:paraId="37F0533B"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ecological connectivity in natural and productive landscapes between the Amistad and Darien biomes</w:t>
            </w:r>
          </w:p>
        </w:tc>
        <w:tc>
          <w:tcPr>
            <w:tcW w:w="810" w:type="dxa"/>
            <w:noWrap/>
            <w:hideMark/>
          </w:tcPr>
          <w:p w14:paraId="19B5D64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FE92A9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Panama</w:t>
            </w:r>
          </w:p>
        </w:tc>
        <w:tc>
          <w:tcPr>
            <w:tcW w:w="990" w:type="dxa"/>
            <w:noWrap/>
            <w:hideMark/>
          </w:tcPr>
          <w:p w14:paraId="5F13DEC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856AFA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09D12A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4E05B1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7.43 </w:t>
            </w:r>
          </w:p>
        </w:tc>
        <w:tc>
          <w:tcPr>
            <w:tcW w:w="990" w:type="dxa"/>
            <w:noWrap/>
            <w:hideMark/>
          </w:tcPr>
          <w:p w14:paraId="1E14635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42.85 </w:t>
            </w:r>
          </w:p>
        </w:tc>
        <w:tc>
          <w:tcPr>
            <w:tcW w:w="900" w:type="dxa"/>
            <w:noWrap/>
            <w:hideMark/>
          </w:tcPr>
          <w:p w14:paraId="0F32F6F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50.28 </w:t>
            </w:r>
          </w:p>
        </w:tc>
      </w:tr>
      <w:tr w:rsidR="00C0269A" w:rsidRPr="00C67737" w14:paraId="571043A8"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CF6E5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11208</w:t>
            </w:r>
          </w:p>
        </w:tc>
        <w:tc>
          <w:tcPr>
            <w:tcW w:w="5400" w:type="dxa"/>
            <w:noWrap/>
            <w:hideMark/>
          </w:tcPr>
          <w:p w14:paraId="6BC8683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inter-institutional coordination for the mainstreaming of biodiversity conservation in national, regional and local public policies in Chile</w:t>
            </w:r>
          </w:p>
        </w:tc>
        <w:tc>
          <w:tcPr>
            <w:tcW w:w="810" w:type="dxa"/>
            <w:noWrap/>
            <w:hideMark/>
          </w:tcPr>
          <w:p w14:paraId="02535F8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38370A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7486085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4FA051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6A2DC6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0EE8EC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4.30 </w:t>
            </w:r>
          </w:p>
        </w:tc>
        <w:tc>
          <w:tcPr>
            <w:tcW w:w="990" w:type="dxa"/>
            <w:noWrap/>
            <w:hideMark/>
          </w:tcPr>
          <w:p w14:paraId="5AE8FC1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26.50 </w:t>
            </w:r>
          </w:p>
        </w:tc>
        <w:tc>
          <w:tcPr>
            <w:tcW w:w="900" w:type="dxa"/>
            <w:noWrap/>
            <w:hideMark/>
          </w:tcPr>
          <w:p w14:paraId="371C630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30.80 </w:t>
            </w:r>
          </w:p>
        </w:tc>
      </w:tr>
      <w:tr w:rsidR="00C0269A" w:rsidRPr="00C67737" w14:paraId="2B956A89"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0079B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11180</w:t>
            </w:r>
          </w:p>
        </w:tc>
        <w:tc>
          <w:tcPr>
            <w:tcW w:w="5400" w:type="dxa"/>
            <w:noWrap/>
            <w:hideMark/>
          </w:tcPr>
          <w:p w14:paraId="7B4B5592"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Strengthening integrated transboundary management of the </w:t>
            </w:r>
            <w:proofErr w:type="spellStart"/>
            <w:r w:rsidRPr="00D10503">
              <w:rPr>
                <w:rFonts w:eastAsia="Times New Roman" w:cstheme="minorHAnsi"/>
                <w:color w:val="000000"/>
                <w:sz w:val="16"/>
                <w:szCs w:val="16"/>
                <w:lang w:val="en-US"/>
              </w:rPr>
              <w:t>Incomati</w:t>
            </w:r>
            <w:proofErr w:type="spellEnd"/>
            <w:r w:rsidRPr="00D10503">
              <w:rPr>
                <w:rFonts w:eastAsia="Times New Roman" w:cstheme="minorHAnsi"/>
                <w:color w:val="000000"/>
                <w:sz w:val="16"/>
                <w:szCs w:val="16"/>
                <w:lang w:val="en-US"/>
              </w:rPr>
              <w:t xml:space="preserve"> and Maputo river basins</w:t>
            </w:r>
          </w:p>
        </w:tc>
        <w:tc>
          <w:tcPr>
            <w:tcW w:w="810" w:type="dxa"/>
            <w:noWrap/>
            <w:hideMark/>
          </w:tcPr>
          <w:p w14:paraId="141EC34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B36D4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1817F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6014438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46FECB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4D7DBE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781CF19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64.04 </w:t>
            </w:r>
          </w:p>
        </w:tc>
        <w:tc>
          <w:tcPr>
            <w:tcW w:w="900" w:type="dxa"/>
            <w:noWrap/>
            <w:hideMark/>
          </w:tcPr>
          <w:p w14:paraId="096CBCD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72.04 </w:t>
            </w:r>
          </w:p>
        </w:tc>
      </w:tr>
      <w:tr w:rsidR="00C0269A" w:rsidRPr="00C67737" w14:paraId="3F4912ED"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24C8D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11179</w:t>
            </w:r>
          </w:p>
        </w:tc>
        <w:tc>
          <w:tcPr>
            <w:tcW w:w="5400" w:type="dxa"/>
            <w:noWrap/>
            <w:hideMark/>
          </w:tcPr>
          <w:p w14:paraId="043A778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Restoration and sustainable forest management of the Algerian Aleppo pine forest, ecosystem</w:t>
            </w:r>
          </w:p>
        </w:tc>
        <w:tc>
          <w:tcPr>
            <w:tcW w:w="810" w:type="dxa"/>
            <w:noWrap/>
            <w:hideMark/>
          </w:tcPr>
          <w:p w14:paraId="5207C36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EDFB5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Algeria</w:t>
            </w:r>
          </w:p>
        </w:tc>
        <w:tc>
          <w:tcPr>
            <w:tcW w:w="990" w:type="dxa"/>
            <w:noWrap/>
            <w:hideMark/>
          </w:tcPr>
          <w:p w14:paraId="37398E5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615EED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2780B5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257D7A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0EF913B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24.00 </w:t>
            </w:r>
          </w:p>
        </w:tc>
        <w:tc>
          <w:tcPr>
            <w:tcW w:w="900" w:type="dxa"/>
            <w:noWrap/>
            <w:hideMark/>
          </w:tcPr>
          <w:p w14:paraId="0476092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28.00 </w:t>
            </w:r>
          </w:p>
        </w:tc>
      </w:tr>
      <w:tr w:rsidR="00C0269A" w:rsidRPr="00C67737" w14:paraId="6C3D88AC"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67E310"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11167</w:t>
            </w:r>
          </w:p>
        </w:tc>
        <w:tc>
          <w:tcPr>
            <w:tcW w:w="5400" w:type="dxa"/>
            <w:noWrap/>
            <w:hideMark/>
          </w:tcPr>
          <w:p w14:paraId="397EDC4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Restoration of Wetlands and other important Amazonian Ecosystems - Capacity-building, innovation, development and technological transfer for ecological restoration and climate change mitigation</w:t>
            </w:r>
          </w:p>
        </w:tc>
        <w:tc>
          <w:tcPr>
            <w:tcW w:w="810" w:type="dxa"/>
            <w:noWrap/>
            <w:hideMark/>
          </w:tcPr>
          <w:p w14:paraId="52D4F57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EDAC5F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39E9F48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F57417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177BC0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9749EF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6A0489A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49.13 </w:t>
            </w:r>
          </w:p>
        </w:tc>
        <w:tc>
          <w:tcPr>
            <w:tcW w:w="900" w:type="dxa"/>
            <w:noWrap/>
            <w:hideMark/>
          </w:tcPr>
          <w:p w14:paraId="4B21D6E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54.77 </w:t>
            </w:r>
          </w:p>
        </w:tc>
      </w:tr>
      <w:tr w:rsidR="00C0269A" w:rsidRPr="00C67737" w14:paraId="0AD152F6"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B10FE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11166</w:t>
            </w:r>
          </w:p>
        </w:tc>
        <w:tc>
          <w:tcPr>
            <w:tcW w:w="5400" w:type="dxa"/>
            <w:noWrap/>
            <w:hideMark/>
          </w:tcPr>
          <w:p w14:paraId="16BB7CC4"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Plastic Reduction in the Oceans: Sustaining and Enhancing Actions on Sea-based Sources (PRO-SEAS)</w:t>
            </w:r>
          </w:p>
        </w:tc>
        <w:tc>
          <w:tcPr>
            <w:tcW w:w="810" w:type="dxa"/>
            <w:noWrap/>
            <w:hideMark/>
          </w:tcPr>
          <w:p w14:paraId="31AE240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0A7E1B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38A77B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3220036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12F236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86E7EA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21FDFB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67.01 </w:t>
            </w:r>
          </w:p>
        </w:tc>
        <w:tc>
          <w:tcPr>
            <w:tcW w:w="900" w:type="dxa"/>
            <w:noWrap/>
            <w:hideMark/>
          </w:tcPr>
          <w:p w14:paraId="27A5483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75.01 </w:t>
            </w:r>
          </w:p>
        </w:tc>
      </w:tr>
      <w:tr w:rsidR="00C0269A" w:rsidRPr="00C67737" w14:paraId="1ECA569B"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68521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11141</w:t>
            </w:r>
          </w:p>
        </w:tc>
        <w:tc>
          <w:tcPr>
            <w:tcW w:w="5400" w:type="dxa"/>
            <w:noWrap/>
            <w:hideMark/>
          </w:tcPr>
          <w:p w14:paraId="0C219146"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Transforming Policy and Investment through Improving Ecosystem Management and Restoration of Degraded Drylands of </w:t>
            </w:r>
            <w:proofErr w:type="spellStart"/>
            <w:r w:rsidRPr="00D10503">
              <w:rPr>
                <w:rFonts w:eastAsia="Times New Roman" w:cstheme="minorHAnsi"/>
                <w:color w:val="000000"/>
                <w:sz w:val="16"/>
                <w:szCs w:val="16"/>
                <w:lang w:val="en-US"/>
              </w:rPr>
              <w:t>Dedoplistskaro</w:t>
            </w:r>
            <w:proofErr w:type="spellEnd"/>
            <w:r w:rsidRPr="00D10503">
              <w:rPr>
                <w:rFonts w:eastAsia="Times New Roman" w:cstheme="minorHAnsi"/>
                <w:color w:val="000000"/>
                <w:sz w:val="16"/>
                <w:szCs w:val="16"/>
                <w:lang w:val="en-US"/>
              </w:rPr>
              <w:t xml:space="preserve"> Biosphere Reserve in Georgia to Generate Multiple Environmental and Socio-Economic Benefits</w:t>
            </w:r>
          </w:p>
        </w:tc>
        <w:tc>
          <w:tcPr>
            <w:tcW w:w="810" w:type="dxa"/>
            <w:noWrap/>
            <w:hideMark/>
          </w:tcPr>
          <w:p w14:paraId="7ECEF34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4571A1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Georgia</w:t>
            </w:r>
          </w:p>
        </w:tc>
        <w:tc>
          <w:tcPr>
            <w:tcW w:w="990" w:type="dxa"/>
            <w:noWrap/>
            <w:hideMark/>
          </w:tcPr>
          <w:p w14:paraId="7C90F2F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FC4FAC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2D5FF4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6B0511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3522CB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24.88 </w:t>
            </w:r>
          </w:p>
        </w:tc>
        <w:tc>
          <w:tcPr>
            <w:tcW w:w="900" w:type="dxa"/>
            <w:noWrap/>
            <w:hideMark/>
          </w:tcPr>
          <w:p w14:paraId="12D55FD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28.88 </w:t>
            </w:r>
          </w:p>
        </w:tc>
      </w:tr>
      <w:tr w:rsidR="00C0269A" w:rsidRPr="00C67737" w14:paraId="22CAC5D9"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69452F"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11140</w:t>
            </w:r>
          </w:p>
        </w:tc>
        <w:tc>
          <w:tcPr>
            <w:tcW w:w="5400" w:type="dxa"/>
            <w:noWrap/>
            <w:hideMark/>
          </w:tcPr>
          <w:p w14:paraId="089003DB"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Land Restoration and Ecosystem Service Improvement through Use of Fruit and Nut Tree Biodiversity in Armenia</w:t>
            </w:r>
          </w:p>
        </w:tc>
        <w:tc>
          <w:tcPr>
            <w:tcW w:w="810" w:type="dxa"/>
            <w:noWrap/>
            <w:hideMark/>
          </w:tcPr>
          <w:p w14:paraId="17F08BA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229534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Armenia</w:t>
            </w:r>
          </w:p>
        </w:tc>
        <w:tc>
          <w:tcPr>
            <w:tcW w:w="990" w:type="dxa"/>
            <w:noWrap/>
            <w:hideMark/>
          </w:tcPr>
          <w:p w14:paraId="066C1EE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CE9B35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C932A3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4C7E53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2.21 </w:t>
            </w:r>
          </w:p>
        </w:tc>
        <w:tc>
          <w:tcPr>
            <w:tcW w:w="990" w:type="dxa"/>
            <w:noWrap/>
            <w:hideMark/>
          </w:tcPr>
          <w:p w14:paraId="23B02E6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28.66 </w:t>
            </w:r>
          </w:p>
        </w:tc>
        <w:tc>
          <w:tcPr>
            <w:tcW w:w="900" w:type="dxa"/>
            <w:noWrap/>
            <w:hideMark/>
          </w:tcPr>
          <w:p w14:paraId="38F1796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30.87 </w:t>
            </w:r>
          </w:p>
        </w:tc>
      </w:tr>
      <w:tr w:rsidR="00C0269A" w:rsidRPr="00C67737" w14:paraId="33EA0BE0"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14EB79"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11117</w:t>
            </w:r>
          </w:p>
        </w:tc>
        <w:tc>
          <w:tcPr>
            <w:tcW w:w="5400" w:type="dxa"/>
            <w:noWrap/>
            <w:hideMark/>
          </w:tcPr>
          <w:p w14:paraId="359A7266"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Community-based Wildfire Risk Management in Lebanon’s Vulnerable Landscapes</w:t>
            </w:r>
          </w:p>
        </w:tc>
        <w:tc>
          <w:tcPr>
            <w:tcW w:w="810" w:type="dxa"/>
            <w:noWrap/>
            <w:hideMark/>
          </w:tcPr>
          <w:p w14:paraId="01238D0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4BE6BE9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Lebanon</w:t>
            </w:r>
          </w:p>
        </w:tc>
        <w:tc>
          <w:tcPr>
            <w:tcW w:w="990" w:type="dxa"/>
            <w:noWrap/>
            <w:hideMark/>
          </w:tcPr>
          <w:p w14:paraId="6E2B117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5498FF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223F3A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8483FF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3.79 </w:t>
            </w:r>
          </w:p>
        </w:tc>
        <w:tc>
          <w:tcPr>
            <w:tcW w:w="990" w:type="dxa"/>
            <w:noWrap/>
            <w:hideMark/>
          </w:tcPr>
          <w:p w14:paraId="36CAB3F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25.00 </w:t>
            </w:r>
          </w:p>
        </w:tc>
        <w:tc>
          <w:tcPr>
            <w:tcW w:w="900" w:type="dxa"/>
            <w:noWrap/>
            <w:hideMark/>
          </w:tcPr>
          <w:p w14:paraId="1967887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28.79 </w:t>
            </w:r>
          </w:p>
        </w:tc>
      </w:tr>
      <w:tr w:rsidR="00C0269A" w:rsidRPr="00C67737" w14:paraId="3981B9A9"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D66C6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11116</w:t>
            </w:r>
          </w:p>
        </w:tc>
        <w:tc>
          <w:tcPr>
            <w:tcW w:w="5400" w:type="dxa"/>
            <w:noWrap/>
            <w:hideMark/>
          </w:tcPr>
          <w:p w14:paraId="2108EDE7"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Promoting sustainable economic benefits through the conservation of critical biodiversity and ecosystem services in the Eastern Coastal Region of Sri Lanka</w:t>
            </w:r>
          </w:p>
        </w:tc>
        <w:tc>
          <w:tcPr>
            <w:tcW w:w="810" w:type="dxa"/>
            <w:noWrap/>
            <w:hideMark/>
          </w:tcPr>
          <w:p w14:paraId="6E9B8B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0525C8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52B58C6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9D7221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D4345F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8E0C3E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5.10 </w:t>
            </w:r>
          </w:p>
        </w:tc>
        <w:tc>
          <w:tcPr>
            <w:tcW w:w="990" w:type="dxa"/>
            <w:noWrap/>
            <w:hideMark/>
          </w:tcPr>
          <w:p w14:paraId="71C7D8A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26.67 </w:t>
            </w:r>
          </w:p>
        </w:tc>
        <w:tc>
          <w:tcPr>
            <w:tcW w:w="900" w:type="dxa"/>
            <w:noWrap/>
            <w:hideMark/>
          </w:tcPr>
          <w:p w14:paraId="1AD005F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31.77 </w:t>
            </w:r>
          </w:p>
        </w:tc>
      </w:tr>
      <w:tr w:rsidR="00C0269A" w:rsidRPr="00C67737" w14:paraId="18847EA6"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BC5592"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11115</w:t>
            </w:r>
          </w:p>
        </w:tc>
        <w:tc>
          <w:tcPr>
            <w:tcW w:w="5400" w:type="dxa"/>
            <w:noWrap/>
            <w:hideMark/>
          </w:tcPr>
          <w:p w14:paraId="142B9F54"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management to combat threats from Aquatic Invasive Alien Species in Venezuela</w:t>
            </w:r>
          </w:p>
        </w:tc>
        <w:tc>
          <w:tcPr>
            <w:tcW w:w="810" w:type="dxa"/>
            <w:noWrap/>
            <w:hideMark/>
          </w:tcPr>
          <w:p w14:paraId="688C127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0AD148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Venezuela</w:t>
            </w:r>
          </w:p>
        </w:tc>
        <w:tc>
          <w:tcPr>
            <w:tcW w:w="990" w:type="dxa"/>
            <w:noWrap/>
            <w:hideMark/>
          </w:tcPr>
          <w:p w14:paraId="6AF8785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92CCB5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682861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85E783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6.73 </w:t>
            </w:r>
          </w:p>
        </w:tc>
        <w:tc>
          <w:tcPr>
            <w:tcW w:w="990" w:type="dxa"/>
            <w:noWrap/>
            <w:hideMark/>
          </w:tcPr>
          <w:p w14:paraId="5B35E23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35.94 </w:t>
            </w:r>
          </w:p>
        </w:tc>
        <w:tc>
          <w:tcPr>
            <w:tcW w:w="900" w:type="dxa"/>
            <w:noWrap/>
            <w:hideMark/>
          </w:tcPr>
          <w:p w14:paraId="3D343FE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42.67 </w:t>
            </w:r>
          </w:p>
        </w:tc>
      </w:tr>
      <w:tr w:rsidR="00C0269A" w:rsidRPr="00C67737" w14:paraId="41231E5D"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FB783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11114</w:t>
            </w:r>
          </w:p>
        </w:tc>
        <w:tc>
          <w:tcPr>
            <w:tcW w:w="5400" w:type="dxa"/>
            <w:noWrap/>
            <w:hideMark/>
          </w:tcPr>
          <w:p w14:paraId="233F2AD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Rehabilitating and conserving the mountain landscapes in </w:t>
            </w:r>
            <w:proofErr w:type="spellStart"/>
            <w:r w:rsidRPr="00D10503">
              <w:rPr>
                <w:rFonts w:eastAsia="Times New Roman" w:cstheme="minorHAnsi"/>
                <w:color w:val="000000"/>
                <w:sz w:val="16"/>
                <w:szCs w:val="16"/>
                <w:lang w:val="en-US"/>
              </w:rPr>
              <w:t>Khangai</w:t>
            </w:r>
            <w:proofErr w:type="spellEnd"/>
            <w:r w:rsidRPr="00D10503">
              <w:rPr>
                <w:rFonts w:eastAsia="Times New Roman" w:cstheme="minorHAnsi"/>
                <w:color w:val="000000"/>
                <w:sz w:val="16"/>
                <w:szCs w:val="16"/>
                <w:lang w:val="en-US"/>
              </w:rPr>
              <w:t xml:space="preserve"> region of Mongolia for improved ecosystem services and community livelihoods</w:t>
            </w:r>
          </w:p>
        </w:tc>
        <w:tc>
          <w:tcPr>
            <w:tcW w:w="810" w:type="dxa"/>
            <w:noWrap/>
            <w:hideMark/>
          </w:tcPr>
          <w:p w14:paraId="495AA28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5196ED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Mongolia</w:t>
            </w:r>
          </w:p>
        </w:tc>
        <w:tc>
          <w:tcPr>
            <w:tcW w:w="990" w:type="dxa"/>
            <w:noWrap/>
            <w:hideMark/>
          </w:tcPr>
          <w:p w14:paraId="2BBDA2C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51B0F2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A220B7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71F819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7EBB6D1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22.50 </w:t>
            </w:r>
          </w:p>
        </w:tc>
        <w:tc>
          <w:tcPr>
            <w:tcW w:w="900" w:type="dxa"/>
            <w:noWrap/>
            <w:hideMark/>
          </w:tcPr>
          <w:p w14:paraId="7756345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25.50 </w:t>
            </w:r>
          </w:p>
        </w:tc>
      </w:tr>
      <w:tr w:rsidR="00C0269A" w:rsidRPr="00C67737" w14:paraId="0F039977"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509C24"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11113</w:t>
            </w:r>
          </w:p>
        </w:tc>
        <w:tc>
          <w:tcPr>
            <w:tcW w:w="5400" w:type="dxa"/>
            <w:noWrap/>
            <w:hideMark/>
          </w:tcPr>
          <w:p w14:paraId="5E83006C"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Promoting sustainable fisheries management in the Red Sea Large Marine Ecosystem (</w:t>
            </w:r>
            <w:proofErr w:type="spellStart"/>
            <w:r w:rsidRPr="00D10503">
              <w:rPr>
                <w:rFonts w:eastAsia="Times New Roman" w:cstheme="minorHAnsi"/>
                <w:color w:val="000000"/>
                <w:sz w:val="16"/>
                <w:szCs w:val="16"/>
                <w:lang w:val="en-US"/>
              </w:rPr>
              <w:t>RedSeaFish</w:t>
            </w:r>
            <w:proofErr w:type="spellEnd"/>
            <w:r w:rsidRPr="00D10503">
              <w:rPr>
                <w:rFonts w:eastAsia="Times New Roman" w:cstheme="minorHAnsi"/>
                <w:color w:val="000000"/>
                <w:sz w:val="16"/>
                <w:szCs w:val="16"/>
                <w:lang w:val="en-US"/>
              </w:rPr>
              <w:t xml:space="preserve"> project)</w:t>
            </w:r>
          </w:p>
        </w:tc>
        <w:tc>
          <w:tcPr>
            <w:tcW w:w="810" w:type="dxa"/>
            <w:noWrap/>
            <w:hideMark/>
          </w:tcPr>
          <w:p w14:paraId="62B4061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F59F4C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90F282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4584B8D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FB4B57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2A1DB5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90" w:type="dxa"/>
            <w:noWrap/>
            <w:hideMark/>
          </w:tcPr>
          <w:p w14:paraId="366854E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68.54 </w:t>
            </w:r>
          </w:p>
        </w:tc>
        <w:tc>
          <w:tcPr>
            <w:tcW w:w="900" w:type="dxa"/>
            <w:noWrap/>
            <w:hideMark/>
          </w:tcPr>
          <w:p w14:paraId="5B8EC40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75.54 </w:t>
            </w:r>
          </w:p>
        </w:tc>
      </w:tr>
      <w:tr w:rsidR="00C0269A" w:rsidRPr="00C67737" w14:paraId="4CE2527F"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2317F1"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11111</w:t>
            </w:r>
          </w:p>
        </w:tc>
        <w:tc>
          <w:tcPr>
            <w:tcW w:w="5400" w:type="dxa"/>
            <w:noWrap/>
            <w:hideMark/>
          </w:tcPr>
          <w:p w14:paraId="155A246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Climate Resilience on the Comoros Coastal Zone Through Ecosystem-based Adaptation</w:t>
            </w:r>
          </w:p>
        </w:tc>
        <w:tc>
          <w:tcPr>
            <w:tcW w:w="810" w:type="dxa"/>
            <w:noWrap/>
            <w:hideMark/>
          </w:tcPr>
          <w:p w14:paraId="3E32A76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84D188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Comoros</w:t>
            </w:r>
            <w:proofErr w:type="spellEnd"/>
          </w:p>
        </w:tc>
        <w:tc>
          <w:tcPr>
            <w:tcW w:w="990" w:type="dxa"/>
            <w:noWrap/>
            <w:hideMark/>
          </w:tcPr>
          <w:p w14:paraId="00B29B0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EF341C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352F330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EC580A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9.99 </w:t>
            </w:r>
          </w:p>
        </w:tc>
        <w:tc>
          <w:tcPr>
            <w:tcW w:w="990" w:type="dxa"/>
            <w:noWrap/>
            <w:hideMark/>
          </w:tcPr>
          <w:p w14:paraId="29E4D90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44.07 </w:t>
            </w:r>
          </w:p>
        </w:tc>
        <w:tc>
          <w:tcPr>
            <w:tcW w:w="900" w:type="dxa"/>
            <w:noWrap/>
            <w:hideMark/>
          </w:tcPr>
          <w:p w14:paraId="4B6716C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54.06 </w:t>
            </w:r>
          </w:p>
        </w:tc>
      </w:tr>
      <w:tr w:rsidR="00C0269A" w:rsidRPr="00C67737" w14:paraId="2A057E7E"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83A96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11108</w:t>
            </w:r>
          </w:p>
        </w:tc>
        <w:tc>
          <w:tcPr>
            <w:tcW w:w="5400" w:type="dxa"/>
            <w:noWrap/>
            <w:hideMark/>
          </w:tcPr>
          <w:p w14:paraId="5307ABE3"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Towards a better understanding of the Amazon Aquifer Systems for its protection and sustainable management</w:t>
            </w:r>
          </w:p>
        </w:tc>
        <w:tc>
          <w:tcPr>
            <w:tcW w:w="810" w:type="dxa"/>
            <w:noWrap/>
            <w:hideMark/>
          </w:tcPr>
          <w:p w14:paraId="685A15E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306409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1E8B14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6E4E0A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58A6E6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ABA8E8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90" w:type="dxa"/>
            <w:noWrap/>
            <w:hideMark/>
          </w:tcPr>
          <w:p w14:paraId="71FACFD2"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174.46 </w:t>
            </w:r>
          </w:p>
        </w:tc>
        <w:tc>
          <w:tcPr>
            <w:tcW w:w="900" w:type="dxa"/>
            <w:noWrap/>
            <w:hideMark/>
          </w:tcPr>
          <w:p w14:paraId="3E039204"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189.46 </w:t>
            </w:r>
          </w:p>
        </w:tc>
      </w:tr>
      <w:tr w:rsidR="00C0269A" w:rsidRPr="00C67737" w14:paraId="6BD1A56B"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D275DA"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11100</w:t>
            </w:r>
          </w:p>
        </w:tc>
        <w:tc>
          <w:tcPr>
            <w:tcW w:w="5400" w:type="dxa"/>
            <w:noWrap/>
            <w:hideMark/>
          </w:tcPr>
          <w:p w14:paraId="37FFEA03"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Climate change adaptation of Cabo Verde’s agri-food systems for improved food security and livelihoods</w:t>
            </w:r>
          </w:p>
        </w:tc>
        <w:tc>
          <w:tcPr>
            <w:tcW w:w="810" w:type="dxa"/>
            <w:noWrap/>
            <w:hideMark/>
          </w:tcPr>
          <w:p w14:paraId="6FC1494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5263BD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Cabo Verde</w:t>
            </w:r>
          </w:p>
        </w:tc>
        <w:tc>
          <w:tcPr>
            <w:tcW w:w="990" w:type="dxa"/>
            <w:noWrap/>
            <w:hideMark/>
          </w:tcPr>
          <w:p w14:paraId="06D2360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96F16E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SCCF-A, SCCF</w:t>
            </w:r>
          </w:p>
        </w:tc>
        <w:tc>
          <w:tcPr>
            <w:tcW w:w="810" w:type="dxa"/>
            <w:noWrap/>
            <w:hideMark/>
          </w:tcPr>
          <w:p w14:paraId="45CED23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A63859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4707A946"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15.74 </w:t>
            </w:r>
          </w:p>
        </w:tc>
        <w:tc>
          <w:tcPr>
            <w:tcW w:w="900" w:type="dxa"/>
            <w:noWrap/>
            <w:hideMark/>
          </w:tcPr>
          <w:p w14:paraId="0BF5B29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18.74 </w:t>
            </w:r>
          </w:p>
        </w:tc>
      </w:tr>
      <w:tr w:rsidR="00C0269A" w:rsidRPr="00C67737" w14:paraId="2ED48526"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C3F42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11071</w:t>
            </w:r>
          </w:p>
        </w:tc>
        <w:tc>
          <w:tcPr>
            <w:tcW w:w="5400" w:type="dxa"/>
            <w:noWrap/>
            <w:hideMark/>
          </w:tcPr>
          <w:p w14:paraId="4C7A66CA"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Supporting the shift to a low-emission, circular construction in Chile</w:t>
            </w:r>
          </w:p>
        </w:tc>
        <w:tc>
          <w:tcPr>
            <w:tcW w:w="810" w:type="dxa"/>
            <w:noWrap/>
            <w:hideMark/>
          </w:tcPr>
          <w:p w14:paraId="0EC63F6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67C35F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462EA70F"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6CBC6F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29D97E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2D9310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3.30 </w:t>
            </w:r>
          </w:p>
        </w:tc>
        <w:tc>
          <w:tcPr>
            <w:tcW w:w="990" w:type="dxa"/>
            <w:noWrap/>
            <w:hideMark/>
          </w:tcPr>
          <w:p w14:paraId="613B285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31.92 </w:t>
            </w:r>
          </w:p>
        </w:tc>
        <w:tc>
          <w:tcPr>
            <w:tcW w:w="900" w:type="dxa"/>
            <w:noWrap/>
            <w:hideMark/>
          </w:tcPr>
          <w:p w14:paraId="35879E66"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35.22 </w:t>
            </w:r>
          </w:p>
        </w:tc>
      </w:tr>
      <w:tr w:rsidR="00C0269A" w:rsidRPr="00C67737" w14:paraId="125989FE"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04D155"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11062</w:t>
            </w:r>
          </w:p>
        </w:tc>
        <w:tc>
          <w:tcPr>
            <w:tcW w:w="5400" w:type="dxa"/>
            <w:noWrap/>
            <w:hideMark/>
          </w:tcPr>
          <w:p w14:paraId="15DF6B25" w14:textId="77777777" w:rsidR="00C0269A" w:rsidRPr="00C0269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0269A">
              <w:rPr>
                <w:rFonts w:eastAsia="Times New Roman" w:cstheme="minorHAnsi"/>
                <w:color w:val="000000"/>
                <w:sz w:val="16"/>
                <w:szCs w:val="16"/>
                <w:lang w:val="en-US"/>
              </w:rPr>
              <w:t>Natural Capital Fund (NCF): Investing in Nature-Positive Agri-Food Enterprises in Asia and the Pacific</w:t>
            </w:r>
          </w:p>
        </w:tc>
        <w:tc>
          <w:tcPr>
            <w:tcW w:w="810" w:type="dxa"/>
            <w:noWrap/>
            <w:hideMark/>
          </w:tcPr>
          <w:p w14:paraId="371E25E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1AA2243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953CBA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EB9EEE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E0E4D0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5AE32B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90" w:type="dxa"/>
            <w:noWrap/>
            <w:hideMark/>
          </w:tcPr>
          <w:p w14:paraId="46DBF477"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632.74 </w:t>
            </w:r>
          </w:p>
        </w:tc>
        <w:tc>
          <w:tcPr>
            <w:tcW w:w="900" w:type="dxa"/>
            <w:noWrap/>
            <w:hideMark/>
          </w:tcPr>
          <w:p w14:paraId="7F3E413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647.74 </w:t>
            </w:r>
          </w:p>
        </w:tc>
      </w:tr>
      <w:tr w:rsidR="00C0269A" w:rsidRPr="00C67737" w14:paraId="20C75F7C"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0F9E0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11061</w:t>
            </w:r>
          </w:p>
        </w:tc>
        <w:tc>
          <w:tcPr>
            <w:tcW w:w="5400" w:type="dxa"/>
            <w:noWrap/>
            <w:hideMark/>
          </w:tcPr>
          <w:p w14:paraId="422E5AB2" w14:textId="77777777" w:rsidR="00C0269A" w:rsidRPr="00C0269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0269A">
              <w:rPr>
                <w:rFonts w:eastAsia="Times New Roman" w:cstheme="minorHAnsi"/>
                <w:color w:val="000000"/>
                <w:sz w:val="16"/>
                <w:szCs w:val="16"/>
                <w:lang w:val="en-US"/>
              </w:rPr>
              <w:t>Land Degradation Neutrality for Sustainable Use and Conservation of Uruguay Rangelands</w:t>
            </w:r>
          </w:p>
        </w:tc>
        <w:tc>
          <w:tcPr>
            <w:tcW w:w="810" w:type="dxa"/>
            <w:noWrap/>
            <w:hideMark/>
          </w:tcPr>
          <w:p w14:paraId="075A249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839E0F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Uruguay</w:t>
            </w:r>
          </w:p>
        </w:tc>
        <w:tc>
          <w:tcPr>
            <w:tcW w:w="990" w:type="dxa"/>
            <w:noWrap/>
            <w:hideMark/>
          </w:tcPr>
          <w:p w14:paraId="4F77203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Land </w:t>
            </w:r>
            <w:proofErr w:type="spellStart"/>
            <w:r w:rsidRPr="00C67737">
              <w:rPr>
                <w:rFonts w:eastAsia="Times New Roman" w:cstheme="minorHAnsi"/>
                <w:color w:val="000000"/>
                <w:sz w:val="16"/>
                <w:szCs w:val="16"/>
              </w:rPr>
              <w:t>Degradation</w:t>
            </w:r>
            <w:proofErr w:type="spellEnd"/>
          </w:p>
        </w:tc>
        <w:tc>
          <w:tcPr>
            <w:tcW w:w="630" w:type="dxa"/>
            <w:noWrap/>
            <w:hideMark/>
          </w:tcPr>
          <w:p w14:paraId="281CC830"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3388ED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BCD7B5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7500B3C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11.76 </w:t>
            </w:r>
          </w:p>
        </w:tc>
        <w:tc>
          <w:tcPr>
            <w:tcW w:w="900" w:type="dxa"/>
            <w:noWrap/>
            <w:hideMark/>
          </w:tcPr>
          <w:p w14:paraId="36FCF17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13.76 </w:t>
            </w:r>
          </w:p>
        </w:tc>
      </w:tr>
      <w:tr w:rsidR="00C0269A" w:rsidRPr="00C67737" w14:paraId="226917BB"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A6CCF3"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11056</w:t>
            </w:r>
          </w:p>
        </w:tc>
        <w:tc>
          <w:tcPr>
            <w:tcW w:w="5400" w:type="dxa"/>
            <w:noWrap/>
            <w:hideMark/>
          </w:tcPr>
          <w:p w14:paraId="691142E4" w14:textId="77777777" w:rsidR="00C0269A" w:rsidRPr="00C0269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0269A">
              <w:rPr>
                <w:rFonts w:eastAsia="Times New Roman" w:cstheme="minorHAnsi"/>
                <w:color w:val="000000"/>
                <w:sz w:val="16"/>
                <w:szCs w:val="16"/>
                <w:lang w:val="en-US"/>
              </w:rPr>
              <w:t>Support the urgent UN-brokered SAFER Salvage Operation to prevent an environmental, humanitarian and economic oil spill disaster in the southern Red Sea</w:t>
            </w:r>
          </w:p>
        </w:tc>
        <w:tc>
          <w:tcPr>
            <w:tcW w:w="810" w:type="dxa"/>
            <w:noWrap/>
            <w:hideMark/>
          </w:tcPr>
          <w:p w14:paraId="5640230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58BD91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Yemen</w:t>
            </w:r>
            <w:proofErr w:type="spellEnd"/>
          </w:p>
        </w:tc>
        <w:tc>
          <w:tcPr>
            <w:tcW w:w="990" w:type="dxa"/>
            <w:noWrap/>
            <w:hideMark/>
          </w:tcPr>
          <w:p w14:paraId="11135D1C"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2EE7BF6F"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BA7CB0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F23E2B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5EBD8243"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55.50 </w:t>
            </w:r>
          </w:p>
        </w:tc>
        <w:tc>
          <w:tcPr>
            <w:tcW w:w="900" w:type="dxa"/>
            <w:noWrap/>
            <w:hideMark/>
          </w:tcPr>
          <w:p w14:paraId="273B20E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60.50 </w:t>
            </w:r>
          </w:p>
        </w:tc>
      </w:tr>
      <w:tr w:rsidR="00C0269A" w:rsidRPr="00C67737" w14:paraId="353F9015"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C0190E"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11054</w:t>
            </w:r>
          </w:p>
        </w:tc>
        <w:tc>
          <w:tcPr>
            <w:tcW w:w="5400" w:type="dxa"/>
            <w:noWrap/>
            <w:hideMark/>
          </w:tcPr>
          <w:p w14:paraId="488E09CC" w14:textId="77777777" w:rsidR="00C0269A" w:rsidRPr="00C0269A"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C0269A">
              <w:rPr>
                <w:rFonts w:eastAsia="Times New Roman" w:cstheme="minorHAnsi"/>
                <w:color w:val="000000"/>
                <w:sz w:val="16"/>
                <w:szCs w:val="16"/>
                <w:lang w:val="en-US"/>
              </w:rPr>
              <w:t>Umbrella Programme to Support Development of Biodiversity Finance Plans</w:t>
            </w:r>
          </w:p>
        </w:tc>
        <w:tc>
          <w:tcPr>
            <w:tcW w:w="810" w:type="dxa"/>
            <w:noWrap/>
            <w:hideMark/>
          </w:tcPr>
          <w:p w14:paraId="0C1ABD8A"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8E6163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DEF604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630" w:type="dxa"/>
            <w:noWrap/>
            <w:hideMark/>
          </w:tcPr>
          <w:p w14:paraId="534E2A7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8C0BFF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15908C25"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45.81 </w:t>
            </w:r>
          </w:p>
        </w:tc>
        <w:tc>
          <w:tcPr>
            <w:tcW w:w="990" w:type="dxa"/>
            <w:noWrap/>
            <w:hideMark/>
          </w:tcPr>
          <w:p w14:paraId="655D2A33"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   </w:t>
            </w:r>
          </w:p>
        </w:tc>
        <w:tc>
          <w:tcPr>
            <w:tcW w:w="900" w:type="dxa"/>
            <w:noWrap/>
            <w:hideMark/>
          </w:tcPr>
          <w:p w14:paraId="4228E0A9"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45.81 </w:t>
            </w:r>
          </w:p>
        </w:tc>
      </w:tr>
      <w:tr w:rsidR="00C0269A" w:rsidRPr="00C67737" w14:paraId="6B0CDCEC"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87438D"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11052</w:t>
            </w:r>
          </w:p>
        </w:tc>
        <w:tc>
          <w:tcPr>
            <w:tcW w:w="5400" w:type="dxa"/>
            <w:noWrap/>
            <w:hideMark/>
          </w:tcPr>
          <w:p w14:paraId="7A3774D3" w14:textId="77777777" w:rsidR="00C0269A" w:rsidRPr="00CA5A8A"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CA5A8A">
              <w:rPr>
                <w:rFonts w:eastAsia="Times New Roman" w:cstheme="minorHAnsi"/>
                <w:color w:val="000000"/>
                <w:sz w:val="16"/>
                <w:szCs w:val="16"/>
                <w:lang w:val="en-US"/>
              </w:rPr>
              <w:t>Conservation of the Atlantic Forest through the sustainable management of cocoa agroforestry landscapes</w:t>
            </w:r>
          </w:p>
        </w:tc>
        <w:tc>
          <w:tcPr>
            <w:tcW w:w="810" w:type="dxa"/>
            <w:noWrap/>
            <w:hideMark/>
          </w:tcPr>
          <w:p w14:paraId="3C89C57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C69B8DB"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4EE573BD"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395ECC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9A892D0"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315023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5.31 </w:t>
            </w:r>
          </w:p>
        </w:tc>
        <w:tc>
          <w:tcPr>
            <w:tcW w:w="990" w:type="dxa"/>
            <w:noWrap/>
            <w:hideMark/>
          </w:tcPr>
          <w:p w14:paraId="2802CADA"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20.97 </w:t>
            </w:r>
          </w:p>
        </w:tc>
        <w:tc>
          <w:tcPr>
            <w:tcW w:w="900" w:type="dxa"/>
            <w:noWrap/>
            <w:hideMark/>
          </w:tcPr>
          <w:p w14:paraId="0E2CE2F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26.28 </w:t>
            </w:r>
          </w:p>
        </w:tc>
      </w:tr>
      <w:tr w:rsidR="00C0269A" w:rsidRPr="00C67737" w14:paraId="74C6AE28" w14:textId="77777777" w:rsidTr="00D22022">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8441D8"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11050</w:t>
            </w:r>
          </w:p>
        </w:tc>
        <w:tc>
          <w:tcPr>
            <w:tcW w:w="5400" w:type="dxa"/>
            <w:noWrap/>
            <w:hideMark/>
          </w:tcPr>
          <w:p w14:paraId="57DEDBE6" w14:textId="77777777" w:rsidR="00C0269A" w:rsidRPr="00D10503"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An Inclusive Approach for Harnessing Marine Ecosystem Services and Transforming to Sustainable Blue Economy in the Red Sea and Gulf of Aden (HESBERSGA)</w:t>
            </w:r>
          </w:p>
        </w:tc>
        <w:tc>
          <w:tcPr>
            <w:tcW w:w="810" w:type="dxa"/>
            <w:noWrap/>
            <w:hideMark/>
          </w:tcPr>
          <w:p w14:paraId="1BA6FDF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06AC147"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A85AFFC"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05BD45AB"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92672E8"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3131A8D"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8.27 </w:t>
            </w:r>
          </w:p>
        </w:tc>
        <w:tc>
          <w:tcPr>
            <w:tcW w:w="990" w:type="dxa"/>
            <w:noWrap/>
            <w:hideMark/>
          </w:tcPr>
          <w:p w14:paraId="6EEE7F1E"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50.00 </w:t>
            </w:r>
          </w:p>
        </w:tc>
        <w:tc>
          <w:tcPr>
            <w:tcW w:w="900" w:type="dxa"/>
            <w:noWrap/>
            <w:hideMark/>
          </w:tcPr>
          <w:p w14:paraId="4E8F9151" w14:textId="77777777" w:rsidR="00C0269A" w:rsidRPr="00C67737" w:rsidRDefault="00C0269A" w:rsidP="00D2202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58.27 </w:t>
            </w:r>
          </w:p>
        </w:tc>
      </w:tr>
      <w:tr w:rsidR="00C0269A" w:rsidRPr="00C67737" w14:paraId="6A50B279" w14:textId="77777777" w:rsidTr="00D2202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143DA7" w14:textId="77777777" w:rsidR="00C0269A" w:rsidRPr="00C67737" w:rsidRDefault="00C0269A" w:rsidP="00D22022">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11046</w:t>
            </w:r>
          </w:p>
        </w:tc>
        <w:tc>
          <w:tcPr>
            <w:tcW w:w="5400" w:type="dxa"/>
            <w:noWrap/>
            <w:hideMark/>
          </w:tcPr>
          <w:p w14:paraId="748DF2BA" w14:textId="77777777" w:rsidR="00C0269A" w:rsidRPr="00D10503"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D10503">
              <w:rPr>
                <w:rFonts w:eastAsia="Times New Roman" w:cstheme="minorHAnsi"/>
                <w:color w:val="000000"/>
                <w:sz w:val="16"/>
                <w:szCs w:val="16"/>
                <w:lang w:val="en-US"/>
              </w:rPr>
              <w:t>RESILAND: ARMENIA RESILIENT LANDSCAPES PROJECT</w:t>
            </w:r>
          </w:p>
        </w:tc>
        <w:tc>
          <w:tcPr>
            <w:tcW w:w="810" w:type="dxa"/>
            <w:noWrap/>
            <w:hideMark/>
          </w:tcPr>
          <w:p w14:paraId="04A5B938"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64BF3F5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Armenia</w:t>
            </w:r>
          </w:p>
        </w:tc>
        <w:tc>
          <w:tcPr>
            <w:tcW w:w="990" w:type="dxa"/>
            <w:noWrap/>
            <w:hideMark/>
          </w:tcPr>
          <w:p w14:paraId="17ED7D3E"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CEA7371"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95B6735"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29315B9"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6.03 </w:t>
            </w:r>
          </w:p>
        </w:tc>
        <w:tc>
          <w:tcPr>
            <w:tcW w:w="990" w:type="dxa"/>
            <w:noWrap/>
            <w:hideMark/>
          </w:tcPr>
          <w:p w14:paraId="3FB54042"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30.47 </w:t>
            </w:r>
          </w:p>
        </w:tc>
        <w:tc>
          <w:tcPr>
            <w:tcW w:w="900" w:type="dxa"/>
            <w:noWrap/>
            <w:hideMark/>
          </w:tcPr>
          <w:p w14:paraId="276F0CF4" w14:textId="77777777" w:rsidR="00C0269A" w:rsidRPr="00C67737" w:rsidRDefault="00C0269A" w:rsidP="00D2202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36.49 </w:t>
            </w:r>
          </w:p>
        </w:tc>
      </w:tr>
    </w:tbl>
    <w:p w14:paraId="6047B701" w14:textId="77777777" w:rsidR="005576FA" w:rsidRPr="005576FA" w:rsidRDefault="005576FA" w:rsidP="005576FA"/>
    <w:p w14:paraId="3A4495CD" w14:textId="77777777" w:rsidR="005576FA" w:rsidRPr="005576FA" w:rsidRDefault="005576FA" w:rsidP="005576FA">
      <w:r w:rsidRPr="005576FA">
        <w:br w:type="page"/>
      </w:r>
    </w:p>
    <w:p w14:paraId="0A2D04AB" w14:textId="77777777" w:rsidR="00CA5A8A" w:rsidRPr="00C67737" w:rsidRDefault="00CA5A8A" w:rsidP="00640F63">
      <w:pPr>
        <w:pStyle w:val="Heading1"/>
        <w:numPr>
          <w:ilvl w:val="0"/>
          <w:numId w:val="0"/>
        </w:numPr>
        <w:ind w:left="720"/>
        <w:rPr>
          <w:lang w:val="en-US"/>
        </w:rPr>
      </w:pPr>
      <w:bookmarkStart w:id="213" w:name="_Toc239237103"/>
      <w:bookmarkStart w:id="214" w:name="_Toc242184736"/>
      <w:bookmarkStart w:id="215" w:name="_Toc242185300"/>
      <w:r w:rsidRPr="00C67737">
        <w:rPr>
          <w:lang w:val="en-US"/>
        </w:rPr>
        <w:lastRenderedPageBreak/>
        <w:t>Annex 4: Biodiversity Focal Area projects: projects submitted that have not been approved in GEF-8</w:t>
      </w:r>
      <w:bookmarkEnd w:id="213"/>
      <w:bookmarkEnd w:id="214"/>
      <w:bookmarkEnd w:id="215"/>
      <w:r w:rsidRPr="00C67737">
        <w:rPr>
          <w:lang w:val="en-US"/>
        </w:rPr>
        <w:t xml:space="preserve"> </w:t>
      </w:r>
    </w:p>
    <w:p w14:paraId="7FFF83E2" w14:textId="77777777" w:rsidR="005576FA" w:rsidRPr="002B016E" w:rsidRDefault="005576FA" w:rsidP="005576FA">
      <w:pPr>
        <w:rPr>
          <w:lang w:val="en-US"/>
        </w:rPr>
      </w:pPr>
      <w:r w:rsidRPr="002B016E">
        <w:rPr>
          <w:lang w:val="en-US"/>
        </w:rPr>
        <w:t xml:space="preserve">This annex provides information on projects submitted for funding to the GEF Trust Fund’s Biodiversity Focal Area that were not approved in the GEF-8 period from July 1, 2022, to June 30, 2026. </w:t>
      </w:r>
    </w:p>
    <w:p w14:paraId="08737B9A" w14:textId="77777777" w:rsidR="005576FA" w:rsidRPr="002B016E" w:rsidRDefault="005576FA" w:rsidP="005576FA">
      <w:pPr>
        <w:rPr>
          <w:lang w:val="en-US"/>
        </w:rPr>
      </w:pPr>
      <w:r w:rsidRPr="002B016E">
        <w:rPr>
          <w:lang w:val="en-US"/>
        </w:rPr>
        <w:t xml:space="preserve">Projects that were not approved because they were dropped by the Implementing Agency are presented first, followed by projects that did not satisfactorily address GEF Secretariat review comments in time before the end of the GEF-8 cycle, and projects that were not eligible for GEF Trust fund funding as proposed or not selected in the competitive process of the NGI window. </w:t>
      </w:r>
    </w:p>
    <w:p w14:paraId="51597838" w14:textId="77777777" w:rsidR="005576FA" w:rsidRPr="002B016E" w:rsidRDefault="005576FA" w:rsidP="005576FA">
      <w:pPr>
        <w:rPr>
          <w:lang w:val="en-US"/>
        </w:rPr>
      </w:pPr>
      <w:r w:rsidRPr="002B016E">
        <w:rPr>
          <w:lang w:val="en-US"/>
        </w:rPr>
        <w:t>All financial amounts in the table are shown in millions of US dollars.</w:t>
      </w:r>
    </w:p>
    <w:p w14:paraId="7065DBCD" w14:textId="77777777" w:rsidR="005576FA" w:rsidRPr="002B016E" w:rsidRDefault="005576FA" w:rsidP="005576F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4140"/>
        <w:gridCol w:w="990"/>
        <w:gridCol w:w="1620"/>
        <w:gridCol w:w="990"/>
        <w:gridCol w:w="990"/>
        <w:gridCol w:w="720"/>
        <w:gridCol w:w="990"/>
        <w:gridCol w:w="900"/>
        <w:gridCol w:w="895"/>
      </w:tblGrid>
      <w:tr w:rsidR="00750129" w:rsidRPr="00C67737" w14:paraId="6E42B04F" w14:textId="77777777" w:rsidTr="00D22022">
        <w:trPr>
          <w:trHeight w:val="764"/>
          <w:tblHeader/>
        </w:trPr>
        <w:tc>
          <w:tcPr>
            <w:tcW w:w="715" w:type="dxa"/>
            <w:hideMark/>
          </w:tcPr>
          <w:p w14:paraId="2CD027B4"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GEF ID</w:t>
            </w:r>
          </w:p>
        </w:tc>
        <w:tc>
          <w:tcPr>
            <w:tcW w:w="4140" w:type="dxa"/>
            <w:hideMark/>
          </w:tcPr>
          <w:p w14:paraId="488FEFFE"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Project Title</w:t>
            </w:r>
          </w:p>
        </w:tc>
        <w:tc>
          <w:tcPr>
            <w:tcW w:w="990" w:type="dxa"/>
            <w:hideMark/>
          </w:tcPr>
          <w:p w14:paraId="54F6C7AD"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xml:space="preserve">Lead Agency </w:t>
            </w:r>
          </w:p>
        </w:tc>
        <w:tc>
          <w:tcPr>
            <w:tcW w:w="1620" w:type="dxa"/>
            <w:hideMark/>
          </w:tcPr>
          <w:p w14:paraId="1A5720FA"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xml:space="preserve">Country </w:t>
            </w:r>
          </w:p>
        </w:tc>
        <w:tc>
          <w:tcPr>
            <w:tcW w:w="990" w:type="dxa"/>
            <w:hideMark/>
          </w:tcPr>
          <w:p w14:paraId="1B98C43B"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xml:space="preserve">Focal Area </w:t>
            </w:r>
          </w:p>
        </w:tc>
        <w:tc>
          <w:tcPr>
            <w:tcW w:w="990" w:type="dxa"/>
            <w:hideMark/>
          </w:tcPr>
          <w:p w14:paraId="4EACC1C2"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xml:space="preserve">Trust </w:t>
            </w:r>
            <w:proofErr w:type="spellStart"/>
            <w:r w:rsidRPr="00C67737">
              <w:rPr>
                <w:rFonts w:eastAsia="Times New Roman" w:cstheme="minorHAnsi"/>
                <w:b/>
                <w:bCs/>
                <w:color w:val="000000"/>
                <w:sz w:val="16"/>
                <w:szCs w:val="16"/>
              </w:rPr>
              <w:t>Fund</w:t>
            </w:r>
            <w:proofErr w:type="spellEnd"/>
          </w:p>
        </w:tc>
        <w:tc>
          <w:tcPr>
            <w:tcW w:w="720" w:type="dxa"/>
            <w:hideMark/>
          </w:tcPr>
          <w:p w14:paraId="5491FD67"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xml:space="preserve">Project Type </w:t>
            </w:r>
          </w:p>
        </w:tc>
        <w:tc>
          <w:tcPr>
            <w:tcW w:w="990" w:type="dxa"/>
            <w:hideMark/>
          </w:tcPr>
          <w:p w14:paraId="7FB32EA8"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xml:space="preserve">Total GEF </w:t>
            </w:r>
            <w:proofErr w:type="spellStart"/>
            <w:r w:rsidRPr="00C67737">
              <w:rPr>
                <w:rFonts w:eastAsia="Times New Roman" w:cstheme="minorHAnsi"/>
                <w:b/>
                <w:bCs/>
                <w:color w:val="000000"/>
                <w:sz w:val="16"/>
                <w:szCs w:val="16"/>
              </w:rPr>
              <w:t>financing</w:t>
            </w:r>
            <w:proofErr w:type="spellEnd"/>
          </w:p>
          <w:p w14:paraId="1811E5DC"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million)</w:t>
            </w:r>
          </w:p>
        </w:tc>
        <w:tc>
          <w:tcPr>
            <w:tcW w:w="900" w:type="dxa"/>
            <w:hideMark/>
          </w:tcPr>
          <w:p w14:paraId="01ABE219"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Co-</w:t>
            </w:r>
            <w:proofErr w:type="spellStart"/>
            <w:r w:rsidRPr="00C67737">
              <w:rPr>
                <w:rFonts w:eastAsia="Times New Roman" w:cstheme="minorHAnsi"/>
                <w:b/>
                <w:bCs/>
                <w:color w:val="000000"/>
                <w:sz w:val="16"/>
                <w:szCs w:val="16"/>
              </w:rPr>
              <w:t>financing</w:t>
            </w:r>
            <w:proofErr w:type="spellEnd"/>
          </w:p>
          <w:p w14:paraId="3A0D7CE6"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million)</w:t>
            </w:r>
          </w:p>
        </w:tc>
        <w:tc>
          <w:tcPr>
            <w:tcW w:w="895" w:type="dxa"/>
            <w:hideMark/>
          </w:tcPr>
          <w:p w14:paraId="327D56A7"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xml:space="preserve">Total </w:t>
            </w:r>
            <w:proofErr w:type="spellStart"/>
            <w:r w:rsidRPr="00C67737">
              <w:rPr>
                <w:rFonts w:eastAsia="Times New Roman" w:cstheme="minorHAnsi"/>
                <w:b/>
                <w:bCs/>
                <w:color w:val="000000"/>
                <w:sz w:val="16"/>
                <w:szCs w:val="16"/>
              </w:rPr>
              <w:t>project</w:t>
            </w:r>
            <w:proofErr w:type="spellEnd"/>
            <w:r w:rsidRPr="00C67737">
              <w:rPr>
                <w:rFonts w:eastAsia="Times New Roman" w:cstheme="minorHAnsi"/>
                <w:b/>
                <w:bCs/>
                <w:color w:val="000000"/>
                <w:sz w:val="16"/>
                <w:szCs w:val="16"/>
              </w:rPr>
              <w:t xml:space="preserve"> </w:t>
            </w:r>
            <w:proofErr w:type="spellStart"/>
            <w:r w:rsidRPr="00C67737">
              <w:rPr>
                <w:rFonts w:eastAsia="Times New Roman" w:cstheme="minorHAnsi"/>
                <w:b/>
                <w:bCs/>
                <w:color w:val="000000"/>
                <w:sz w:val="16"/>
                <w:szCs w:val="16"/>
              </w:rPr>
              <w:t>costs</w:t>
            </w:r>
            <w:proofErr w:type="spellEnd"/>
          </w:p>
          <w:p w14:paraId="0D722002" w14:textId="77777777" w:rsidR="00750129" w:rsidRPr="00C67737" w:rsidRDefault="00750129" w:rsidP="00D22022">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million)</w:t>
            </w:r>
          </w:p>
        </w:tc>
      </w:tr>
      <w:tr w:rsidR="00750129" w:rsidRPr="00237520" w14:paraId="4059A845" w14:textId="77777777" w:rsidTr="00D22022">
        <w:trPr>
          <w:trHeight w:val="300"/>
        </w:trPr>
        <w:tc>
          <w:tcPr>
            <w:tcW w:w="12950" w:type="dxa"/>
            <w:gridSpan w:val="10"/>
            <w:shd w:val="clear" w:color="auto" w:fill="D9D9D9" w:themeFill="background1" w:themeFillShade="D9"/>
            <w:noWrap/>
            <w:vAlign w:val="center"/>
            <w:hideMark/>
          </w:tcPr>
          <w:p w14:paraId="0F72C0C3" w14:textId="77777777" w:rsidR="00750129" w:rsidRPr="00D10503" w:rsidRDefault="00750129" w:rsidP="00D22022">
            <w:pPr>
              <w:snapToGrid/>
              <w:spacing w:before="0" w:after="0"/>
              <w:jc w:val="center"/>
              <w:rPr>
                <w:rFonts w:eastAsia="Times New Roman" w:cstheme="minorHAnsi"/>
                <w:sz w:val="16"/>
                <w:szCs w:val="16"/>
                <w:lang w:val="en-US"/>
              </w:rPr>
            </w:pPr>
            <w:r w:rsidRPr="00D10503">
              <w:rPr>
                <w:rFonts w:eastAsia="Times New Roman" w:cstheme="minorHAnsi"/>
                <w:b/>
                <w:bCs/>
                <w:color w:val="000000"/>
                <w:sz w:val="16"/>
                <w:szCs w:val="16"/>
                <w:lang w:val="en-US"/>
              </w:rPr>
              <w:t>Projects dropped by the agency</w:t>
            </w:r>
          </w:p>
        </w:tc>
      </w:tr>
      <w:tr w:rsidR="00750129" w:rsidRPr="00C67737" w14:paraId="6F2A60C5" w14:textId="77777777" w:rsidTr="00D22022">
        <w:trPr>
          <w:trHeight w:val="300"/>
        </w:trPr>
        <w:tc>
          <w:tcPr>
            <w:tcW w:w="715" w:type="dxa"/>
            <w:noWrap/>
            <w:hideMark/>
          </w:tcPr>
          <w:p w14:paraId="4A99381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12317</w:t>
            </w:r>
          </w:p>
        </w:tc>
        <w:tc>
          <w:tcPr>
            <w:tcW w:w="4140" w:type="dxa"/>
            <w:noWrap/>
            <w:hideMark/>
          </w:tcPr>
          <w:p w14:paraId="73094F5F"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Enhancing island resilience through improved ecosystem management and sustainable agriculture practices</w:t>
            </w:r>
          </w:p>
        </w:tc>
        <w:tc>
          <w:tcPr>
            <w:tcW w:w="990" w:type="dxa"/>
            <w:noWrap/>
            <w:hideMark/>
          </w:tcPr>
          <w:p w14:paraId="4736F63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World Bank</w:t>
            </w:r>
          </w:p>
        </w:tc>
        <w:tc>
          <w:tcPr>
            <w:tcW w:w="1620" w:type="dxa"/>
            <w:noWrap/>
            <w:hideMark/>
          </w:tcPr>
          <w:p w14:paraId="2291260E"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Seychelles</w:t>
            </w:r>
          </w:p>
        </w:tc>
        <w:tc>
          <w:tcPr>
            <w:tcW w:w="990" w:type="dxa"/>
            <w:noWrap/>
            <w:hideMark/>
          </w:tcPr>
          <w:p w14:paraId="356D9AC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48D7F79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SCCF-A, GET, MTF</w:t>
            </w:r>
          </w:p>
        </w:tc>
        <w:tc>
          <w:tcPr>
            <w:tcW w:w="720" w:type="dxa"/>
            <w:noWrap/>
            <w:hideMark/>
          </w:tcPr>
          <w:p w14:paraId="2042759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0A6B106"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3.90</w:t>
            </w:r>
          </w:p>
        </w:tc>
        <w:tc>
          <w:tcPr>
            <w:tcW w:w="900" w:type="dxa"/>
            <w:noWrap/>
            <w:hideMark/>
          </w:tcPr>
          <w:p w14:paraId="05E1F45F"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10.00</w:t>
            </w:r>
          </w:p>
        </w:tc>
        <w:tc>
          <w:tcPr>
            <w:tcW w:w="895" w:type="dxa"/>
            <w:noWrap/>
            <w:hideMark/>
          </w:tcPr>
          <w:p w14:paraId="48689509"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13.90</w:t>
            </w:r>
          </w:p>
        </w:tc>
      </w:tr>
      <w:tr w:rsidR="00750129" w:rsidRPr="00C67737" w14:paraId="41EE3BDB" w14:textId="77777777" w:rsidTr="00D22022">
        <w:trPr>
          <w:trHeight w:val="300"/>
        </w:trPr>
        <w:tc>
          <w:tcPr>
            <w:tcW w:w="715" w:type="dxa"/>
            <w:noWrap/>
            <w:hideMark/>
          </w:tcPr>
          <w:p w14:paraId="47CF51FD"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12310</w:t>
            </w:r>
          </w:p>
        </w:tc>
        <w:tc>
          <w:tcPr>
            <w:tcW w:w="4140" w:type="dxa"/>
            <w:noWrap/>
            <w:hideMark/>
          </w:tcPr>
          <w:p w14:paraId="77892A74"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Connecting Landscapes for Jaguar Conservation</w:t>
            </w:r>
          </w:p>
        </w:tc>
        <w:tc>
          <w:tcPr>
            <w:tcW w:w="990" w:type="dxa"/>
            <w:noWrap/>
            <w:hideMark/>
          </w:tcPr>
          <w:p w14:paraId="642E924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69AED4F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732C9E0E"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11B8843D"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6EB5C31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E0A4CA1"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2.60</w:t>
            </w:r>
          </w:p>
        </w:tc>
        <w:tc>
          <w:tcPr>
            <w:tcW w:w="900" w:type="dxa"/>
            <w:noWrap/>
            <w:hideMark/>
          </w:tcPr>
          <w:p w14:paraId="7C2A9F51"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28.81</w:t>
            </w:r>
          </w:p>
        </w:tc>
        <w:tc>
          <w:tcPr>
            <w:tcW w:w="895" w:type="dxa"/>
            <w:noWrap/>
            <w:hideMark/>
          </w:tcPr>
          <w:p w14:paraId="0A2ED6AC"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31.41</w:t>
            </w:r>
          </w:p>
        </w:tc>
      </w:tr>
      <w:tr w:rsidR="00750129" w:rsidRPr="00C67737" w14:paraId="62388E6C" w14:textId="77777777" w:rsidTr="00D22022">
        <w:trPr>
          <w:trHeight w:val="300"/>
        </w:trPr>
        <w:tc>
          <w:tcPr>
            <w:tcW w:w="715" w:type="dxa"/>
            <w:noWrap/>
            <w:hideMark/>
          </w:tcPr>
          <w:p w14:paraId="6B7B2350"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12298</w:t>
            </w:r>
          </w:p>
        </w:tc>
        <w:tc>
          <w:tcPr>
            <w:tcW w:w="4140" w:type="dxa"/>
            <w:noWrap/>
            <w:hideMark/>
          </w:tcPr>
          <w:p w14:paraId="6E069D56"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Integrated marine coastal management for biodiversity conservation in the coasts and beaches of Ecuador</w:t>
            </w:r>
          </w:p>
        </w:tc>
        <w:tc>
          <w:tcPr>
            <w:tcW w:w="990" w:type="dxa"/>
            <w:noWrap/>
            <w:hideMark/>
          </w:tcPr>
          <w:p w14:paraId="0ECECE0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2EC297A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7A414CA4"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3626216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6FDBF63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4822DC4"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5.00</w:t>
            </w:r>
          </w:p>
        </w:tc>
        <w:tc>
          <w:tcPr>
            <w:tcW w:w="900" w:type="dxa"/>
            <w:noWrap/>
            <w:hideMark/>
          </w:tcPr>
          <w:p w14:paraId="7122AD9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81.85</w:t>
            </w:r>
          </w:p>
        </w:tc>
        <w:tc>
          <w:tcPr>
            <w:tcW w:w="895" w:type="dxa"/>
            <w:noWrap/>
            <w:hideMark/>
          </w:tcPr>
          <w:p w14:paraId="5A6B5213"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86.85</w:t>
            </w:r>
          </w:p>
        </w:tc>
      </w:tr>
      <w:tr w:rsidR="00750129" w:rsidRPr="00C67737" w14:paraId="78459192" w14:textId="77777777" w:rsidTr="00D22022">
        <w:trPr>
          <w:trHeight w:val="300"/>
        </w:trPr>
        <w:tc>
          <w:tcPr>
            <w:tcW w:w="715" w:type="dxa"/>
            <w:noWrap/>
            <w:hideMark/>
          </w:tcPr>
          <w:p w14:paraId="2EBCB82D"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12164</w:t>
            </w:r>
          </w:p>
        </w:tc>
        <w:tc>
          <w:tcPr>
            <w:tcW w:w="4140" w:type="dxa"/>
            <w:noWrap/>
            <w:hideMark/>
          </w:tcPr>
          <w:p w14:paraId="18F26241"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Conservation of globally significant biodiversity of the Ulu Jelai – Fraser’s Hill Watershed, Malaysia, through a Living Landscape approach</w:t>
            </w:r>
          </w:p>
        </w:tc>
        <w:tc>
          <w:tcPr>
            <w:tcW w:w="990" w:type="dxa"/>
            <w:noWrap/>
            <w:hideMark/>
          </w:tcPr>
          <w:p w14:paraId="25B00B2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6DA922E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0CACA6D4"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5688BB6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568A349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F1033F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5.64</w:t>
            </w:r>
          </w:p>
        </w:tc>
        <w:tc>
          <w:tcPr>
            <w:tcW w:w="900" w:type="dxa"/>
            <w:noWrap/>
            <w:hideMark/>
          </w:tcPr>
          <w:p w14:paraId="7BA72E0C"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42.22</w:t>
            </w:r>
          </w:p>
        </w:tc>
        <w:tc>
          <w:tcPr>
            <w:tcW w:w="895" w:type="dxa"/>
            <w:noWrap/>
            <w:hideMark/>
          </w:tcPr>
          <w:p w14:paraId="579E8AF4"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47.86</w:t>
            </w:r>
          </w:p>
        </w:tc>
      </w:tr>
      <w:tr w:rsidR="00750129" w:rsidRPr="00C67737" w14:paraId="4F5D64AD" w14:textId="77777777" w:rsidTr="00D22022">
        <w:trPr>
          <w:trHeight w:val="300"/>
        </w:trPr>
        <w:tc>
          <w:tcPr>
            <w:tcW w:w="715" w:type="dxa"/>
            <w:noWrap/>
            <w:hideMark/>
          </w:tcPr>
          <w:p w14:paraId="1FEE9390"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12142</w:t>
            </w:r>
          </w:p>
        </w:tc>
        <w:tc>
          <w:tcPr>
            <w:tcW w:w="4140" w:type="dxa"/>
            <w:noWrap/>
            <w:hideMark/>
          </w:tcPr>
          <w:p w14:paraId="1E9FC92A"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Boosting Biodiversity, Adaptation to climate change and Community Well-being in Ecuador</w:t>
            </w:r>
          </w:p>
        </w:tc>
        <w:tc>
          <w:tcPr>
            <w:tcW w:w="990" w:type="dxa"/>
            <w:noWrap/>
            <w:hideMark/>
          </w:tcPr>
          <w:p w14:paraId="72F51F8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CAF</w:t>
            </w:r>
          </w:p>
        </w:tc>
        <w:tc>
          <w:tcPr>
            <w:tcW w:w="1620" w:type="dxa"/>
            <w:noWrap/>
            <w:hideMark/>
          </w:tcPr>
          <w:p w14:paraId="40C784FD"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4145BCFF"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2B70495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0DBB86F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E35C08B"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4.50</w:t>
            </w:r>
          </w:p>
        </w:tc>
        <w:tc>
          <w:tcPr>
            <w:tcW w:w="900" w:type="dxa"/>
            <w:noWrap/>
            <w:hideMark/>
          </w:tcPr>
          <w:p w14:paraId="1F287648"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33.21</w:t>
            </w:r>
          </w:p>
        </w:tc>
        <w:tc>
          <w:tcPr>
            <w:tcW w:w="895" w:type="dxa"/>
            <w:noWrap/>
            <w:hideMark/>
          </w:tcPr>
          <w:p w14:paraId="6E4E5D47"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37.71</w:t>
            </w:r>
          </w:p>
        </w:tc>
      </w:tr>
      <w:tr w:rsidR="00750129" w:rsidRPr="00C67737" w14:paraId="2F7E8EFE" w14:textId="77777777" w:rsidTr="00D22022">
        <w:trPr>
          <w:trHeight w:val="300"/>
        </w:trPr>
        <w:tc>
          <w:tcPr>
            <w:tcW w:w="715" w:type="dxa"/>
            <w:noWrap/>
            <w:hideMark/>
          </w:tcPr>
          <w:p w14:paraId="4CEC32A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12079</w:t>
            </w:r>
          </w:p>
        </w:tc>
        <w:tc>
          <w:tcPr>
            <w:tcW w:w="4140" w:type="dxa"/>
            <w:noWrap/>
            <w:hideMark/>
          </w:tcPr>
          <w:p w14:paraId="1C607A3A"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Tonga Rural Innovation Project Phase III</w:t>
            </w:r>
          </w:p>
        </w:tc>
        <w:tc>
          <w:tcPr>
            <w:tcW w:w="990" w:type="dxa"/>
            <w:noWrap/>
            <w:hideMark/>
          </w:tcPr>
          <w:p w14:paraId="3C3DCE13"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IFAD</w:t>
            </w:r>
          </w:p>
        </w:tc>
        <w:tc>
          <w:tcPr>
            <w:tcW w:w="1620" w:type="dxa"/>
            <w:noWrap/>
            <w:hideMark/>
          </w:tcPr>
          <w:p w14:paraId="2A1781ED"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Tonga</w:t>
            </w:r>
          </w:p>
        </w:tc>
        <w:tc>
          <w:tcPr>
            <w:tcW w:w="990" w:type="dxa"/>
            <w:noWrap/>
            <w:hideMark/>
          </w:tcPr>
          <w:p w14:paraId="62E01E7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4AFD8C0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 SCCF-A, MTF</w:t>
            </w:r>
          </w:p>
        </w:tc>
        <w:tc>
          <w:tcPr>
            <w:tcW w:w="720" w:type="dxa"/>
            <w:noWrap/>
            <w:hideMark/>
          </w:tcPr>
          <w:p w14:paraId="7BF0D4D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122D53C"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5.10</w:t>
            </w:r>
          </w:p>
        </w:tc>
        <w:tc>
          <w:tcPr>
            <w:tcW w:w="900" w:type="dxa"/>
            <w:noWrap/>
            <w:hideMark/>
          </w:tcPr>
          <w:p w14:paraId="105B4C6C"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10.17</w:t>
            </w:r>
          </w:p>
        </w:tc>
        <w:tc>
          <w:tcPr>
            <w:tcW w:w="895" w:type="dxa"/>
            <w:noWrap/>
            <w:hideMark/>
          </w:tcPr>
          <w:p w14:paraId="198F74BF"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15.27</w:t>
            </w:r>
          </w:p>
        </w:tc>
      </w:tr>
      <w:tr w:rsidR="00750129" w:rsidRPr="00C67737" w14:paraId="5DF3D8BF" w14:textId="77777777" w:rsidTr="00D22022">
        <w:trPr>
          <w:trHeight w:val="300"/>
        </w:trPr>
        <w:tc>
          <w:tcPr>
            <w:tcW w:w="715" w:type="dxa"/>
            <w:noWrap/>
            <w:hideMark/>
          </w:tcPr>
          <w:p w14:paraId="2540645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12060</w:t>
            </w:r>
          </w:p>
        </w:tc>
        <w:tc>
          <w:tcPr>
            <w:tcW w:w="4140" w:type="dxa"/>
            <w:noWrap/>
            <w:hideMark/>
          </w:tcPr>
          <w:p w14:paraId="32553A30"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Integrated Management for Ecosystem Services Restoration, Biodiversity Conservation, Sustainable Land, Water Management and Enhanced Climate Action in Syria (Latakia Governate).</w:t>
            </w:r>
          </w:p>
        </w:tc>
        <w:tc>
          <w:tcPr>
            <w:tcW w:w="990" w:type="dxa"/>
            <w:noWrap/>
            <w:hideMark/>
          </w:tcPr>
          <w:p w14:paraId="0AA6173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20D528F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Syria</w:t>
            </w:r>
          </w:p>
        </w:tc>
        <w:tc>
          <w:tcPr>
            <w:tcW w:w="990" w:type="dxa"/>
            <w:noWrap/>
            <w:hideMark/>
          </w:tcPr>
          <w:p w14:paraId="2C90737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3CAAE590"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0335A1C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B8C085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6.13</w:t>
            </w:r>
          </w:p>
        </w:tc>
        <w:tc>
          <w:tcPr>
            <w:tcW w:w="900" w:type="dxa"/>
            <w:noWrap/>
            <w:hideMark/>
          </w:tcPr>
          <w:p w14:paraId="0627C7A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12.97</w:t>
            </w:r>
          </w:p>
        </w:tc>
        <w:tc>
          <w:tcPr>
            <w:tcW w:w="895" w:type="dxa"/>
            <w:noWrap/>
            <w:hideMark/>
          </w:tcPr>
          <w:p w14:paraId="3F23DD76"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19.10</w:t>
            </w:r>
          </w:p>
        </w:tc>
      </w:tr>
      <w:tr w:rsidR="00750129" w:rsidRPr="00C67737" w14:paraId="0EBF8323" w14:textId="77777777" w:rsidTr="00D22022">
        <w:trPr>
          <w:trHeight w:val="300"/>
        </w:trPr>
        <w:tc>
          <w:tcPr>
            <w:tcW w:w="715" w:type="dxa"/>
            <w:noWrap/>
            <w:hideMark/>
          </w:tcPr>
          <w:p w14:paraId="6ECF1244"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11957</w:t>
            </w:r>
          </w:p>
        </w:tc>
        <w:tc>
          <w:tcPr>
            <w:tcW w:w="4140" w:type="dxa"/>
            <w:noWrap/>
            <w:hideMark/>
          </w:tcPr>
          <w:p w14:paraId="18FCB6B6"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Strengthening the governance of national parks for the sustainable management of ecosystems in Northern Algeria</w:t>
            </w:r>
          </w:p>
        </w:tc>
        <w:tc>
          <w:tcPr>
            <w:tcW w:w="990" w:type="dxa"/>
            <w:noWrap/>
            <w:hideMark/>
          </w:tcPr>
          <w:p w14:paraId="31FA2F4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65F44B0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Algeria</w:t>
            </w:r>
          </w:p>
        </w:tc>
        <w:tc>
          <w:tcPr>
            <w:tcW w:w="990" w:type="dxa"/>
            <w:noWrap/>
            <w:hideMark/>
          </w:tcPr>
          <w:p w14:paraId="67EF00AA"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56F971A4"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3A89926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AC20329"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2.00</w:t>
            </w:r>
          </w:p>
        </w:tc>
        <w:tc>
          <w:tcPr>
            <w:tcW w:w="900" w:type="dxa"/>
            <w:noWrap/>
            <w:hideMark/>
          </w:tcPr>
          <w:p w14:paraId="100006E7"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11.70</w:t>
            </w:r>
          </w:p>
        </w:tc>
        <w:tc>
          <w:tcPr>
            <w:tcW w:w="895" w:type="dxa"/>
            <w:noWrap/>
            <w:hideMark/>
          </w:tcPr>
          <w:p w14:paraId="6C157893"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13.70</w:t>
            </w:r>
          </w:p>
        </w:tc>
      </w:tr>
      <w:tr w:rsidR="00750129" w:rsidRPr="00C67737" w14:paraId="6A215A32" w14:textId="77777777" w:rsidTr="00D22022">
        <w:trPr>
          <w:trHeight w:val="300"/>
        </w:trPr>
        <w:tc>
          <w:tcPr>
            <w:tcW w:w="715" w:type="dxa"/>
            <w:noWrap/>
            <w:hideMark/>
          </w:tcPr>
          <w:p w14:paraId="64168033"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11942</w:t>
            </w:r>
          </w:p>
        </w:tc>
        <w:tc>
          <w:tcPr>
            <w:tcW w:w="4140" w:type="dxa"/>
            <w:noWrap/>
            <w:hideMark/>
          </w:tcPr>
          <w:p w14:paraId="4E40FDFE"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Empowering IP&amp;LCs for Conservation: Enhancing Livelihoods and Protecting Forest Elephants in and around </w:t>
            </w:r>
            <w:proofErr w:type="spellStart"/>
            <w:r w:rsidRPr="00D10503">
              <w:rPr>
                <w:rFonts w:eastAsia="Times New Roman" w:cstheme="minorHAnsi"/>
                <w:color w:val="000000"/>
                <w:sz w:val="16"/>
                <w:szCs w:val="16"/>
                <w:lang w:val="en-US"/>
              </w:rPr>
              <w:t>Boumba</w:t>
            </w:r>
            <w:proofErr w:type="spellEnd"/>
            <w:r w:rsidRPr="00D10503">
              <w:rPr>
                <w:rFonts w:eastAsia="Times New Roman" w:cstheme="minorHAnsi"/>
                <w:color w:val="000000"/>
                <w:sz w:val="16"/>
                <w:szCs w:val="16"/>
                <w:lang w:val="en-US"/>
              </w:rPr>
              <w:t xml:space="preserve"> Bek National Park</w:t>
            </w:r>
          </w:p>
        </w:tc>
        <w:tc>
          <w:tcPr>
            <w:tcW w:w="990" w:type="dxa"/>
            <w:noWrap/>
            <w:hideMark/>
          </w:tcPr>
          <w:p w14:paraId="2E5CCE78"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WWF-US</w:t>
            </w:r>
          </w:p>
        </w:tc>
        <w:tc>
          <w:tcPr>
            <w:tcW w:w="1620" w:type="dxa"/>
            <w:noWrap/>
            <w:hideMark/>
          </w:tcPr>
          <w:p w14:paraId="3969993A"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Cameroon</w:t>
            </w:r>
            <w:proofErr w:type="spellEnd"/>
          </w:p>
        </w:tc>
        <w:tc>
          <w:tcPr>
            <w:tcW w:w="990" w:type="dxa"/>
            <w:noWrap/>
            <w:hideMark/>
          </w:tcPr>
          <w:p w14:paraId="2328126D"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53579698"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62392B7E"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6467EA7"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4.00</w:t>
            </w:r>
          </w:p>
        </w:tc>
        <w:tc>
          <w:tcPr>
            <w:tcW w:w="900" w:type="dxa"/>
            <w:noWrap/>
            <w:hideMark/>
          </w:tcPr>
          <w:p w14:paraId="1975AC81"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29.92</w:t>
            </w:r>
          </w:p>
        </w:tc>
        <w:tc>
          <w:tcPr>
            <w:tcW w:w="895" w:type="dxa"/>
            <w:noWrap/>
            <w:hideMark/>
          </w:tcPr>
          <w:p w14:paraId="5267908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33.92</w:t>
            </w:r>
          </w:p>
        </w:tc>
      </w:tr>
      <w:tr w:rsidR="00750129" w:rsidRPr="00C67737" w14:paraId="18B92729" w14:textId="77777777" w:rsidTr="00D22022">
        <w:trPr>
          <w:trHeight w:val="300"/>
        </w:trPr>
        <w:tc>
          <w:tcPr>
            <w:tcW w:w="715" w:type="dxa"/>
            <w:noWrap/>
            <w:hideMark/>
          </w:tcPr>
          <w:p w14:paraId="1C8E1C5D"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11927</w:t>
            </w:r>
          </w:p>
        </w:tc>
        <w:tc>
          <w:tcPr>
            <w:tcW w:w="4140" w:type="dxa"/>
            <w:noWrap/>
            <w:hideMark/>
          </w:tcPr>
          <w:p w14:paraId="12E2DA5A"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Ecosystem-Based Management of Wetland Clusters in the East Asian-Australasian Flyway (EAAF) in Bangladesh</w:t>
            </w:r>
          </w:p>
        </w:tc>
        <w:tc>
          <w:tcPr>
            <w:tcW w:w="990" w:type="dxa"/>
            <w:noWrap/>
            <w:hideMark/>
          </w:tcPr>
          <w:p w14:paraId="23DF7BE0"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4F9FF74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Bangladesh</w:t>
            </w:r>
          </w:p>
        </w:tc>
        <w:tc>
          <w:tcPr>
            <w:tcW w:w="990" w:type="dxa"/>
            <w:noWrap/>
            <w:hideMark/>
          </w:tcPr>
          <w:p w14:paraId="46DEFDE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73BFFC0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2733B830"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62DCCC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10.38</w:t>
            </w:r>
          </w:p>
        </w:tc>
        <w:tc>
          <w:tcPr>
            <w:tcW w:w="900" w:type="dxa"/>
            <w:noWrap/>
            <w:hideMark/>
          </w:tcPr>
          <w:p w14:paraId="26169344"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50.00</w:t>
            </w:r>
          </w:p>
        </w:tc>
        <w:tc>
          <w:tcPr>
            <w:tcW w:w="895" w:type="dxa"/>
            <w:noWrap/>
            <w:hideMark/>
          </w:tcPr>
          <w:p w14:paraId="4B1C536C"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60.38</w:t>
            </w:r>
          </w:p>
        </w:tc>
      </w:tr>
      <w:tr w:rsidR="00750129" w:rsidRPr="00C67737" w14:paraId="582DBF4A" w14:textId="77777777" w:rsidTr="00D22022">
        <w:trPr>
          <w:trHeight w:val="300"/>
        </w:trPr>
        <w:tc>
          <w:tcPr>
            <w:tcW w:w="715" w:type="dxa"/>
            <w:noWrap/>
            <w:hideMark/>
          </w:tcPr>
          <w:p w14:paraId="122009F8"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11860</w:t>
            </w:r>
          </w:p>
        </w:tc>
        <w:tc>
          <w:tcPr>
            <w:tcW w:w="4140" w:type="dxa"/>
            <w:noWrap/>
            <w:hideMark/>
          </w:tcPr>
          <w:p w14:paraId="722B19CD"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Support to Preparation of the First National Report on the Implementation of the Nagoya Protocol</w:t>
            </w:r>
          </w:p>
        </w:tc>
        <w:tc>
          <w:tcPr>
            <w:tcW w:w="990" w:type="dxa"/>
            <w:noWrap/>
            <w:hideMark/>
          </w:tcPr>
          <w:p w14:paraId="7A89BBD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10F8166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187F30AD"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627B217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28C0543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756B5E0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3.26</w:t>
            </w:r>
          </w:p>
        </w:tc>
        <w:tc>
          <w:tcPr>
            <w:tcW w:w="900" w:type="dxa"/>
            <w:noWrap/>
            <w:hideMark/>
          </w:tcPr>
          <w:p w14:paraId="330223A8"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w:t>
            </w:r>
          </w:p>
        </w:tc>
        <w:tc>
          <w:tcPr>
            <w:tcW w:w="895" w:type="dxa"/>
            <w:noWrap/>
            <w:hideMark/>
          </w:tcPr>
          <w:p w14:paraId="741EAF08"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3.26</w:t>
            </w:r>
          </w:p>
        </w:tc>
      </w:tr>
      <w:tr w:rsidR="00750129" w:rsidRPr="00C67737" w14:paraId="5C0E7CA0" w14:textId="77777777" w:rsidTr="00D22022">
        <w:trPr>
          <w:trHeight w:val="300"/>
        </w:trPr>
        <w:tc>
          <w:tcPr>
            <w:tcW w:w="715" w:type="dxa"/>
            <w:noWrap/>
            <w:hideMark/>
          </w:tcPr>
          <w:p w14:paraId="6E105D9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11859</w:t>
            </w:r>
          </w:p>
        </w:tc>
        <w:tc>
          <w:tcPr>
            <w:tcW w:w="4140" w:type="dxa"/>
            <w:noWrap/>
            <w:hideMark/>
          </w:tcPr>
          <w:p w14:paraId="04E420D0" w14:textId="2F6FAD73"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Support to Preparation of the Fifth National Reports on the Implementation of the Cartagena Protocol on Biosafety</w:t>
            </w:r>
          </w:p>
        </w:tc>
        <w:tc>
          <w:tcPr>
            <w:tcW w:w="990" w:type="dxa"/>
            <w:noWrap/>
            <w:hideMark/>
          </w:tcPr>
          <w:p w14:paraId="3ECB77D8"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1EC180B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073F83A"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7C067354"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1E83487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2D7EDDDC"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3.51</w:t>
            </w:r>
          </w:p>
        </w:tc>
        <w:tc>
          <w:tcPr>
            <w:tcW w:w="900" w:type="dxa"/>
            <w:noWrap/>
            <w:hideMark/>
          </w:tcPr>
          <w:p w14:paraId="77120D58"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w:t>
            </w:r>
          </w:p>
        </w:tc>
        <w:tc>
          <w:tcPr>
            <w:tcW w:w="895" w:type="dxa"/>
            <w:noWrap/>
            <w:hideMark/>
          </w:tcPr>
          <w:p w14:paraId="0A96F3AA"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3.51</w:t>
            </w:r>
          </w:p>
        </w:tc>
      </w:tr>
      <w:tr w:rsidR="00750129" w:rsidRPr="00C67737" w14:paraId="51F6F7FD" w14:textId="77777777" w:rsidTr="00D22022">
        <w:trPr>
          <w:trHeight w:val="300"/>
        </w:trPr>
        <w:tc>
          <w:tcPr>
            <w:tcW w:w="715" w:type="dxa"/>
            <w:noWrap/>
            <w:hideMark/>
          </w:tcPr>
          <w:p w14:paraId="32CFE4F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lastRenderedPageBreak/>
              <w:t>11722</w:t>
            </w:r>
          </w:p>
        </w:tc>
        <w:tc>
          <w:tcPr>
            <w:tcW w:w="4140" w:type="dxa"/>
            <w:noWrap/>
            <w:hideMark/>
          </w:tcPr>
          <w:p w14:paraId="6C906FBC"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Promoting environmental sustainability and social equity in Gaborone through a sustainable urban development approach.</w:t>
            </w:r>
          </w:p>
        </w:tc>
        <w:tc>
          <w:tcPr>
            <w:tcW w:w="990" w:type="dxa"/>
            <w:noWrap/>
            <w:hideMark/>
          </w:tcPr>
          <w:p w14:paraId="7C1B777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44C39102"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Botswana</w:t>
            </w:r>
          </w:p>
        </w:tc>
        <w:tc>
          <w:tcPr>
            <w:tcW w:w="990" w:type="dxa"/>
            <w:noWrap/>
            <w:hideMark/>
          </w:tcPr>
          <w:p w14:paraId="1D9EE62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73F0134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5C204B9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E0157CB"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6.10</w:t>
            </w:r>
          </w:p>
        </w:tc>
        <w:tc>
          <w:tcPr>
            <w:tcW w:w="900" w:type="dxa"/>
            <w:noWrap/>
            <w:hideMark/>
          </w:tcPr>
          <w:p w14:paraId="7491E275"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39.15</w:t>
            </w:r>
          </w:p>
        </w:tc>
        <w:tc>
          <w:tcPr>
            <w:tcW w:w="895" w:type="dxa"/>
            <w:noWrap/>
            <w:hideMark/>
          </w:tcPr>
          <w:p w14:paraId="1BA988EF"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45.25</w:t>
            </w:r>
          </w:p>
        </w:tc>
      </w:tr>
      <w:tr w:rsidR="00750129" w:rsidRPr="00C67737" w14:paraId="3DC4D8DD" w14:textId="77777777" w:rsidTr="00D22022">
        <w:trPr>
          <w:trHeight w:val="300"/>
        </w:trPr>
        <w:tc>
          <w:tcPr>
            <w:tcW w:w="715" w:type="dxa"/>
            <w:noWrap/>
            <w:hideMark/>
          </w:tcPr>
          <w:p w14:paraId="0A94837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11713</w:t>
            </w:r>
          </w:p>
        </w:tc>
        <w:tc>
          <w:tcPr>
            <w:tcW w:w="4140" w:type="dxa"/>
            <w:noWrap/>
            <w:hideMark/>
          </w:tcPr>
          <w:p w14:paraId="7E847545"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Conservation and restoration of four degraded agroecosystem landscapes in Indonesia to benefit biodiversity, improve ecosystem functioning, and increase livelihood generation and carbon sequestration</w:t>
            </w:r>
          </w:p>
        </w:tc>
        <w:tc>
          <w:tcPr>
            <w:tcW w:w="990" w:type="dxa"/>
            <w:noWrap/>
            <w:hideMark/>
          </w:tcPr>
          <w:p w14:paraId="3A93E0B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56217220"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5C2409B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6D94C3D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7F2AB2B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417615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8.00</w:t>
            </w:r>
          </w:p>
        </w:tc>
        <w:tc>
          <w:tcPr>
            <w:tcW w:w="900" w:type="dxa"/>
            <w:noWrap/>
            <w:hideMark/>
          </w:tcPr>
          <w:p w14:paraId="2FFD0884"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62.43</w:t>
            </w:r>
          </w:p>
        </w:tc>
        <w:tc>
          <w:tcPr>
            <w:tcW w:w="895" w:type="dxa"/>
            <w:noWrap/>
            <w:hideMark/>
          </w:tcPr>
          <w:p w14:paraId="193C6A4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70.43</w:t>
            </w:r>
          </w:p>
        </w:tc>
      </w:tr>
      <w:tr w:rsidR="00750129" w:rsidRPr="00C67737" w14:paraId="74DC8DA1" w14:textId="77777777" w:rsidTr="00D22022">
        <w:trPr>
          <w:trHeight w:val="300"/>
        </w:trPr>
        <w:tc>
          <w:tcPr>
            <w:tcW w:w="715" w:type="dxa"/>
            <w:noWrap/>
            <w:hideMark/>
          </w:tcPr>
          <w:p w14:paraId="43C0784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11527</w:t>
            </w:r>
          </w:p>
        </w:tc>
        <w:tc>
          <w:tcPr>
            <w:tcW w:w="4140" w:type="dxa"/>
            <w:noWrap/>
            <w:hideMark/>
          </w:tcPr>
          <w:p w14:paraId="49D39F33"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Ecosystem-Based Management of Wetland Clusters in the East Asian-Australasian Flyway (EAAF) in Bangladesh</w:t>
            </w:r>
          </w:p>
        </w:tc>
        <w:tc>
          <w:tcPr>
            <w:tcW w:w="990" w:type="dxa"/>
            <w:noWrap/>
            <w:hideMark/>
          </w:tcPr>
          <w:p w14:paraId="568F4C14"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52669253"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Bangladesh</w:t>
            </w:r>
          </w:p>
        </w:tc>
        <w:tc>
          <w:tcPr>
            <w:tcW w:w="990" w:type="dxa"/>
            <w:noWrap/>
            <w:hideMark/>
          </w:tcPr>
          <w:p w14:paraId="44086C0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1225BF6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D2DCC3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0FFE0A5"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10.38</w:t>
            </w:r>
          </w:p>
        </w:tc>
        <w:tc>
          <w:tcPr>
            <w:tcW w:w="900" w:type="dxa"/>
            <w:noWrap/>
            <w:hideMark/>
          </w:tcPr>
          <w:p w14:paraId="235A2084"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50.00</w:t>
            </w:r>
          </w:p>
        </w:tc>
        <w:tc>
          <w:tcPr>
            <w:tcW w:w="895" w:type="dxa"/>
            <w:noWrap/>
            <w:hideMark/>
          </w:tcPr>
          <w:p w14:paraId="539E241F"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60.38</w:t>
            </w:r>
          </w:p>
        </w:tc>
      </w:tr>
      <w:tr w:rsidR="00750129" w:rsidRPr="00C67737" w14:paraId="4E2D2F51" w14:textId="77777777" w:rsidTr="00D22022">
        <w:trPr>
          <w:trHeight w:val="300"/>
        </w:trPr>
        <w:tc>
          <w:tcPr>
            <w:tcW w:w="715" w:type="dxa"/>
            <w:noWrap/>
            <w:hideMark/>
          </w:tcPr>
          <w:p w14:paraId="4C32478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11521</w:t>
            </w:r>
          </w:p>
        </w:tc>
        <w:tc>
          <w:tcPr>
            <w:tcW w:w="4140" w:type="dxa"/>
            <w:noWrap/>
            <w:hideMark/>
          </w:tcPr>
          <w:p w14:paraId="3FF00C58"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Scaling-up conservation and sustainable management of priority wetlands of the East-Asian Australasian Flyway in the Philippines (PHIL FLYWAY)</w:t>
            </w:r>
          </w:p>
        </w:tc>
        <w:tc>
          <w:tcPr>
            <w:tcW w:w="990" w:type="dxa"/>
            <w:noWrap/>
            <w:hideMark/>
          </w:tcPr>
          <w:p w14:paraId="77166C2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ADB</w:t>
            </w:r>
          </w:p>
        </w:tc>
        <w:tc>
          <w:tcPr>
            <w:tcW w:w="1620" w:type="dxa"/>
            <w:noWrap/>
            <w:hideMark/>
          </w:tcPr>
          <w:p w14:paraId="3240DCE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7D66782E"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5F1D71B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07A1A21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ED480A2"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3.00</w:t>
            </w:r>
          </w:p>
        </w:tc>
        <w:tc>
          <w:tcPr>
            <w:tcW w:w="900" w:type="dxa"/>
            <w:noWrap/>
            <w:hideMark/>
          </w:tcPr>
          <w:p w14:paraId="1957A1BE"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6.78</w:t>
            </w:r>
          </w:p>
        </w:tc>
        <w:tc>
          <w:tcPr>
            <w:tcW w:w="895" w:type="dxa"/>
            <w:noWrap/>
            <w:hideMark/>
          </w:tcPr>
          <w:p w14:paraId="51E4B629"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9.78</w:t>
            </w:r>
          </w:p>
        </w:tc>
      </w:tr>
      <w:tr w:rsidR="00750129" w:rsidRPr="00C67737" w14:paraId="2CB2F535" w14:textId="77777777" w:rsidTr="00D22022">
        <w:trPr>
          <w:trHeight w:val="300"/>
        </w:trPr>
        <w:tc>
          <w:tcPr>
            <w:tcW w:w="715" w:type="dxa"/>
            <w:noWrap/>
            <w:hideMark/>
          </w:tcPr>
          <w:p w14:paraId="367D09E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11507</w:t>
            </w:r>
          </w:p>
        </w:tc>
        <w:tc>
          <w:tcPr>
            <w:tcW w:w="4140" w:type="dxa"/>
            <w:noWrap/>
            <w:hideMark/>
          </w:tcPr>
          <w:p w14:paraId="75F17D5D"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Transformation of smallholder-farmer livelihoods for reduced loss of biodiversity and degraded land in Liberia’s rice landscapes through nature-positive agriculture production and sustainable agri-food systems.</w:t>
            </w:r>
          </w:p>
        </w:tc>
        <w:tc>
          <w:tcPr>
            <w:tcW w:w="990" w:type="dxa"/>
            <w:noWrap/>
            <w:hideMark/>
          </w:tcPr>
          <w:p w14:paraId="4C635D8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1B090BB2"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Liberia</w:t>
            </w:r>
          </w:p>
        </w:tc>
        <w:tc>
          <w:tcPr>
            <w:tcW w:w="990" w:type="dxa"/>
            <w:noWrap/>
            <w:hideMark/>
          </w:tcPr>
          <w:p w14:paraId="45126FD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6F59BCE8"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60B111C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4031486"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5.76</w:t>
            </w:r>
          </w:p>
        </w:tc>
        <w:tc>
          <w:tcPr>
            <w:tcW w:w="900" w:type="dxa"/>
            <w:noWrap/>
            <w:hideMark/>
          </w:tcPr>
          <w:p w14:paraId="05371261"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37.58</w:t>
            </w:r>
          </w:p>
        </w:tc>
        <w:tc>
          <w:tcPr>
            <w:tcW w:w="895" w:type="dxa"/>
            <w:noWrap/>
            <w:hideMark/>
          </w:tcPr>
          <w:p w14:paraId="2CC8C178"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43.35</w:t>
            </w:r>
          </w:p>
        </w:tc>
      </w:tr>
      <w:tr w:rsidR="00750129" w:rsidRPr="00C67737" w14:paraId="1B4B019A" w14:textId="77777777" w:rsidTr="00D22022">
        <w:trPr>
          <w:trHeight w:val="300"/>
        </w:trPr>
        <w:tc>
          <w:tcPr>
            <w:tcW w:w="715" w:type="dxa"/>
            <w:noWrap/>
            <w:hideMark/>
          </w:tcPr>
          <w:p w14:paraId="6875B93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11427</w:t>
            </w:r>
          </w:p>
        </w:tc>
        <w:tc>
          <w:tcPr>
            <w:tcW w:w="4140" w:type="dxa"/>
            <w:noWrap/>
            <w:hideMark/>
          </w:tcPr>
          <w:p w14:paraId="074F26FC"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Operationalizing the Nagoya Protocol Access and Benefit Sharing and Traditional Knowledge Regime in Burkina Faso (ONATRAB)</w:t>
            </w:r>
          </w:p>
        </w:tc>
        <w:tc>
          <w:tcPr>
            <w:tcW w:w="990" w:type="dxa"/>
            <w:noWrap/>
            <w:hideMark/>
          </w:tcPr>
          <w:p w14:paraId="0297474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009604F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Burkina Faso</w:t>
            </w:r>
          </w:p>
        </w:tc>
        <w:tc>
          <w:tcPr>
            <w:tcW w:w="990" w:type="dxa"/>
            <w:noWrap/>
            <w:hideMark/>
          </w:tcPr>
          <w:p w14:paraId="1649954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1FF1C1CD"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18A48E7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BFAA26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3.00</w:t>
            </w:r>
          </w:p>
        </w:tc>
        <w:tc>
          <w:tcPr>
            <w:tcW w:w="900" w:type="dxa"/>
            <w:noWrap/>
            <w:hideMark/>
          </w:tcPr>
          <w:p w14:paraId="59363412"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9.00</w:t>
            </w:r>
          </w:p>
        </w:tc>
        <w:tc>
          <w:tcPr>
            <w:tcW w:w="895" w:type="dxa"/>
            <w:noWrap/>
            <w:hideMark/>
          </w:tcPr>
          <w:p w14:paraId="0F7875C7"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12.00</w:t>
            </w:r>
          </w:p>
        </w:tc>
      </w:tr>
      <w:tr w:rsidR="00750129" w:rsidRPr="00C67737" w14:paraId="5ED1A21A" w14:textId="77777777" w:rsidTr="00D22022">
        <w:trPr>
          <w:trHeight w:val="300"/>
        </w:trPr>
        <w:tc>
          <w:tcPr>
            <w:tcW w:w="715" w:type="dxa"/>
            <w:noWrap/>
            <w:hideMark/>
          </w:tcPr>
          <w:p w14:paraId="27892E2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11417</w:t>
            </w:r>
          </w:p>
        </w:tc>
        <w:tc>
          <w:tcPr>
            <w:tcW w:w="4140" w:type="dxa"/>
            <w:noWrap/>
            <w:hideMark/>
          </w:tcPr>
          <w:p w14:paraId="54BCC418"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Transboundary biodiversity conservation between North Macedonia and Albania</w:t>
            </w:r>
          </w:p>
        </w:tc>
        <w:tc>
          <w:tcPr>
            <w:tcW w:w="990" w:type="dxa"/>
            <w:noWrap/>
            <w:hideMark/>
          </w:tcPr>
          <w:p w14:paraId="68BBA774"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02140C13"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61FDCD7"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1F67F6D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727501D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DD5C692"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3.00</w:t>
            </w:r>
          </w:p>
        </w:tc>
        <w:tc>
          <w:tcPr>
            <w:tcW w:w="900" w:type="dxa"/>
            <w:noWrap/>
            <w:hideMark/>
          </w:tcPr>
          <w:p w14:paraId="5D2F7A92"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15.00</w:t>
            </w:r>
          </w:p>
        </w:tc>
        <w:tc>
          <w:tcPr>
            <w:tcW w:w="895" w:type="dxa"/>
            <w:noWrap/>
            <w:hideMark/>
          </w:tcPr>
          <w:p w14:paraId="017E2156"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18.00</w:t>
            </w:r>
          </w:p>
        </w:tc>
      </w:tr>
      <w:tr w:rsidR="00750129" w:rsidRPr="00C67737" w14:paraId="503C3556" w14:textId="77777777" w:rsidTr="00D22022">
        <w:trPr>
          <w:trHeight w:val="300"/>
        </w:trPr>
        <w:tc>
          <w:tcPr>
            <w:tcW w:w="715" w:type="dxa"/>
            <w:noWrap/>
            <w:hideMark/>
          </w:tcPr>
          <w:p w14:paraId="2B44B2B0"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11388</w:t>
            </w:r>
          </w:p>
        </w:tc>
        <w:tc>
          <w:tcPr>
            <w:tcW w:w="4140" w:type="dxa"/>
            <w:noWrap/>
            <w:hideMark/>
          </w:tcPr>
          <w:p w14:paraId="0587D6D1"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Restoring ecosystem functionalities and enhancing biodiversity at </w:t>
            </w:r>
            <w:proofErr w:type="spellStart"/>
            <w:r w:rsidRPr="00D10503">
              <w:rPr>
                <w:rFonts w:eastAsia="Times New Roman" w:cstheme="minorHAnsi"/>
                <w:color w:val="000000"/>
                <w:sz w:val="16"/>
                <w:szCs w:val="16"/>
                <w:lang w:val="en-US"/>
              </w:rPr>
              <w:t>Mabla</w:t>
            </w:r>
            <w:proofErr w:type="spellEnd"/>
            <w:r w:rsidRPr="00D10503">
              <w:rPr>
                <w:rFonts w:eastAsia="Times New Roman" w:cstheme="minorHAnsi"/>
                <w:color w:val="000000"/>
                <w:sz w:val="16"/>
                <w:szCs w:val="16"/>
                <w:lang w:val="en-US"/>
              </w:rPr>
              <w:t xml:space="preserve"> mountains and </w:t>
            </w:r>
            <w:proofErr w:type="spellStart"/>
            <w:r w:rsidRPr="00D10503">
              <w:rPr>
                <w:rFonts w:eastAsia="Times New Roman" w:cstheme="minorHAnsi"/>
                <w:color w:val="000000"/>
                <w:sz w:val="16"/>
                <w:szCs w:val="16"/>
                <w:lang w:val="en-US"/>
              </w:rPr>
              <w:t>Madgoul</w:t>
            </w:r>
            <w:proofErr w:type="spellEnd"/>
            <w:r w:rsidRPr="00D10503">
              <w:rPr>
                <w:rFonts w:eastAsia="Times New Roman" w:cstheme="minorHAnsi"/>
                <w:color w:val="000000"/>
                <w:sz w:val="16"/>
                <w:szCs w:val="16"/>
                <w:lang w:val="en-US"/>
              </w:rPr>
              <w:t xml:space="preserve"> landscapes, </w:t>
            </w:r>
            <w:proofErr w:type="spellStart"/>
            <w:r w:rsidRPr="00D10503">
              <w:rPr>
                <w:rFonts w:eastAsia="Times New Roman" w:cstheme="minorHAnsi"/>
                <w:color w:val="000000"/>
                <w:sz w:val="16"/>
                <w:szCs w:val="16"/>
                <w:lang w:val="en-US"/>
              </w:rPr>
              <w:t>Obock</w:t>
            </w:r>
            <w:proofErr w:type="spellEnd"/>
            <w:r w:rsidRPr="00D10503">
              <w:rPr>
                <w:rFonts w:eastAsia="Times New Roman" w:cstheme="minorHAnsi"/>
                <w:color w:val="000000"/>
                <w:sz w:val="16"/>
                <w:szCs w:val="16"/>
                <w:lang w:val="en-US"/>
              </w:rPr>
              <w:t xml:space="preserve"> and </w:t>
            </w:r>
            <w:proofErr w:type="spellStart"/>
            <w:r w:rsidRPr="00D10503">
              <w:rPr>
                <w:rFonts w:eastAsia="Times New Roman" w:cstheme="minorHAnsi"/>
                <w:color w:val="000000"/>
                <w:sz w:val="16"/>
                <w:szCs w:val="16"/>
                <w:lang w:val="en-US"/>
              </w:rPr>
              <w:t>Tadjourah</w:t>
            </w:r>
            <w:proofErr w:type="spellEnd"/>
            <w:r w:rsidRPr="00D10503">
              <w:rPr>
                <w:rFonts w:eastAsia="Times New Roman" w:cstheme="minorHAnsi"/>
                <w:color w:val="000000"/>
                <w:sz w:val="16"/>
                <w:szCs w:val="16"/>
                <w:lang w:val="en-US"/>
              </w:rPr>
              <w:t xml:space="preserve"> Regions, Djibouti</w:t>
            </w:r>
          </w:p>
        </w:tc>
        <w:tc>
          <w:tcPr>
            <w:tcW w:w="990" w:type="dxa"/>
            <w:noWrap/>
            <w:hideMark/>
          </w:tcPr>
          <w:p w14:paraId="4748D15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4F93C00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Djibouti</w:t>
            </w:r>
          </w:p>
        </w:tc>
        <w:tc>
          <w:tcPr>
            <w:tcW w:w="990" w:type="dxa"/>
            <w:noWrap/>
            <w:hideMark/>
          </w:tcPr>
          <w:p w14:paraId="723AF368"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5A98CA53"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3296C192"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C8CDBB3"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4.01</w:t>
            </w:r>
          </w:p>
        </w:tc>
        <w:tc>
          <w:tcPr>
            <w:tcW w:w="900" w:type="dxa"/>
            <w:noWrap/>
            <w:hideMark/>
          </w:tcPr>
          <w:p w14:paraId="22D53DD1"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21.76</w:t>
            </w:r>
          </w:p>
        </w:tc>
        <w:tc>
          <w:tcPr>
            <w:tcW w:w="895" w:type="dxa"/>
            <w:noWrap/>
            <w:hideMark/>
          </w:tcPr>
          <w:p w14:paraId="69B141F5"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25.77</w:t>
            </w:r>
          </w:p>
        </w:tc>
      </w:tr>
      <w:tr w:rsidR="00750129" w:rsidRPr="00C67737" w14:paraId="0373BF4D" w14:textId="77777777" w:rsidTr="00D22022">
        <w:trPr>
          <w:trHeight w:val="300"/>
        </w:trPr>
        <w:tc>
          <w:tcPr>
            <w:tcW w:w="715" w:type="dxa"/>
            <w:noWrap/>
            <w:hideMark/>
          </w:tcPr>
          <w:p w14:paraId="30D6FC3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11329</w:t>
            </w:r>
          </w:p>
        </w:tc>
        <w:tc>
          <w:tcPr>
            <w:tcW w:w="4140" w:type="dxa"/>
            <w:noWrap/>
            <w:hideMark/>
          </w:tcPr>
          <w:p w14:paraId="42966089"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Enhancing Integrated Coastal Forests Biodiversity Hotspot Management and Restoration for Increased Ecosystem Services in Kenya</w:t>
            </w:r>
          </w:p>
        </w:tc>
        <w:tc>
          <w:tcPr>
            <w:tcW w:w="990" w:type="dxa"/>
            <w:noWrap/>
            <w:hideMark/>
          </w:tcPr>
          <w:p w14:paraId="1E02351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55BBC4F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1F7F289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6C4611C8"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5725246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6F39D0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3.35</w:t>
            </w:r>
          </w:p>
        </w:tc>
        <w:tc>
          <w:tcPr>
            <w:tcW w:w="900" w:type="dxa"/>
            <w:noWrap/>
            <w:hideMark/>
          </w:tcPr>
          <w:p w14:paraId="0ADCD6B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13.80</w:t>
            </w:r>
          </w:p>
        </w:tc>
        <w:tc>
          <w:tcPr>
            <w:tcW w:w="895" w:type="dxa"/>
            <w:noWrap/>
            <w:hideMark/>
          </w:tcPr>
          <w:p w14:paraId="5524E50B"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17.15</w:t>
            </w:r>
          </w:p>
        </w:tc>
      </w:tr>
      <w:tr w:rsidR="00750129" w:rsidRPr="00C67737" w14:paraId="161F5276" w14:textId="77777777" w:rsidTr="00D22022">
        <w:trPr>
          <w:trHeight w:val="300"/>
        </w:trPr>
        <w:tc>
          <w:tcPr>
            <w:tcW w:w="715" w:type="dxa"/>
            <w:noWrap/>
            <w:hideMark/>
          </w:tcPr>
          <w:p w14:paraId="0A7E9A7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11207</w:t>
            </w:r>
          </w:p>
        </w:tc>
        <w:tc>
          <w:tcPr>
            <w:tcW w:w="4140" w:type="dxa"/>
            <w:noWrap/>
            <w:hideMark/>
          </w:tcPr>
          <w:p w14:paraId="35F837CC"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Promoting Communal Environmental Governance in support of Conservation and Nature Based Solution (NBS) in Niger (PROGOSCON)</w:t>
            </w:r>
          </w:p>
        </w:tc>
        <w:tc>
          <w:tcPr>
            <w:tcW w:w="990" w:type="dxa"/>
            <w:noWrap/>
            <w:hideMark/>
          </w:tcPr>
          <w:p w14:paraId="0E8156E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12F025A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Niger</w:t>
            </w:r>
          </w:p>
        </w:tc>
        <w:tc>
          <w:tcPr>
            <w:tcW w:w="990" w:type="dxa"/>
            <w:noWrap/>
            <w:hideMark/>
          </w:tcPr>
          <w:p w14:paraId="21E0441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33A00AF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1DD1171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970C9F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3.30</w:t>
            </w:r>
          </w:p>
        </w:tc>
        <w:tc>
          <w:tcPr>
            <w:tcW w:w="900" w:type="dxa"/>
            <w:noWrap/>
            <w:hideMark/>
          </w:tcPr>
          <w:p w14:paraId="7701E4EB"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20.00</w:t>
            </w:r>
          </w:p>
        </w:tc>
        <w:tc>
          <w:tcPr>
            <w:tcW w:w="895" w:type="dxa"/>
            <w:noWrap/>
            <w:hideMark/>
          </w:tcPr>
          <w:p w14:paraId="1EB80EDF"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23.30</w:t>
            </w:r>
          </w:p>
        </w:tc>
      </w:tr>
      <w:tr w:rsidR="00750129" w:rsidRPr="00C67737" w14:paraId="71CCAF7A" w14:textId="77777777" w:rsidTr="00D22022">
        <w:trPr>
          <w:trHeight w:val="300"/>
        </w:trPr>
        <w:tc>
          <w:tcPr>
            <w:tcW w:w="715" w:type="dxa"/>
            <w:noWrap/>
            <w:hideMark/>
          </w:tcPr>
          <w:p w14:paraId="4AAB3D5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11045</w:t>
            </w:r>
          </w:p>
        </w:tc>
        <w:tc>
          <w:tcPr>
            <w:tcW w:w="4140" w:type="dxa"/>
            <w:noWrap/>
            <w:hideMark/>
          </w:tcPr>
          <w:p w14:paraId="265D804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 xml:space="preserve">Global </w:t>
            </w:r>
            <w:proofErr w:type="spellStart"/>
            <w:r w:rsidRPr="00C67737">
              <w:rPr>
                <w:rFonts w:eastAsia="Times New Roman" w:cstheme="minorHAnsi"/>
                <w:color w:val="000000"/>
                <w:sz w:val="16"/>
                <w:szCs w:val="16"/>
              </w:rPr>
              <w:t>Biodiversity</w:t>
            </w:r>
            <w:proofErr w:type="spellEnd"/>
            <w:r w:rsidRPr="00C67737">
              <w:rPr>
                <w:rFonts w:eastAsia="Times New Roman" w:cstheme="minorHAnsi"/>
                <w:color w:val="000000"/>
                <w:sz w:val="16"/>
                <w:szCs w:val="16"/>
              </w:rPr>
              <w:t xml:space="preserve"> Finance Programme</w:t>
            </w:r>
          </w:p>
        </w:tc>
        <w:tc>
          <w:tcPr>
            <w:tcW w:w="990" w:type="dxa"/>
            <w:noWrap/>
            <w:hideMark/>
          </w:tcPr>
          <w:p w14:paraId="6C0F3B2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1F5CF75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C89E361"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60E4D61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5F6A9C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2DC9E6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20.70</w:t>
            </w:r>
          </w:p>
        </w:tc>
        <w:tc>
          <w:tcPr>
            <w:tcW w:w="900" w:type="dxa"/>
            <w:noWrap/>
            <w:hideMark/>
          </w:tcPr>
          <w:p w14:paraId="04B4834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2.10</w:t>
            </w:r>
          </w:p>
        </w:tc>
        <w:tc>
          <w:tcPr>
            <w:tcW w:w="895" w:type="dxa"/>
            <w:noWrap/>
            <w:hideMark/>
          </w:tcPr>
          <w:p w14:paraId="1C1BCE79"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22.80</w:t>
            </w:r>
          </w:p>
        </w:tc>
      </w:tr>
      <w:tr w:rsidR="00750129" w:rsidRPr="00237520" w14:paraId="1FC37020" w14:textId="77777777" w:rsidTr="00D22022">
        <w:trPr>
          <w:trHeight w:val="300"/>
        </w:trPr>
        <w:tc>
          <w:tcPr>
            <w:tcW w:w="12950" w:type="dxa"/>
            <w:gridSpan w:val="10"/>
            <w:shd w:val="clear" w:color="auto" w:fill="D9D9D9" w:themeFill="background1" w:themeFillShade="D9"/>
            <w:noWrap/>
            <w:vAlign w:val="center"/>
            <w:hideMark/>
          </w:tcPr>
          <w:p w14:paraId="5474CC03" w14:textId="77777777" w:rsidR="00750129" w:rsidRPr="00D10503" w:rsidRDefault="00750129" w:rsidP="00D22022">
            <w:pPr>
              <w:snapToGrid/>
              <w:spacing w:before="0" w:after="0"/>
              <w:jc w:val="center"/>
              <w:rPr>
                <w:rFonts w:eastAsia="Times New Roman" w:cstheme="minorHAnsi"/>
                <w:sz w:val="16"/>
                <w:szCs w:val="16"/>
                <w:lang w:val="en-US"/>
              </w:rPr>
            </w:pPr>
            <w:r w:rsidRPr="00D10503">
              <w:rPr>
                <w:rFonts w:eastAsia="Times New Roman" w:cstheme="minorHAnsi"/>
                <w:b/>
                <w:bCs/>
                <w:color w:val="000000"/>
                <w:sz w:val="16"/>
                <w:szCs w:val="16"/>
                <w:lang w:val="en-US"/>
              </w:rPr>
              <w:t>Projects automatically dropped because end of cycle was reached without technical clearance</w:t>
            </w:r>
          </w:p>
        </w:tc>
      </w:tr>
      <w:tr w:rsidR="00750129" w:rsidRPr="00C67737" w14:paraId="789B065C" w14:textId="77777777" w:rsidTr="00D22022">
        <w:trPr>
          <w:trHeight w:val="300"/>
        </w:trPr>
        <w:tc>
          <w:tcPr>
            <w:tcW w:w="715" w:type="dxa"/>
            <w:noWrap/>
            <w:hideMark/>
          </w:tcPr>
          <w:p w14:paraId="27B137B8"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12062</w:t>
            </w:r>
          </w:p>
        </w:tc>
        <w:tc>
          <w:tcPr>
            <w:tcW w:w="4140" w:type="dxa"/>
            <w:noWrap/>
            <w:hideMark/>
          </w:tcPr>
          <w:p w14:paraId="54B35B3E"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Integrated water and landscape management for biodiversity conservation, ecosystem restoration, and resilient livelihoods</w:t>
            </w:r>
          </w:p>
        </w:tc>
        <w:tc>
          <w:tcPr>
            <w:tcW w:w="990" w:type="dxa"/>
            <w:noWrap/>
            <w:hideMark/>
          </w:tcPr>
          <w:p w14:paraId="7FC04BB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0F257E6E"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Afghanistan</w:t>
            </w:r>
          </w:p>
        </w:tc>
        <w:tc>
          <w:tcPr>
            <w:tcW w:w="990" w:type="dxa"/>
            <w:noWrap/>
            <w:hideMark/>
          </w:tcPr>
          <w:p w14:paraId="2C6FF86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5E9A962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6B807D6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B590EE6"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10.00</w:t>
            </w:r>
          </w:p>
        </w:tc>
        <w:tc>
          <w:tcPr>
            <w:tcW w:w="900" w:type="dxa"/>
            <w:noWrap/>
            <w:hideMark/>
          </w:tcPr>
          <w:p w14:paraId="629D65E5"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70.00</w:t>
            </w:r>
          </w:p>
        </w:tc>
        <w:tc>
          <w:tcPr>
            <w:tcW w:w="895" w:type="dxa"/>
            <w:noWrap/>
            <w:hideMark/>
          </w:tcPr>
          <w:p w14:paraId="4B5AE1F3"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80.00</w:t>
            </w:r>
          </w:p>
        </w:tc>
      </w:tr>
      <w:tr w:rsidR="00750129" w:rsidRPr="00C67737" w14:paraId="5340CCA0" w14:textId="77777777" w:rsidTr="00D22022">
        <w:trPr>
          <w:trHeight w:val="300"/>
        </w:trPr>
        <w:tc>
          <w:tcPr>
            <w:tcW w:w="715" w:type="dxa"/>
            <w:noWrap/>
            <w:hideMark/>
          </w:tcPr>
          <w:p w14:paraId="6E4FE484"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11721</w:t>
            </w:r>
          </w:p>
        </w:tc>
        <w:tc>
          <w:tcPr>
            <w:tcW w:w="4140" w:type="dxa"/>
            <w:noWrap/>
            <w:hideMark/>
          </w:tcPr>
          <w:p w14:paraId="09FE87C7" w14:textId="77777777" w:rsidR="00750129" w:rsidRPr="00D10503" w:rsidRDefault="00750129" w:rsidP="00D22022">
            <w:pPr>
              <w:snapToGrid/>
              <w:spacing w:before="0" w:after="0"/>
              <w:jc w:val="left"/>
              <w:rPr>
                <w:rFonts w:eastAsia="Times New Roman" w:cstheme="minorHAnsi"/>
                <w:color w:val="000000"/>
                <w:sz w:val="16"/>
                <w:szCs w:val="16"/>
                <w:lang w:val="en-US"/>
              </w:rPr>
            </w:pPr>
            <w:r w:rsidRPr="00D10503">
              <w:rPr>
                <w:rFonts w:eastAsia="Times New Roman" w:cstheme="minorHAnsi"/>
                <w:color w:val="000000"/>
                <w:sz w:val="16"/>
                <w:szCs w:val="16"/>
                <w:lang w:val="en-US"/>
              </w:rPr>
              <w:t xml:space="preserve">Integrated Landscape and Water Management for the Gomel </w:t>
            </w:r>
            <w:proofErr w:type="spellStart"/>
            <w:r w:rsidRPr="00D10503">
              <w:rPr>
                <w:rFonts w:eastAsia="Times New Roman" w:cstheme="minorHAnsi"/>
                <w:color w:val="000000"/>
                <w:sz w:val="16"/>
                <w:szCs w:val="16"/>
                <w:lang w:val="en-US"/>
              </w:rPr>
              <w:t>Polesye</w:t>
            </w:r>
            <w:proofErr w:type="spellEnd"/>
            <w:r w:rsidRPr="00D10503">
              <w:rPr>
                <w:rFonts w:eastAsia="Times New Roman" w:cstheme="minorHAnsi"/>
                <w:color w:val="000000"/>
                <w:sz w:val="16"/>
                <w:szCs w:val="16"/>
                <w:lang w:val="en-US"/>
              </w:rPr>
              <w:t>: An Ecosystem Approach Model to Achieve the Kunming-Montreal GBF Targets and LDN in Belarus</w:t>
            </w:r>
          </w:p>
        </w:tc>
        <w:tc>
          <w:tcPr>
            <w:tcW w:w="990" w:type="dxa"/>
            <w:noWrap/>
            <w:hideMark/>
          </w:tcPr>
          <w:p w14:paraId="04AB9F7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47110DE4"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Belarus</w:t>
            </w:r>
          </w:p>
        </w:tc>
        <w:tc>
          <w:tcPr>
            <w:tcW w:w="990" w:type="dxa"/>
            <w:noWrap/>
            <w:hideMark/>
          </w:tcPr>
          <w:p w14:paraId="744EBB1E"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0B6D5F32"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7DE9A6D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7B2E10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6.26</w:t>
            </w:r>
          </w:p>
        </w:tc>
        <w:tc>
          <w:tcPr>
            <w:tcW w:w="900" w:type="dxa"/>
            <w:noWrap/>
            <w:hideMark/>
          </w:tcPr>
          <w:p w14:paraId="747059E8"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28.69</w:t>
            </w:r>
          </w:p>
        </w:tc>
        <w:tc>
          <w:tcPr>
            <w:tcW w:w="895" w:type="dxa"/>
            <w:noWrap/>
            <w:hideMark/>
          </w:tcPr>
          <w:p w14:paraId="1535FD3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34.95</w:t>
            </w:r>
          </w:p>
        </w:tc>
      </w:tr>
      <w:tr w:rsidR="00750129" w:rsidRPr="00237520" w14:paraId="5683525C" w14:textId="77777777" w:rsidTr="00D22022">
        <w:trPr>
          <w:trHeight w:val="300"/>
        </w:trPr>
        <w:tc>
          <w:tcPr>
            <w:tcW w:w="12950" w:type="dxa"/>
            <w:gridSpan w:val="10"/>
            <w:shd w:val="clear" w:color="auto" w:fill="D9D9D9" w:themeFill="background1" w:themeFillShade="D9"/>
            <w:noWrap/>
            <w:vAlign w:val="center"/>
            <w:hideMark/>
          </w:tcPr>
          <w:p w14:paraId="77F6EA31" w14:textId="77777777" w:rsidR="00750129" w:rsidRPr="00D10503" w:rsidRDefault="00750129" w:rsidP="00D22022">
            <w:pPr>
              <w:snapToGrid/>
              <w:spacing w:before="0" w:after="0"/>
              <w:jc w:val="center"/>
              <w:rPr>
                <w:rFonts w:eastAsia="Times New Roman" w:cstheme="minorHAnsi"/>
                <w:sz w:val="16"/>
                <w:szCs w:val="16"/>
                <w:lang w:val="en-US"/>
              </w:rPr>
            </w:pPr>
            <w:r w:rsidRPr="00D10503">
              <w:rPr>
                <w:rFonts w:eastAsia="Times New Roman" w:cstheme="minorHAnsi"/>
                <w:b/>
                <w:bCs/>
                <w:color w:val="000000"/>
                <w:sz w:val="16"/>
                <w:szCs w:val="16"/>
                <w:lang w:val="en-US"/>
              </w:rPr>
              <w:t>Projects rejected by GEF Secretariat because they were either not eligible, or, for projects submitted to the competitive NGI window, they were not selected for funding.</w:t>
            </w:r>
          </w:p>
        </w:tc>
      </w:tr>
      <w:tr w:rsidR="00750129" w:rsidRPr="00C67737" w14:paraId="7246B837" w14:textId="77777777" w:rsidTr="00D22022">
        <w:trPr>
          <w:trHeight w:val="300"/>
        </w:trPr>
        <w:tc>
          <w:tcPr>
            <w:tcW w:w="715" w:type="dxa"/>
            <w:noWrap/>
            <w:hideMark/>
          </w:tcPr>
          <w:p w14:paraId="06FB774E"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12001</w:t>
            </w:r>
          </w:p>
        </w:tc>
        <w:tc>
          <w:tcPr>
            <w:tcW w:w="4140" w:type="dxa"/>
            <w:noWrap/>
            <w:hideMark/>
          </w:tcPr>
          <w:p w14:paraId="781CA3AE" w14:textId="77777777" w:rsidR="00750129" w:rsidRPr="00D10503" w:rsidRDefault="00750129" w:rsidP="00D22022">
            <w:pPr>
              <w:snapToGrid/>
              <w:spacing w:before="0" w:after="0"/>
              <w:jc w:val="left"/>
              <w:rPr>
                <w:rFonts w:eastAsia="Times New Roman" w:cstheme="minorHAnsi"/>
                <w:color w:val="000000"/>
                <w:sz w:val="16"/>
                <w:szCs w:val="16"/>
                <w:lang w:val="en-US"/>
              </w:rPr>
            </w:pPr>
            <w:proofErr w:type="spellStart"/>
            <w:r w:rsidRPr="00D10503">
              <w:rPr>
                <w:rFonts w:eastAsia="Times New Roman" w:cstheme="minorHAnsi"/>
                <w:color w:val="000000"/>
                <w:sz w:val="16"/>
                <w:szCs w:val="16"/>
                <w:lang w:val="en-US"/>
              </w:rPr>
              <w:t>Catalysing</w:t>
            </w:r>
            <w:proofErr w:type="spellEnd"/>
            <w:r w:rsidRPr="00D10503">
              <w:rPr>
                <w:rFonts w:eastAsia="Times New Roman" w:cstheme="minorHAnsi"/>
                <w:color w:val="000000"/>
                <w:sz w:val="16"/>
                <w:szCs w:val="16"/>
                <w:lang w:val="en-US"/>
              </w:rPr>
              <w:t xml:space="preserve"> Climate and Nature-Resilient Infrastructure through Blended Finance in Tanzania</w:t>
            </w:r>
          </w:p>
        </w:tc>
        <w:tc>
          <w:tcPr>
            <w:tcW w:w="990" w:type="dxa"/>
            <w:noWrap/>
            <w:hideMark/>
          </w:tcPr>
          <w:p w14:paraId="7DC03AD3"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DBSA</w:t>
            </w:r>
          </w:p>
        </w:tc>
        <w:tc>
          <w:tcPr>
            <w:tcW w:w="1620" w:type="dxa"/>
            <w:noWrap/>
            <w:hideMark/>
          </w:tcPr>
          <w:p w14:paraId="529DB12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06A212CB"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12B79F42"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2965729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3E97C2C"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14.17</w:t>
            </w:r>
          </w:p>
        </w:tc>
        <w:tc>
          <w:tcPr>
            <w:tcW w:w="900" w:type="dxa"/>
            <w:noWrap/>
            <w:hideMark/>
          </w:tcPr>
          <w:p w14:paraId="1F4D66BF"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88.30</w:t>
            </w:r>
          </w:p>
        </w:tc>
        <w:tc>
          <w:tcPr>
            <w:tcW w:w="895" w:type="dxa"/>
            <w:noWrap/>
            <w:hideMark/>
          </w:tcPr>
          <w:p w14:paraId="776B8127"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102.47</w:t>
            </w:r>
          </w:p>
        </w:tc>
      </w:tr>
      <w:tr w:rsidR="00750129" w:rsidRPr="00C67737" w14:paraId="61D3DE9E" w14:textId="77777777" w:rsidTr="00D22022">
        <w:trPr>
          <w:trHeight w:val="300"/>
        </w:trPr>
        <w:tc>
          <w:tcPr>
            <w:tcW w:w="715" w:type="dxa"/>
            <w:noWrap/>
            <w:hideMark/>
          </w:tcPr>
          <w:p w14:paraId="1E160A5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lastRenderedPageBreak/>
              <w:t>11997</w:t>
            </w:r>
          </w:p>
        </w:tc>
        <w:tc>
          <w:tcPr>
            <w:tcW w:w="4140" w:type="dxa"/>
            <w:noWrap/>
            <w:hideMark/>
          </w:tcPr>
          <w:p w14:paraId="4E97AF41"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Integrated Landscape Restoration and Carbon Credit Generation in the N’zi–Mafa Forest Complex for Community Resilience and Sustainable Livelihoods</w:t>
            </w:r>
          </w:p>
        </w:tc>
        <w:tc>
          <w:tcPr>
            <w:tcW w:w="990" w:type="dxa"/>
            <w:noWrap/>
            <w:hideMark/>
          </w:tcPr>
          <w:p w14:paraId="2C2B2FE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DBSA</w:t>
            </w:r>
          </w:p>
        </w:tc>
        <w:tc>
          <w:tcPr>
            <w:tcW w:w="1620" w:type="dxa"/>
            <w:noWrap/>
            <w:hideMark/>
          </w:tcPr>
          <w:p w14:paraId="0FDA4C60"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Cote d'Ivoire</w:t>
            </w:r>
          </w:p>
        </w:tc>
        <w:tc>
          <w:tcPr>
            <w:tcW w:w="990" w:type="dxa"/>
            <w:noWrap/>
            <w:hideMark/>
          </w:tcPr>
          <w:p w14:paraId="44B0B7F8"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4A8E8EA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5A040D5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880869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8.00</w:t>
            </w:r>
          </w:p>
        </w:tc>
        <w:tc>
          <w:tcPr>
            <w:tcW w:w="900" w:type="dxa"/>
            <w:noWrap/>
            <w:hideMark/>
          </w:tcPr>
          <w:p w14:paraId="25B738DA"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35.00</w:t>
            </w:r>
          </w:p>
        </w:tc>
        <w:tc>
          <w:tcPr>
            <w:tcW w:w="895" w:type="dxa"/>
            <w:noWrap/>
            <w:hideMark/>
          </w:tcPr>
          <w:p w14:paraId="010CC45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43.00</w:t>
            </w:r>
          </w:p>
        </w:tc>
      </w:tr>
      <w:tr w:rsidR="00750129" w:rsidRPr="00C67737" w14:paraId="48B9D5F8" w14:textId="77777777" w:rsidTr="00D22022">
        <w:trPr>
          <w:trHeight w:val="300"/>
        </w:trPr>
        <w:tc>
          <w:tcPr>
            <w:tcW w:w="715" w:type="dxa"/>
            <w:noWrap/>
            <w:hideMark/>
          </w:tcPr>
          <w:p w14:paraId="18103E0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11993</w:t>
            </w:r>
          </w:p>
        </w:tc>
        <w:tc>
          <w:tcPr>
            <w:tcW w:w="4140" w:type="dxa"/>
            <w:noWrap/>
            <w:hideMark/>
          </w:tcPr>
          <w:p w14:paraId="42283D54"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Scaling-up Tiger Landscapes Investment Fund in South Asia</w:t>
            </w:r>
          </w:p>
        </w:tc>
        <w:tc>
          <w:tcPr>
            <w:tcW w:w="990" w:type="dxa"/>
            <w:noWrap/>
            <w:hideMark/>
          </w:tcPr>
          <w:p w14:paraId="1CC58E7E"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61F83C7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B352A2E"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119FE4F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3E20227D"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1D7DCD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9.00</w:t>
            </w:r>
          </w:p>
        </w:tc>
        <w:tc>
          <w:tcPr>
            <w:tcW w:w="900" w:type="dxa"/>
            <w:noWrap/>
            <w:hideMark/>
          </w:tcPr>
          <w:p w14:paraId="013F1BB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25.40</w:t>
            </w:r>
          </w:p>
        </w:tc>
        <w:tc>
          <w:tcPr>
            <w:tcW w:w="895" w:type="dxa"/>
            <w:noWrap/>
            <w:hideMark/>
          </w:tcPr>
          <w:p w14:paraId="6D17E505"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34.40</w:t>
            </w:r>
          </w:p>
        </w:tc>
      </w:tr>
      <w:tr w:rsidR="00750129" w:rsidRPr="00C67737" w14:paraId="641957A2" w14:textId="77777777" w:rsidTr="00D22022">
        <w:trPr>
          <w:trHeight w:val="300"/>
        </w:trPr>
        <w:tc>
          <w:tcPr>
            <w:tcW w:w="715" w:type="dxa"/>
            <w:noWrap/>
            <w:hideMark/>
          </w:tcPr>
          <w:p w14:paraId="1C5278B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11867</w:t>
            </w:r>
          </w:p>
        </w:tc>
        <w:tc>
          <w:tcPr>
            <w:tcW w:w="4140" w:type="dxa"/>
            <w:noWrap/>
            <w:hideMark/>
          </w:tcPr>
          <w:p w14:paraId="22EDD45B"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The Mzansi Water Bond Programme</w:t>
            </w:r>
          </w:p>
        </w:tc>
        <w:tc>
          <w:tcPr>
            <w:tcW w:w="990" w:type="dxa"/>
            <w:noWrap/>
            <w:hideMark/>
          </w:tcPr>
          <w:p w14:paraId="18F872A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DBSA</w:t>
            </w:r>
          </w:p>
        </w:tc>
        <w:tc>
          <w:tcPr>
            <w:tcW w:w="1620" w:type="dxa"/>
            <w:noWrap/>
            <w:hideMark/>
          </w:tcPr>
          <w:p w14:paraId="0E53A1CD"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3972F83C"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0AA9E992"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33723C5D"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08289B6"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15.00</w:t>
            </w:r>
          </w:p>
        </w:tc>
        <w:tc>
          <w:tcPr>
            <w:tcW w:w="900" w:type="dxa"/>
            <w:noWrap/>
            <w:hideMark/>
          </w:tcPr>
          <w:p w14:paraId="6AE9E15B"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w:t>
            </w:r>
          </w:p>
        </w:tc>
        <w:tc>
          <w:tcPr>
            <w:tcW w:w="895" w:type="dxa"/>
            <w:noWrap/>
            <w:hideMark/>
          </w:tcPr>
          <w:p w14:paraId="297762E3"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15.00</w:t>
            </w:r>
          </w:p>
        </w:tc>
      </w:tr>
      <w:tr w:rsidR="00750129" w:rsidRPr="00C67737" w14:paraId="48F6D08B" w14:textId="77777777" w:rsidTr="00D22022">
        <w:trPr>
          <w:trHeight w:val="300"/>
        </w:trPr>
        <w:tc>
          <w:tcPr>
            <w:tcW w:w="715" w:type="dxa"/>
            <w:noWrap/>
            <w:hideMark/>
          </w:tcPr>
          <w:p w14:paraId="3B43D26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11672</w:t>
            </w:r>
          </w:p>
        </w:tc>
        <w:tc>
          <w:tcPr>
            <w:tcW w:w="4140" w:type="dxa"/>
            <w:noWrap/>
            <w:hideMark/>
          </w:tcPr>
          <w:p w14:paraId="33EB3FCA"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Proofing the voluntary biodiversity credits market in Brazil</w:t>
            </w:r>
          </w:p>
        </w:tc>
        <w:tc>
          <w:tcPr>
            <w:tcW w:w="990" w:type="dxa"/>
            <w:noWrap/>
            <w:hideMark/>
          </w:tcPr>
          <w:p w14:paraId="62FAECB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IADB</w:t>
            </w:r>
          </w:p>
        </w:tc>
        <w:tc>
          <w:tcPr>
            <w:tcW w:w="1620" w:type="dxa"/>
            <w:noWrap/>
            <w:hideMark/>
          </w:tcPr>
          <w:p w14:paraId="4F581B7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0223AA03"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2D3DE48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3A749B5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677F4A1"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15.00</w:t>
            </w:r>
          </w:p>
        </w:tc>
        <w:tc>
          <w:tcPr>
            <w:tcW w:w="900" w:type="dxa"/>
            <w:noWrap/>
            <w:hideMark/>
          </w:tcPr>
          <w:p w14:paraId="62F09BC7"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159.53</w:t>
            </w:r>
          </w:p>
        </w:tc>
        <w:tc>
          <w:tcPr>
            <w:tcW w:w="895" w:type="dxa"/>
            <w:noWrap/>
            <w:hideMark/>
          </w:tcPr>
          <w:p w14:paraId="43951296"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174.53</w:t>
            </w:r>
          </w:p>
        </w:tc>
      </w:tr>
      <w:tr w:rsidR="00750129" w:rsidRPr="00C67737" w14:paraId="20B2426A" w14:textId="77777777" w:rsidTr="00D22022">
        <w:trPr>
          <w:trHeight w:val="300"/>
        </w:trPr>
        <w:tc>
          <w:tcPr>
            <w:tcW w:w="715" w:type="dxa"/>
            <w:noWrap/>
            <w:hideMark/>
          </w:tcPr>
          <w:p w14:paraId="3FAB4C5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11505</w:t>
            </w:r>
          </w:p>
        </w:tc>
        <w:tc>
          <w:tcPr>
            <w:tcW w:w="4140" w:type="dxa"/>
            <w:noWrap/>
            <w:hideMark/>
          </w:tcPr>
          <w:p w14:paraId="299CC2BB"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WWF Impact: Catalytic investments in early-stage enterprises in Regenerative Agriculture and Food Circularity</w:t>
            </w:r>
          </w:p>
        </w:tc>
        <w:tc>
          <w:tcPr>
            <w:tcW w:w="990" w:type="dxa"/>
            <w:noWrap/>
            <w:hideMark/>
          </w:tcPr>
          <w:p w14:paraId="7DE755F3"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WWF-US</w:t>
            </w:r>
          </w:p>
        </w:tc>
        <w:tc>
          <w:tcPr>
            <w:tcW w:w="1620" w:type="dxa"/>
            <w:noWrap/>
            <w:hideMark/>
          </w:tcPr>
          <w:p w14:paraId="2ED93933"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E741EF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27D59200"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74EC56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3F87549"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8.94</w:t>
            </w:r>
          </w:p>
        </w:tc>
        <w:tc>
          <w:tcPr>
            <w:tcW w:w="900" w:type="dxa"/>
            <w:noWrap/>
            <w:hideMark/>
          </w:tcPr>
          <w:p w14:paraId="5DB83C12"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98.61</w:t>
            </w:r>
          </w:p>
        </w:tc>
        <w:tc>
          <w:tcPr>
            <w:tcW w:w="895" w:type="dxa"/>
            <w:noWrap/>
            <w:hideMark/>
          </w:tcPr>
          <w:p w14:paraId="7FE57479"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107.55</w:t>
            </w:r>
          </w:p>
        </w:tc>
      </w:tr>
      <w:tr w:rsidR="00750129" w:rsidRPr="00C67737" w14:paraId="3AE6AC54" w14:textId="77777777" w:rsidTr="00D22022">
        <w:trPr>
          <w:trHeight w:val="300"/>
        </w:trPr>
        <w:tc>
          <w:tcPr>
            <w:tcW w:w="715" w:type="dxa"/>
            <w:noWrap/>
            <w:hideMark/>
          </w:tcPr>
          <w:p w14:paraId="71AAAB1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11503</w:t>
            </w:r>
          </w:p>
        </w:tc>
        <w:tc>
          <w:tcPr>
            <w:tcW w:w="4140" w:type="dxa"/>
            <w:noWrap/>
            <w:hideMark/>
          </w:tcPr>
          <w:p w14:paraId="3B731967"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AFI Green-Blue Mechanism: Sustainability along bird flyways in the Americas.</w:t>
            </w:r>
          </w:p>
        </w:tc>
        <w:tc>
          <w:tcPr>
            <w:tcW w:w="990" w:type="dxa"/>
            <w:noWrap/>
            <w:hideMark/>
          </w:tcPr>
          <w:p w14:paraId="49A2622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CAF</w:t>
            </w:r>
          </w:p>
        </w:tc>
        <w:tc>
          <w:tcPr>
            <w:tcW w:w="1620" w:type="dxa"/>
            <w:noWrap/>
            <w:hideMark/>
          </w:tcPr>
          <w:p w14:paraId="759C54E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972CB03"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13E2ED83"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03BE6FA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BCDB122"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18.20</w:t>
            </w:r>
          </w:p>
        </w:tc>
        <w:tc>
          <w:tcPr>
            <w:tcW w:w="900" w:type="dxa"/>
            <w:noWrap/>
            <w:hideMark/>
          </w:tcPr>
          <w:p w14:paraId="5D1134E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156.86</w:t>
            </w:r>
          </w:p>
        </w:tc>
        <w:tc>
          <w:tcPr>
            <w:tcW w:w="895" w:type="dxa"/>
            <w:noWrap/>
            <w:hideMark/>
          </w:tcPr>
          <w:p w14:paraId="78283E3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175.07</w:t>
            </w:r>
          </w:p>
        </w:tc>
      </w:tr>
      <w:tr w:rsidR="00750129" w:rsidRPr="00C67737" w14:paraId="78547304" w14:textId="77777777" w:rsidTr="00D22022">
        <w:trPr>
          <w:trHeight w:val="300"/>
        </w:trPr>
        <w:tc>
          <w:tcPr>
            <w:tcW w:w="715" w:type="dxa"/>
            <w:noWrap/>
            <w:hideMark/>
          </w:tcPr>
          <w:p w14:paraId="3E6DD3C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11431</w:t>
            </w:r>
          </w:p>
        </w:tc>
        <w:tc>
          <w:tcPr>
            <w:tcW w:w="4140" w:type="dxa"/>
            <w:noWrap/>
            <w:hideMark/>
          </w:tcPr>
          <w:p w14:paraId="16625B27"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Senegal's Great Green Wall Advancement: Elevating Global Environmental Impact and Local Prosperity (</w:t>
            </w:r>
            <w:proofErr w:type="spellStart"/>
            <w:r w:rsidRPr="00750129">
              <w:rPr>
                <w:rFonts w:eastAsia="Times New Roman" w:cstheme="minorHAnsi"/>
                <w:color w:val="000000"/>
                <w:sz w:val="16"/>
                <w:szCs w:val="16"/>
                <w:lang w:val="en-US"/>
              </w:rPr>
              <w:t>Dekkil</w:t>
            </w:r>
            <w:proofErr w:type="spellEnd"/>
            <w:r w:rsidRPr="00750129">
              <w:rPr>
                <w:rFonts w:eastAsia="Times New Roman" w:cstheme="minorHAnsi"/>
                <w:color w:val="000000"/>
                <w:sz w:val="16"/>
                <w:szCs w:val="16"/>
                <w:lang w:val="en-US"/>
              </w:rPr>
              <w:t xml:space="preserve"> Aalam)</w:t>
            </w:r>
          </w:p>
        </w:tc>
        <w:tc>
          <w:tcPr>
            <w:tcW w:w="990" w:type="dxa"/>
            <w:noWrap/>
            <w:hideMark/>
          </w:tcPr>
          <w:p w14:paraId="564FA32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48342ED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14F6F0F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6086DFF0"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3149DA7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94F1717"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5.00</w:t>
            </w:r>
          </w:p>
        </w:tc>
        <w:tc>
          <w:tcPr>
            <w:tcW w:w="900" w:type="dxa"/>
            <w:noWrap/>
            <w:hideMark/>
          </w:tcPr>
          <w:p w14:paraId="6A35C3F7"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15.00</w:t>
            </w:r>
          </w:p>
        </w:tc>
        <w:tc>
          <w:tcPr>
            <w:tcW w:w="895" w:type="dxa"/>
            <w:noWrap/>
            <w:hideMark/>
          </w:tcPr>
          <w:p w14:paraId="2BABC940"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20.00</w:t>
            </w:r>
          </w:p>
        </w:tc>
      </w:tr>
      <w:tr w:rsidR="00750129" w:rsidRPr="00C67737" w14:paraId="6B6FB024" w14:textId="77777777" w:rsidTr="00D22022">
        <w:trPr>
          <w:trHeight w:val="300"/>
        </w:trPr>
        <w:tc>
          <w:tcPr>
            <w:tcW w:w="715" w:type="dxa"/>
            <w:noWrap/>
            <w:hideMark/>
          </w:tcPr>
          <w:p w14:paraId="5ACD4754"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11413</w:t>
            </w:r>
          </w:p>
        </w:tc>
        <w:tc>
          <w:tcPr>
            <w:tcW w:w="4140" w:type="dxa"/>
            <w:noWrap/>
            <w:hideMark/>
          </w:tcPr>
          <w:p w14:paraId="10364A7E"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 xml:space="preserve">LIFE-LINES - Leveraging Infrastructure </w:t>
            </w:r>
            <w:proofErr w:type="gramStart"/>
            <w:r w:rsidRPr="00750129">
              <w:rPr>
                <w:rFonts w:eastAsia="Times New Roman" w:cstheme="minorHAnsi"/>
                <w:color w:val="000000"/>
                <w:sz w:val="16"/>
                <w:szCs w:val="16"/>
                <w:lang w:val="en-US"/>
              </w:rPr>
              <w:t>For</w:t>
            </w:r>
            <w:proofErr w:type="gramEnd"/>
            <w:r w:rsidRPr="00750129">
              <w:rPr>
                <w:rFonts w:eastAsia="Times New Roman" w:cstheme="minorHAnsi"/>
                <w:color w:val="000000"/>
                <w:sz w:val="16"/>
                <w:szCs w:val="16"/>
                <w:lang w:val="en-US"/>
              </w:rPr>
              <w:t xml:space="preserve"> Ecosystems: Landscapes Integrated with Nature and </w:t>
            </w:r>
            <w:proofErr w:type="gramStart"/>
            <w:r w:rsidRPr="00750129">
              <w:rPr>
                <w:rFonts w:eastAsia="Times New Roman" w:cstheme="minorHAnsi"/>
                <w:color w:val="000000"/>
                <w:sz w:val="16"/>
                <w:szCs w:val="16"/>
                <w:lang w:val="en-US"/>
              </w:rPr>
              <w:t>Environmentally-friendly</w:t>
            </w:r>
            <w:proofErr w:type="gramEnd"/>
            <w:r w:rsidRPr="00750129">
              <w:rPr>
                <w:rFonts w:eastAsia="Times New Roman" w:cstheme="minorHAnsi"/>
                <w:color w:val="000000"/>
                <w:sz w:val="16"/>
                <w:szCs w:val="16"/>
                <w:lang w:val="en-US"/>
              </w:rPr>
              <w:t xml:space="preserve"> Solutions</w:t>
            </w:r>
          </w:p>
        </w:tc>
        <w:tc>
          <w:tcPr>
            <w:tcW w:w="990" w:type="dxa"/>
            <w:noWrap/>
            <w:hideMark/>
          </w:tcPr>
          <w:p w14:paraId="0DD4899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IUCN</w:t>
            </w:r>
          </w:p>
        </w:tc>
        <w:tc>
          <w:tcPr>
            <w:tcW w:w="1620" w:type="dxa"/>
            <w:noWrap/>
            <w:hideMark/>
          </w:tcPr>
          <w:p w14:paraId="2DAFE43D"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4FD3C556"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0A465188"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6B2875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9FF6355"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3.50</w:t>
            </w:r>
          </w:p>
        </w:tc>
        <w:tc>
          <w:tcPr>
            <w:tcW w:w="900" w:type="dxa"/>
            <w:noWrap/>
            <w:hideMark/>
          </w:tcPr>
          <w:p w14:paraId="65929356"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24.50</w:t>
            </w:r>
          </w:p>
        </w:tc>
        <w:tc>
          <w:tcPr>
            <w:tcW w:w="895" w:type="dxa"/>
            <w:noWrap/>
            <w:hideMark/>
          </w:tcPr>
          <w:p w14:paraId="432B33D1"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28.00</w:t>
            </w:r>
          </w:p>
        </w:tc>
      </w:tr>
      <w:tr w:rsidR="00750129" w:rsidRPr="00C67737" w14:paraId="19D74DF1" w14:textId="77777777" w:rsidTr="00D22022">
        <w:trPr>
          <w:trHeight w:val="300"/>
        </w:trPr>
        <w:tc>
          <w:tcPr>
            <w:tcW w:w="715" w:type="dxa"/>
            <w:noWrap/>
            <w:hideMark/>
          </w:tcPr>
          <w:p w14:paraId="36C53F6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11406</w:t>
            </w:r>
          </w:p>
        </w:tc>
        <w:tc>
          <w:tcPr>
            <w:tcW w:w="4140" w:type="dxa"/>
            <w:noWrap/>
            <w:hideMark/>
          </w:tcPr>
          <w:p w14:paraId="481E22AA"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Sustainable, equitable, and traceable trade for threatened medicinal plants in India based on a landscape approach</w:t>
            </w:r>
          </w:p>
        </w:tc>
        <w:tc>
          <w:tcPr>
            <w:tcW w:w="990" w:type="dxa"/>
            <w:noWrap/>
            <w:hideMark/>
          </w:tcPr>
          <w:p w14:paraId="4724C234"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IUCN</w:t>
            </w:r>
          </w:p>
        </w:tc>
        <w:tc>
          <w:tcPr>
            <w:tcW w:w="1620" w:type="dxa"/>
            <w:noWrap/>
            <w:hideMark/>
          </w:tcPr>
          <w:p w14:paraId="683B14B0"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3D958EF0"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2D994F5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6D85F214"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6A4E6EC"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3.42</w:t>
            </w:r>
          </w:p>
        </w:tc>
        <w:tc>
          <w:tcPr>
            <w:tcW w:w="900" w:type="dxa"/>
            <w:noWrap/>
            <w:hideMark/>
          </w:tcPr>
          <w:p w14:paraId="3F3BB6BD"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23.94</w:t>
            </w:r>
          </w:p>
        </w:tc>
        <w:tc>
          <w:tcPr>
            <w:tcW w:w="895" w:type="dxa"/>
            <w:noWrap/>
            <w:hideMark/>
          </w:tcPr>
          <w:p w14:paraId="70DE43AE"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27.36</w:t>
            </w:r>
          </w:p>
        </w:tc>
      </w:tr>
      <w:tr w:rsidR="00750129" w:rsidRPr="00C67737" w14:paraId="45AF4F60" w14:textId="77777777" w:rsidTr="00D22022">
        <w:trPr>
          <w:trHeight w:val="300"/>
        </w:trPr>
        <w:tc>
          <w:tcPr>
            <w:tcW w:w="715" w:type="dxa"/>
            <w:noWrap/>
            <w:hideMark/>
          </w:tcPr>
          <w:p w14:paraId="73D5E76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11404</w:t>
            </w:r>
          </w:p>
        </w:tc>
        <w:tc>
          <w:tcPr>
            <w:tcW w:w="4140" w:type="dxa"/>
            <w:noWrap/>
            <w:hideMark/>
          </w:tcPr>
          <w:p w14:paraId="701B0D84"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Safeguarding the buffer zone around the Protected Areas and promoting community-based development of fringe villages through identification of gaps, planning and development of Model Zonal Master Plan (ZMP) for Eco Sensitive Zones (ESZ) and other tools</w:t>
            </w:r>
          </w:p>
        </w:tc>
        <w:tc>
          <w:tcPr>
            <w:tcW w:w="990" w:type="dxa"/>
            <w:noWrap/>
            <w:hideMark/>
          </w:tcPr>
          <w:p w14:paraId="58E27CA9"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IUCN</w:t>
            </w:r>
          </w:p>
        </w:tc>
        <w:tc>
          <w:tcPr>
            <w:tcW w:w="1620" w:type="dxa"/>
            <w:noWrap/>
            <w:hideMark/>
          </w:tcPr>
          <w:p w14:paraId="03D5350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25608BB7"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03DC9F1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1D0AE6B"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DC01004"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9.00</w:t>
            </w:r>
          </w:p>
        </w:tc>
        <w:tc>
          <w:tcPr>
            <w:tcW w:w="900" w:type="dxa"/>
            <w:noWrap/>
            <w:hideMark/>
          </w:tcPr>
          <w:p w14:paraId="4C335ECA"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63.00</w:t>
            </w:r>
          </w:p>
        </w:tc>
        <w:tc>
          <w:tcPr>
            <w:tcW w:w="895" w:type="dxa"/>
            <w:noWrap/>
            <w:hideMark/>
          </w:tcPr>
          <w:p w14:paraId="69C8569A"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72.00</w:t>
            </w:r>
          </w:p>
        </w:tc>
      </w:tr>
      <w:tr w:rsidR="00750129" w:rsidRPr="00C67737" w14:paraId="26C27C31" w14:textId="77777777" w:rsidTr="00D22022">
        <w:trPr>
          <w:trHeight w:val="300"/>
        </w:trPr>
        <w:tc>
          <w:tcPr>
            <w:tcW w:w="715" w:type="dxa"/>
            <w:noWrap/>
            <w:hideMark/>
          </w:tcPr>
          <w:p w14:paraId="7184F242"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11366</w:t>
            </w:r>
          </w:p>
        </w:tc>
        <w:tc>
          <w:tcPr>
            <w:tcW w:w="4140" w:type="dxa"/>
            <w:noWrap/>
            <w:hideMark/>
          </w:tcPr>
          <w:p w14:paraId="144ECCC2" w14:textId="77777777" w:rsidR="00750129" w:rsidRPr="00750129" w:rsidRDefault="00750129" w:rsidP="00D22022">
            <w:pPr>
              <w:snapToGrid/>
              <w:spacing w:before="0" w:after="0"/>
              <w:jc w:val="left"/>
              <w:rPr>
                <w:rFonts w:eastAsia="Times New Roman" w:cstheme="minorHAnsi"/>
                <w:color w:val="000000"/>
                <w:sz w:val="16"/>
                <w:szCs w:val="16"/>
                <w:lang w:val="en-US"/>
              </w:rPr>
            </w:pPr>
            <w:r w:rsidRPr="00750129">
              <w:rPr>
                <w:rFonts w:eastAsia="Times New Roman" w:cstheme="minorHAnsi"/>
                <w:color w:val="000000"/>
                <w:sz w:val="16"/>
                <w:szCs w:val="16"/>
                <w:lang w:val="en-US"/>
              </w:rPr>
              <w:t>Collaborative management of the biodiversity-rich, ecologically sensitive and globally important Central Highlands Landscape of Sri Lanka for climate resilience and enhanced Global Environmental Benefits</w:t>
            </w:r>
          </w:p>
        </w:tc>
        <w:tc>
          <w:tcPr>
            <w:tcW w:w="990" w:type="dxa"/>
            <w:noWrap/>
            <w:hideMark/>
          </w:tcPr>
          <w:p w14:paraId="2E11EED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IUCN</w:t>
            </w:r>
          </w:p>
        </w:tc>
        <w:tc>
          <w:tcPr>
            <w:tcW w:w="1620" w:type="dxa"/>
            <w:noWrap/>
            <w:hideMark/>
          </w:tcPr>
          <w:p w14:paraId="01048913"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260B3EA6"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186F283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7B67B1DE"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41F83F3"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4.00</w:t>
            </w:r>
          </w:p>
        </w:tc>
        <w:tc>
          <w:tcPr>
            <w:tcW w:w="900" w:type="dxa"/>
            <w:noWrap/>
            <w:hideMark/>
          </w:tcPr>
          <w:p w14:paraId="5815F1E5"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16.00</w:t>
            </w:r>
          </w:p>
        </w:tc>
        <w:tc>
          <w:tcPr>
            <w:tcW w:w="895" w:type="dxa"/>
            <w:noWrap/>
            <w:hideMark/>
          </w:tcPr>
          <w:p w14:paraId="5CEDB841"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20.00</w:t>
            </w:r>
          </w:p>
        </w:tc>
      </w:tr>
      <w:tr w:rsidR="00750129" w:rsidRPr="00C67737" w14:paraId="1C4827F6" w14:textId="77777777" w:rsidTr="00D22022">
        <w:trPr>
          <w:trHeight w:val="300"/>
        </w:trPr>
        <w:tc>
          <w:tcPr>
            <w:tcW w:w="715" w:type="dxa"/>
            <w:noWrap/>
            <w:hideMark/>
          </w:tcPr>
          <w:p w14:paraId="0E2330D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11240</w:t>
            </w:r>
          </w:p>
        </w:tc>
        <w:tc>
          <w:tcPr>
            <w:tcW w:w="4140" w:type="dxa"/>
            <w:noWrap/>
            <w:hideMark/>
          </w:tcPr>
          <w:p w14:paraId="7715045D" w14:textId="77777777" w:rsidR="00750129" w:rsidRPr="005658D8" w:rsidRDefault="00750129" w:rsidP="00D22022">
            <w:pPr>
              <w:snapToGrid/>
              <w:spacing w:before="0" w:after="0"/>
              <w:jc w:val="left"/>
              <w:rPr>
                <w:rFonts w:eastAsia="Times New Roman" w:cstheme="minorHAnsi"/>
                <w:color w:val="000000"/>
                <w:sz w:val="16"/>
                <w:szCs w:val="16"/>
                <w:lang w:val="en-US"/>
              </w:rPr>
            </w:pPr>
            <w:r w:rsidRPr="005658D8">
              <w:rPr>
                <w:rFonts w:eastAsia="Times New Roman" w:cstheme="minorHAnsi"/>
                <w:color w:val="000000"/>
                <w:sz w:val="16"/>
                <w:szCs w:val="16"/>
                <w:lang w:val="en-US"/>
              </w:rPr>
              <w:t>Integrated management and conservation of the critically important SUDD wetland ecosystem of South Sudan for ecosystem resilience and improved livelihoods</w:t>
            </w:r>
          </w:p>
        </w:tc>
        <w:tc>
          <w:tcPr>
            <w:tcW w:w="990" w:type="dxa"/>
            <w:noWrap/>
            <w:hideMark/>
          </w:tcPr>
          <w:p w14:paraId="7C554B5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6F37FD47"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 xml:space="preserve">South </w:t>
            </w:r>
            <w:proofErr w:type="spellStart"/>
            <w:r w:rsidRPr="00C67737">
              <w:rPr>
                <w:rFonts w:eastAsia="Times New Roman" w:cstheme="minorHAnsi"/>
                <w:color w:val="000000"/>
                <w:sz w:val="16"/>
                <w:szCs w:val="16"/>
              </w:rPr>
              <w:t>Sudan</w:t>
            </w:r>
            <w:proofErr w:type="spellEnd"/>
          </w:p>
        </w:tc>
        <w:tc>
          <w:tcPr>
            <w:tcW w:w="990" w:type="dxa"/>
            <w:noWrap/>
            <w:hideMark/>
          </w:tcPr>
          <w:p w14:paraId="51FC814E"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5EF9788F"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2392DD0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435BED7"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7.41</w:t>
            </w:r>
          </w:p>
        </w:tc>
        <w:tc>
          <w:tcPr>
            <w:tcW w:w="900" w:type="dxa"/>
            <w:noWrap/>
            <w:hideMark/>
          </w:tcPr>
          <w:p w14:paraId="2CE71686"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20.30</w:t>
            </w:r>
          </w:p>
        </w:tc>
        <w:tc>
          <w:tcPr>
            <w:tcW w:w="895" w:type="dxa"/>
            <w:noWrap/>
            <w:hideMark/>
          </w:tcPr>
          <w:p w14:paraId="3857D30B"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27.71</w:t>
            </w:r>
          </w:p>
        </w:tc>
      </w:tr>
      <w:tr w:rsidR="00750129" w:rsidRPr="00C67737" w14:paraId="27335446" w14:textId="77777777" w:rsidTr="00D22022">
        <w:trPr>
          <w:trHeight w:val="300"/>
        </w:trPr>
        <w:tc>
          <w:tcPr>
            <w:tcW w:w="715" w:type="dxa"/>
            <w:noWrap/>
            <w:hideMark/>
          </w:tcPr>
          <w:p w14:paraId="1731CF7A"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11168</w:t>
            </w:r>
          </w:p>
        </w:tc>
        <w:tc>
          <w:tcPr>
            <w:tcW w:w="4140" w:type="dxa"/>
            <w:noWrap/>
            <w:hideMark/>
          </w:tcPr>
          <w:p w14:paraId="6CF13D41" w14:textId="77777777" w:rsidR="00750129" w:rsidRPr="005658D8" w:rsidRDefault="00750129" w:rsidP="00D22022">
            <w:pPr>
              <w:snapToGrid/>
              <w:spacing w:before="0" w:after="0"/>
              <w:jc w:val="left"/>
              <w:rPr>
                <w:rFonts w:eastAsia="Times New Roman" w:cstheme="minorHAnsi"/>
                <w:color w:val="000000"/>
                <w:sz w:val="16"/>
                <w:szCs w:val="16"/>
                <w:lang w:val="en-US"/>
              </w:rPr>
            </w:pPr>
            <w:r w:rsidRPr="005658D8">
              <w:rPr>
                <w:rFonts w:eastAsia="Times New Roman" w:cstheme="minorHAnsi"/>
                <w:color w:val="000000"/>
                <w:sz w:val="16"/>
                <w:szCs w:val="16"/>
                <w:lang w:val="en-US"/>
              </w:rPr>
              <w:t>Pollinator Conservation and Pollination Services in Brazil</w:t>
            </w:r>
          </w:p>
        </w:tc>
        <w:tc>
          <w:tcPr>
            <w:tcW w:w="990" w:type="dxa"/>
            <w:noWrap/>
            <w:hideMark/>
          </w:tcPr>
          <w:p w14:paraId="7DC7E0D1"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7808BC04"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0221DCAB" w14:textId="77777777" w:rsidR="00750129" w:rsidRPr="00C67737" w:rsidRDefault="00750129" w:rsidP="00D22022">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Biodiversity</w:t>
            </w:r>
            <w:proofErr w:type="spellEnd"/>
          </w:p>
        </w:tc>
        <w:tc>
          <w:tcPr>
            <w:tcW w:w="990" w:type="dxa"/>
            <w:noWrap/>
            <w:hideMark/>
          </w:tcPr>
          <w:p w14:paraId="681B3F4C"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785822C5" w14:textId="77777777" w:rsidR="00750129" w:rsidRPr="00C67737" w:rsidRDefault="00750129" w:rsidP="00D22022">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83AE071"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6.00</w:t>
            </w:r>
          </w:p>
        </w:tc>
        <w:tc>
          <w:tcPr>
            <w:tcW w:w="900" w:type="dxa"/>
            <w:noWrap/>
            <w:hideMark/>
          </w:tcPr>
          <w:p w14:paraId="35C13913"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32.50</w:t>
            </w:r>
          </w:p>
        </w:tc>
        <w:tc>
          <w:tcPr>
            <w:tcW w:w="895" w:type="dxa"/>
            <w:noWrap/>
            <w:hideMark/>
          </w:tcPr>
          <w:p w14:paraId="50B76891" w14:textId="77777777" w:rsidR="00750129" w:rsidRPr="00C67737" w:rsidRDefault="00750129" w:rsidP="00D22022">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38.50</w:t>
            </w:r>
          </w:p>
        </w:tc>
      </w:tr>
    </w:tbl>
    <w:p w14:paraId="7734D3D9" w14:textId="77777777" w:rsidR="00750129" w:rsidRPr="00C67737" w:rsidRDefault="00750129" w:rsidP="00750129">
      <w:pPr>
        <w:rPr>
          <w:sz w:val="24"/>
          <w:szCs w:val="24"/>
        </w:rPr>
      </w:pPr>
    </w:p>
    <w:p w14:paraId="57BBA631" w14:textId="77777777" w:rsidR="005576FA" w:rsidRPr="005576FA" w:rsidRDefault="005576FA" w:rsidP="005576FA"/>
    <w:p w14:paraId="54E398E4" w14:textId="77777777" w:rsidR="005576FA" w:rsidRPr="005576FA" w:rsidRDefault="005576FA" w:rsidP="005576FA"/>
    <w:p w14:paraId="3A6D3CAB" w14:textId="77777777" w:rsidR="005576FA" w:rsidRPr="005576FA" w:rsidRDefault="005576FA" w:rsidP="005576FA"/>
    <w:p w14:paraId="2FF863FF" w14:textId="77777777" w:rsidR="005658D8" w:rsidRPr="00C67737" w:rsidRDefault="005576FA" w:rsidP="00640F63">
      <w:pPr>
        <w:pStyle w:val="Heading1"/>
        <w:numPr>
          <w:ilvl w:val="0"/>
          <w:numId w:val="0"/>
        </w:numPr>
        <w:ind w:left="720"/>
        <w:rPr>
          <w:lang w:val="en-US"/>
        </w:rPr>
      </w:pPr>
      <w:r w:rsidRPr="005576FA">
        <w:rPr>
          <w:lang w:val="en-US"/>
        </w:rPr>
        <w:br w:type="page"/>
      </w:r>
      <w:bookmarkStart w:id="216" w:name="_Toc239237104"/>
      <w:bookmarkStart w:id="217" w:name="_Toc242184737"/>
      <w:bookmarkStart w:id="218" w:name="_Toc242185301"/>
      <w:r w:rsidR="005658D8" w:rsidRPr="00C67737">
        <w:rPr>
          <w:lang w:val="en-US"/>
        </w:rPr>
        <w:lastRenderedPageBreak/>
        <w:t>Annex 5 - Status of Resources Approved by the Global Environment Facility in GEF-7 for Readiness and Early Actions to Implement the Kunming-Montreal Global Biodiversity Framework</w:t>
      </w:r>
      <w:bookmarkEnd w:id="216"/>
      <w:bookmarkEnd w:id="217"/>
      <w:bookmarkEnd w:id="218"/>
    </w:p>
    <w:p w14:paraId="75F86E22" w14:textId="67210587" w:rsidR="005576FA" w:rsidRPr="002B016E" w:rsidRDefault="005576FA" w:rsidP="005576FA">
      <w:pPr>
        <w:rPr>
          <w:lang w:val="en-US"/>
        </w:rPr>
      </w:pPr>
    </w:p>
    <w:p w14:paraId="56A602F0" w14:textId="77777777" w:rsidR="005576FA" w:rsidRPr="002B016E" w:rsidRDefault="005576FA" w:rsidP="005576FA">
      <w:pPr>
        <w:rPr>
          <w:lang w:val="en-US"/>
        </w:rPr>
      </w:pPr>
      <w:r w:rsidRPr="002B016E">
        <w:rPr>
          <w:lang w:val="en-US"/>
        </w:rPr>
        <w:t xml:space="preserve">This annex provides information on the GEF-7 grant for Readiness and Early Actions to Implement the KMGBF, compiled by the UNDP and the UNEP (the Implementing Agencies) as of June 15, 2026. </w:t>
      </w:r>
    </w:p>
    <w:p w14:paraId="39CBA34E" w14:textId="77777777" w:rsidR="005576FA" w:rsidRPr="002B016E" w:rsidRDefault="005576FA" w:rsidP="005576FA">
      <w:pPr>
        <w:rPr>
          <w:lang w:val="en-US"/>
        </w:rPr>
      </w:pPr>
      <w:r w:rsidRPr="002B016E">
        <w:rPr>
          <w:lang w:val="en-US"/>
        </w:rPr>
        <w:t xml:space="preserve">138 countries receive financial support through these grants, which were approved through 21 MSPs endorsed by the GEF CEO between April 13 and June 17, 2022. Tables A and B have country-level information for projects implemented by the UNDP and the UNEP, respectively. </w:t>
      </w:r>
    </w:p>
    <w:p w14:paraId="5444B350" w14:textId="77777777" w:rsidR="005576FA" w:rsidRPr="002B016E" w:rsidRDefault="005576FA" w:rsidP="005576FA">
      <w:pPr>
        <w:rPr>
          <w:lang w:val="en-US"/>
        </w:rPr>
      </w:pPr>
      <w:r w:rsidRPr="002B016E">
        <w:rPr>
          <w:lang w:val="en-US"/>
        </w:rPr>
        <w:t xml:space="preserve">All financial amounts are shown in US dollars, dates follow the DD/MM/YYYY format. </w:t>
      </w:r>
    </w:p>
    <w:p w14:paraId="477ED7D9" w14:textId="77777777" w:rsidR="001371C7" w:rsidRPr="00C67737" w:rsidRDefault="001371C7" w:rsidP="001371C7">
      <w:pPr>
        <w:pStyle w:val="Heading3"/>
        <w:rPr>
          <w:lang w:val="en-US"/>
        </w:rPr>
      </w:pPr>
      <w:bookmarkStart w:id="219" w:name="_Toc239237105"/>
      <w:bookmarkStart w:id="220" w:name="_Toc242184679"/>
      <w:bookmarkStart w:id="221" w:name="_Toc242184738"/>
      <w:r w:rsidRPr="00C67737">
        <w:rPr>
          <w:lang w:val="en-US"/>
        </w:rPr>
        <w:t>Table A: Countries supported by UNDP</w:t>
      </w:r>
      <w:r>
        <w:rPr>
          <w:rStyle w:val="FootnoteReference"/>
          <w:lang w:val="en-US"/>
        </w:rPr>
        <w:footnoteReference w:id="158"/>
      </w:r>
      <w:bookmarkEnd w:id="219"/>
      <w:bookmarkEnd w:id="220"/>
      <w:bookmarkEnd w:id="221"/>
    </w:p>
    <w:tbl>
      <w:tblPr>
        <w:tblStyle w:val="TableGrid"/>
        <w:tblW w:w="13680" w:type="dxa"/>
        <w:jc w:val="center"/>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100"/>
        <w:gridCol w:w="1018"/>
        <w:gridCol w:w="1124"/>
        <w:gridCol w:w="1289"/>
        <w:gridCol w:w="689"/>
        <w:gridCol w:w="630"/>
        <w:gridCol w:w="630"/>
        <w:gridCol w:w="720"/>
        <w:gridCol w:w="630"/>
        <w:gridCol w:w="630"/>
        <w:gridCol w:w="720"/>
        <w:gridCol w:w="1080"/>
        <w:gridCol w:w="3420"/>
      </w:tblGrid>
      <w:tr w:rsidR="00065E3F" w:rsidRPr="00C67737" w14:paraId="0223F46E" w14:textId="77777777" w:rsidTr="00D22022">
        <w:trPr>
          <w:trHeight w:val="285"/>
          <w:tblHeader/>
          <w:jc w:val="center"/>
        </w:trPr>
        <w:tc>
          <w:tcPr>
            <w:tcW w:w="1100"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26F988C5" w14:textId="77777777" w:rsidR="00065E3F" w:rsidRPr="00C67737" w:rsidRDefault="00065E3F" w:rsidP="00D22022">
            <w:pPr>
              <w:ind w:right="-73" w:firstLine="3"/>
              <w:rPr>
                <w:rFonts w:cstheme="minorHAnsi"/>
                <w:color w:val="000000" w:themeColor="text1"/>
                <w:sz w:val="18"/>
                <w:szCs w:val="18"/>
              </w:rPr>
            </w:pPr>
            <w:r w:rsidRPr="00C67737">
              <w:rPr>
                <w:rFonts w:cstheme="minorHAnsi"/>
                <w:b/>
                <w:bCs/>
                <w:color w:val="000000" w:themeColor="text1"/>
                <w:sz w:val="18"/>
                <w:szCs w:val="18"/>
              </w:rPr>
              <w:t>Country</w:t>
            </w:r>
          </w:p>
        </w:tc>
        <w:tc>
          <w:tcPr>
            <w:tcW w:w="1018"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4E00C11C" w14:textId="77777777" w:rsidR="00065E3F" w:rsidRPr="00C67737" w:rsidRDefault="00065E3F" w:rsidP="00D22022">
            <w:pPr>
              <w:jc w:val="center"/>
              <w:rPr>
                <w:rFonts w:cstheme="minorHAnsi"/>
                <w:color w:val="000000" w:themeColor="text1"/>
                <w:sz w:val="18"/>
                <w:szCs w:val="18"/>
              </w:rPr>
            </w:pPr>
            <w:proofErr w:type="spellStart"/>
            <w:r w:rsidRPr="00C67737">
              <w:rPr>
                <w:rFonts w:cstheme="minorHAnsi"/>
                <w:b/>
                <w:bCs/>
                <w:color w:val="000000" w:themeColor="text1"/>
                <w:sz w:val="18"/>
                <w:szCs w:val="18"/>
              </w:rPr>
              <w:t>Amount</w:t>
            </w:r>
            <w:proofErr w:type="spellEnd"/>
            <w:r w:rsidRPr="00C67737">
              <w:rPr>
                <w:rFonts w:cstheme="minorHAnsi"/>
                <w:b/>
                <w:bCs/>
                <w:color w:val="000000" w:themeColor="text1"/>
                <w:sz w:val="18"/>
                <w:szCs w:val="18"/>
              </w:rPr>
              <w:t xml:space="preserve"> </w:t>
            </w:r>
            <w:proofErr w:type="spellStart"/>
            <w:r w:rsidRPr="00C67737">
              <w:rPr>
                <w:rFonts w:cstheme="minorHAnsi"/>
                <w:b/>
                <w:bCs/>
                <w:color w:val="000000" w:themeColor="text1"/>
                <w:sz w:val="18"/>
                <w:szCs w:val="18"/>
              </w:rPr>
              <w:t>approved</w:t>
            </w:r>
            <w:proofErr w:type="spellEnd"/>
            <w:r w:rsidRPr="00C67737">
              <w:rPr>
                <w:rStyle w:val="FootnoteReference"/>
                <w:rFonts w:cstheme="minorHAnsi"/>
                <w:b/>
                <w:bCs/>
                <w:color w:val="000000" w:themeColor="text1"/>
                <w:sz w:val="18"/>
                <w:szCs w:val="18"/>
              </w:rPr>
              <w:footnoteReference w:id="159"/>
            </w:r>
            <w:r w:rsidRPr="00C67737">
              <w:rPr>
                <w:rFonts w:cstheme="minorHAnsi"/>
                <w:b/>
                <w:bCs/>
                <w:color w:val="000000" w:themeColor="text1"/>
                <w:sz w:val="18"/>
                <w:szCs w:val="18"/>
              </w:rPr>
              <w:t xml:space="preserve"> </w:t>
            </w:r>
          </w:p>
        </w:tc>
        <w:tc>
          <w:tcPr>
            <w:tcW w:w="1124"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0DFD3D52" w14:textId="77777777" w:rsidR="00065E3F" w:rsidRPr="00065E3F" w:rsidRDefault="00065E3F" w:rsidP="00D22022">
            <w:pPr>
              <w:jc w:val="center"/>
              <w:rPr>
                <w:rFonts w:cstheme="minorHAnsi"/>
                <w:color w:val="000000" w:themeColor="text1"/>
                <w:sz w:val="18"/>
                <w:szCs w:val="18"/>
                <w:lang w:val="en-US"/>
              </w:rPr>
            </w:pPr>
            <w:r w:rsidRPr="00065E3F">
              <w:rPr>
                <w:rFonts w:cstheme="minorHAnsi"/>
                <w:b/>
                <w:bCs/>
                <w:color w:val="000000" w:themeColor="text1"/>
                <w:sz w:val="18"/>
                <w:szCs w:val="18"/>
                <w:lang w:val="en-US"/>
              </w:rPr>
              <w:t>Date of endorsement by GEF CEO</w:t>
            </w:r>
          </w:p>
        </w:tc>
        <w:tc>
          <w:tcPr>
            <w:tcW w:w="1289"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472626B7" w14:textId="77777777" w:rsidR="00065E3F" w:rsidRPr="00065E3F" w:rsidRDefault="00065E3F" w:rsidP="00D22022">
            <w:pPr>
              <w:jc w:val="center"/>
              <w:rPr>
                <w:rFonts w:cstheme="minorHAnsi"/>
                <w:b/>
                <w:bCs/>
                <w:color w:val="000000" w:themeColor="text1"/>
                <w:sz w:val="18"/>
                <w:szCs w:val="18"/>
                <w:lang w:val="en-US"/>
              </w:rPr>
            </w:pPr>
            <w:r w:rsidRPr="00065E3F">
              <w:rPr>
                <w:rFonts w:cstheme="minorHAnsi"/>
                <w:b/>
                <w:bCs/>
                <w:color w:val="000000" w:themeColor="text1"/>
                <w:sz w:val="18"/>
                <w:szCs w:val="18"/>
                <w:lang w:val="en-US"/>
              </w:rPr>
              <w:t xml:space="preserve">Dates and </w:t>
            </w:r>
            <w:bookmarkStart w:id="222" w:name="_Int_FVVcLklo"/>
            <w:proofErr w:type="gramStart"/>
            <w:r w:rsidRPr="00065E3F">
              <w:rPr>
                <w:rFonts w:cstheme="minorHAnsi"/>
                <w:b/>
                <w:bCs/>
                <w:color w:val="000000" w:themeColor="text1"/>
                <w:sz w:val="18"/>
                <w:szCs w:val="18"/>
                <w:lang w:val="en-US"/>
              </w:rPr>
              <w:t>amount</w:t>
            </w:r>
            <w:bookmarkEnd w:id="222"/>
            <w:proofErr w:type="gramEnd"/>
            <w:r w:rsidRPr="00065E3F">
              <w:rPr>
                <w:rFonts w:cstheme="minorHAnsi"/>
                <w:b/>
                <w:bCs/>
                <w:color w:val="000000" w:themeColor="text1"/>
                <w:sz w:val="18"/>
                <w:szCs w:val="18"/>
                <w:lang w:val="en-US"/>
              </w:rPr>
              <w:t xml:space="preserve"> of disbursements of GEF funds by UNDP</w:t>
            </w:r>
            <w:r w:rsidRPr="00C67737">
              <w:rPr>
                <w:rStyle w:val="FootnoteReference"/>
                <w:rFonts w:cstheme="minorHAnsi"/>
                <w:b/>
                <w:bCs/>
                <w:color w:val="000000" w:themeColor="text1"/>
                <w:sz w:val="18"/>
                <w:szCs w:val="18"/>
              </w:rPr>
              <w:footnoteReference w:id="160"/>
            </w:r>
          </w:p>
        </w:tc>
        <w:tc>
          <w:tcPr>
            <w:tcW w:w="4649" w:type="dxa"/>
            <w:gridSpan w:val="7"/>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1DA80F9A" w14:textId="77777777" w:rsidR="00065E3F" w:rsidRPr="00D10503" w:rsidRDefault="00065E3F" w:rsidP="00D22022">
            <w:pPr>
              <w:jc w:val="center"/>
              <w:rPr>
                <w:rFonts w:cstheme="minorHAnsi"/>
                <w:color w:val="000000" w:themeColor="text1"/>
                <w:sz w:val="18"/>
                <w:szCs w:val="18"/>
                <w:lang w:val="en-US"/>
              </w:rPr>
            </w:pPr>
            <w:r w:rsidRPr="00D10503">
              <w:rPr>
                <w:rFonts w:cstheme="minorHAnsi"/>
                <w:b/>
                <w:bCs/>
                <w:color w:val="000000" w:themeColor="text1"/>
                <w:sz w:val="18"/>
                <w:szCs w:val="18"/>
                <w:lang w:val="en-US"/>
              </w:rPr>
              <w:t>Expenditures (%) (Total Consumption/CO Grant)</w:t>
            </w:r>
          </w:p>
        </w:tc>
        <w:tc>
          <w:tcPr>
            <w:tcW w:w="1080" w:type="dxa"/>
            <w:vMerge w:val="restart"/>
            <w:tcBorders>
              <w:top w:val="single" w:sz="6" w:space="0" w:color="auto"/>
              <w:left w:val="nil"/>
              <w:bottom w:val="single" w:sz="6" w:space="0" w:color="000000" w:themeColor="text1"/>
              <w:right w:val="single" w:sz="6" w:space="0" w:color="000000" w:themeColor="text1"/>
            </w:tcBorders>
            <w:shd w:val="clear" w:color="auto" w:fill="E7E6E6"/>
            <w:tcMar>
              <w:left w:w="105" w:type="dxa"/>
              <w:right w:w="15" w:type="dxa"/>
            </w:tcMar>
            <w:vAlign w:val="center"/>
          </w:tcPr>
          <w:p w14:paraId="536B479C" w14:textId="77777777" w:rsidR="00065E3F" w:rsidRPr="00D10503" w:rsidRDefault="00065E3F" w:rsidP="00D22022">
            <w:pPr>
              <w:jc w:val="center"/>
              <w:rPr>
                <w:rFonts w:cstheme="minorHAnsi"/>
                <w:color w:val="000000" w:themeColor="text1"/>
                <w:sz w:val="18"/>
                <w:szCs w:val="18"/>
                <w:lang w:val="en-US"/>
              </w:rPr>
            </w:pPr>
            <w:r w:rsidRPr="00D10503">
              <w:rPr>
                <w:rFonts w:cstheme="minorHAnsi"/>
                <w:b/>
                <w:bCs/>
                <w:color w:val="000000" w:themeColor="text1"/>
                <w:sz w:val="18"/>
                <w:szCs w:val="18"/>
                <w:lang w:val="en-US"/>
              </w:rPr>
              <w:t>Date submission to COP of national targets</w:t>
            </w:r>
          </w:p>
        </w:tc>
        <w:tc>
          <w:tcPr>
            <w:tcW w:w="3420"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55A6FC25" w14:textId="77777777" w:rsidR="00065E3F" w:rsidRPr="00C67737" w:rsidRDefault="00065E3F" w:rsidP="00D22022">
            <w:pPr>
              <w:jc w:val="center"/>
              <w:rPr>
                <w:rFonts w:cstheme="minorHAnsi"/>
                <w:color w:val="000000" w:themeColor="text1"/>
                <w:sz w:val="18"/>
                <w:szCs w:val="18"/>
              </w:rPr>
            </w:pPr>
            <w:proofErr w:type="spellStart"/>
            <w:r w:rsidRPr="00C67737">
              <w:rPr>
                <w:rFonts w:cstheme="minorHAnsi"/>
                <w:b/>
                <w:bCs/>
                <w:color w:val="000000" w:themeColor="text1"/>
                <w:sz w:val="18"/>
                <w:szCs w:val="18"/>
              </w:rPr>
              <w:t>Status</w:t>
            </w:r>
            <w:proofErr w:type="spellEnd"/>
            <w:r w:rsidRPr="00C67737">
              <w:rPr>
                <w:rFonts w:cstheme="minorHAnsi"/>
                <w:b/>
                <w:bCs/>
                <w:color w:val="000000" w:themeColor="text1"/>
                <w:sz w:val="18"/>
                <w:szCs w:val="18"/>
              </w:rPr>
              <w:t xml:space="preserve"> of </w:t>
            </w:r>
            <w:proofErr w:type="spellStart"/>
            <w:r w:rsidRPr="00C67737">
              <w:rPr>
                <w:rFonts w:cstheme="minorHAnsi"/>
                <w:b/>
                <w:bCs/>
                <w:color w:val="000000" w:themeColor="text1"/>
                <w:sz w:val="18"/>
                <w:szCs w:val="18"/>
              </w:rPr>
              <w:t>project</w:t>
            </w:r>
            <w:proofErr w:type="spellEnd"/>
            <w:r w:rsidRPr="00C67737">
              <w:rPr>
                <w:rFonts w:cstheme="minorHAnsi"/>
                <w:b/>
                <w:bCs/>
                <w:color w:val="000000" w:themeColor="text1"/>
                <w:sz w:val="18"/>
                <w:szCs w:val="18"/>
              </w:rPr>
              <w:t xml:space="preserve"> </w:t>
            </w:r>
            <w:proofErr w:type="spellStart"/>
            <w:r w:rsidRPr="00C67737">
              <w:rPr>
                <w:rFonts w:cstheme="minorHAnsi"/>
                <w:b/>
                <w:bCs/>
                <w:color w:val="000000" w:themeColor="text1"/>
                <w:sz w:val="18"/>
                <w:szCs w:val="18"/>
              </w:rPr>
              <w:t>activities</w:t>
            </w:r>
            <w:proofErr w:type="spellEnd"/>
          </w:p>
        </w:tc>
      </w:tr>
      <w:tr w:rsidR="00065E3F" w:rsidRPr="00C67737" w14:paraId="35CBB0E6" w14:textId="77777777" w:rsidTr="00D22022">
        <w:trPr>
          <w:trHeight w:val="983"/>
          <w:jc w:val="center"/>
        </w:trPr>
        <w:tc>
          <w:tcPr>
            <w:tcW w:w="1100" w:type="dxa"/>
            <w:vMerge/>
            <w:vAlign w:val="center"/>
          </w:tcPr>
          <w:p w14:paraId="3864E366" w14:textId="77777777" w:rsidR="00065E3F" w:rsidRPr="00C67737" w:rsidRDefault="00065E3F" w:rsidP="00D22022">
            <w:pPr>
              <w:rPr>
                <w:rFonts w:cstheme="minorHAnsi"/>
              </w:rPr>
            </w:pPr>
          </w:p>
        </w:tc>
        <w:tc>
          <w:tcPr>
            <w:tcW w:w="1018" w:type="dxa"/>
            <w:vMerge/>
            <w:vAlign w:val="center"/>
          </w:tcPr>
          <w:p w14:paraId="117485D2" w14:textId="77777777" w:rsidR="00065E3F" w:rsidRPr="00C67737" w:rsidRDefault="00065E3F" w:rsidP="00D22022">
            <w:pPr>
              <w:rPr>
                <w:rFonts w:cstheme="minorHAnsi"/>
              </w:rPr>
            </w:pPr>
          </w:p>
        </w:tc>
        <w:tc>
          <w:tcPr>
            <w:tcW w:w="1124" w:type="dxa"/>
            <w:vMerge/>
            <w:vAlign w:val="center"/>
          </w:tcPr>
          <w:p w14:paraId="3E3E7187" w14:textId="77777777" w:rsidR="00065E3F" w:rsidRPr="00C67737" w:rsidRDefault="00065E3F" w:rsidP="00D22022">
            <w:pPr>
              <w:rPr>
                <w:rFonts w:cstheme="minorHAnsi"/>
              </w:rPr>
            </w:pPr>
          </w:p>
        </w:tc>
        <w:tc>
          <w:tcPr>
            <w:tcW w:w="1289" w:type="dxa"/>
            <w:vMerge/>
            <w:vAlign w:val="center"/>
          </w:tcPr>
          <w:p w14:paraId="7C961045" w14:textId="77777777" w:rsidR="00065E3F" w:rsidRPr="00C67737" w:rsidRDefault="00065E3F" w:rsidP="00D22022">
            <w:pPr>
              <w:rPr>
                <w:rFonts w:cstheme="minorHAnsi"/>
              </w:rPr>
            </w:pPr>
          </w:p>
        </w:tc>
        <w:tc>
          <w:tcPr>
            <w:tcW w:w="689" w:type="dxa"/>
            <w:tcBorders>
              <w:top w:val="single" w:sz="6" w:space="0" w:color="000000" w:themeColor="text1"/>
              <w:left w:val="nil"/>
              <w:bottom w:val="single" w:sz="6" w:space="0" w:color="000000" w:themeColor="text1"/>
              <w:right w:val="single" w:sz="6" w:space="0" w:color="000000" w:themeColor="text1"/>
            </w:tcBorders>
            <w:shd w:val="clear" w:color="auto" w:fill="E7E6E6"/>
            <w:tcMar>
              <w:left w:w="105" w:type="dxa"/>
              <w:right w:w="15" w:type="dxa"/>
            </w:tcMar>
            <w:vAlign w:val="center"/>
          </w:tcPr>
          <w:p w14:paraId="23FB2B2B" w14:textId="77777777" w:rsidR="00065E3F" w:rsidRPr="00C67737" w:rsidRDefault="00065E3F" w:rsidP="00D22022">
            <w:pPr>
              <w:jc w:val="center"/>
              <w:rPr>
                <w:rFonts w:cstheme="minorHAnsi"/>
                <w:color w:val="000000" w:themeColor="text1"/>
                <w:sz w:val="18"/>
                <w:szCs w:val="18"/>
              </w:rPr>
            </w:pPr>
            <w:r w:rsidRPr="00C67737">
              <w:rPr>
                <w:rFonts w:cstheme="minorHAnsi"/>
                <w:b/>
                <w:bCs/>
                <w:color w:val="000000" w:themeColor="text1"/>
                <w:sz w:val="18"/>
                <w:szCs w:val="18"/>
              </w:rPr>
              <w:t>30/06/2023</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75B3CD16" w14:textId="77777777" w:rsidR="00065E3F" w:rsidRPr="00C67737" w:rsidRDefault="00065E3F" w:rsidP="00D22022">
            <w:pPr>
              <w:jc w:val="center"/>
              <w:rPr>
                <w:rFonts w:cstheme="minorHAnsi"/>
                <w:color w:val="000000" w:themeColor="text1"/>
                <w:sz w:val="18"/>
                <w:szCs w:val="18"/>
              </w:rPr>
            </w:pPr>
            <w:r w:rsidRPr="00C67737">
              <w:rPr>
                <w:rFonts w:cstheme="minorHAnsi"/>
                <w:b/>
                <w:bCs/>
                <w:color w:val="000000" w:themeColor="text1"/>
                <w:sz w:val="18"/>
                <w:szCs w:val="18"/>
              </w:rPr>
              <w:t>31/12/2023</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0DCFB53D" w14:textId="77777777" w:rsidR="00065E3F" w:rsidRPr="00C67737" w:rsidRDefault="00065E3F" w:rsidP="00D22022">
            <w:pPr>
              <w:jc w:val="center"/>
              <w:rPr>
                <w:rFonts w:cstheme="minorHAnsi"/>
                <w:color w:val="000000" w:themeColor="text1"/>
                <w:sz w:val="18"/>
                <w:szCs w:val="18"/>
              </w:rPr>
            </w:pPr>
            <w:r w:rsidRPr="00C67737">
              <w:rPr>
                <w:rFonts w:cstheme="minorHAnsi"/>
                <w:b/>
                <w:bCs/>
                <w:color w:val="000000" w:themeColor="text1"/>
                <w:sz w:val="18"/>
                <w:szCs w:val="18"/>
              </w:rPr>
              <w:t>30/06/2024</w:t>
            </w:r>
          </w:p>
        </w:tc>
        <w:tc>
          <w:tcPr>
            <w:tcW w:w="72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74689C87" w14:textId="77777777" w:rsidR="00065E3F" w:rsidRPr="00C67737" w:rsidRDefault="00065E3F" w:rsidP="00D22022">
            <w:pPr>
              <w:jc w:val="center"/>
              <w:rPr>
                <w:rFonts w:cstheme="minorHAnsi"/>
                <w:color w:val="000000" w:themeColor="text1"/>
                <w:sz w:val="18"/>
                <w:szCs w:val="18"/>
              </w:rPr>
            </w:pPr>
            <w:r w:rsidRPr="00C67737">
              <w:rPr>
                <w:rFonts w:cstheme="minorHAnsi"/>
                <w:b/>
                <w:bCs/>
                <w:color w:val="000000" w:themeColor="text1"/>
                <w:sz w:val="18"/>
                <w:szCs w:val="18"/>
              </w:rPr>
              <w:t>31/12/2024</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6C49F029" w14:textId="77777777" w:rsidR="00065E3F" w:rsidRPr="00C67737" w:rsidRDefault="00065E3F" w:rsidP="00D22022">
            <w:pPr>
              <w:jc w:val="center"/>
              <w:rPr>
                <w:rFonts w:cstheme="minorHAnsi"/>
                <w:color w:val="000000" w:themeColor="text1"/>
                <w:sz w:val="18"/>
                <w:szCs w:val="18"/>
              </w:rPr>
            </w:pPr>
            <w:r w:rsidRPr="00C67737">
              <w:rPr>
                <w:rFonts w:cstheme="minorHAnsi"/>
                <w:b/>
                <w:bCs/>
                <w:color w:val="000000" w:themeColor="text1"/>
                <w:sz w:val="18"/>
                <w:szCs w:val="18"/>
              </w:rPr>
              <w:t>30/06/2025</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6B8F3E51" w14:textId="77777777" w:rsidR="00065E3F" w:rsidRPr="00C67737" w:rsidRDefault="00065E3F" w:rsidP="00D22022">
            <w:pPr>
              <w:jc w:val="center"/>
              <w:rPr>
                <w:rFonts w:cstheme="minorHAnsi"/>
                <w:color w:val="000000" w:themeColor="text1"/>
                <w:sz w:val="18"/>
                <w:szCs w:val="18"/>
              </w:rPr>
            </w:pPr>
            <w:r w:rsidRPr="00C67737">
              <w:rPr>
                <w:rFonts w:cstheme="minorHAnsi"/>
                <w:b/>
                <w:bCs/>
                <w:color w:val="000000" w:themeColor="text1"/>
                <w:sz w:val="18"/>
                <w:szCs w:val="18"/>
              </w:rPr>
              <w:t>31/12/2025</w:t>
            </w:r>
          </w:p>
        </w:tc>
        <w:tc>
          <w:tcPr>
            <w:tcW w:w="720" w:type="dxa"/>
            <w:tcBorders>
              <w:top w:val="single" w:sz="6" w:space="0" w:color="auto"/>
              <w:bottom w:val="single" w:sz="6" w:space="0" w:color="000000" w:themeColor="text1"/>
              <w:right w:val="single" w:sz="6" w:space="0" w:color="000000" w:themeColor="text1"/>
            </w:tcBorders>
            <w:shd w:val="clear" w:color="auto" w:fill="E8E6E6"/>
            <w:tcMar>
              <w:left w:w="105" w:type="dxa"/>
              <w:right w:w="105" w:type="dxa"/>
            </w:tcMar>
            <w:vAlign w:val="center"/>
          </w:tcPr>
          <w:p w14:paraId="71569924" w14:textId="77777777" w:rsidR="00065E3F" w:rsidRPr="00C67737" w:rsidRDefault="00065E3F" w:rsidP="00D22022">
            <w:pPr>
              <w:jc w:val="center"/>
              <w:rPr>
                <w:rFonts w:cstheme="minorHAnsi"/>
                <w:color w:val="000000" w:themeColor="text1"/>
                <w:sz w:val="18"/>
                <w:szCs w:val="18"/>
              </w:rPr>
            </w:pPr>
            <w:r w:rsidRPr="00C67737">
              <w:rPr>
                <w:rFonts w:cstheme="minorHAnsi"/>
                <w:b/>
                <w:bCs/>
                <w:color w:val="000000" w:themeColor="text1"/>
                <w:sz w:val="18"/>
                <w:szCs w:val="18"/>
              </w:rPr>
              <w:t>15/06/2026</w:t>
            </w:r>
          </w:p>
        </w:tc>
        <w:tc>
          <w:tcPr>
            <w:tcW w:w="1080" w:type="dxa"/>
            <w:vMerge/>
            <w:vAlign w:val="center"/>
          </w:tcPr>
          <w:p w14:paraId="223DF3B0" w14:textId="77777777" w:rsidR="00065E3F" w:rsidRPr="00C67737" w:rsidRDefault="00065E3F" w:rsidP="00D22022">
            <w:pPr>
              <w:rPr>
                <w:rFonts w:cstheme="minorHAnsi"/>
              </w:rPr>
            </w:pPr>
          </w:p>
        </w:tc>
        <w:tc>
          <w:tcPr>
            <w:tcW w:w="3420" w:type="dxa"/>
            <w:vMerge/>
            <w:vAlign w:val="center"/>
          </w:tcPr>
          <w:p w14:paraId="3DBA7949" w14:textId="77777777" w:rsidR="00065E3F" w:rsidRPr="00C67737" w:rsidRDefault="00065E3F" w:rsidP="00D22022">
            <w:pPr>
              <w:jc w:val="left"/>
              <w:rPr>
                <w:rFonts w:cstheme="minorHAnsi"/>
              </w:rPr>
            </w:pPr>
          </w:p>
        </w:tc>
      </w:tr>
      <w:tr w:rsidR="00065E3F" w:rsidRPr="00237520" w14:paraId="431211CA" w14:textId="77777777" w:rsidTr="00D22022">
        <w:trPr>
          <w:trHeight w:val="1350"/>
          <w:jc w:val="center"/>
        </w:trPr>
        <w:tc>
          <w:tcPr>
            <w:tcW w:w="1100"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624E370D"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Algeria</w:t>
            </w:r>
          </w:p>
        </w:tc>
        <w:tc>
          <w:tcPr>
            <w:tcW w:w="1018"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6DA2E33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1CF3614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3FE72EA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22F61C1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56A1044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7A2F35F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003755A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7.7 </w:t>
            </w:r>
          </w:p>
        </w:tc>
        <w:tc>
          <w:tcPr>
            <w:tcW w:w="72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65DE7FD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26.8 </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23DAA16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67.9 </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156F269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86.7 </w:t>
            </w:r>
          </w:p>
        </w:tc>
        <w:tc>
          <w:tcPr>
            <w:tcW w:w="720" w:type="dxa"/>
            <w:tcBorders>
              <w:left w:val="single" w:sz="6" w:space="0" w:color="auto"/>
              <w:bottom w:val="single" w:sz="6" w:space="0" w:color="auto"/>
              <w:right w:val="single" w:sz="6" w:space="0" w:color="auto"/>
            </w:tcBorders>
            <w:tcMar>
              <w:left w:w="105" w:type="dxa"/>
              <w:right w:w="105" w:type="dxa"/>
            </w:tcMar>
            <w:vAlign w:val="center"/>
          </w:tcPr>
          <w:p w14:paraId="64293D5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93.0 </w:t>
            </w:r>
          </w:p>
        </w:tc>
        <w:tc>
          <w:tcPr>
            <w:tcW w:w="1080" w:type="dxa"/>
            <w:tcBorders>
              <w:top w:val="nil"/>
              <w:left w:val="single" w:sz="6" w:space="0" w:color="auto"/>
              <w:bottom w:val="single" w:sz="6" w:space="0" w:color="auto"/>
              <w:right w:val="single" w:sz="6" w:space="0" w:color="000000" w:themeColor="text1"/>
            </w:tcBorders>
            <w:tcMar>
              <w:left w:w="105" w:type="dxa"/>
              <w:right w:w="15" w:type="dxa"/>
            </w:tcMar>
            <w:vAlign w:val="center"/>
          </w:tcPr>
          <w:p w14:paraId="1D22E01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06/03/2026</w:t>
            </w:r>
          </w:p>
        </w:tc>
        <w:tc>
          <w:tcPr>
            <w:tcW w:w="3420"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5DFB8FA5"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Ministry of Environment and Quality of Life.</w:t>
            </w:r>
          </w:p>
          <w:p w14:paraId="16C29D1D"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NBSAP gap analysis, NBT gap analysis, Monitoring gap assessment, Policy coherence assessment, Policy coherence plan.</w:t>
            </w:r>
          </w:p>
        </w:tc>
      </w:tr>
      <w:tr w:rsidR="00065E3F" w:rsidRPr="00237520" w14:paraId="786E8AF8" w14:textId="77777777" w:rsidTr="00D22022">
        <w:trPr>
          <w:trHeight w:val="285"/>
          <w:jc w:val="center"/>
        </w:trPr>
        <w:tc>
          <w:tcPr>
            <w:tcW w:w="1100"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27414B53"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Antigua and Barbuda</w:t>
            </w:r>
          </w:p>
        </w:tc>
        <w:tc>
          <w:tcPr>
            <w:tcW w:w="1018"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0EF379E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2D9983F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75677E4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16/1/2023</w:t>
            </w:r>
          </w:p>
          <w:p w14:paraId="1E645FC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BC3EF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C8A7D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0.5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DB53E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C2E56E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C8A62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54.6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9BC01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70.9 </w:t>
            </w:r>
          </w:p>
        </w:tc>
        <w:tc>
          <w:tcPr>
            <w:tcW w:w="720" w:type="dxa"/>
            <w:tcBorders>
              <w:top w:val="single" w:sz="6" w:space="0" w:color="auto"/>
              <w:left w:val="single" w:sz="6" w:space="0" w:color="auto"/>
              <w:bottom w:val="single" w:sz="6" w:space="0" w:color="000000" w:themeColor="text1"/>
              <w:right w:val="single" w:sz="6" w:space="0" w:color="auto"/>
            </w:tcBorders>
            <w:tcMar>
              <w:left w:w="105" w:type="dxa"/>
              <w:right w:w="105" w:type="dxa"/>
            </w:tcMar>
            <w:vAlign w:val="center"/>
          </w:tcPr>
          <w:p w14:paraId="462652C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72.4 </w:t>
            </w:r>
          </w:p>
        </w:tc>
        <w:tc>
          <w:tcPr>
            <w:tcW w:w="1080" w:type="dxa"/>
            <w:tcBorders>
              <w:top w:val="single" w:sz="6" w:space="0" w:color="auto"/>
              <w:left w:val="single" w:sz="6" w:space="0" w:color="auto"/>
              <w:bottom w:val="single" w:sz="6" w:space="0" w:color="000000" w:themeColor="text1"/>
              <w:right w:val="single" w:sz="6" w:space="0" w:color="000000" w:themeColor="text1"/>
            </w:tcBorders>
            <w:tcMar>
              <w:left w:w="105" w:type="dxa"/>
              <w:right w:w="15" w:type="dxa"/>
            </w:tcMar>
            <w:vAlign w:val="center"/>
          </w:tcPr>
          <w:p w14:paraId="4743981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tc>
        <w:tc>
          <w:tcPr>
            <w:tcW w:w="3420"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072F1389"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Under final validation with the Department of Environment, with planned submission in Q3.</w:t>
            </w:r>
          </w:p>
          <w:p w14:paraId="340D2C70"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 xml:space="preserve">Key project outcomes: NBTs, NBSAP, Monitoring Gaps Assessment, Monitoring Action Plan, Stakeholder engagement plan, </w:t>
            </w:r>
            <w:r w:rsidRPr="00D10503">
              <w:rPr>
                <w:rFonts w:cstheme="minorHAnsi"/>
                <w:color w:val="000000" w:themeColor="text1"/>
                <w:sz w:val="18"/>
                <w:szCs w:val="18"/>
                <w:lang w:val="en-US"/>
              </w:rPr>
              <w:lastRenderedPageBreak/>
              <w:t>Stakeholder analysis, Biodiversity Finance Plan Building Blocks.</w:t>
            </w:r>
          </w:p>
        </w:tc>
      </w:tr>
      <w:tr w:rsidR="00065E3F" w:rsidRPr="00237520" w14:paraId="60FF5BEF"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D63478"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lastRenderedPageBreak/>
              <w:t>Argentina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A7BA7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A9E73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16E27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16/1/2023</w:t>
            </w:r>
          </w:p>
          <w:p w14:paraId="51FBF59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0A227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D9CD7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22.6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ABD64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17.6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47197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A7B36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9A6ED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9A90E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97.3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B50E1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08/01/2026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EA2F9E"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Foreign Affairs and International Trade.</w:t>
            </w:r>
          </w:p>
          <w:p w14:paraId="4E31A121"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NBSAP gap analysis, Stakeholder engagement plan, Biodiversity Finance Plan building blocks.</w:t>
            </w:r>
          </w:p>
        </w:tc>
      </w:tr>
      <w:tr w:rsidR="00065E3F" w:rsidRPr="00237520" w14:paraId="67C9589F"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76BDB6"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Bahamas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58B97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CF2B7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C296E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16/1/2023</w:t>
            </w:r>
          </w:p>
          <w:p w14:paraId="1522B69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C28C1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84A5F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DFF8A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54000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91FE0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CC666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28.5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817F4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FC4B9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10/04/2026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ECAB4F"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Under final validation by the Department of Environmental Planning and Protection and planned for release.</w:t>
            </w:r>
          </w:p>
          <w:p w14:paraId="3C74CC2B"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Monitoring Gaps Assessment, Policy Coherence Assessment.</w:t>
            </w:r>
          </w:p>
        </w:tc>
      </w:tr>
      <w:tr w:rsidR="00065E3F" w:rsidRPr="00237520" w14:paraId="3FEC31BF"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59C526"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t>Bahrain</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ED002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2C68C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BBACF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23E7A5D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D2442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8C9F1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BF63C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17.4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62EAB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D3FF7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FB876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85CC0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F164C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03/08/2025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B37178"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Supreme Council of Environment.</w:t>
            </w:r>
          </w:p>
          <w:p w14:paraId="5414E042"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Gap analysis, Monitoring Gaps Assessment, Monitoring Action Plan, Policy Coherence Assessment, Policy Coherence Plan.</w:t>
            </w:r>
          </w:p>
        </w:tc>
      </w:tr>
      <w:tr w:rsidR="00065E3F" w:rsidRPr="00237520" w14:paraId="404BB259"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3D4A32"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t>Barbados</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5449E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A36E9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D7857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16/1/2023</w:t>
            </w:r>
          </w:p>
          <w:p w14:paraId="0028909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406AB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4BCC1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E1B17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13.1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62595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33.9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0ACF3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BBBAE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93.9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FD446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35BDD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C1CC10"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Under development with the Ministry of Environment.</w:t>
            </w:r>
          </w:p>
          <w:p w14:paraId="69BE3031"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NBT Gap Analysis, NBSAP, NBSAP Gap Analysis, Monitoring Gaps Assessment, Monitoring Action Plan, Stakeholder engagement plan, Stakeholder analysis.</w:t>
            </w:r>
          </w:p>
        </w:tc>
      </w:tr>
      <w:tr w:rsidR="00065E3F" w:rsidRPr="00237520" w14:paraId="362113B3"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05E569"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Belize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3EC84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95610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B7DCE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16/1/2023</w:t>
            </w:r>
          </w:p>
          <w:p w14:paraId="00A1522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D8337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5.3</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3A817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86A55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26.4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823AB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139A8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1D213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93.8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8FF67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93.8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EF625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03/03/2026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9C6A0A"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Sustainable Development and Climate Change.</w:t>
            </w:r>
          </w:p>
          <w:p w14:paraId="579CD195"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 xml:space="preserve">Key project outcomes: NBTs, NBT Gap Analysis, NBSAP, NBSAP Gap Analysis, </w:t>
            </w:r>
            <w:r w:rsidRPr="00D10503">
              <w:rPr>
                <w:rFonts w:cstheme="minorHAnsi"/>
                <w:color w:val="000000" w:themeColor="text1"/>
                <w:sz w:val="18"/>
                <w:szCs w:val="18"/>
                <w:lang w:val="en-US"/>
              </w:rPr>
              <w:lastRenderedPageBreak/>
              <w:t>Monitoring Action Plan, Policy Coherence Assessment, Policy Coherence Plan, Biodiversity Finance Plan Building Blocks.</w:t>
            </w:r>
          </w:p>
        </w:tc>
      </w:tr>
      <w:tr w:rsidR="00065E3F" w:rsidRPr="00237520" w14:paraId="4140072E"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FD9A50"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lastRenderedPageBreak/>
              <w:t>Bhutan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15B23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621EC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43807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27A3928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39C55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0.9</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55B66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43BF6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66.9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11889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B0C91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203E5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04838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365F1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25/07/2024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EA7355"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Energy and Natural Resources.</w:t>
            </w:r>
          </w:p>
          <w:p w14:paraId="66576163"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Monitoring Gaps Assessment, Policy Coherence Assessment, Biodiversity Finance Plan Building Blocks.</w:t>
            </w:r>
          </w:p>
        </w:tc>
      </w:tr>
      <w:tr w:rsidR="00065E3F" w:rsidRPr="00237520" w14:paraId="1218623A"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603EFC"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Bolivia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5D2A2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2612F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B3A6C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16/1/2023</w:t>
            </w:r>
          </w:p>
          <w:p w14:paraId="061176D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099E9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165B2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B2CB0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2343F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29.8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F39A6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30.4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77071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75.9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587EA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FFE9C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24/11/2025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B8E6C3"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Development Planning and Environment.</w:t>
            </w:r>
          </w:p>
          <w:p w14:paraId="0279B4C4"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Coherence Assessment.</w:t>
            </w:r>
          </w:p>
        </w:tc>
      </w:tr>
      <w:tr w:rsidR="00065E3F" w:rsidRPr="00237520" w14:paraId="606978BF"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7D0631"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Brazil</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635C5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DA6DF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B8859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16/1/2023</w:t>
            </w:r>
          </w:p>
          <w:p w14:paraId="2CEA30A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582F2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0.9</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15105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21473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19.2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B56F0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724BE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24.4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D75C6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01843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91.0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39D17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250DB5"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 and Climate Change.</w:t>
            </w:r>
          </w:p>
          <w:p w14:paraId="388BA5EE"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NBT Gap Analysis, NBSAP, Policy Coherence Assessment, Monitoring Action Plan, Stakeholder engagement plan, Biodiversity Finance Plan Building Blocks.</w:t>
            </w:r>
          </w:p>
        </w:tc>
      </w:tr>
      <w:tr w:rsidR="00065E3F" w:rsidRPr="00237520" w14:paraId="77840F6C"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4A16B2"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t>Cambodia</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55864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0E176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A5C08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5AD81F0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2C73D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63EBF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5F86A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BD38B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35972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F38DE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96AFC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E14FB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23/02/2026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BCCA39"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w:t>
            </w:r>
          </w:p>
          <w:p w14:paraId="3FA6A7E7" w14:textId="77777777" w:rsidR="00065E3F" w:rsidRPr="00D10503" w:rsidRDefault="00065E3F" w:rsidP="00D22022">
            <w:pPr>
              <w:ind w:right="-3"/>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Policy Coherence Assessment, Biodiversity Finance Plan Building Blocks.</w:t>
            </w:r>
          </w:p>
        </w:tc>
      </w:tr>
      <w:tr w:rsidR="00065E3F" w:rsidRPr="00237520" w14:paraId="517784CC"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509F84"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Chile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04596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E6A51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57AFE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77032CB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D8655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B49F3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4D987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DED4A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904F0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3482E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8EBD1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F83D9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23/12/2025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60CDB0"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w:t>
            </w:r>
          </w:p>
          <w:p w14:paraId="75BF9301"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Monitoring Action Plan, Policy coherence assessment.</w:t>
            </w:r>
          </w:p>
        </w:tc>
      </w:tr>
      <w:tr w:rsidR="00065E3F" w:rsidRPr="00237520" w14:paraId="39FF86E5"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2E74A0"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lastRenderedPageBreak/>
              <w:t>China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3D1B4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4B73A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A02B0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71A06EB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C3FF8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2FB05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8CFDE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F664C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84436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36.1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A0FC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DCCEF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FD9DA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04/03/2026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95A5B3"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Ecology and Environment.</w:t>
            </w:r>
          </w:p>
          <w:p w14:paraId="560286F0"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Gender Action Plan, Biodiversity Finance Plan, Building Blocks.</w:t>
            </w:r>
          </w:p>
        </w:tc>
      </w:tr>
      <w:tr w:rsidR="00065E3F" w:rsidRPr="00237520" w14:paraId="1FF1227B"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E6D3A3"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Colombia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51E2E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7A140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5F2A2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7FE123A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21F02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06AF0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22.4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76906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76.6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8F14A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1895C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379D5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9C9BA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0B34B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18/12/2025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F270C0"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 and Sustainable Development.</w:t>
            </w:r>
          </w:p>
          <w:p w14:paraId="16DC63E6"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Policy Coherence Assessment, Biodiversity Finance Plan Building Blocks.</w:t>
            </w:r>
          </w:p>
        </w:tc>
      </w:tr>
      <w:tr w:rsidR="00065E3F" w:rsidRPr="00237520" w14:paraId="50AF3EEB" w14:textId="77777777" w:rsidTr="00D22022">
        <w:trPr>
          <w:trHeight w:val="214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C49DCE"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Costa Rica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E6A88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DB06F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A766F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6225240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E44A1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FBC9A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24.7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74997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70.2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31074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76.6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F0475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94.5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ECCE4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90.6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B1A00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5515A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23/02/2026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2D14F7"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 and Energy.</w:t>
            </w:r>
          </w:p>
          <w:p w14:paraId="758A2B62"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NBT Gap Analysis, Policy Coherence Assessment, Monitoring Gaps Assessment, Stakeholder Analysis, Biodiversity Finance Plan Building Blocks, Gender Action Plan.</w:t>
            </w:r>
          </w:p>
        </w:tc>
      </w:tr>
      <w:tr w:rsidR="00065E3F" w:rsidRPr="00237520" w14:paraId="46346F8C"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0DA1FF"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Cuba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0CB1A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08B4A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083C9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1A0974B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CEDCE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FE717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5509A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51.0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60107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64023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B6BEA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96.9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BD7E2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94.9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9DD52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25/07/2024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06B5A6"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Science, Technology, and Environment.</w:t>
            </w:r>
          </w:p>
          <w:p w14:paraId="6073669D"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Monitoring Action Plan, Monitoring Gaps Assessment, Biodiversity Finance Plan Building Blocks.</w:t>
            </w:r>
          </w:p>
        </w:tc>
      </w:tr>
      <w:tr w:rsidR="00065E3F" w:rsidRPr="00237520" w14:paraId="083B14C9"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A837E2"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Dominica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74B3C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2137C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6685E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252B748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229D8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017A1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B5937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E7A85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3185C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83.6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E5959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77.8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A845C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88C1A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7AC50A"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Under final validation with the Ministry of Environment.</w:t>
            </w:r>
          </w:p>
          <w:p w14:paraId="6EE5FD80"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 xml:space="preserve">Key project outcomes: NBTs, NBSAP, NBSAP Gap Analysis, Monitoring Action Plan, Monitoring Gaps Assessment, Policy Coherence Assessment, Policy Coherence </w:t>
            </w:r>
            <w:r w:rsidRPr="00D10503">
              <w:rPr>
                <w:rFonts w:cstheme="minorHAnsi"/>
                <w:color w:val="000000" w:themeColor="text1"/>
                <w:sz w:val="18"/>
                <w:szCs w:val="18"/>
                <w:lang w:val="en-US"/>
              </w:rPr>
              <w:lastRenderedPageBreak/>
              <w:t>Plan, Biodiversity Finance Plans Building Blocks.</w:t>
            </w:r>
          </w:p>
        </w:tc>
      </w:tr>
      <w:tr w:rsidR="00065E3F" w:rsidRPr="00237520" w14:paraId="69E8CAF4"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990B1B"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lastRenderedPageBreak/>
              <w:t>Dominican</w:t>
            </w:r>
            <w:proofErr w:type="spellEnd"/>
            <w:r w:rsidRPr="00C67737">
              <w:rPr>
                <w:rFonts w:cstheme="minorHAnsi"/>
                <w:color w:val="000000" w:themeColor="text1"/>
                <w:sz w:val="18"/>
                <w:szCs w:val="18"/>
              </w:rPr>
              <w:t xml:space="preserve"> Republic</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4BEB7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951A3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1B454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2A3CE54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3552C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B6532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A18A9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14.7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4E80E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B3D15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69.1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72017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B01C4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39EA5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E10DC9"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 and Natural Resources.</w:t>
            </w:r>
          </w:p>
          <w:p w14:paraId="28DAB89B"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Monitoring Action Plan, Monitoring Gaps Assessment, Policy Coherence Assessment, Stakeholder engagement plan, Stakeholder analysis, Biodiversity Finance Plan Building Blocks, Gender Action Plan.</w:t>
            </w:r>
          </w:p>
        </w:tc>
      </w:tr>
      <w:tr w:rsidR="00065E3F" w:rsidRPr="00237520" w14:paraId="4E6E73F9"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BED8C5"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t>Ecuador</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8EC72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7ABE8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EBB34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5648B4A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46739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CDE97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8219C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43.8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23ACD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64.7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AA0A1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51323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FFAA7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3B6C4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02/03/2026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B5997D"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 and Water.</w:t>
            </w:r>
          </w:p>
          <w:p w14:paraId="1BCE2502"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NBT Gap Analysis, Monitoring Action Plan, Monitoring Gaps Assessment, Policy Coherence Assessment, Biodiversity Finance Plan Building Blocks.</w:t>
            </w:r>
          </w:p>
        </w:tc>
      </w:tr>
      <w:tr w:rsidR="00065E3F" w:rsidRPr="00237520" w14:paraId="29EA5860"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6404C6"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Egypt</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1820A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A9A94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CF868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0D69717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32BC7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742F9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51927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26.4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6C88F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CF4C3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AC983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81.0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57C6C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71950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28/12/2024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6DF4E2"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w:t>
            </w:r>
          </w:p>
          <w:p w14:paraId="7A58560E"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Monitoring Action Plan, Monitoring Gaps Assessment, Policy Coherence Assessment, Policy Coherence Plan, Biodiversity Finance Plan Building Blocks.</w:t>
            </w:r>
          </w:p>
        </w:tc>
      </w:tr>
      <w:tr w:rsidR="00065E3F" w:rsidRPr="00237520" w14:paraId="4D433BEF"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4D31B8"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El Salvador</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79275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E67FE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C6B31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7ED0525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F3B22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06D81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9CB43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72.0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BB3F6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7B676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96.1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3B656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95.8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AD67E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78A43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10/01/2026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40F03A"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 and Natural Resources.</w:t>
            </w:r>
          </w:p>
          <w:p w14:paraId="7B4CD2E3"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Monitoring Action Plan, Policy Coherence Assessment.</w:t>
            </w:r>
          </w:p>
        </w:tc>
      </w:tr>
      <w:tr w:rsidR="00065E3F" w:rsidRPr="00C67737" w14:paraId="0824EA74"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5F2833"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Grenada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96075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A4742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08534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086EDE3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5002F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8F1B9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2269D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11.1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432BD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F646B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36.3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04233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64.1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C7C00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70.4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1FD97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E57D4C"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Under development with the Ministry of Climate Resilience, the Environment and Renewable Energy</w:t>
            </w:r>
          </w:p>
          <w:p w14:paraId="6C049DC1" w14:textId="77777777" w:rsidR="00065E3F" w:rsidRPr="00C67737" w:rsidRDefault="00065E3F" w:rsidP="00D22022">
            <w:pPr>
              <w:jc w:val="left"/>
              <w:rPr>
                <w:rFonts w:cstheme="minorHAnsi"/>
                <w:color w:val="000000" w:themeColor="text1"/>
                <w:sz w:val="18"/>
                <w:szCs w:val="18"/>
              </w:rPr>
            </w:pPr>
            <w:r w:rsidRPr="00C67737">
              <w:rPr>
                <w:rFonts w:cstheme="minorHAnsi"/>
                <w:color w:val="000000" w:themeColor="text1"/>
                <w:sz w:val="18"/>
                <w:szCs w:val="18"/>
              </w:rPr>
              <w:lastRenderedPageBreak/>
              <w:t xml:space="preserve">Key </w:t>
            </w:r>
            <w:proofErr w:type="spellStart"/>
            <w:r w:rsidRPr="00C67737">
              <w:rPr>
                <w:rFonts w:cstheme="minorHAnsi"/>
                <w:color w:val="000000" w:themeColor="text1"/>
                <w:sz w:val="18"/>
                <w:szCs w:val="18"/>
              </w:rPr>
              <w:t>project</w:t>
            </w:r>
            <w:proofErr w:type="spellEnd"/>
            <w:r w:rsidRPr="00C67737">
              <w:rPr>
                <w:rFonts w:cstheme="minorHAnsi"/>
                <w:color w:val="000000" w:themeColor="text1"/>
                <w:sz w:val="18"/>
                <w:szCs w:val="18"/>
              </w:rPr>
              <w:t xml:space="preserve"> </w:t>
            </w:r>
            <w:proofErr w:type="spellStart"/>
            <w:proofErr w:type="gramStart"/>
            <w:r w:rsidRPr="00C67737">
              <w:rPr>
                <w:rFonts w:cstheme="minorHAnsi"/>
                <w:color w:val="000000" w:themeColor="text1"/>
                <w:sz w:val="18"/>
                <w:szCs w:val="18"/>
              </w:rPr>
              <w:t>outcomes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Ongoing</w:t>
            </w:r>
            <w:proofErr w:type="spellEnd"/>
            <w:r w:rsidRPr="00C67737">
              <w:rPr>
                <w:rFonts w:cstheme="minorHAnsi"/>
                <w:color w:val="000000" w:themeColor="text1"/>
                <w:sz w:val="18"/>
                <w:szCs w:val="18"/>
              </w:rPr>
              <w:t>.</w:t>
            </w:r>
          </w:p>
        </w:tc>
      </w:tr>
      <w:tr w:rsidR="00065E3F" w:rsidRPr="00237520" w14:paraId="1479C7DD"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432901"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lastRenderedPageBreak/>
              <w:t>Guatemala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88BC1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A3B49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52D0B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651E564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E17C9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74DA8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EF958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71.2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482FE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62069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A4DA3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79.7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54472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39539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49A8B1"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 and Natural Resources.</w:t>
            </w:r>
          </w:p>
          <w:p w14:paraId="3FD97567"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NBSAP Gap Analysis, Stakeholder Engagement Plan, Policy Coherence Assessment, Policy Coherence Plan.</w:t>
            </w:r>
          </w:p>
        </w:tc>
      </w:tr>
      <w:tr w:rsidR="00065E3F" w:rsidRPr="00237520" w14:paraId="6EEECF0F"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F51BCA"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Guyana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37D83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6DB86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4810C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70B84F1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BF63B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62855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A2CE4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D0219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A515E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81.4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46821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93.2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FA265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43.3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9CC97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17/05/2025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E9C47A"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Environmental Protection Agency.</w:t>
            </w:r>
          </w:p>
          <w:p w14:paraId="49236BE3"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Gap Analysis, Monitoring Gaps Assessment, Monitoring Action Plan, Stakeholder Engagement Plan.</w:t>
            </w:r>
          </w:p>
        </w:tc>
      </w:tr>
      <w:tr w:rsidR="00065E3F" w:rsidRPr="00237520" w14:paraId="090C98FB"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8A6C5B"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Haiti</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6BCD4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AEFE0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5509B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6662BF3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4FA0D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DA207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33.0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1D20D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73.1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82CD1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79.1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031A0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09CE7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41875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33.0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F2CB1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66C03A"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Under final validation by Ministry of Environment.</w:t>
            </w:r>
          </w:p>
          <w:p w14:paraId="00E91664"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NBSAP Gap Analysis, Monitoring Action Plan, Stakeholder Analysis, Biodiversity Finance Plan Building Blocks.</w:t>
            </w:r>
          </w:p>
        </w:tc>
      </w:tr>
      <w:tr w:rsidR="00065E3F" w:rsidRPr="00237520" w14:paraId="17DE5DBB"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557BD5"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Honduras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7C84B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FBBD9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A424C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18242D4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EACD9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DE2C4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5503B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17.5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7B991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AC972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300C9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86.3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609B2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94.9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2D295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19/02/2026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96F5D2"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Natural Resources and Environment.</w:t>
            </w:r>
          </w:p>
          <w:p w14:paraId="1E615AA0"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Monitoring Action Plan, Monitoring Gaps Assessment, Policy Coherence Assessment, Biodiversity Finance Plan Building Blocks.</w:t>
            </w:r>
          </w:p>
        </w:tc>
      </w:tr>
      <w:tr w:rsidR="00065E3F" w:rsidRPr="00237520" w14:paraId="3310209E"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BE8BDA"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India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07F78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AF948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E2493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471F05E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32BA6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26A7F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06635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94.6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1D7AF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03FDD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88.0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2E41A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86.9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9A6D8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86.9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67B7A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10/09/2024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FDF1D1"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 Forest, &amp; Climate Change.</w:t>
            </w:r>
          </w:p>
          <w:p w14:paraId="5F329878"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 xml:space="preserve">Key project outcomes: NBTs, NBSAP, Monitoring Gaps Assessment, Monitoring Action Plan, Policy Coherence Assessment, </w:t>
            </w:r>
            <w:r w:rsidRPr="00D10503">
              <w:rPr>
                <w:rFonts w:cstheme="minorHAnsi"/>
                <w:color w:val="000000" w:themeColor="text1"/>
                <w:sz w:val="18"/>
                <w:szCs w:val="18"/>
                <w:lang w:val="en-US"/>
              </w:rPr>
              <w:lastRenderedPageBreak/>
              <w:t>Policy Coherence Plan, Biodiversity Finance Plan Building Blocks.</w:t>
            </w:r>
          </w:p>
        </w:tc>
      </w:tr>
      <w:tr w:rsidR="00065E3F" w:rsidRPr="00237520" w14:paraId="42CB988D"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C00BE4"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lastRenderedPageBreak/>
              <w:t>Indonesia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94F00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C96AA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0E4DC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23CAD0E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BC8F7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0.6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D9DEB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41FBA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24.8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611CF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A06ED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C922C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47B24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99.2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8F88B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09/01/2026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7D9BEB"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w:t>
            </w:r>
          </w:p>
          <w:p w14:paraId="2CD3575F"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Policy Coherence Assessment, Monitoring Action Plan, Policy Coherence Plan.</w:t>
            </w:r>
          </w:p>
        </w:tc>
      </w:tr>
      <w:tr w:rsidR="00065E3F" w:rsidRPr="00237520" w14:paraId="21A53EAC"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A8262D"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Iraq</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CD54B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384F3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44D80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1320BB4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BE06E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1BEA3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F61EF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47.1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0DFC4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73.4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9361B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189F5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A5C21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13E55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26/02/2026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53080A"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Ministry of Environment.</w:t>
            </w:r>
          </w:p>
          <w:p w14:paraId="676826CC"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NBT Gap Analysis, NBSAP Gap Analysis, NBSAP, Monitoring Action Plan, Monitoring Gaps Assessment, Policy Coherence Assessment, Policy Coherence Plan, Biodiversity Finance Plan Building Blocks.</w:t>
            </w:r>
          </w:p>
        </w:tc>
      </w:tr>
      <w:tr w:rsidR="00065E3F" w:rsidRPr="00237520" w14:paraId="7CA8EA80"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6208CD"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Jamaica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F882C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BDF22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FE635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4135861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656AB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BB797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30CB8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FC3A6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34.6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5A5FA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13A33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52.8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6A4FC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81.1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82448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8AD4D6"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Under final validation by the Ministry of Water, Environment and Climate Change.</w:t>
            </w:r>
          </w:p>
          <w:p w14:paraId="76141CFC"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Monitoring Gaps Assessment.</w:t>
            </w:r>
          </w:p>
        </w:tc>
      </w:tr>
      <w:tr w:rsidR="00065E3F" w:rsidRPr="00237520" w14:paraId="0E10FFE3"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39338C"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Jordan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7B763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7345F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51009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36902FC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8551A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15.3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9AA9F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47.2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77664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80.4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9CCF0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BEE95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0B092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6BB0E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6E788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03/08/2024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13322D"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Ministry of Environment.</w:t>
            </w:r>
          </w:p>
          <w:p w14:paraId="5978E5B4"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Policy Coherence Assessment, Monitoring Gaps Assessment, Monitoring Action Plan, Gender Analysis.</w:t>
            </w:r>
          </w:p>
        </w:tc>
      </w:tr>
      <w:tr w:rsidR="00065E3F" w:rsidRPr="00237520" w14:paraId="06420E02"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35649B"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Kazakhstan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61708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273CF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5BB47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56270B0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DFD90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968DB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C7254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61.0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ED19E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07DDA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D0347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7A051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22E66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04/02/2026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ECDD99"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Ministry of Ecology, Geology and Natural Resources.</w:t>
            </w:r>
          </w:p>
          <w:p w14:paraId="17FDFF91"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w:t>
            </w:r>
          </w:p>
        </w:tc>
      </w:tr>
      <w:tr w:rsidR="00065E3F" w:rsidRPr="00237520" w14:paraId="24416635"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201C46"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lastRenderedPageBreak/>
              <w:t>Kyrgyzstan</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E9701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7DE0D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27AB3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5BDF3FD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A1923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734A2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18.4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EFC16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34.9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DAADE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4F81C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3305C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72D7D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CE9CC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04/03/2026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618A69"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Ministry of Natural Resources, Ecology and Technical Supervision.</w:t>
            </w:r>
          </w:p>
          <w:p w14:paraId="3F07AB3F"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Monitoring Action Plan, Monitoring Gaps Assessment, Policy Coherence Assessment, Biodiversity Finance Plan Building Blocks, Gender Analysis.</w:t>
            </w:r>
          </w:p>
        </w:tc>
      </w:tr>
      <w:tr w:rsidR="00065E3F" w:rsidRPr="00237520" w14:paraId="49C3E237"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FABC51"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Lao PDR</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17710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58E2D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03AAF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1FC1F96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88D48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4F2F0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CB87C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47.5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253A6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3E827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90.4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1F210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42428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FE6DE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09/10/2024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CC5B90"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Agriculture and Forestry.</w:t>
            </w:r>
          </w:p>
          <w:p w14:paraId="60E19953" w14:textId="77777777" w:rsidR="00065E3F" w:rsidRPr="00D10503" w:rsidRDefault="00065E3F" w:rsidP="00D22022">
            <w:pPr>
              <w:tabs>
                <w:tab w:val="left" w:pos="0"/>
                <w:tab w:val="left" w:pos="0"/>
                <w:tab w:val="left" w:pos="0"/>
                <w:tab w:val="left" w:pos="643"/>
                <w:tab w:val="left" w:pos="3337"/>
              </w:tabs>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Monitoring Gaps Assessment, Policy Coherence Assessment.</w:t>
            </w:r>
          </w:p>
        </w:tc>
      </w:tr>
      <w:tr w:rsidR="00065E3F" w:rsidRPr="00237520" w14:paraId="7B131AAF"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CA2262"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Lebanon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95F19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627F4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B9BAE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37452B2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9475C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76C5C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8F555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73.0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CAAF5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B5A5A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A0B39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174D8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04FB9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28/02/2025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33E23D"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Ministry of Environment.</w:t>
            </w:r>
          </w:p>
          <w:p w14:paraId="1A7AFB9B"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Monitoring Action Plan, Monitoring Gaps Assessment, Policy Coherence Assessment, Policy Coherence Plan.</w:t>
            </w:r>
          </w:p>
        </w:tc>
      </w:tr>
      <w:tr w:rsidR="00065E3F" w:rsidRPr="00237520" w14:paraId="3E9A47DD" w14:textId="77777777" w:rsidTr="00D22022">
        <w:trPr>
          <w:trHeight w:val="81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F3A050"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Malaysia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59F6E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61CD9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18F36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0C3E45E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0D85F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D8372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C8D3B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57.1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70148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69.8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D0B6E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06259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DE0CD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9F8A4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01/08/2024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883DC6"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Natural Resources and Environmental Sustainability.</w:t>
            </w:r>
          </w:p>
          <w:p w14:paraId="40B6C46C"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Biodiversity Finance Plan Building Blocks.</w:t>
            </w:r>
          </w:p>
        </w:tc>
      </w:tr>
      <w:tr w:rsidR="00065E3F" w:rsidRPr="00237520" w14:paraId="70D51922"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C3C0F4"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Maldives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CE180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7D622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2BF55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2670162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0D857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C711A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FC4C0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15.6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FE13D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18.7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4B204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21239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80.9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5F7115" w14:textId="77777777" w:rsidR="00065E3F" w:rsidRPr="00C67737" w:rsidRDefault="00065E3F" w:rsidP="00D22022">
            <w:pPr>
              <w:jc w:val="center"/>
              <w:rPr>
                <w:rFonts w:cstheme="minorHAnsi"/>
                <w:color w:val="000000" w:themeColor="text1"/>
                <w:sz w:val="18"/>
                <w:szCs w:val="18"/>
              </w:rPr>
            </w:pPr>
            <w:r>
              <w:rPr>
                <w:rFonts w:cstheme="minorHAnsi"/>
                <w:sz w:val="18"/>
                <w:szCs w:val="18"/>
              </w:rPr>
              <w:t>91.9</w:t>
            </w:r>
            <w:r w:rsidRPr="00C67737">
              <w:rPr>
                <w:rFonts w:cstheme="minorHAnsi"/>
                <w:sz w:val="18"/>
                <w:szCs w:val="18"/>
              </w:rPr>
              <w:t xml:space="preserve">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821DE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C2EB21"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Under development with Ministry of Climate Change, Environment and Energy and planned for release in Q2 2026.</w:t>
            </w:r>
          </w:p>
          <w:p w14:paraId="45C34FB1"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 xml:space="preserve">Key project outcomes: Monitoring gaps assessment, Monitoring action plan, Policy Coherence Assessment, Policy Coherence </w:t>
            </w:r>
            <w:r w:rsidRPr="00D10503">
              <w:rPr>
                <w:rFonts w:cstheme="minorHAnsi"/>
                <w:color w:val="000000" w:themeColor="text1"/>
                <w:sz w:val="18"/>
                <w:szCs w:val="18"/>
                <w:lang w:val="en-US"/>
              </w:rPr>
              <w:lastRenderedPageBreak/>
              <w:t>Plan, Biodiversity Finance Plan building blocks.</w:t>
            </w:r>
          </w:p>
        </w:tc>
      </w:tr>
      <w:tr w:rsidR="00065E3F" w:rsidRPr="00C67737" w14:paraId="19E84A3D"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321368"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lastRenderedPageBreak/>
              <w:t>Mauritania</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1F3F8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D58B4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4C8C6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19B2A65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A3C1B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4BD4E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46.3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33CE7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46.3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85045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05997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DE163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57.1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082D7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97.0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C4885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AE68B7"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Pending submission by Ministry of Environment.</w:t>
            </w:r>
          </w:p>
          <w:p w14:paraId="25F3ED6E" w14:textId="77777777" w:rsidR="00065E3F" w:rsidRPr="00C67737" w:rsidRDefault="00065E3F" w:rsidP="00D22022">
            <w:pPr>
              <w:jc w:val="left"/>
              <w:rPr>
                <w:rFonts w:cstheme="minorHAnsi"/>
                <w:color w:val="000000" w:themeColor="text1"/>
                <w:sz w:val="18"/>
                <w:szCs w:val="18"/>
              </w:rPr>
            </w:pPr>
            <w:r w:rsidRPr="00C67737">
              <w:rPr>
                <w:rFonts w:cstheme="minorHAnsi"/>
                <w:color w:val="000000" w:themeColor="text1"/>
                <w:sz w:val="18"/>
                <w:szCs w:val="18"/>
              </w:rPr>
              <w:t xml:space="preserve">Key </w:t>
            </w:r>
            <w:proofErr w:type="spellStart"/>
            <w:r w:rsidRPr="00C67737">
              <w:rPr>
                <w:rFonts w:cstheme="minorHAnsi"/>
                <w:color w:val="000000" w:themeColor="text1"/>
                <w:sz w:val="18"/>
                <w:szCs w:val="18"/>
              </w:rPr>
              <w:t>project</w:t>
            </w:r>
            <w:proofErr w:type="spellEnd"/>
            <w:r w:rsidRPr="00C67737">
              <w:rPr>
                <w:rFonts w:cstheme="minorHAnsi"/>
                <w:color w:val="000000" w:themeColor="text1"/>
                <w:sz w:val="18"/>
                <w:szCs w:val="18"/>
              </w:rPr>
              <w:t xml:space="preserve"> </w:t>
            </w:r>
            <w:proofErr w:type="spellStart"/>
            <w:proofErr w:type="gramStart"/>
            <w:r w:rsidRPr="00C67737">
              <w:rPr>
                <w:rFonts w:cstheme="minorHAnsi"/>
                <w:color w:val="000000" w:themeColor="text1"/>
                <w:sz w:val="18"/>
                <w:szCs w:val="18"/>
              </w:rPr>
              <w:t>outcomes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NBSAP.</w:t>
            </w:r>
          </w:p>
        </w:tc>
      </w:tr>
      <w:tr w:rsidR="00065E3F" w:rsidRPr="00237520" w14:paraId="3CFB9569"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74BF41"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Mauritius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DA0A3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C5AAB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3392D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5295F45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CB6F1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71BC1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4AA0E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0C1EE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0B55D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61.2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E9211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50.3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A7AFE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50.4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14C38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9E073C"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Under validation by Ministry of Agro-Industry, Food Security, Blue Economy, and Fisheries.</w:t>
            </w:r>
          </w:p>
          <w:p w14:paraId="23883F92"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Policy Coherence Assessment, Policy Coherence Plan.</w:t>
            </w:r>
          </w:p>
        </w:tc>
      </w:tr>
      <w:tr w:rsidR="00065E3F" w:rsidRPr="00237520" w14:paraId="596C73DC"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9FC107"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Mexico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BCE1E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32B21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E6A9C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150BB1C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CAEDBC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334B7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E4231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58.8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2264E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84981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CBF62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AF5F2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E165D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0C64FD"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National Commission for the Knowledge and Use of Biodiversity.</w:t>
            </w:r>
          </w:p>
          <w:p w14:paraId="5C8AF1D6"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Monitoring Action Plan, Monitoring Gaps Assessment, Policy Coherence Assessment, Biodiversity financing plan building blocks.</w:t>
            </w:r>
          </w:p>
        </w:tc>
      </w:tr>
      <w:tr w:rsidR="00065E3F" w:rsidRPr="00237520" w14:paraId="003D7B0D"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A5A5F3"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Mongolia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DC2BC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8741B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F1B31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48708BD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B1952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B35E5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25.4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372EC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83.0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09ABA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0C1EE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0B7FC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32D8A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AF52B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25/02/2026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043515"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 and Climate Change.</w:t>
            </w:r>
          </w:p>
          <w:p w14:paraId="437525F2"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NBSAP Gap Analysis, Monitoring Action Plan, Monitoring Gaps Assessment, Policy Coherence Assessment, Policy Coherence Plan, Stakeholder Engagement Plan, Stakeholder Analysis, Biodiversity Finance Plan Building Blocks, Gender Analysis.</w:t>
            </w:r>
          </w:p>
        </w:tc>
      </w:tr>
      <w:tr w:rsidR="00065E3F" w:rsidRPr="00237520" w14:paraId="75AEBD6E"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A655CC"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lastRenderedPageBreak/>
              <w:t>Morocco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36562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94766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90267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2720682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48F14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5DA28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30546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25.1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21F07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120BC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5A73E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1D885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042B2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02/08/2024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F83DD4"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Ministry of Energy Transition and Sustainable Development.</w:t>
            </w:r>
          </w:p>
          <w:p w14:paraId="2768AC82"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Monitoring Action Plan, Monitoring Gap Assessment, Policy Coherence Plan, Policy Coherence Assessment, Biodiversity Finance Plan Building Blocks.</w:t>
            </w:r>
          </w:p>
        </w:tc>
      </w:tr>
      <w:tr w:rsidR="00065E3F" w:rsidRPr="00237520" w14:paraId="7369B3F5" w14:textId="77777777" w:rsidTr="00D22022">
        <w:trPr>
          <w:trHeight w:val="33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A62CBB"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t>Nepal</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0EE0D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D583C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2E69E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03A1845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5E7A4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8702D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84B94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21.3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C514C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78.7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BB591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5644D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9BB26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17685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24/02/2026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0AAC6B"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Forests and Environment.</w:t>
            </w:r>
          </w:p>
          <w:p w14:paraId="17856468"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NBT Gap Analysis, NBSAP Gap Analysis, Monitoring Action Plan, Monitoring Gaps Assessment, Stakeholder Engagement Plan, Stakeholder Analysis, Policy Coherence Assessment, Gender Analysis.</w:t>
            </w:r>
          </w:p>
        </w:tc>
      </w:tr>
      <w:tr w:rsidR="00065E3F" w:rsidRPr="00237520" w14:paraId="79708337"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29B777"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Pakistan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7014A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D4AB3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B8924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1ED083F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6349D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15606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2117D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9BFEE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8DAF9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61.1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951F8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E6327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99.2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2AC53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DC9B7B"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Climate Change and Environmental Coordination.</w:t>
            </w:r>
          </w:p>
          <w:p w14:paraId="4645A8FB"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NBT Gap Analysis, NBSAP Gap Analysis, NBSAP, Policy Coherence Action Plan, Monitoring Gaps Assessment, Monitoring Action Plan, Stakeholder Engagement Plan, Stakeholder Analysis, Biodiversity Finance Plan Building Blocks.</w:t>
            </w:r>
          </w:p>
        </w:tc>
      </w:tr>
      <w:tr w:rsidR="00065E3F" w:rsidRPr="00237520" w14:paraId="42B8D76A"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66D39B"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Panama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D0E09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45B1E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C63CE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0F1BA29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3A576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38A3C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EFBF1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23.6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82BF3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EF1E2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65020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0BBF6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BAABB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06/02/2026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5B128D"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w:t>
            </w:r>
          </w:p>
          <w:p w14:paraId="07E3A18A"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 xml:space="preserve">Key project outcomes: NBTs, NBT Gap Analysis, NBSAP, NBSAP Gap Analysis, Monitoring Gaps Assessment, Policy Coherence Plan, Stakeholder Engagement </w:t>
            </w:r>
            <w:r w:rsidRPr="00D10503">
              <w:rPr>
                <w:rFonts w:cstheme="minorHAnsi"/>
                <w:color w:val="000000" w:themeColor="text1"/>
                <w:sz w:val="18"/>
                <w:szCs w:val="18"/>
                <w:lang w:val="en-US"/>
              </w:rPr>
              <w:lastRenderedPageBreak/>
              <w:t>Plan, Stakeholder Analysis, Biodiversity Finance Plan Building Blocks.</w:t>
            </w:r>
          </w:p>
        </w:tc>
      </w:tr>
      <w:tr w:rsidR="00065E3F" w:rsidRPr="00237520" w14:paraId="213DB3D1" w14:textId="77777777" w:rsidTr="00D22022">
        <w:trPr>
          <w:trHeight w:val="70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2CE4C2"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lastRenderedPageBreak/>
              <w:t xml:space="preserve">Papua New </w:t>
            </w:r>
            <w:proofErr w:type="spellStart"/>
            <w:r w:rsidRPr="00C67737">
              <w:rPr>
                <w:rFonts w:cstheme="minorHAnsi"/>
                <w:color w:val="000000" w:themeColor="text1"/>
                <w:sz w:val="18"/>
                <w:szCs w:val="18"/>
              </w:rPr>
              <w:t>Guinea</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50CBD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A9612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 </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020CA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29AB846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0376A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EBBB9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8837F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76.6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D6F93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89.0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234C3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89.0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30557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4A9A0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89.0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02FCF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14/10/2024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B073F1"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Conservation and Environment Protection Authority.</w:t>
            </w:r>
          </w:p>
          <w:p w14:paraId="7F5CABF4"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Monitoring gaps assessment, Policy Coherence Assessment, Biodiversity Finance Plan Building Blocks.</w:t>
            </w:r>
          </w:p>
        </w:tc>
      </w:tr>
      <w:tr w:rsidR="00065E3F" w:rsidRPr="00237520" w14:paraId="223B884D" w14:textId="77777777" w:rsidTr="00D22022">
        <w:trPr>
          <w:trHeight w:val="5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281C49"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Paraguay</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D201A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97059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BD5C9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4A963A0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3C7C8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820F0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882E8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22.3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6ED4B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75.1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CE3C6E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53468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C6114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90740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16/01/2026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C11295"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 and Sustainable Development.</w:t>
            </w:r>
          </w:p>
          <w:p w14:paraId="1CF29B46"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Gap Analysis, NBT Gap Analysis, NBSAP, Gender Action Plan, Gender Analysis.</w:t>
            </w:r>
          </w:p>
        </w:tc>
      </w:tr>
      <w:tr w:rsidR="00065E3F" w:rsidRPr="00237520" w14:paraId="1C1C9515"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E8AA78"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Peru</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E095C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DF11D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BC4C6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44CD044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2B173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25EAD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AE7EB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3EFE4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ADC98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1A057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502E2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08319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624A83"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Environment.</w:t>
            </w:r>
          </w:p>
          <w:p w14:paraId="15D15E55"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NBT Gap Analysis, NBSAP, Stakeholder Engagement Plan, Stakeholder Analysis.</w:t>
            </w:r>
          </w:p>
        </w:tc>
      </w:tr>
      <w:tr w:rsidR="00065E3F" w:rsidRPr="00237520" w14:paraId="2B3C8219" w14:textId="77777777" w:rsidTr="00D22022">
        <w:trPr>
          <w:trHeight w:val="9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9014EF"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Philippines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7FC12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22EFE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5B5EB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604D89D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ADE48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241C2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29.9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59D91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91.5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CEA330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70.6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B46E0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EEF91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96.3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D781D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96.3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9CC05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06/10/2025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8B9C1B"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Department of Environment and Natural Resources.</w:t>
            </w:r>
          </w:p>
          <w:p w14:paraId="1DF06AC3"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Monitoring Plan.</w:t>
            </w:r>
          </w:p>
        </w:tc>
      </w:tr>
      <w:tr w:rsidR="00065E3F" w:rsidRPr="00237520" w14:paraId="05538BAD"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57C8F5"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Saint Lucia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C52A9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0060B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8B0F3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7AD4A84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48E34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43180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FE394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15.3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E77BF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8B3DD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CF76A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93.7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06FA6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94.4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C1C55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12/01/2026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BC9F15"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Sustainable Development, Energy, Science, and Technology.</w:t>
            </w:r>
          </w:p>
          <w:p w14:paraId="732FA17F"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 xml:space="preserve">Key project outcomes: NBTs, NBSAP, NBSAP Gap Analysis, NBT Gap Analysis, Policy Coherence Assessment, Policy Coherence </w:t>
            </w:r>
            <w:r w:rsidRPr="00D10503">
              <w:rPr>
                <w:rFonts w:cstheme="minorHAnsi"/>
                <w:color w:val="000000" w:themeColor="text1"/>
                <w:sz w:val="18"/>
                <w:szCs w:val="18"/>
                <w:lang w:val="en-US"/>
              </w:rPr>
              <w:lastRenderedPageBreak/>
              <w:t>Plan, Stakeholder Engagement Plan, Stakeholder Analysis.</w:t>
            </w:r>
          </w:p>
        </w:tc>
      </w:tr>
      <w:tr w:rsidR="00065E3F" w:rsidRPr="00237520" w14:paraId="5A3148AE"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221162"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lastRenderedPageBreak/>
              <w:t>Samoa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01DCE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837C6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476A8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42CDCBD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114C3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A6EA9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83B89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4D692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C8A18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E9FBD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6EE5E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76D2B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31/10/2024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7EA3BB"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Natural Resources and Environment.</w:t>
            </w:r>
          </w:p>
          <w:p w14:paraId="4D5BEA1D"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Monitoring Action Plan, Monitoring Gaps Assessment.</w:t>
            </w:r>
          </w:p>
        </w:tc>
      </w:tr>
      <w:tr w:rsidR="00065E3F" w:rsidRPr="00237520" w14:paraId="3B76786B" w14:textId="77777777" w:rsidTr="00D22022">
        <w:trPr>
          <w:trHeight w:val="87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BE1580"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Seychelles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4BA49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F7286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D6AE1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1CE0C58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068F7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BB277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E4F81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0E3C5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47.0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2D68A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82.0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14144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5B94B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93.7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64A93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30/06/2025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BC6512"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Ministry of Environment, Climate, Energy and Natural Resources.</w:t>
            </w:r>
          </w:p>
          <w:p w14:paraId="027E1EF6"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Policy Coherence Assessment, Stakeholder Engagement Plan, Stakeholder Analysis, Monitoring Gaps Assessment, Biodiversity Finance Plan building blocks.</w:t>
            </w:r>
          </w:p>
        </w:tc>
      </w:tr>
      <w:tr w:rsidR="00065E3F" w:rsidRPr="00237520" w14:paraId="73A1511E"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F66B6D"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Somalia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841B2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135A5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7EE43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6D06464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C22CD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4000D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6DEB4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32.8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E92B6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85.5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3342B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92818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80E4B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D379A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19/08/2024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EDE8F6"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Ministry of Environment and Climate Change.</w:t>
            </w:r>
          </w:p>
          <w:p w14:paraId="410EE62E"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Monitoring Action Plan, Monitoring Gaps Assessment, Policy Coherence Assessment, Biodiversity Finance Plan building blocks.</w:t>
            </w:r>
          </w:p>
        </w:tc>
      </w:tr>
      <w:tr w:rsidR="00065E3F" w:rsidRPr="00237520" w14:paraId="2DDB0517"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B1E702"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Sri Lanka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F7FBF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8ADE9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8A443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17/1/2023</w:t>
            </w:r>
          </w:p>
          <w:p w14:paraId="7667A10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99B2C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6D6F4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5242C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51.7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D948D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CC2F3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95.8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3CBD1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2E8F8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44A07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25/02/2026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CD6D52"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Under final validation with Ministry of Environment and planned for release in Q2 2026.</w:t>
            </w:r>
          </w:p>
          <w:p w14:paraId="0CE7A614"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NBT Gap Analysis, Monitoring Action Plan.</w:t>
            </w:r>
          </w:p>
        </w:tc>
      </w:tr>
      <w:tr w:rsidR="00065E3F" w:rsidRPr="00237520" w14:paraId="6860C1BD"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5F0332"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lastRenderedPageBreak/>
              <w:t>St Vincent and Grenadines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0A65B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ECDB1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9D273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4BF6557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3A03C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AF0C8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809C3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F4D50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9D289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64.4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2AE16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16F1C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97.1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456D5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23/01/2026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7FFECB"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Health, Wellness, Environmental Health, and Energy.</w:t>
            </w:r>
          </w:p>
          <w:p w14:paraId="535E6BF7"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NBSAP Gap Analysis, Monitoring Gaps Assessment, Monitoring Action Plan, Policy Coherence Assessment, Policy Coherence Plan, Biodiversity Finance Plan Building Blocks.</w:t>
            </w:r>
          </w:p>
        </w:tc>
      </w:tr>
      <w:tr w:rsidR="00065E3F" w:rsidRPr="00237520" w14:paraId="0745FAD4"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F555C9"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St. Kitts and Nevis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E8EFF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4A987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C70C6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20/1/2023</w:t>
            </w:r>
          </w:p>
          <w:p w14:paraId="4A34A89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34470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969F4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6953A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BB77A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33.6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EAF64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F7A24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61.4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18F0A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92.8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D6253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5E9F4D"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Under development with the Department of Environment.</w:t>
            </w:r>
          </w:p>
          <w:p w14:paraId="18120B3E"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Monitoring Action Plan, Monitoring Gaps Assessment.</w:t>
            </w:r>
          </w:p>
        </w:tc>
      </w:tr>
      <w:tr w:rsidR="00065E3F" w:rsidRPr="00C67737" w14:paraId="54D071A5" w14:textId="77777777" w:rsidTr="00D22022">
        <w:trPr>
          <w:trHeight w:val="33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B45E6D"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Suriname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C97330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8E16B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0A761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4160799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2562A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46A7D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A1B0A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46.0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02F6C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C2BAD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859B1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91.7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9AF5C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91.7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D2BC6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92028C"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Oil, Gas, and Environment.</w:t>
            </w:r>
          </w:p>
          <w:p w14:paraId="487893F1" w14:textId="77777777" w:rsidR="00065E3F" w:rsidRPr="00C67737" w:rsidRDefault="00065E3F" w:rsidP="00D22022">
            <w:pPr>
              <w:jc w:val="left"/>
              <w:rPr>
                <w:rFonts w:cstheme="minorHAnsi"/>
                <w:color w:val="000000" w:themeColor="text1"/>
                <w:sz w:val="18"/>
                <w:szCs w:val="18"/>
              </w:rPr>
            </w:pPr>
            <w:r w:rsidRPr="00C67737">
              <w:rPr>
                <w:rFonts w:cstheme="minorHAnsi"/>
                <w:color w:val="000000" w:themeColor="text1"/>
                <w:sz w:val="18"/>
                <w:szCs w:val="18"/>
              </w:rPr>
              <w:t xml:space="preserve">Key </w:t>
            </w:r>
            <w:proofErr w:type="spellStart"/>
            <w:r w:rsidRPr="00C67737">
              <w:rPr>
                <w:rFonts w:cstheme="minorHAnsi"/>
                <w:color w:val="000000" w:themeColor="text1"/>
                <w:sz w:val="18"/>
                <w:szCs w:val="18"/>
              </w:rPr>
              <w:t>project</w:t>
            </w:r>
            <w:proofErr w:type="spellEnd"/>
            <w:r w:rsidRPr="00C67737">
              <w:rPr>
                <w:rFonts w:cstheme="minorHAnsi"/>
                <w:color w:val="000000" w:themeColor="text1"/>
                <w:sz w:val="18"/>
                <w:szCs w:val="18"/>
              </w:rPr>
              <w:t xml:space="preserve"> </w:t>
            </w:r>
            <w:proofErr w:type="spellStart"/>
            <w:proofErr w:type="gramStart"/>
            <w:r w:rsidRPr="00C67737">
              <w:rPr>
                <w:rFonts w:cstheme="minorHAnsi"/>
                <w:color w:val="000000" w:themeColor="text1"/>
                <w:sz w:val="18"/>
                <w:szCs w:val="18"/>
              </w:rPr>
              <w:t>outcomes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NBTs</w:t>
            </w:r>
            <w:proofErr w:type="spellEnd"/>
            <w:r w:rsidRPr="00C67737">
              <w:rPr>
                <w:rFonts w:cstheme="minorHAnsi"/>
                <w:color w:val="000000" w:themeColor="text1"/>
                <w:sz w:val="18"/>
                <w:szCs w:val="18"/>
              </w:rPr>
              <w:t>.</w:t>
            </w:r>
          </w:p>
        </w:tc>
      </w:tr>
      <w:tr w:rsidR="00065E3F" w:rsidRPr="00237520" w14:paraId="2CEFC630"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A4B2C3"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t>Tajikistan</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6ACB4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05B7A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63D02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2235F28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A667B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E560D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C1335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40.9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DC11A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9F488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67.7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AD664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39EE2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728D7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09/07/2025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A9B74A"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Committee for Environmental Protection under the Government of the Republic of Tajikistan.</w:t>
            </w:r>
          </w:p>
          <w:p w14:paraId="24E98067"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Policy Coherence Assessment, Biodiversity Finance Building Blocks.</w:t>
            </w:r>
          </w:p>
        </w:tc>
      </w:tr>
      <w:tr w:rsidR="00065E3F" w:rsidRPr="00237520" w14:paraId="4E25BB65"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92DFF4"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Thailand</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A6562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44E19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8EAD8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03A3E7E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03D31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C7161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A660C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88.0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DC24A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783EB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0AD6F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E5651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643FB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20/01/2026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EDC613"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Office of Natural Resources and Environmental Policy and Planning.</w:t>
            </w:r>
          </w:p>
          <w:p w14:paraId="01D471FE"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NBTs, NBSAP, Monitoring Action Plan, Monitoring Gaps Assessment, Policy Coherence Assessment, Policy Coherence Plan, Biodiversity Finance Plan Building Blocks.</w:t>
            </w:r>
          </w:p>
        </w:tc>
      </w:tr>
      <w:tr w:rsidR="00065E3F" w:rsidRPr="00237520" w14:paraId="75B6737A"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92EC49"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lastRenderedPageBreak/>
              <w:t>Timor Leste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7F67C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BD7DD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9233B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78D6E8A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A8C541"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A4466C"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24.8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2E881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36.1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27683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50.1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D5F6F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708501"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AB22F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69795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05/08/2025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617C2A"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Tourism and Environment.</w:t>
            </w:r>
          </w:p>
          <w:p w14:paraId="54E52482"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 xml:space="preserve">Key project outcomes: NBTs, NBSAP, Monitoring Action Plan, Policy Coherence Assessment, Gender Action Plan. </w:t>
            </w:r>
          </w:p>
        </w:tc>
      </w:tr>
      <w:tr w:rsidR="00065E3F" w:rsidRPr="00237520" w14:paraId="10360339"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7910DE"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Trinidad &amp; Tobago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89171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47FD1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C426A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480AC3D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0797F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5D096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3DF91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892D2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82.9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956C7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93.4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6EAF0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3E6AF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99D55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03/09/2025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99C451"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NBT Status: Submitted by the Ministry of Planning and Development.</w:t>
            </w:r>
          </w:p>
          <w:p w14:paraId="420D384F" w14:textId="77777777" w:rsidR="00065E3F" w:rsidRPr="00D10503" w:rsidRDefault="00065E3F" w:rsidP="00D22022">
            <w:pPr>
              <w:jc w:val="left"/>
              <w:rPr>
                <w:rFonts w:cstheme="minorHAnsi"/>
                <w:color w:val="000000" w:themeColor="text1"/>
                <w:sz w:val="18"/>
                <w:szCs w:val="18"/>
                <w:lang w:val="en-US"/>
              </w:rPr>
            </w:pPr>
            <w:r w:rsidRPr="00D10503">
              <w:rPr>
                <w:rFonts w:cstheme="minorHAnsi"/>
                <w:color w:val="000000" w:themeColor="text1"/>
                <w:sz w:val="18"/>
                <w:szCs w:val="18"/>
                <w:lang w:val="en-US"/>
              </w:rPr>
              <w:t>Key project outcomes: Monitoring Action Plan, Policy Coherence Assessment, Biodiversity Finance Plan Building Blocks.</w:t>
            </w:r>
          </w:p>
        </w:tc>
      </w:tr>
      <w:tr w:rsidR="00065E3F" w:rsidRPr="00237520" w14:paraId="6CAA3F87" w14:textId="77777777" w:rsidTr="00D22022">
        <w:trPr>
          <w:trHeight w:val="90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2650FE"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Tunisia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FDC4F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7AF7E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85292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54891EC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6E8F1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73195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9F6E0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67.4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4DCDF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85.8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E2CC5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C57F5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B2273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97F65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15/10/2024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D28E19"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NBT Status: Submitted by Ministry of Environment.</w:t>
            </w:r>
          </w:p>
          <w:p w14:paraId="3EA21FC9"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Key project outcomes: NBTs, NBSAP, Monitoring Action Plan, Monitoring Gaps Assessment, Policy Coherence Assessment, Policy Coherence Plan, Biodiversity Finance Building Blocks, Gender Action Plan, Gender Analysis.</w:t>
            </w:r>
          </w:p>
        </w:tc>
      </w:tr>
      <w:tr w:rsidR="00065E3F" w:rsidRPr="00237520" w14:paraId="3FBB6359"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541241"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t>Turkmenistan</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4D3D5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3680B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F4544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65520E4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FB3FA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C6569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F4C60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20.1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5DFF5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41.4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189B2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62.6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05AB3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97.2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8755A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ED78E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p w14:paraId="53440737"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 </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D5A5E4"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NBT Status: Under validation by Ministry of Environment Protection.</w:t>
            </w:r>
          </w:p>
          <w:p w14:paraId="6649FEA8"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Key project outcomes: NBTs, NBT Gap Analysis, NBSAP, NBSAP Gap Analysis, Monitoring Gaps Assessment, Policy Coherence Assessment, Policy Coherence Plan, Biodiversity Finance Plan Building Blocks.</w:t>
            </w:r>
          </w:p>
        </w:tc>
      </w:tr>
      <w:tr w:rsidR="00065E3F" w:rsidRPr="00237520" w14:paraId="2D09D77D" w14:textId="77777777" w:rsidTr="00D22022">
        <w:trPr>
          <w:trHeight w:val="40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DF31E4"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Ukraine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89A22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1EF0C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082C75"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209E4B6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BEE85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0.8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E4F1A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169005"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51.6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9FE44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04AD04"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6E41A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D97D4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A8164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10/03/2026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6BD458"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NBT Status: Submitted by Ministry of Economy, Environment and Agriculture.</w:t>
            </w:r>
          </w:p>
          <w:p w14:paraId="3ABE2E7A"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Key project outcomes: NBTs, Monitoring Gaps Assessment, Policy Coherence Plan.</w:t>
            </w:r>
          </w:p>
        </w:tc>
      </w:tr>
      <w:tr w:rsidR="00065E3F" w:rsidRPr="00237520" w14:paraId="7DC9404C"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9C8FBA"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lastRenderedPageBreak/>
              <w:t>Uruguay</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42D10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5AAA9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4EB4DA"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137CD4C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FCB2D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667B7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9B3A0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75.8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0E086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88.0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65BD9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27706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94.5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10B0F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94.5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626D9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12/06/2025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141779" w14:textId="77777777" w:rsidR="00065E3F" w:rsidRPr="00065E3F" w:rsidRDefault="00065E3F" w:rsidP="00D22022">
            <w:pPr>
              <w:jc w:val="left"/>
              <w:rPr>
                <w:rFonts w:cstheme="minorHAnsi"/>
                <w:color w:val="000000" w:themeColor="text1"/>
                <w:sz w:val="18"/>
                <w:szCs w:val="18"/>
                <w:lang w:val="en-US"/>
              </w:rPr>
            </w:pPr>
            <w:r w:rsidRPr="00065E3F">
              <w:rPr>
                <w:rFonts w:cstheme="minorHAnsi"/>
                <w:color w:val="000000" w:themeColor="text1"/>
                <w:sz w:val="18"/>
                <w:szCs w:val="18"/>
                <w:lang w:val="en-US"/>
              </w:rPr>
              <w:t>NBT Status: Submitted by the Ministry of Environment.</w:t>
            </w:r>
          </w:p>
          <w:p w14:paraId="51D5451D" w14:textId="77777777" w:rsidR="00065E3F" w:rsidRPr="00065E3F" w:rsidRDefault="00065E3F" w:rsidP="00D22022">
            <w:pPr>
              <w:jc w:val="left"/>
              <w:rPr>
                <w:rFonts w:cstheme="minorHAnsi"/>
                <w:color w:val="000000" w:themeColor="text1"/>
                <w:sz w:val="18"/>
                <w:szCs w:val="18"/>
                <w:lang w:val="en-US"/>
              </w:rPr>
            </w:pPr>
            <w:r w:rsidRPr="00065E3F">
              <w:rPr>
                <w:rFonts w:cstheme="minorHAnsi"/>
                <w:color w:val="000000" w:themeColor="text1"/>
                <w:sz w:val="18"/>
                <w:szCs w:val="18"/>
                <w:lang w:val="en-US"/>
              </w:rPr>
              <w:t>Key project outcomes: NBTs, Monitoring Action Plan, Monitoring Gaps Assessment, Policy Coherence Assessment, Policy Coherence Plan, Biodiversity Finance Plan Building Blocks.</w:t>
            </w:r>
          </w:p>
        </w:tc>
      </w:tr>
      <w:tr w:rsidR="00065E3F" w:rsidRPr="00237520" w14:paraId="7D5AA980" w14:textId="77777777" w:rsidTr="00D22022">
        <w:trPr>
          <w:trHeight w:val="81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B4B0DA"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t>Uzbekistan</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F15DC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A89409"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43DBD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34556DE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66ADA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7.8</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20E55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26.5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0B163D"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85.5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6127F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47B1E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80F68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7DC25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95CA7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25/10/2024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851411"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NBT Status: Submitted by Ministry of Ecology, Environmental Protection and Climate Change.</w:t>
            </w:r>
          </w:p>
          <w:p w14:paraId="7C5FAC1C"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Key project outcomes: NBTs, NBT Gap Analysis, NBSAP, NBSAP Gap Analysis, Policy Coherence Assessment, Monitoring Action Plan, Monitoring Gaps Assessment, Policy Coherence Plan, Biodiversity Finance Plan Building Blocks.</w:t>
            </w:r>
          </w:p>
        </w:tc>
      </w:tr>
      <w:tr w:rsidR="00065E3F" w:rsidRPr="00237520" w14:paraId="36856686" w14:textId="77777777" w:rsidTr="00D22022">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25931B"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Venezuela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89332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7CF9F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8DA66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1634E5E8"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64A2C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C4F67E"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312FF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31.7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09072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64D58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61C01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93.5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1316F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65993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06/02/2026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B39A63"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NBT Status: Submitted by the Ministry of People’s Power for Eco socialism.</w:t>
            </w:r>
          </w:p>
          <w:p w14:paraId="6736A5D9"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Key project outcomes: NBTs, NBSAP, Monitoring Action Plan, Monitoring Gaps Assessment, Policy Coherence Assessment, Policy Coherence Plan, Biodiversity Finance Plan Building Blocks.</w:t>
            </w:r>
          </w:p>
        </w:tc>
      </w:tr>
      <w:tr w:rsidR="00065E3F" w:rsidRPr="00237520" w14:paraId="75F5CBB5"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BB03B6" w14:textId="77777777" w:rsidR="00065E3F" w:rsidRPr="00C67737" w:rsidRDefault="00065E3F" w:rsidP="00D22022">
            <w:pPr>
              <w:ind w:left="-28" w:right="-73"/>
              <w:rPr>
                <w:rFonts w:cstheme="minorHAnsi"/>
                <w:color w:val="000000" w:themeColor="text1"/>
                <w:sz w:val="18"/>
                <w:szCs w:val="18"/>
              </w:rPr>
            </w:pPr>
            <w:r w:rsidRPr="00C67737">
              <w:rPr>
                <w:rFonts w:cstheme="minorHAnsi"/>
                <w:color w:val="000000" w:themeColor="text1"/>
                <w:sz w:val="18"/>
                <w:szCs w:val="18"/>
              </w:rPr>
              <w:t>Viet Nam</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8A3F9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B5B7CE"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5925AB"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5206BDB4"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A87F2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22D010"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94C7E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72.7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C6F8AA"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75.9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3E4742"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407CFB"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076007"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FBEB3F"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xml:space="preserve">Not </w:t>
            </w:r>
            <w:proofErr w:type="spellStart"/>
            <w:r w:rsidRPr="00C67737">
              <w:rPr>
                <w:rFonts w:cstheme="minorHAnsi"/>
                <w:color w:val="000000" w:themeColor="text1"/>
                <w:sz w:val="18"/>
                <w:szCs w:val="18"/>
              </w:rPr>
              <w:t>submitted</w:t>
            </w:r>
            <w:proofErr w:type="spellEnd"/>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7CC6A6"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NBT Status: Under final validation with Ministry of Agriculture and Environment and planned for release in Q2 2026.</w:t>
            </w:r>
          </w:p>
          <w:p w14:paraId="74DDA452" w14:textId="77777777" w:rsidR="00065E3F" w:rsidRPr="00366492" w:rsidRDefault="00065E3F" w:rsidP="00D22022">
            <w:pPr>
              <w:jc w:val="left"/>
              <w:rPr>
                <w:rFonts w:cstheme="minorHAnsi"/>
                <w:color w:val="000000" w:themeColor="text1"/>
                <w:sz w:val="18"/>
                <w:szCs w:val="18"/>
                <w:lang w:val="en-US"/>
              </w:rPr>
            </w:pPr>
            <w:r w:rsidRPr="00366492">
              <w:rPr>
                <w:rFonts w:cstheme="minorHAnsi"/>
                <w:color w:val="000000" w:themeColor="text1"/>
                <w:sz w:val="18"/>
                <w:szCs w:val="18"/>
                <w:lang w:val="en-US"/>
              </w:rPr>
              <w:t>Key project outcomes: Monitoring Gaps Assessment, Policy Coherence Assessment, Policy Coherence Plan, Stakeholder Analysis, Biodiversity Finance Plan Building Blocks.</w:t>
            </w:r>
          </w:p>
        </w:tc>
      </w:tr>
      <w:tr w:rsidR="00065E3F" w:rsidRPr="00237520" w14:paraId="590629C4" w14:textId="77777777" w:rsidTr="00D22022">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94CA93" w14:textId="77777777" w:rsidR="00065E3F" w:rsidRPr="00C67737" w:rsidRDefault="00065E3F" w:rsidP="00D22022">
            <w:pPr>
              <w:ind w:left="-28" w:right="-73"/>
              <w:rPr>
                <w:rFonts w:cstheme="minorHAnsi"/>
                <w:color w:val="000000" w:themeColor="text1"/>
                <w:sz w:val="18"/>
                <w:szCs w:val="18"/>
              </w:rPr>
            </w:pPr>
            <w:proofErr w:type="spellStart"/>
            <w:r w:rsidRPr="00C67737">
              <w:rPr>
                <w:rFonts w:cstheme="minorHAnsi"/>
                <w:color w:val="000000" w:themeColor="text1"/>
                <w:sz w:val="18"/>
                <w:szCs w:val="18"/>
              </w:rPr>
              <w:lastRenderedPageBreak/>
              <w:t>Yemen</w:t>
            </w:r>
            <w:proofErr w:type="spellEnd"/>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2C51ED"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4FD9E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681113"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21/2/2023</w:t>
            </w:r>
          </w:p>
          <w:p w14:paraId="7863AD50"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FCC4BC"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141EB6"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EB11B8"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56.7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13A55F"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87.8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BC0C13"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27F139"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5DD3A6" w14:textId="77777777" w:rsidR="00065E3F" w:rsidRPr="00C67737" w:rsidRDefault="00065E3F" w:rsidP="00D22022">
            <w:pPr>
              <w:jc w:val="center"/>
              <w:rPr>
                <w:rFonts w:cstheme="minorHAnsi"/>
                <w:color w:val="000000" w:themeColor="text1"/>
                <w:sz w:val="18"/>
                <w:szCs w:val="18"/>
              </w:rPr>
            </w:pPr>
            <w:r w:rsidRPr="00C67737">
              <w:rPr>
                <w:rFonts w:cstheme="minorHAns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8D6D22" w14:textId="77777777" w:rsidR="00065E3F" w:rsidRPr="00C67737" w:rsidRDefault="00065E3F" w:rsidP="00D22022">
            <w:pPr>
              <w:jc w:val="center"/>
              <w:rPr>
                <w:rFonts w:cstheme="minorHAnsi"/>
                <w:color w:val="000000" w:themeColor="text1"/>
                <w:sz w:val="18"/>
                <w:szCs w:val="18"/>
              </w:rPr>
            </w:pPr>
            <w:r w:rsidRPr="00C67737">
              <w:rPr>
                <w:rFonts w:cstheme="minorHAnsi"/>
                <w:color w:val="000000" w:themeColor="text1"/>
                <w:sz w:val="18"/>
                <w:szCs w:val="18"/>
              </w:rPr>
              <w:t>01/08/2024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A0856D" w14:textId="77777777" w:rsidR="00065E3F" w:rsidRPr="00065E3F" w:rsidRDefault="00065E3F" w:rsidP="00D22022">
            <w:pPr>
              <w:jc w:val="left"/>
              <w:rPr>
                <w:rFonts w:cstheme="minorHAnsi"/>
                <w:color w:val="000000" w:themeColor="text1"/>
                <w:sz w:val="18"/>
                <w:szCs w:val="18"/>
                <w:lang w:val="en-US"/>
              </w:rPr>
            </w:pPr>
            <w:r w:rsidRPr="00065E3F">
              <w:rPr>
                <w:rFonts w:cstheme="minorHAnsi"/>
                <w:color w:val="000000" w:themeColor="text1"/>
                <w:sz w:val="18"/>
                <w:szCs w:val="18"/>
                <w:lang w:val="en-US"/>
              </w:rPr>
              <w:t>NBT Status: Submitted by Environmental Protection Agency.</w:t>
            </w:r>
          </w:p>
          <w:p w14:paraId="402B526E" w14:textId="77777777" w:rsidR="00065E3F" w:rsidRPr="00065E3F" w:rsidRDefault="00065E3F" w:rsidP="00D22022">
            <w:pPr>
              <w:jc w:val="left"/>
              <w:rPr>
                <w:rFonts w:cstheme="minorHAnsi"/>
                <w:color w:val="000000" w:themeColor="text1"/>
                <w:sz w:val="18"/>
                <w:szCs w:val="18"/>
                <w:lang w:val="en-US"/>
              </w:rPr>
            </w:pPr>
            <w:r w:rsidRPr="00065E3F">
              <w:rPr>
                <w:rFonts w:cstheme="minorHAnsi"/>
                <w:color w:val="000000" w:themeColor="text1"/>
                <w:sz w:val="18"/>
                <w:szCs w:val="18"/>
                <w:lang w:val="en-US"/>
              </w:rPr>
              <w:t>Key project outcomes: NBTs, NBSAP, Policy Coherence Assessment, Monitoring Action Plan, Monitoring Gaps Assessment, Policy Coherence Plan, Biodiversity Finance Plan Building Blocks</w:t>
            </w:r>
          </w:p>
        </w:tc>
      </w:tr>
    </w:tbl>
    <w:p w14:paraId="029B2CCA" w14:textId="77777777" w:rsidR="005576FA" w:rsidRPr="002B016E" w:rsidRDefault="005576FA" w:rsidP="005576FA">
      <w:pPr>
        <w:rPr>
          <w:lang w:val="en-US"/>
        </w:rPr>
      </w:pPr>
    </w:p>
    <w:p w14:paraId="1611F311" w14:textId="77777777" w:rsidR="005576FA" w:rsidRPr="002B016E" w:rsidRDefault="005576FA" w:rsidP="005576FA">
      <w:pPr>
        <w:rPr>
          <w:lang w:val="en-US"/>
        </w:rPr>
      </w:pPr>
    </w:p>
    <w:p w14:paraId="49A687B2" w14:textId="77777777" w:rsidR="005576FA" w:rsidRPr="002B016E" w:rsidRDefault="005576FA" w:rsidP="005576FA">
      <w:pPr>
        <w:rPr>
          <w:lang w:val="en-US"/>
        </w:rPr>
      </w:pPr>
      <w:r w:rsidRPr="002B016E">
        <w:rPr>
          <w:lang w:val="en-US"/>
        </w:rPr>
        <w:br w:type="page"/>
      </w:r>
    </w:p>
    <w:p w14:paraId="34F682D2" w14:textId="77777777" w:rsidR="000F2D6A" w:rsidRPr="00C67737" w:rsidRDefault="000F2D6A" w:rsidP="000F2D6A">
      <w:pPr>
        <w:pStyle w:val="Heading3"/>
        <w:rPr>
          <w:lang w:val="en-US"/>
        </w:rPr>
      </w:pPr>
      <w:bookmarkStart w:id="223" w:name="_Toc239237106"/>
      <w:bookmarkStart w:id="224" w:name="_Toc242184680"/>
      <w:bookmarkStart w:id="225" w:name="_Toc242184739"/>
      <w:r w:rsidRPr="00C67737">
        <w:rPr>
          <w:lang w:val="en-US"/>
        </w:rPr>
        <w:lastRenderedPageBreak/>
        <w:t>Table B. Countries supported by UNEP</w:t>
      </w:r>
      <w:bookmarkEnd w:id="223"/>
      <w:bookmarkEnd w:id="224"/>
      <w:bookmarkEnd w:id="225"/>
    </w:p>
    <w:tbl>
      <w:tblPr>
        <w:tblW w:w="13877" w:type="dxa"/>
        <w:jc w:val="center"/>
        <w:tblLayout w:type="fixed"/>
        <w:tblLook w:val="04A0" w:firstRow="1" w:lastRow="0" w:firstColumn="1" w:lastColumn="0" w:noHBand="0" w:noVBand="1"/>
      </w:tblPr>
      <w:tblGrid>
        <w:gridCol w:w="1166"/>
        <w:gridCol w:w="1017"/>
        <w:gridCol w:w="1206"/>
        <w:gridCol w:w="1257"/>
        <w:gridCol w:w="1026"/>
        <w:gridCol w:w="692"/>
        <w:gridCol w:w="709"/>
        <w:gridCol w:w="709"/>
        <w:gridCol w:w="708"/>
        <w:gridCol w:w="709"/>
        <w:gridCol w:w="709"/>
        <w:gridCol w:w="1134"/>
        <w:gridCol w:w="2835"/>
      </w:tblGrid>
      <w:tr w:rsidR="00D10503" w:rsidRPr="00C67737" w14:paraId="5F5E1FA8" w14:textId="77777777" w:rsidTr="00D22022">
        <w:trPr>
          <w:trHeight w:val="480"/>
          <w:tblHeader/>
          <w:jc w:val="center"/>
        </w:trPr>
        <w:tc>
          <w:tcPr>
            <w:tcW w:w="116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7AC717DF" w14:textId="77777777" w:rsidR="00D10503" w:rsidRPr="00C67737" w:rsidRDefault="00D10503" w:rsidP="00D22022">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Country</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42EBCEFB" w14:textId="77777777" w:rsidR="00D10503" w:rsidRPr="00C67737" w:rsidRDefault="00D10503" w:rsidP="00D22022">
            <w:pPr>
              <w:pStyle w:val="paragraph"/>
              <w:spacing w:after="0"/>
              <w:jc w:val="center"/>
              <w:rPr>
                <w:rFonts w:asciiTheme="minorHAnsi" w:hAnsiTheme="minorHAnsi" w:cstheme="minorHAnsi"/>
                <w:b/>
                <w:bCs/>
                <w:color w:val="000000" w:themeColor="text1"/>
                <w:sz w:val="18"/>
                <w:szCs w:val="18"/>
              </w:rPr>
            </w:pPr>
            <w:proofErr w:type="spellStart"/>
            <w:r w:rsidRPr="00C67737">
              <w:rPr>
                <w:rFonts w:asciiTheme="minorHAnsi" w:hAnsiTheme="minorHAnsi" w:cstheme="minorHAnsi"/>
                <w:b/>
                <w:bCs/>
                <w:color w:val="000000" w:themeColor="text1"/>
                <w:sz w:val="18"/>
                <w:szCs w:val="18"/>
              </w:rPr>
              <w:t>Amount</w:t>
            </w:r>
            <w:proofErr w:type="spellEnd"/>
            <w:r w:rsidRPr="00C67737">
              <w:rPr>
                <w:rFonts w:asciiTheme="minorHAnsi" w:hAnsiTheme="minorHAnsi" w:cstheme="minorHAnsi"/>
                <w:b/>
                <w:bCs/>
                <w:color w:val="000000" w:themeColor="text1"/>
                <w:sz w:val="18"/>
                <w:szCs w:val="18"/>
              </w:rPr>
              <w:t xml:space="preserve"> </w:t>
            </w:r>
            <w:proofErr w:type="spellStart"/>
            <w:r w:rsidRPr="00C67737">
              <w:rPr>
                <w:rFonts w:asciiTheme="minorHAnsi" w:hAnsiTheme="minorHAnsi" w:cstheme="minorHAnsi"/>
                <w:b/>
                <w:bCs/>
                <w:color w:val="000000" w:themeColor="text1"/>
                <w:sz w:val="18"/>
                <w:szCs w:val="18"/>
              </w:rPr>
              <w:t>approved</w:t>
            </w:r>
            <w:proofErr w:type="spellEnd"/>
            <w:r w:rsidRPr="00C67737">
              <w:rPr>
                <w:rStyle w:val="FootnoteReference"/>
                <w:rFonts w:asciiTheme="minorHAnsi" w:hAnsiTheme="minorHAnsi" w:cstheme="minorHAnsi"/>
                <w:b/>
                <w:bCs/>
                <w:color w:val="000000" w:themeColor="text1"/>
                <w:sz w:val="18"/>
                <w:szCs w:val="18"/>
              </w:rPr>
              <w:footnoteReference w:id="161"/>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B704E85" w14:textId="77777777" w:rsidR="00D10503" w:rsidRPr="00366492" w:rsidRDefault="00D10503" w:rsidP="00D22022">
            <w:pPr>
              <w:pStyle w:val="paragraph"/>
              <w:spacing w:after="0"/>
              <w:jc w:val="center"/>
              <w:rPr>
                <w:rFonts w:asciiTheme="minorHAnsi" w:hAnsiTheme="minorHAnsi" w:cstheme="minorHAnsi"/>
                <w:b/>
                <w:bCs/>
                <w:color w:val="000000" w:themeColor="text1"/>
                <w:sz w:val="18"/>
                <w:szCs w:val="18"/>
                <w:lang w:val="en-US"/>
              </w:rPr>
            </w:pPr>
            <w:r w:rsidRPr="00366492">
              <w:rPr>
                <w:rFonts w:asciiTheme="minorHAnsi" w:hAnsiTheme="minorHAnsi" w:cstheme="minorHAnsi"/>
                <w:b/>
                <w:bCs/>
                <w:color w:val="000000" w:themeColor="text1"/>
                <w:sz w:val="18"/>
                <w:szCs w:val="18"/>
                <w:lang w:val="en-US"/>
              </w:rPr>
              <w:t>Date of endorsement by GEF CEO</w:t>
            </w:r>
          </w:p>
        </w:tc>
        <w:tc>
          <w:tcPr>
            <w:tcW w:w="1257"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4E812E44" w14:textId="77777777" w:rsidR="00D10503" w:rsidRPr="00366492" w:rsidRDefault="00D10503" w:rsidP="00D22022">
            <w:pPr>
              <w:pStyle w:val="paragraph"/>
              <w:spacing w:after="0"/>
              <w:jc w:val="center"/>
              <w:rPr>
                <w:rFonts w:asciiTheme="minorHAnsi" w:hAnsiTheme="minorHAnsi" w:cstheme="minorHAnsi"/>
                <w:b/>
                <w:bCs/>
                <w:color w:val="000000" w:themeColor="text1"/>
                <w:sz w:val="18"/>
                <w:szCs w:val="18"/>
                <w:lang w:val="en-US"/>
              </w:rPr>
            </w:pPr>
            <w:r w:rsidRPr="00366492">
              <w:rPr>
                <w:rFonts w:asciiTheme="minorHAnsi" w:hAnsiTheme="minorHAnsi" w:cstheme="minorHAnsi"/>
                <w:b/>
                <w:bCs/>
                <w:color w:val="000000" w:themeColor="text1"/>
                <w:sz w:val="18"/>
                <w:szCs w:val="18"/>
                <w:lang w:val="en-US"/>
              </w:rPr>
              <w:t xml:space="preserve">Date of initial disbursement of GEF funds by UNEP and </w:t>
            </w:r>
            <w:r w:rsidRPr="00366492">
              <w:rPr>
                <w:rFonts w:asciiTheme="minorHAnsi" w:hAnsiTheme="minorHAnsi" w:cstheme="minorHAnsi"/>
                <w:b/>
                <w:bCs/>
                <w:color w:val="000000" w:themeColor="text1"/>
                <w:sz w:val="18"/>
                <w:szCs w:val="18"/>
                <w:u w:val="single"/>
                <w:lang w:val="en-US"/>
              </w:rPr>
              <w:t>Country Allocation</w:t>
            </w:r>
            <w:r w:rsidRPr="00C67737">
              <w:rPr>
                <w:rStyle w:val="FootnoteReference"/>
                <w:rFonts w:asciiTheme="minorHAnsi" w:hAnsiTheme="minorHAnsi" w:cstheme="minorHAnsi"/>
                <w:b/>
                <w:bCs/>
                <w:sz w:val="18"/>
                <w:szCs w:val="18"/>
              </w:rPr>
              <w:footnoteReference w:id="162"/>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4CD8BA8C" w14:textId="77777777" w:rsidR="00D10503" w:rsidRPr="00366492" w:rsidRDefault="00D10503" w:rsidP="00D22022">
            <w:pPr>
              <w:pStyle w:val="paragraph"/>
              <w:spacing w:after="0"/>
              <w:jc w:val="center"/>
              <w:rPr>
                <w:rFonts w:asciiTheme="minorHAnsi" w:hAnsiTheme="minorHAnsi" w:cstheme="minorHAnsi"/>
                <w:b/>
                <w:bCs/>
                <w:color w:val="000000" w:themeColor="text1"/>
                <w:sz w:val="18"/>
                <w:szCs w:val="18"/>
                <w:lang w:val="en-US"/>
              </w:rPr>
            </w:pPr>
            <w:r w:rsidRPr="00366492">
              <w:rPr>
                <w:rFonts w:asciiTheme="minorHAnsi" w:hAnsiTheme="minorHAnsi" w:cstheme="minorHAnsi"/>
                <w:b/>
                <w:bCs/>
                <w:color w:val="000000" w:themeColor="text1"/>
                <w:sz w:val="18"/>
                <w:szCs w:val="18"/>
                <w:lang w:val="en-US"/>
              </w:rPr>
              <w:t>Amount of GEF funding disbursed</w:t>
            </w:r>
          </w:p>
        </w:tc>
        <w:tc>
          <w:tcPr>
            <w:tcW w:w="4236" w:type="dxa"/>
            <w:gridSpan w:val="6"/>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31797084" w14:textId="77777777" w:rsidR="00D10503" w:rsidRPr="00C67737" w:rsidRDefault="00D10503" w:rsidP="00D22022">
            <w:pPr>
              <w:pStyle w:val="paragraph"/>
              <w:spacing w:after="0"/>
              <w:jc w:val="center"/>
              <w:rPr>
                <w:rFonts w:asciiTheme="minorHAnsi" w:hAnsiTheme="minorHAnsi" w:cstheme="minorHAnsi"/>
                <w:sz w:val="18"/>
                <w:szCs w:val="18"/>
              </w:rPr>
            </w:pPr>
            <w:proofErr w:type="spellStart"/>
            <w:r w:rsidRPr="00C67737">
              <w:rPr>
                <w:rFonts w:asciiTheme="minorHAnsi" w:hAnsiTheme="minorHAnsi" w:cstheme="minorHAnsi"/>
                <w:b/>
                <w:bCs/>
                <w:color w:val="000000" w:themeColor="text1"/>
                <w:sz w:val="18"/>
                <w:szCs w:val="18"/>
              </w:rPr>
              <w:t>Expenditures</w:t>
            </w:r>
            <w:proofErr w:type="spellEnd"/>
            <w:r w:rsidRPr="00C67737">
              <w:rPr>
                <w:rFonts w:asciiTheme="minorHAnsi" w:hAnsiTheme="minorHAnsi" w:cstheme="minorHAnsi"/>
                <w:b/>
                <w:bCs/>
                <w:color w:val="000000" w:themeColor="text1"/>
                <w:sz w:val="18"/>
                <w:szCs w:val="18"/>
              </w:rPr>
              <w:t xml:space="preserve"> (%)</w:t>
            </w:r>
            <w:r w:rsidRPr="00C67737">
              <w:rPr>
                <w:rStyle w:val="FootnoteReference"/>
                <w:rFonts w:asciiTheme="minorHAnsi" w:hAnsiTheme="minorHAnsi" w:cstheme="minorHAnsi"/>
                <w:sz w:val="18"/>
                <w:szCs w:val="18"/>
              </w:rPr>
              <w:footnoteReference w:id="163"/>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1ADE41C3" w14:textId="77777777" w:rsidR="00D10503" w:rsidRPr="00366492" w:rsidRDefault="00D10503" w:rsidP="00D22022">
            <w:pPr>
              <w:pStyle w:val="paragraph"/>
              <w:spacing w:after="0"/>
              <w:jc w:val="center"/>
              <w:rPr>
                <w:rStyle w:val="EndnoteReference"/>
                <w:rFonts w:asciiTheme="minorHAnsi" w:hAnsiTheme="minorHAnsi" w:cstheme="minorHAnsi"/>
                <w:b/>
                <w:bCs/>
                <w:color w:val="000000" w:themeColor="text1"/>
                <w:sz w:val="18"/>
                <w:szCs w:val="18"/>
                <w:lang w:val="en-US"/>
              </w:rPr>
            </w:pPr>
            <w:r w:rsidRPr="00366492">
              <w:rPr>
                <w:rFonts w:asciiTheme="minorHAnsi" w:hAnsiTheme="minorHAnsi" w:cstheme="minorHAnsi"/>
                <w:b/>
                <w:bCs/>
                <w:color w:val="000000" w:themeColor="text1"/>
                <w:sz w:val="18"/>
                <w:szCs w:val="18"/>
                <w:lang w:val="en-US"/>
              </w:rPr>
              <w:t>Date of submission to CBD of national biodiversity target</w:t>
            </w:r>
            <w:r w:rsidRPr="00C67737">
              <w:rPr>
                <w:rStyle w:val="FootnoteReference"/>
                <w:rFonts w:asciiTheme="minorHAnsi" w:hAnsiTheme="minorHAnsi" w:cstheme="minorHAnsi"/>
                <w:b/>
                <w:bCs/>
                <w:color w:val="000000" w:themeColor="text1"/>
                <w:sz w:val="18"/>
                <w:szCs w:val="18"/>
              </w:rPr>
              <w:footnoteReference w:id="164"/>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5B8D8618" w14:textId="77777777" w:rsidR="00D10503" w:rsidRPr="00C67737" w:rsidRDefault="00D10503" w:rsidP="00D22022">
            <w:pPr>
              <w:pStyle w:val="paragraph"/>
              <w:spacing w:after="0"/>
              <w:rPr>
                <w:rStyle w:val="EndnoteReference"/>
                <w:rFonts w:asciiTheme="minorHAnsi" w:hAnsiTheme="minorHAnsi" w:cstheme="minorHAnsi"/>
                <w:b/>
                <w:bCs/>
                <w:color w:val="000000" w:themeColor="text1"/>
                <w:sz w:val="18"/>
                <w:szCs w:val="18"/>
              </w:rPr>
            </w:pPr>
            <w:proofErr w:type="spellStart"/>
            <w:r w:rsidRPr="00C67737">
              <w:rPr>
                <w:rFonts w:asciiTheme="minorHAnsi" w:hAnsiTheme="minorHAnsi" w:cstheme="minorHAnsi"/>
                <w:b/>
                <w:bCs/>
                <w:color w:val="000000" w:themeColor="text1"/>
                <w:sz w:val="18"/>
                <w:szCs w:val="18"/>
              </w:rPr>
              <w:t>Status</w:t>
            </w:r>
            <w:proofErr w:type="spellEnd"/>
            <w:r w:rsidRPr="00C67737">
              <w:rPr>
                <w:rFonts w:asciiTheme="minorHAnsi" w:hAnsiTheme="minorHAnsi" w:cstheme="minorHAnsi"/>
                <w:b/>
                <w:bCs/>
                <w:color w:val="000000" w:themeColor="text1"/>
                <w:sz w:val="18"/>
                <w:szCs w:val="18"/>
              </w:rPr>
              <w:t xml:space="preserve"> of </w:t>
            </w:r>
            <w:proofErr w:type="spellStart"/>
            <w:r w:rsidRPr="00C67737">
              <w:rPr>
                <w:rFonts w:asciiTheme="minorHAnsi" w:hAnsiTheme="minorHAnsi" w:cstheme="minorHAnsi"/>
                <w:b/>
                <w:bCs/>
                <w:color w:val="000000" w:themeColor="text1"/>
                <w:sz w:val="18"/>
                <w:szCs w:val="18"/>
              </w:rPr>
              <w:t>project</w:t>
            </w:r>
            <w:proofErr w:type="spellEnd"/>
            <w:r w:rsidRPr="00C67737">
              <w:rPr>
                <w:rFonts w:asciiTheme="minorHAnsi" w:hAnsiTheme="minorHAnsi" w:cstheme="minorHAnsi"/>
                <w:b/>
                <w:bCs/>
                <w:color w:val="000000" w:themeColor="text1"/>
                <w:sz w:val="18"/>
                <w:szCs w:val="18"/>
              </w:rPr>
              <w:t xml:space="preserve"> </w:t>
            </w:r>
            <w:proofErr w:type="spellStart"/>
            <w:r w:rsidRPr="00C67737">
              <w:rPr>
                <w:rFonts w:asciiTheme="minorHAnsi" w:hAnsiTheme="minorHAnsi" w:cstheme="minorHAnsi"/>
                <w:b/>
                <w:bCs/>
                <w:color w:val="000000" w:themeColor="text1"/>
                <w:sz w:val="18"/>
                <w:szCs w:val="18"/>
              </w:rPr>
              <w:t>activities</w:t>
            </w:r>
            <w:proofErr w:type="spellEnd"/>
            <w:r w:rsidRPr="00C67737">
              <w:rPr>
                <w:rStyle w:val="FootnoteReference"/>
                <w:rFonts w:asciiTheme="minorHAnsi" w:hAnsiTheme="minorHAnsi" w:cstheme="minorHAnsi"/>
                <w:b/>
                <w:bCs/>
                <w:color w:val="000000" w:themeColor="text1"/>
                <w:sz w:val="18"/>
                <w:szCs w:val="18"/>
              </w:rPr>
              <w:footnoteReference w:id="165"/>
            </w:r>
          </w:p>
        </w:tc>
      </w:tr>
      <w:tr w:rsidR="00D10503" w:rsidRPr="00C67737" w14:paraId="69E2F4BD" w14:textId="77777777" w:rsidTr="00D22022">
        <w:trPr>
          <w:trHeight w:val="1335"/>
          <w:jc w:val="center"/>
        </w:trPr>
        <w:tc>
          <w:tcPr>
            <w:tcW w:w="1166" w:type="dxa"/>
            <w:vMerge/>
            <w:tcBorders>
              <w:top w:val="single" w:sz="4" w:space="0" w:color="auto"/>
              <w:left w:val="single" w:sz="4" w:space="0" w:color="auto"/>
              <w:bottom w:val="single" w:sz="4" w:space="0" w:color="auto"/>
              <w:right w:val="single" w:sz="4" w:space="0" w:color="auto"/>
            </w:tcBorders>
            <w:vAlign w:val="center"/>
          </w:tcPr>
          <w:p w14:paraId="38F1612C" w14:textId="77777777" w:rsidR="00D10503" w:rsidRPr="00C67737" w:rsidRDefault="00D10503" w:rsidP="00D22022">
            <w:pPr>
              <w:rPr>
                <w:rFonts w:cstheme="minorHAnsi"/>
              </w:rPr>
            </w:pPr>
          </w:p>
        </w:tc>
        <w:tc>
          <w:tcPr>
            <w:tcW w:w="1017" w:type="dxa"/>
            <w:vMerge/>
            <w:tcBorders>
              <w:top w:val="single" w:sz="4" w:space="0" w:color="auto"/>
              <w:left w:val="single" w:sz="4" w:space="0" w:color="auto"/>
              <w:bottom w:val="single" w:sz="4" w:space="0" w:color="auto"/>
              <w:right w:val="single" w:sz="4" w:space="0" w:color="auto"/>
            </w:tcBorders>
            <w:vAlign w:val="center"/>
          </w:tcPr>
          <w:p w14:paraId="1F29B977" w14:textId="77777777" w:rsidR="00D10503" w:rsidRPr="00C67737" w:rsidRDefault="00D10503" w:rsidP="00D22022">
            <w:pPr>
              <w:jc w:val="center"/>
              <w:rPr>
                <w:rFonts w:cstheme="minorHAnsi"/>
              </w:rPr>
            </w:pPr>
          </w:p>
        </w:tc>
        <w:tc>
          <w:tcPr>
            <w:tcW w:w="1206" w:type="dxa"/>
            <w:vMerge/>
            <w:tcBorders>
              <w:top w:val="single" w:sz="4" w:space="0" w:color="auto"/>
              <w:left w:val="single" w:sz="4" w:space="0" w:color="auto"/>
              <w:bottom w:val="single" w:sz="4" w:space="0" w:color="auto"/>
              <w:right w:val="single" w:sz="4" w:space="0" w:color="auto"/>
            </w:tcBorders>
            <w:vAlign w:val="center"/>
          </w:tcPr>
          <w:p w14:paraId="1EBCD3F6" w14:textId="77777777" w:rsidR="00D10503" w:rsidRPr="00C67737" w:rsidRDefault="00D10503" w:rsidP="00D22022">
            <w:pPr>
              <w:jc w:val="center"/>
              <w:rPr>
                <w:rFonts w:cstheme="minorHAnsi"/>
              </w:rPr>
            </w:pPr>
          </w:p>
        </w:tc>
        <w:tc>
          <w:tcPr>
            <w:tcW w:w="1257" w:type="dxa"/>
            <w:vMerge/>
            <w:tcBorders>
              <w:top w:val="single" w:sz="4" w:space="0" w:color="auto"/>
              <w:left w:val="single" w:sz="4" w:space="0" w:color="auto"/>
              <w:bottom w:val="single" w:sz="4" w:space="0" w:color="auto"/>
              <w:right w:val="single" w:sz="4" w:space="0" w:color="auto"/>
            </w:tcBorders>
            <w:vAlign w:val="center"/>
          </w:tcPr>
          <w:p w14:paraId="4D1C5404" w14:textId="77777777" w:rsidR="00D10503" w:rsidRPr="00C67737" w:rsidRDefault="00D10503" w:rsidP="00D22022">
            <w:pPr>
              <w:jc w:val="center"/>
              <w:rPr>
                <w:rFonts w:cstheme="minorHAnsi"/>
              </w:rPr>
            </w:pPr>
          </w:p>
        </w:tc>
        <w:tc>
          <w:tcPr>
            <w:tcW w:w="1026" w:type="dxa"/>
            <w:vMerge/>
            <w:tcBorders>
              <w:top w:val="single" w:sz="4" w:space="0" w:color="auto"/>
              <w:left w:val="single" w:sz="4" w:space="0" w:color="auto"/>
              <w:bottom w:val="single" w:sz="4" w:space="0" w:color="auto"/>
              <w:right w:val="single" w:sz="4" w:space="0" w:color="auto"/>
            </w:tcBorders>
            <w:vAlign w:val="center"/>
          </w:tcPr>
          <w:p w14:paraId="52CFFA83" w14:textId="77777777" w:rsidR="00D10503" w:rsidRPr="00C67737" w:rsidRDefault="00D10503" w:rsidP="00D22022">
            <w:pPr>
              <w:jc w:val="center"/>
              <w:rPr>
                <w:rFonts w:cstheme="minorHAnsi"/>
              </w:rPr>
            </w:pPr>
          </w:p>
        </w:tc>
        <w:tc>
          <w:tcPr>
            <w:tcW w:w="692"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0FCA645C" w14:textId="77777777" w:rsidR="00D10503" w:rsidRPr="00C67737" w:rsidRDefault="00D10503" w:rsidP="00D22022">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31/12/2023</w:t>
            </w:r>
          </w:p>
        </w:tc>
        <w:tc>
          <w:tcPr>
            <w:tcW w:w="709"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278DF0F" w14:textId="77777777" w:rsidR="00D10503" w:rsidRPr="00C67737" w:rsidRDefault="00D10503" w:rsidP="00D22022">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30/06/2024</w:t>
            </w:r>
          </w:p>
        </w:tc>
        <w:tc>
          <w:tcPr>
            <w:tcW w:w="709"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521220C8" w14:textId="77777777" w:rsidR="00D10503" w:rsidRPr="00C67737" w:rsidRDefault="00D10503" w:rsidP="00D22022">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31/12/2024</w:t>
            </w:r>
          </w:p>
        </w:tc>
        <w:tc>
          <w:tcPr>
            <w:tcW w:w="708"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1C808CCC" w14:textId="77777777" w:rsidR="00D10503" w:rsidRPr="00C67737" w:rsidRDefault="00D10503" w:rsidP="00D22022">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30/06/2025</w:t>
            </w:r>
          </w:p>
        </w:tc>
        <w:tc>
          <w:tcPr>
            <w:tcW w:w="709" w:type="dxa"/>
            <w:tcBorders>
              <w:top w:val="single" w:sz="4" w:space="0" w:color="auto"/>
              <w:left w:val="single" w:sz="4" w:space="0" w:color="auto"/>
              <w:bottom w:val="single" w:sz="4" w:space="0" w:color="auto"/>
              <w:right w:val="single" w:sz="4" w:space="0" w:color="auto"/>
            </w:tcBorders>
            <w:shd w:val="clear" w:color="auto" w:fill="E8E6E6"/>
            <w:tcMar>
              <w:left w:w="108" w:type="dxa"/>
              <w:right w:w="108" w:type="dxa"/>
            </w:tcMar>
            <w:vAlign w:val="center"/>
          </w:tcPr>
          <w:p w14:paraId="0AA6366B" w14:textId="77777777" w:rsidR="00D10503" w:rsidRPr="00C67737" w:rsidRDefault="00D10503" w:rsidP="00D22022">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31/12/2025</w:t>
            </w:r>
          </w:p>
        </w:tc>
        <w:tc>
          <w:tcPr>
            <w:tcW w:w="709" w:type="dxa"/>
            <w:tcBorders>
              <w:top w:val="single" w:sz="4" w:space="0" w:color="auto"/>
              <w:left w:val="single" w:sz="4" w:space="0" w:color="auto"/>
              <w:bottom w:val="single" w:sz="4" w:space="0" w:color="auto"/>
              <w:right w:val="single" w:sz="4" w:space="0" w:color="auto"/>
            </w:tcBorders>
            <w:shd w:val="clear" w:color="auto" w:fill="E8E6E6"/>
            <w:tcMar>
              <w:left w:w="108" w:type="dxa"/>
              <w:right w:w="108" w:type="dxa"/>
            </w:tcMar>
            <w:vAlign w:val="center"/>
          </w:tcPr>
          <w:p w14:paraId="25826537" w14:textId="77777777" w:rsidR="00D10503" w:rsidRPr="00C67737" w:rsidRDefault="00D10503" w:rsidP="00D22022">
            <w:pPr>
              <w:pStyle w:val="paragraph"/>
              <w:spacing w:after="0"/>
              <w:jc w:val="center"/>
              <w:rPr>
                <w:rFonts w:asciiTheme="minorHAnsi" w:hAnsiTheme="minorHAnsi" w:cstheme="minorHAnsi"/>
                <w:b/>
                <w:bCs/>
                <w:sz w:val="18"/>
                <w:szCs w:val="18"/>
              </w:rPr>
            </w:pPr>
            <w:r w:rsidRPr="00C67737">
              <w:rPr>
                <w:rFonts w:asciiTheme="minorHAnsi" w:hAnsiTheme="minorHAnsi" w:cstheme="minorHAnsi"/>
                <w:b/>
                <w:bCs/>
                <w:sz w:val="18"/>
                <w:szCs w:val="18"/>
              </w:rPr>
              <w:t>15/06/2026</w:t>
            </w:r>
          </w:p>
        </w:tc>
        <w:tc>
          <w:tcPr>
            <w:tcW w:w="1134" w:type="dxa"/>
            <w:vMerge/>
            <w:tcBorders>
              <w:top w:val="single" w:sz="4" w:space="0" w:color="auto"/>
              <w:left w:val="single" w:sz="4" w:space="0" w:color="auto"/>
              <w:bottom w:val="single" w:sz="4" w:space="0" w:color="auto"/>
              <w:right w:val="single" w:sz="4" w:space="0" w:color="auto"/>
            </w:tcBorders>
            <w:vAlign w:val="center"/>
          </w:tcPr>
          <w:p w14:paraId="1671A741" w14:textId="77777777" w:rsidR="00D10503" w:rsidRPr="00C67737" w:rsidRDefault="00D10503" w:rsidP="00D22022">
            <w:pPr>
              <w:jc w:val="center"/>
              <w:rPr>
                <w:rFonts w:cstheme="minorHAnsi"/>
              </w:rPr>
            </w:pPr>
          </w:p>
        </w:tc>
        <w:tc>
          <w:tcPr>
            <w:tcW w:w="2835" w:type="dxa"/>
            <w:vMerge/>
            <w:tcBorders>
              <w:top w:val="single" w:sz="4" w:space="0" w:color="auto"/>
              <w:left w:val="single" w:sz="4" w:space="0" w:color="auto"/>
              <w:bottom w:val="single" w:sz="4" w:space="0" w:color="auto"/>
              <w:right w:val="single" w:sz="4" w:space="0" w:color="auto"/>
            </w:tcBorders>
            <w:vAlign w:val="center"/>
          </w:tcPr>
          <w:p w14:paraId="212A2BE7" w14:textId="77777777" w:rsidR="00D10503" w:rsidRPr="00C67737" w:rsidRDefault="00D10503" w:rsidP="00D22022">
            <w:pPr>
              <w:jc w:val="left"/>
              <w:rPr>
                <w:rFonts w:cstheme="minorHAnsi"/>
              </w:rPr>
            </w:pPr>
          </w:p>
        </w:tc>
      </w:tr>
      <w:tr w:rsidR="00D10503" w:rsidRPr="00237520" w14:paraId="697E4B2D" w14:textId="77777777" w:rsidTr="00D22022">
        <w:trPr>
          <w:trHeight w:val="840"/>
          <w:jc w:val="center"/>
        </w:trPr>
        <w:tc>
          <w:tcPr>
            <w:tcW w:w="116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2D3DCDD"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Albania</w:t>
            </w:r>
          </w:p>
        </w:tc>
        <w:tc>
          <w:tcPr>
            <w:tcW w:w="1017"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54CCDAD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51F4015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18E3FF8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08/03/2024</w:t>
            </w:r>
          </w:p>
          <w:p w14:paraId="7DCFD71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297B1B1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245,799.85</w:t>
            </w:r>
          </w:p>
        </w:tc>
        <w:tc>
          <w:tcPr>
            <w:tcW w:w="692"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72CA3E4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0.46</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53C51C1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7.64</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BD36B9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53.42</w:t>
            </w:r>
          </w:p>
        </w:tc>
        <w:tc>
          <w:tcPr>
            <w:tcW w:w="708"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08D3FD9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7B3588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657028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1308378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06/03/2026</w:t>
            </w:r>
          </w:p>
        </w:tc>
        <w:tc>
          <w:tcPr>
            <w:tcW w:w="2835"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3D470B03"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The activities are complete. Finalized: NBTs, Monitoring Action Plan, Policy Coherence Analysis and Plan, Biodiversity finance analysis, and plan.</w:t>
            </w:r>
          </w:p>
        </w:tc>
      </w:tr>
      <w:tr w:rsidR="00D10503" w:rsidRPr="00237520" w14:paraId="5A1E0B69" w14:textId="77777777" w:rsidTr="00D22022">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16FC6D"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Angola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EBDD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25853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4A45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19/04/2024</w:t>
            </w:r>
          </w:p>
          <w:p w14:paraId="7CD06B4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B050F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222,599.80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E18C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93B0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66.45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9250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79.16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1E2F9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14C0F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ADEE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524D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E35AC6"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w:t>
            </w:r>
          </w:p>
        </w:tc>
      </w:tr>
      <w:tr w:rsidR="00D10503" w:rsidRPr="00237520" w14:paraId="16DDF3F1"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A89ECC"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Armenia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E0E847"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3BC26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9E0F1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10/01/2024</w:t>
            </w:r>
          </w:p>
          <w:p w14:paraId="7CB589C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732F0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E0A92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686E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31185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7EA63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63.86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BB145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09678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D5E9A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18/03/2025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29C2C"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The activities are complete. Finalized: NBTs, NBSAP, Monitoring gap assessment, Monitoring action plan, policy analysis, Biodiversity finance plan.</w:t>
            </w:r>
          </w:p>
        </w:tc>
      </w:tr>
      <w:tr w:rsidR="00D10503" w:rsidRPr="00237520" w14:paraId="470CAF08"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E4219E"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Azerbaijan</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A85A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68761"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445B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25/04/2023</w:t>
            </w:r>
          </w:p>
          <w:p w14:paraId="68026CA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ECB8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A224B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6C52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34.98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A5AEF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76.78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35750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96.78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D72B5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773D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14C07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28BDF8"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The activities are complete. Finalized: NBTs, Monitoring action </w:t>
            </w:r>
            <w:r w:rsidRPr="00366492">
              <w:rPr>
                <w:rFonts w:asciiTheme="minorHAnsi" w:hAnsiTheme="minorHAnsi" w:cstheme="minorHAnsi"/>
                <w:color w:val="000000" w:themeColor="text1"/>
                <w:sz w:val="18"/>
                <w:szCs w:val="18"/>
                <w:lang w:val="en-US"/>
              </w:rPr>
              <w:lastRenderedPageBreak/>
              <w:t>plan, Policy coherence plan, Biodiversity finance analysis.</w:t>
            </w:r>
          </w:p>
        </w:tc>
      </w:tr>
      <w:tr w:rsidR="00D10503" w:rsidRPr="00237520" w14:paraId="40F32F59" w14:textId="77777777" w:rsidTr="00D22022">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A39AE0"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Bangladesh</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795C77"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DD19F2"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9352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21/11/2023</w:t>
            </w:r>
          </w:p>
          <w:p w14:paraId="17B8E3A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02201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223,324.29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4C79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A24D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4AB1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17.34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480C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19.68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D099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32.82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B5C1A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32.82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D29DF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033ACA"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 Review, Monitoring gap assessment, policy coherence analysis, Biodiversity finance analysis, and review. Finalization of Monitoring, Policy Coherence, and Biodiversity Finance plans underway.</w:t>
            </w:r>
          </w:p>
        </w:tc>
      </w:tr>
      <w:tr w:rsidR="00D10503" w:rsidRPr="00237520" w14:paraId="2861E788"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6C4C9D"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Benin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C3F05C"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E8E4A6"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98651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16/01/2024</w:t>
            </w:r>
          </w:p>
          <w:p w14:paraId="726AB9F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DCCF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222,467.98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DFB0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3EB5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188AD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27.81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2A43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31.21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B354A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43.26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C2A59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43.26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576A7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30/09/2024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9D5F67"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 Monitoring Action Plan, Policy Coherence Plan, Biodiversity finance analysis (Plan to be completed under BIOFIN project).</w:t>
            </w:r>
          </w:p>
        </w:tc>
      </w:tr>
      <w:tr w:rsidR="00D10503" w:rsidRPr="00237520" w14:paraId="7C0D32BF"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C2293"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Bosnia and </w:t>
            </w:r>
            <w:proofErr w:type="spellStart"/>
            <w:r w:rsidRPr="00C67737">
              <w:rPr>
                <w:rFonts w:asciiTheme="minorHAnsi" w:hAnsiTheme="minorHAnsi" w:cstheme="minorHAnsi"/>
                <w:color w:val="000000" w:themeColor="text1"/>
                <w:sz w:val="18"/>
                <w:szCs w:val="18"/>
              </w:rPr>
              <w:t>Herzegovina</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C736E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91D2B3"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CD8E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28/04/2024</w:t>
            </w:r>
          </w:p>
          <w:p w14:paraId="1A29A80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20D2E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482CD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ECA85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02FDF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5464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34.73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67E1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71.43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11AD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94.95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F910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02/08/2024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ECB5F5"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The activities are complete. Finalized: NBTs, Monitoring Action Plan, Policy and Institutional Coherence Action Plan, Biodiversity Finance Plan.</w:t>
            </w:r>
          </w:p>
        </w:tc>
      </w:tr>
      <w:tr w:rsidR="00D10503" w:rsidRPr="00237520" w14:paraId="79D6F8B5" w14:textId="77777777" w:rsidTr="00D22022">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60B2D0"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Botswana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B89EEC"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5708A"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AB4FC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23/08/2023</w:t>
            </w:r>
          </w:p>
          <w:p w14:paraId="1C21340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4DD9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221,964.17</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467BF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0.77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DB75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EBEC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35.31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2980A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78.33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A696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78.33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E983E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78.33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5402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2BFEB2"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Finalized: NBTs, NBSAP Review, Monitoring gap assessment, policy coherence analysis, Biodiversity finance analysis, and review. Finalization of Monitoring, Policy Coherence, and </w:t>
            </w:r>
            <w:r w:rsidRPr="00366492">
              <w:rPr>
                <w:rFonts w:asciiTheme="minorHAnsi" w:hAnsiTheme="minorHAnsi" w:cstheme="minorHAnsi"/>
                <w:color w:val="000000" w:themeColor="text1"/>
                <w:sz w:val="18"/>
                <w:szCs w:val="18"/>
                <w:lang w:val="en-US"/>
              </w:rPr>
              <w:lastRenderedPageBreak/>
              <w:t>Biodiversity Finance plans underway.</w:t>
            </w:r>
          </w:p>
        </w:tc>
      </w:tr>
      <w:tr w:rsidR="00D10503" w:rsidRPr="00237520" w14:paraId="2EF38A62"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10364F"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Burkina Faso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04698"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A12384"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DC40D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12/09/2023</w:t>
            </w:r>
          </w:p>
          <w:p w14:paraId="0DAF5EC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4C64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C64EA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C5435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B59AE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0372C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7B36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8A78B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45FFD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73A7A7"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The activities are complete. Finalized: NBTs, NBSAP, Monitoring Action Plan, Monitoring Assessment, Policy Coherence Analysis, Biodiversity Finance Analysis.</w:t>
            </w:r>
          </w:p>
        </w:tc>
      </w:tr>
      <w:tr w:rsidR="00D10503" w:rsidRPr="00237520" w14:paraId="67DC605E" w14:textId="77777777" w:rsidTr="00D22022">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10ADD6"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Burundi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E9DB96"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9D21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1DE34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p w14:paraId="45A5A8C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805B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222,833.89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0F7B1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F2244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5B7F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19.81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4F5D3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B7E2B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8086B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BD730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F284C5"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w:t>
            </w:r>
          </w:p>
        </w:tc>
      </w:tr>
      <w:tr w:rsidR="00D10503" w:rsidRPr="00237520" w14:paraId="55C85F31"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69D815"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Cabo Verde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93609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EE4FB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74C97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18/07/2023</w:t>
            </w:r>
          </w:p>
          <w:p w14:paraId="5760C31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29883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5AD88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0ADB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64CF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4415C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04FA1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FA389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11.17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AC22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D7AB02"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Policy Coherence Analysis, Biodiversity Finance Strategy Monitoring Action Plan to be validated.</w:t>
            </w:r>
          </w:p>
        </w:tc>
      </w:tr>
      <w:tr w:rsidR="00D10503" w:rsidRPr="00237520" w14:paraId="69DCE8E2"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8B132"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Cameroon</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B28F34"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2C6EAB"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9E907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23/01/2024</w:t>
            </w:r>
          </w:p>
          <w:p w14:paraId="371989F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F777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25FD4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10.62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31EE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33.05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4888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A5DD3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75.55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42F5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39FF6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077BC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24D3C4"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The activities are complete. Finalized: NBTs, NBSAP, Monitoring Action Plan, Policy Coherence Analysis, Biodiversity Finance Analysis.</w:t>
            </w:r>
          </w:p>
        </w:tc>
      </w:tr>
      <w:tr w:rsidR="00D10503" w:rsidRPr="00237520" w14:paraId="6B9B78EE" w14:textId="77777777" w:rsidTr="00D22022">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DF0868"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Central </w:t>
            </w:r>
            <w:proofErr w:type="spellStart"/>
            <w:r w:rsidRPr="00C67737">
              <w:rPr>
                <w:rFonts w:asciiTheme="minorHAnsi" w:hAnsiTheme="minorHAnsi" w:cstheme="minorHAnsi"/>
                <w:color w:val="000000" w:themeColor="text1"/>
                <w:sz w:val="18"/>
                <w:szCs w:val="18"/>
              </w:rPr>
              <w:t>African</w:t>
            </w:r>
            <w:proofErr w:type="spellEnd"/>
            <w:r w:rsidRPr="00C67737">
              <w:rPr>
                <w:rFonts w:asciiTheme="minorHAnsi" w:hAnsiTheme="minorHAnsi" w:cstheme="minorHAnsi"/>
                <w:color w:val="000000" w:themeColor="text1"/>
                <w:sz w:val="18"/>
                <w:szCs w:val="18"/>
              </w:rPr>
              <w:t xml:space="preserve"> Republic</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2639C"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C42BBE"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EEA3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03/10/2023</w:t>
            </w:r>
          </w:p>
          <w:p w14:paraId="04FC4A2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B56B8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247,444.25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BA83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A1DF7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38.03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7822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67.09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18A71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92.81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CE516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96.98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14C90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96.98</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12D1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DBCEDA"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w:t>
            </w:r>
          </w:p>
        </w:tc>
      </w:tr>
      <w:tr w:rsidR="00D10503" w:rsidRPr="00237520" w14:paraId="044C1C1F"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B2657"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Chad</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7AB663"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B3EB8C"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0562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16D6703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9B914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20F31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1B5A5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61F1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C37A8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3FE68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7BBB4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D9F9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122AC"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The activities are complete. Finalized: NBTs, NBSAP, Monitoring Action Plan, Policy Coherence Analysis, Biodiversity Finance Analysis.</w:t>
            </w:r>
          </w:p>
        </w:tc>
      </w:tr>
      <w:tr w:rsidR="00D10503" w:rsidRPr="00237520" w14:paraId="6C3BD795"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F79A5"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Comoros</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4AAB78"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A1169A"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ECDD1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50EAE90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FB001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247,128.95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076C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19C87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CA06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3409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A2270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C0955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2DAA8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3F647"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Monitoring assessment and plan, Policy coherence assessment and plan, Biodiversity finance analysis.</w:t>
            </w:r>
          </w:p>
        </w:tc>
      </w:tr>
      <w:tr w:rsidR="00D10503" w:rsidRPr="00C67737" w14:paraId="4C29C80D" w14:textId="77777777" w:rsidTr="00D22022">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CA6E82"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Cook </w:t>
            </w:r>
            <w:proofErr w:type="spellStart"/>
            <w:r w:rsidRPr="00C67737">
              <w:rPr>
                <w:rFonts w:asciiTheme="minorHAnsi" w:hAnsiTheme="minorHAnsi" w:cstheme="minorHAnsi"/>
                <w:color w:val="000000" w:themeColor="text1"/>
                <w:sz w:val="18"/>
                <w:szCs w:val="18"/>
              </w:rPr>
              <w:t>Islands</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FE42F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5C2AD1"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35E0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2A9B250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E892B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1B5D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A1C3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9A11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65FF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BD0A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FAB2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75918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5D58F0"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366492">
              <w:rPr>
                <w:rFonts w:asciiTheme="minorHAnsi" w:hAnsiTheme="minorHAnsi" w:cstheme="minorHAnsi"/>
                <w:color w:val="000000" w:themeColor="text1"/>
                <w:sz w:val="18"/>
                <w:szCs w:val="18"/>
                <w:lang w:val="en-US"/>
              </w:rPr>
              <w:t xml:space="preserve">Activities are ongoing. Finalized: NBTs, NBSAP Review, Monitoring gap assessment, policy coherence analysis, Biodiversity finance activities not included in the EAS project. </w:t>
            </w:r>
            <w:proofErr w:type="spellStart"/>
            <w:r w:rsidRPr="00C67737">
              <w:rPr>
                <w:rFonts w:asciiTheme="minorHAnsi" w:hAnsiTheme="minorHAnsi" w:cstheme="minorHAnsi"/>
                <w:color w:val="000000" w:themeColor="text1"/>
                <w:sz w:val="18"/>
                <w:szCs w:val="18"/>
              </w:rPr>
              <w:t>Finalization</w:t>
            </w:r>
            <w:proofErr w:type="spellEnd"/>
            <w:r w:rsidRPr="00C67737">
              <w:rPr>
                <w:rFonts w:asciiTheme="minorHAnsi" w:hAnsiTheme="minorHAnsi" w:cstheme="minorHAnsi"/>
                <w:color w:val="000000" w:themeColor="text1"/>
                <w:sz w:val="18"/>
                <w:szCs w:val="18"/>
              </w:rPr>
              <w:t xml:space="preserve"> of Monitoring and Policy </w:t>
            </w:r>
            <w:proofErr w:type="spellStart"/>
            <w:r w:rsidRPr="00C67737">
              <w:rPr>
                <w:rFonts w:asciiTheme="minorHAnsi" w:hAnsiTheme="minorHAnsi" w:cstheme="minorHAnsi"/>
                <w:color w:val="000000" w:themeColor="text1"/>
                <w:sz w:val="18"/>
                <w:szCs w:val="18"/>
              </w:rPr>
              <w:t>Coherence</w:t>
            </w:r>
            <w:proofErr w:type="spellEnd"/>
            <w:r w:rsidRPr="00C67737">
              <w:rPr>
                <w:rFonts w:asciiTheme="minorHAnsi" w:hAnsiTheme="minorHAnsi" w:cstheme="minorHAnsi"/>
                <w:color w:val="000000" w:themeColor="text1"/>
                <w:sz w:val="18"/>
                <w:szCs w:val="18"/>
              </w:rPr>
              <w:t xml:space="preserve"> plans </w:t>
            </w:r>
            <w:proofErr w:type="spellStart"/>
            <w:r w:rsidRPr="00C67737">
              <w:rPr>
                <w:rFonts w:asciiTheme="minorHAnsi" w:hAnsiTheme="minorHAnsi" w:cstheme="minorHAnsi"/>
                <w:color w:val="000000" w:themeColor="text1"/>
                <w:sz w:val="18"/>
                <w:szCs w:val="18"/>
              </w:rPr>
              <w:t>underway</w:t>
            </w:r>
            <w:proofErr w:type="spellEnd"/>
            <w:r w:rsidRPr="00C67737">
              <w:rPr>
                <w:rFonts w:asciiTheme="minorHAnsi" w:hAnsiTheme="minorHAnsi" w:cstheme="minorHAnsi"/>
                <w:color w:val="000000" w:themeColor="text1"/>
                <w:sz w:val="18"/>
                <w:szCs w:val="18"/>
              </w:rPr>
              <w:t>.</w:t>
            </w:r>
          </w:p>
        </w:tc>
      </w:tr>
      <w:tr w:rsidR="00D10503" w:rsidRPr="00237520" w14:paraId="215C43D9" w14:textId="77777777" w:rsidTr="00D22022">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EC84E5"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Cote D’Ivoire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B32DCC"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08E1A"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884E9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24/05/2023</w:t>
            </w:r>
          </w:p>
          <w:p w14:paraId="4C3CE5B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5103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221,952.29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8C086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2B9CB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27893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71AE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004A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F7AD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398EC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01/03/2026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2688D6"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w:t>
            </w:r>
          </w:p>
        </w:tc>
      </w:tr>
      <w:tr w:rsidR="00D10503" w:rsidRPr="00237520" w14:paraId="71B06175"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A3A7F5"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Djibouti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6F50D4"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7C7B01"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87B2B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06/06/2023</w:t>
            </w:r>
          </w:p>
          <w:p w14:paraId="3BE054F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27BDC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222,920.89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A84A6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BBD8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59.94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E2583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65.71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EA84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A2FB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45DD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81A27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430F57"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The activities are complete. Finalized: NBTs, Monitoring assessment, Policy Coherence Analysis, Biodiversity Finance Analysis.</w:t>
            </w:r>
          </w:p>
        </w:tc>
      </w:tr>
      <w:tr w:rsidR="00D10503" w:rsidRPr="00237520" w14:paraId="52E9F562"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97B214"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lastRenderedPageBreak/>
              <w:t>Democratic Republic of the Congo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976462"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2E981"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4D4E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12/05/2023</w:t>
            </w:r>
          </w:p>
          <w:p w14:paraId="66986FF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0D477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225,325.78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7B015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F0068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36.59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385CC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48.47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B834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702F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3AB4D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37C15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19/01/2026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020E42"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The activities are complete. Finalized: NBTs, NBSAP, Monitoring Analysis and Action Plan, Policy Coherence Analysis and Plan, Biodiversity Finance Analysis.</w:t>
            </w:r>
          </w:p>
        </w:tc>
      </w:tr>
      <w:tr w:rsidR="00D10503" w:rsidRPr="00237520" w14:paraId="710E80E8" w14:textId="77777777" w:rsidTr="00D22022">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790BB"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Equatorial </w:t>
            </w:r>
            <w:proofErr w:type="spellStart"/>
            <w:r w:rsidRPr="00C67737">
              <w:rPr>
                <w:rFonts w:asciiTheme="minorHAnsi" w:hAnsiTheme="minorHAnsi" w:cstheme="minorHAnsi"/>
                <w:color w:val="000000" w:themeColor="text1"/>
                <w:sz w:val="18"/>
                <w:szCs w:val="18"/>
              </w:rPr>
              <w:t>Guinea</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857DC"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F6B90"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E489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13/03/2024</w:t>
            </w:r>
          </w:p>
          <w:p w14:paraId="76934AB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A6B03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C3F8F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1F4C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8CEE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88.87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769F3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C6709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9735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88.87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2ADCC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65522E"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w:t>
            </w:r>
          </w:p>
        </w:tc>
      </w:tr>
      <w:tr w:rsidR="00D10503" w:rsidRPr="00237520" w14:paraId="4A68C482" w14:textId="77777777" w:rsidTr="00D22022">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742816"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Eritrea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32ABB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F319AC"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CB52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782F431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2D5E4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85FDE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9ED9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37.90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CAAE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37.90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C5FD3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53.70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127B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AE4CE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CA4D6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086DCA"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 Review, Monitoring gap assessment, policy coherence analysis, Biodiversity finance analysis, and review. Finalization of Monitoring, Policy Coherence, and Biodiversity Finance plans underway.</w:t>
            </w:r>
          </w:p>
        </w:tc>
      </w:tr>
      <w:tr w:rsidR="00D10503" w:rsidRPr="00C67737" w14:paraId="091F7D21" w14:textId="77777777" w:rsidTr="00D22022">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479F2C"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Eswatini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21CB2"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03BDF8"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B9CC0"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06/06/2023</w:t>
            </w:r>
          </w:p>
          <w:p w14:paraId="38D93A6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36F2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222,708.88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EBA87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AEF1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A429F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60.72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EB366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91B4F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7B15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78.45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BAE8A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7C92FB"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366492">
              <w:rPr>
                <w:rFonts w:asciiTheme="minorHAnsi" w:hAnsiTheme="minorHAnsi" w:cstheme="minorHAnsi"/>
                <w:color w:val="000000" w:themeColor="text1"/>
                <w:sz w:val="18"/>
                <w:szCs w:val="18"/>
                <w:lang w:val="en-US"/>
              </w:rPr>
              <w:t xml:space="preserve">Activities are ongoing. Finalized: NBTs, NBSAP Review, Monitoring gap assessment and monitoring plan, policy coherence analysis and policy coherence plan, Biodiversity finance analysis. </w:t>
            </w:r>
            <w:proofErr w:type="spellStart"/>
            <w:r w:rsidRPr="00C67737">
              <w:rPr>
                <w:rFonts w:asciiTheme="minorHAnsi" w:hAnsiTheme="minorHAnsi" w:cstheme="minorHAnsi"/>
                <w:color w:val="000000" w:themeColor="text1"/>
                <w:sz w:val="18"/>
                <w:szCs w:val="18"/>
              </w:rPr>
              <w:t>Finalization</w:t>
            </w:r>
            <w:proofErr w:type="spellEnd"/>
            <w:r w:rsidRPr="00C67737">
              <w:rPr>
                <w:rFonts w:asciiTheme="minorHAnsi" w:hAnsiTheme="minorHAnsi" w:cstheme="minorHAnsi"/>
                <w:color w:val="000000" w:themeColor="text1"/>
                <w:sz w:val="18"/>
                <w:szCs w:val="18"/>
              </w:rPr>
              <w:t xml:space="preserve"> of </w:t>
            </w:r>
            <w:proofErr w:type="spellStart"/>
            <w:r w:rsidRPr="00C67737">
              <w:rPr>
                <w:rFonts w:asciiTheme="minorHAnsi" w:hAnsiTheme="minorHAnsi" w:cstheme="minorHAnsi"/>
                <w:color w:val="000000" w:themeColor="text1"/>
                <w:sz w:val="18"/>
                <w:szCs w:val="18"/>
              </w:rPr>
              <w:t>Biodiversity</w:t>
            </w:r>
            <w:proofErr w:type="spellEnd"/>
            <w:r w:rsidRPr="00C67737">
              <w:rPr>
                <w:rFonts w:asciiTheme="minorHAnsi" w:hAnsiTheme="minorHAnsi" w:cstheme="minorHAnsi"/>
                <w:color w:val="000000" w:themeColor="text1"/>
                <w:sz w:val="18"/>
                <w:szCs w:val="18"/>
              </w:rPr>
              <w:t xml:space="preserve"> Finance plan </w:t>
            </w:r>
            <w:proofErr w:type="spellStart"/>
            <w:r w:rsidRPr="00C67737">
              <w:rPr>
                <w:rFonts w:asciiTheme="minorHAnsi" w:hAnsiTheme="minorHAnsi" w:cstheme="minorHAnsi"/>
                <w:color w:val="000000" w:themeColor="text1"/>
                <w:sz w:val="18"/>
                <w:szCs w:val="18"/>
              </w:rPr>
              <w:t>underway</w:t>
            </w:r>
            <w:proofErr w:type="spellEnd"/>
            <w:r w:rsidRPr="00C67737">
              <w:rPr>
                <w:rFonts w:asciiTheme="minorHAnsi" w:hAnsiTheme="minorHAnsi" w:cstheme="minorHAnsi"/>
                <w:color w:val="000000" w:themeColor="text1"/>
                <w:sz w:val="18"/>
                <w:szCs w:val="18"/>
              </w:rPr>
              <w:t>.</w:t>
            </w:r>
          </w:p>
        </w:tc>
      </w:tr>
      <w:tr w:rsidR="00D10503" w:rsidRPr="00237520" w14:paraId="3F277465"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101B94"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Ethiopia</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FEC64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09262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0A4F6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20/07/2023</w:t>
            </w:r>
          </w:p>
          <w:p w14:paraId="7595386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A279C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77CF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22BA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41.61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81A5A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74.24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BC8E1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88.53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A32E4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88.53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33C05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88.53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66ECB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05/08/2024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45FAF"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 Review, Monitoring gap assessment and plan, policy coherence analysis and plan, Biodiversity finance analysis, and plan.</w:t>
            </w:r>
          </w:p>
        </w:tc>
      </w:tr>
      <w:tr w:rsidR="00D10503" w:rsidRPr="00C67737" w14:paraId="14BE72DB" w14:textId="77777777" w:rsidTr="00D22022">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A92CE4"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Fiji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C1DB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7DBF9E"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CCFB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18/03/2024</w:t>
            </w:r>
          </w:p>
          <w:p w14:paraId="2829659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2C127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222,523.98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D8F0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444D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03169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3.69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6C18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21.06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BB18A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CC85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8F2C2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9E30B0"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366492">
              <w:rPr>
                <w:rFonts w:asciiTheme="minorHAnsi" w:hAnsiTheme="minorHAnsi" w:cstheme="minorHAnsi"/>
                <w:color w:val="000000" w:themeColor="text1"/>
                <w:sz w:val="18"/>
                <w:szCs w:val="18"/>
                <w:lang w:val="en-US"/>
              </w:rPr>
              <w:t xml:space="preserve">Activities are ongoing. Finalized: NBTs, NBSAP Review, Monitoring gap assessment and monitoring plan, policy coherence analysis and policy coherence plan, Biodiversity finance analysis. </w:t>
            </w:r>
            <w:proofErr w:type="spellStart"/>
            <w:r w:rsidRPr="00C67737">
              <w:rPr>
                <w:rFonts w:asciiTheme="minorHAnsi" w:hAnsiTheme="minorHAnsi" w:cstheme="minorHAnsi"/>
                <w:color w:val="000000" w:themeColor="text1"/>
                <w:sz w:val="18"/>
                <w:szCs w:val="18"/>
              </w:rPr>
              <w:t>Finalization</w:t>
            </w:r>
            <w:proofErr w:type="spellEnd"/>
            <w:r w:rsidRPr="00C67737">
              <w:rPr>
                <w:rFonts w:asciiTheme="minorHAnsi" w:hAnsiTheme="minorHAnsi" w:cstheme="minorHAnsi"/>
                <w:color w:val="000000" w:themeColor="text1"/>
                <w:sz w:val="18"/>
                <w:szCs w:val="18"/>
              </w:rPr>
              <w:t xml:space="preserve"> of </w:t>
            </w:r>
            <w:proofErr w:type="spellStart"/>
            <w:r w:rsidRPr="00C67737">
              <w:rPr>
                <w:rFonts w:asciiTheme="minorHAnsi" w:hAnsiTheme="minorHAnsi" w:cstheme="minorHAnsi"/>
                <w:color w:val="000000" w:themeColor="text1"/>
                <w:sz w:val="18"/>
                <w:szCs w:val="18"/>
              </w:rPr>
              <w:t>Biodiversity</w:t>
            </w:r>
            <w:proofErr w:type="spellEnd"/>
            <w:r w:rsidRPr="00C67737">
              <w:rPr>
                <w:rFonts w:asciiTheme="minorHAnsi" w:hAnsiTheme="minorHAnsi" w:cstheme="minorHAnsi"/>
                <w:color w:val="000000" w:themeColor="text1"/>
                <w:sz w:val="18"/>
                <w:szCs w:val="18"/>
              </w:rPr>
              <w:t xml:space="preserve"> Finance plan </w:t>
            </w:r>
            <w:proofErr w:type="spellStart"/>
            <w:r w:rsidRPr="00C67737">
              <w:rPr>
                <w:rFonts w:asciiTheme="minorHAnsi" w:hAnsiTheme="minorHAnsi" w:cstheme="minorHAnsi"/>
                <w:color w:val="000000" w:themeColor="text1"/>
                <w:sz w:val="18"/>
                <w:szCs w:val="18"/>
              </w:rPr>
              <w:t>underway</w:t>
            </w:r>
            <w:proofErr w:type="spellEnd"/>
            <w:r w:rsidRPr="00C67737">
              <w:rPr>
                <w:rFonts w:asciiTheme="minorHAnsi" w:hAnsiTheme="minorHAnsi" w:cstheme="minorHAnsi"/>
                <w:color w:val="000000" w:themeColor="text1"/>
                <w:sz w:val="18"/>
                <w:szCs w:val="18"/>
              </w:rPr>
              <w:t>.</w:t>
            </w:r>
          </w:p>
        </w:tc>
      </w:tr>
      <w:tr w:rsidR="00D10503" w:rsidRPr="00237520" w14:paraId="4BBDC373"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907C2"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Gabon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BB9344"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D5FD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351B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19/12/2023</w:t>
            </w:r>
          </w:p>
          <w:p w14:paraId="3601B3D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C1B7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222,236.79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96631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478D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7.57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7CCA3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6762D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34.81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47ECC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52A4B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86034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39A6B8"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 Monitoring Action Plan, Policy Coherence Plan, Biodiversity Finance Analysis.</w:t>
            </w:r>
          </w:p>
        </w:tc>
      </w:tr>
      <w:tr w:rsidR="00D10503" w:rsidRPr="00237520" w14:paraId="567BA84F" w14:textId="77777777" w:rsidTr="00D22022">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FFEE1D"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Gambia</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EB87B"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D840BE"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388ED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03/04/2023</w:t>
            </w:r>
          </w:p>
          <w:p w14:paraId="39CBC0F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B5AF4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223,453.17</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12D6F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DB23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31.74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3A1AA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69.39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D677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7F2C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C9003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88.44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98AF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30/12/2025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F49818"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 Review, Monitoring gap assessment, policy coherence analysis, Biodiversity finance analysis. Finalization of Monitoring, Policy Coherence, and Biodiversity Finance plans underway.</w:t>
            </w:r>
          </w:p>
        </w:tc>
      </w:tr>
      <w:tr w:rsidR="00D10503" w:rsidRPr="00C67737" w14:paraId="4F66C521" w14:textId="77777777" w:rsidTr="00D22022">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F4C580"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Georgia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9A16F"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2E250"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70D96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17/04/2024</w:t>
            </w:r>
          </w:p>
          <w:p w14:paraId="7F50083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575B9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1088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0A24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AEF84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779E5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13.34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1AA8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F79E6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95.02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840F4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27/05/2026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4B3CC2"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Activities</w:t>
            </w:r>
            <w:proofErr w:type="spellEnd"/>
            <w:r w:rsidRPr="00C67737">
              <w:rPr>
                <w:rFonts w:asciiTheme="minorHAnsi" w:hAnsiTheme="minorHAnsi" w:cstheme="minorHAnsi"/>
                <w:color w:val="000000" w:themeColor="text1"/>
                <w:sz w:val="18"/>
                <w:szCs w:val="18"/>
              </w:rPr>
              <w:t xml:space="preserve"> are </w:t>
            </w:r>
            <w:proofErr w:type="spellStart"/>
            <w:r w:rsidRPr="00C67737">
              <w:rPr>
                <w:rFonts w:asciiTheme="minorHAnsi" w:hAnsiTheme="minorHAnsi" w:cstheme="minorHAnsi"/>
                <w:color w:val="000000" w:themeColor="text1"/>
                <w:sz w:val="18"/>
                <w:szCs w:val="18"/>
              </w:rPr>
              <w:t>ongoing</w:t>
            </w:r>
            <w:proofErr w:type="spellEnd"/>
            <w:r w:rsidRPr="00C67737">
              <w:rPr>
                <w:rFonts w:asciiTheme="minorHAnsi" w:hAnsiTheme="minorHAnsi" w:cstheme="minorHAnsi"/>
                <w:color w:val="000000" w:themeColor="text1"/>
                <w:sz w:val="18"/>
                <w:szCs w:val="18"/>
              </w:rPr>
              <w:t>.</w:t>
            </w:r>
          </w:p>
        </w:tc>
      </w:tr>
      <w:tr w:rsidR="00D10503" w:rsidRPr="00237520" w14:paraId="5B707A7D" w14:textId="77777777" w:rsidTr="00D22022">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556FC"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Ghana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6CCC6"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AAFDC"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693BE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27/06/2023</w:t>
            </w:r>
          </w:p>
          <w:p w14:paraId="032CC50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E32A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222,100.49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39ACC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607B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18.24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1CA0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46.61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00EE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68.89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B8EC7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74.59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5479A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74.59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CCE9F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01/08/2024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3990B0"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 Review, Monitoring gap assessment, policy coherence analysis, Biodiversity finance analysis. Finalization of Monitoring, Policy Coherence, and Biodiversity Finance plans underway.</w:t>
            </w:r>
          </w:p>
        </w:tc>
      </w:tr>
      <w:tr w:rsidR="00D10503" w:rsidRPr="00237520" w14:paraId="11D5BFE3" w14:textId="77777777" w:rsidTr="00D22022">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18035A"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lastRenderedPageBreak/>
              <w:t>Guinea</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45436E"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87B1F"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D83BE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26/10/2023</w:t>
            </w:r>
          </w:p>
          <w:p w14:paraId="247E555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C0D2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222,648.89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B2176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3933D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85D1D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D0C55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30052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41B15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48.23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DF64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1D01AB"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w:t>
            </w:r>
          </w:p>
        </w:tc>
      </w:tr>
      <w:tr w:rsidR="00D10503" w:rsidRPr="00237520" w14:paraId="58761FA4" w14:textId="77777777" w:rsidTr="00D22022">
        <w:trPr>
          <w:trHeight w:val="57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F14DF"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Guinea</w:t>
            </w:r>
            <w:proofErr w:type="spellEnd"/>
            <w:r w:rsidRPr="00C67737">
              <w:rPr>
                <w:rFonts w:asciiTheme="minorHAnsi" w:hAnsiTheme="minorHAnsi" w:cstheme="minorHAnsi"/>
                <w:color w:val="000000" w:themeColor="text1"/>
                <w:sz w:val="18"/>
                <w:szCs w:val="18"/>
              </w:rPr>
              <w:t xml:space="preserve"> Bissau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408BB3"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3C1FF3"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A2A9E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12/07/2025</w:t>
            </w:r>
          </w:p>
          <w:p w14:paraId="605C1FA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36969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223,252.09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3B172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F45B9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B2FB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1324C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75B17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69.29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6FD2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69.29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CA747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E3EFE0"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Delays due to late submission of project cooperation agreement documents.</w:t>
            </w:r>
          </w:p>
        </w:tc>
      </w:tr>
      <w:tr w:rsidR="00D10503" w:rsidRPr="00237520" w14:paraId="7CAF98BD"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A8CA6B"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Kenya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6A3DAA"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CC97F3"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DFC0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15/02/2024</w:t>
            </w:r>
          </w:p>
          <w:p w14:paraId="75EB501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C8C9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223,046.59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5AA85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F9EF5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35.38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0E57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50.96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F7A1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70.64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BB45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38F8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84.54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771BC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29/07/2024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11E98"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 Review, Monitoring gap assessment and draft plan, policy coherence analysis and draft plan, Biodiversity finance analysis, and review. Finalization of Monitoring, Policy Coherence, and Biodiversity Finance plans underway.</w:t>
            </w:r>
          </w:p>
        </w:tc>
      </w:tr>
      <w:tr w:rsidR="00D10503" w:rsidRPr="00237520" w14:paraId="5238CFDA"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837D99"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Kiribati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64900"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B468F"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ED9A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28/11/2023</w:t>
            </w:r>
          </w:p>
          <w:p w14:paraId="0161BA4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334BD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223,878.99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F17D7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6A44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8B40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E0073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811D5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45.17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0AA4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45.17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A1BE8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186072"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 Finalized: NBTs, NBSAP Review, Monitoring gap assessment, policy coherence analysis, Biodiversity finance analysis, and review. Delays experienced due to the national procurement process. Finalization of Monitoring, Policy Coherence, and Biodiversity Finance plans.</w:t>
            </w:r>
          </w:p>
        </w:tc>
      </w:tr>
      <w:tr w:rsidR="00D10503" w:rsidRPr="00237520" w14:paraId="36E119C6" w14:textId="77777777" w:rsidTr="00D22022">
        <w:trPr>
          <w:trHeight w:val="4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AC140"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Lesotho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4930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9917E"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BF64B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24/10/2023</w:t>
            </w:r>
          </w:p>
          <w:p w14:paraId="5687A76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2F16F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222,475.79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9163D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B0F67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EC23A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51.52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1F8D4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7C136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81.18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00D66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88.06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2EA0B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08/08/2025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D837CA"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Finalized: NBTs, NBSAP Review, Monitoring gap assessment, policy coherence analysis, Biodiversity finance analysis, and review. Finalization of </w:t>
            </w:r>
            <w:r w:rsidRPr="00366492">
              <w:rPr>
                <w:rFonts w:asciiTheme="minorHAnsi" w:hAnsiTheme="minorHAnsi" w:cstheme="minorHAnsi"/>
                <w:color w:val="000000" w:themeColor="text1"/>
                <w:sz w:val="18"/>
                <w:szCs w:val="18"/>
                <w:lang w:val="en-US"/>
              </w:rPr>
              <w:lastRenderedPageBreak/>
              <w:t>Monitoring, Policy Coherence, and Biodiversity Finance plans underway.</w:t>
            </w:r>
          </w:p>
        </w:tc>
      </w:tr>
      <w:tr w:rsidR="00D10503" w:rsidRPr="00237520" w14:paraId="3285459B"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A68F27"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Liberia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EBD4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406592"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8579E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20/07/2023</w:t>
            </w:r>
          </w:p>
          <w:p w14:paraId="02A1F06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8F76D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222,703.98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E88B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46.92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EF1C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56.19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6F16D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CC405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CD750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FF14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82.39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A6FE5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03/08/2024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7729A3"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Coherence, and Biodiversity Finance plans underway.</w:t>
            </w:r>
          </w:p>
        </w:tc>
      </w:tr>
      <w:tr w:rsidR="00D10503" w:rsidRPr="00237520" w14:paraId="29AEF0D0"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CC1AA8"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Madagascar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27869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2DD0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5C8F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16/10/2023</w:t>
            </w:r>
          </w:p>
          <w:p w14:paraId="5EBB250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89AA4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6735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93624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2E85A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62.23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935A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84.87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CEC9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93.70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C2B6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93.70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0AC9A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29/12/2025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E678A3"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Finalized: NBTs, NBSAP, Monitoring Action Plan, Policy Coherence Analysis, Resource Mobilization Plan.</w:t>
            </w:r>
          </w:p>
        </w:tc>
      </w:tr>
      <w:tr w:rsidR="00D10503" w:rsidRPr="00237520" w14:paraId="7912311B" w14:textId="77777777" w:rsidTr="00D22022">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592F1C"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Malawi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10CF3"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0AC6EE"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7E6DA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11/08/2023</w:t>
            </w:r>
          </w:p>
          <w:p w14:paraId="10418DA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E47F1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222,187.69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ED328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B871B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30.23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EE1E1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48.93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054F2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65.66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BB8BC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98.39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E12A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98.39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4D934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194253"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completed.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and monitoring plan, policy coherence analysis and plan, Biodiversity finance analysis, review, and plan.</w:t>
            </w:r>
          </w:p>
        </w:tc>
      </w:tr>
      <w:tr w:rsidR="00D10503" w:rsidRPr="00237520" w14:paraId="3E054CB2"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F2D989"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Mali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903903"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E7CC3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91D5D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05/01/2024</w:t>
            </w:r>
          </w:p>
          <w:p w14:paraId="53C6332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A493D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224,969.98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C9706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EB229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A297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3649D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BBCE7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EC93C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ED3BD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1E6494"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Monitoring Action Plan, Biodiversity Finance analysis.</w:t>
            </w:r>
          </w:p>
        </w:tc>
      </w:tr>
      <w:tr w:rsidR="00D10503" w:rsidRPr="00965453" w14:paraId="56FDE6C3" w14:textId="77777777" w:rsidTr="00D22022">
        <w:trPr>
          <w:trHeight w:val="222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5C14B7"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 xml:space="preserve">Marshall </w:t>
            </w:r>
            <w:proofErr w:type="spellStart"/>
            <w:r w:rsidRPr="00C67737">
              <w:rPr>
                <w:rFonts w:asciiTheme="minorHAnsi" w:hAnsiTheme="minorHAnsi" w:cstheme="minorHAnsi"/>
                <w:color w:val="000000" w:themeColor="text1"/>
                <w:sz w:val="18"/>
                <w:szCs w:val="18"/>
              </w:rPr>
              <w:t>Islands</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3985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47C56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6DCA8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24/10/2023</w:t>
            </w:r>
          </w:p>
          <w:p w14:paraId="6B00690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AEBC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224,699.65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C49D1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CB6D1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5279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6C4E4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02E64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48593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93EB9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30/10/2024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C22B23" w14:textId="77777777" w:rsidR="00D10503" w:rsidRPr="00FD0A55"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Coherence, and Biodiversity Finance plans underway. </w:t>
            </w:r>
            <w:r w:rsidRPr="00366492">
              <w:rPr>
                <w:rFonts w:asciiTheme="minorHAnsi" w:hAnsiTheme="minorHAnsi" w:cstheme="minorHAnsi"/>
                <w:lang w:val="en-US"/>
              </w:rPr>
              <w:br/>
            </w:r>
            <w:r w:rsidRPr="00FD0A55">
              <w:rPr>
                <w:rFonts w:asciiTheme="minorHAnsi" w:hAnsiTheme="minorHAnsi" w:cstheme="minorHAnsi"/>
                <w:color w:val="000000" w:themeColor="text1"/>
                <w:sz w:val="18"/>
                <w:szCs w:val="18"/>
                <w:lang w:val="en-US"/>
              </w:rPr>
              <w:t>Delays experienced due to change of national focal point.</w:t>
            </w:r>
          </w:p>
        </w:tc>
      </w:tr>
      <w:tr w:rsidR="00D10503" w:rsidRPr="00965453" w14:paraId="2B3C30AB" w14:textId="77777777" w:rsidTr="00D22022">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A99C9"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Micronesia</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3A90C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D11D8E"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677C5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19/12/2023</w:t>
            </w:r>
          </w:p>
          <w:p w14:paraId="281A18C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672B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DB0B0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2E8C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E80C7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29DE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E05FC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79D0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E0DF4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3763F" w14:textId="77777777" w:rsidR="00D10503" w:rsidRPr="00FD0A55"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Coherence, and Biodiversity Finance plans underway. </w:t>
            </w:r>
            <w:r w:rsidRPr="00FD0A55">
              <w:rPr>
                <w:rFonts w:asciiTheme="minorHAnsi" w:hAnsiTheme="minorHAnsi" w:cstheme="minorHAnsi"/>
                <w:color w:val="000000" w:themeColor="text1"/>
                <w:sz w:val="18"/>
                <w:szCs w:val="18"/>
                <w:lang w:val="en-US"/>
              </w:rPr>
              <w:t>Delays experienced due to changes in project personnel.</w:t>
            </w:r>
          </w:p>
        </w:tc>
      </w:tr>
      <w:tr w:rsidR="00D10503" w:rsidRPr="00237520" w14:paraId="7E6A2A75"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3EB89"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Moldova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0FB152"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128CBA"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D91A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12/05/2023</w:t>
            </w:r>
          </w:p>
          <w:p w14:paraId="74B9F54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03B2C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EE849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47.81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6157D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68.08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3BBC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80.26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F7B7F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87.09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9E73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87.09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08B47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87.09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0715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30/07/2024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088885"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Finalized: NBTs, NBSAP, Monitoring and Biodiversity finance plans included in NBSAP.</w:t>
            </w:r>
          </w:p>
        </w:tc>
      </w:tr>
      <w:tr w:rsidR="00D10503" w:rsidRPr="00237520" w14:paraId="0956B97D"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EBCA08"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Montenegro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B274B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55CB6"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29B3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01/01/2024</w:t>
            </w:r>
          </w:p>
          <w:p w14:paraId="4C7A6D4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BFB2F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4048C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3C3F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F2C3B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58.24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BE2A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75.05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40FD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85.11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1FA04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85.11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4144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9B2E95"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Finalized: NBTs</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Delays due to UNEP procurement processes.</w:t>
            </w:r>
          </w:p>
        </w:tc>
      </w:tr>
      <w:tr w:rsidR="00D10503" w:rsidRPr="00237520" w14:paraId="148E7061" w14:textId="77777777" w:rsidTr="00D22022">
        <w:trPr>
          <w:trHeight w:val="57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16A798"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Mozambique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2856B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944AA8"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00D92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16/02/2024</w:t>
            </w:r>
          </w:p>
          <w:p w14:paraId="2496F6D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88A24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225,475.28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C711A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FE126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4.68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1503A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69.50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3A492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78.22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163AE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78.22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DFB8C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78.22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C01E2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51AE09"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w:t>
            </w:r>
          </w:p>
        </w:tc>
      </w:tr>
      <w:tr w:rsidR="00D10503" w:rsidRPr="00237520" w14:paraId="5D8FA741"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79FC4D"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Namibia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D0DF40"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118CD1"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3FD5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05/09/2023</w:t>
            </w:r>
          </w:p>
          <w:p w14:paraId="762B2DD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ADAF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FEF66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F513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20.72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C753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52.01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89F1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74.42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8BD10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DDEE2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0713E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28F49"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Coherence, and Biodiversity Finance plans underway.</w:t>
            </w:r>
          </w:p>
        </w:tc>
      </w:tr>
      <w:tr w:rsidR="00D10503" w:rsidRPr="00C67737" w14:paraId="4A21DD8D" w14:textId="77777777" w:rsidTr="00D22022">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04A3E"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Nicaragua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FD205C"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CF62BC"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0B7CC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02/02/2024</w:t>
            </w:r>
          </w:p>
          <w:p w14:paraId="09BE6D6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78E2F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7D49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30A1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F78D9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ED2C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E8499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B51D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04D7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7F72B"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Activities</w:t>
            </w:r>
            <w:proofErr w:type="spellEnd"/>
            <w:r w:rsidRPr="00C67737">
              <w:rPr>
                <w:rFonts w:asciiTheme="minorHAnsi" w:hAnsiTheme="minorHAnsi" w:cstheme="minorHAnsi"/>
                <w:color w:val="000000" w:themeColor="text1"/>
                <w:sz w:val="18"/>
                <w:szCs w:val="18"/>
              </w:rPr>
              <w:t xml:space="preserve"> are </w:t>
            </w:r>
            <w:proofErr w:type="spellStart"/>
            <w:r w:rsidRPr="00C67737">
              <w:rPr>
                <w:rFonts w:asciiTheme="minorHAnsi" w:hAnsiTheme="minorHAnsi" w:cstheme="minorHAnsi"/>
                <w:color w:val="000000" w:themeColor="text1"/>
                <w:sz w:val="18"/>
                <w:szCs w:val="18"/>
              </w:rPr>
              <w:t>ongoing</w:t>
            </w:r>
            <w:proofErr w:type="spellEnd"/>
            <w:r w:rsidRPr="00C67737">
              <w:rPr>
                <w:rFonts w:asciiTheme="minorHAnsi" w:hAnsiTheme="minorHAnsi" w:cstheme="minorHAnsi"/>
                <w:color w:val="000000" w:themeColor="text1"/>
                <w:sz w:val="18"/>
                <w:szCs w:val="18"/>
              </w:rPr>
              <w:t>.</w:t>
            </w:r>
          </w:p>
        </w:tc>
      </w:tr>
      <w:tr w:rsidR="00D10503" w:rsidRPr="00237520" w14:paraId="3C6E3722"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D3527"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Niger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2CE53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627D32"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9B79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11/07/2023</w:t>
            </w:r>
          </w:p>
          <w:p w14:paraId="6BB3E55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71B56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231,676.33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4A4F2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61.59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CB26F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82.42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A2BA8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87.49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DBB7D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87.49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8C6C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87.49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5F0DB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87.49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F347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CE8DD"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Finalized: NBTs, Monitoring analysis and action plan, Policy coherence analysis, Biodiversity finance analysis.</w:t>
            </w:r>
          </w:p>
        </w:tc>
      </w:tr>
      <w:tr w:rsidR="00D10503" w:rsidRPr="00237520" w14:paraId="3E26FC8F"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45ECD0"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Nigeria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9AE31E"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07E3F7"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C1747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27/06/2023</w:t>
            </w:r>
          </w:p>
          <w:p w14:paraId="7A9EBFB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CD2C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253,644.63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9FD2B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63CB4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41.60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7AA5A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89.25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2EF3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95.91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0FACC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64371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A3582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79E3D9"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and plan, policy coherence analysis and plan, Biodiversity finance plan.</w:t>
            </w:r>
          </w:p>
        </w:tc>
      </w:tr>
      <w:tr w:rsidR="00D10503" w:rsidRPr="00237520" w14:paraId="0D4FDFBE"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3D62F"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Niue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CB9EB"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E53521"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33F4C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14/02/2025</w:t>
            </w:r>
          </w:p>
          <w:p w14:paraId="04423C3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0C5C6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223,244.49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428AA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CE066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8802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A0CC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89CEC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CE1B2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595B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D7DCC"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Delays occasioned by complex project delivery model.</w:t>
            </w:r>
          </w:p>
        </w:tc>
      </w:tr>
      <w:tr w:rsidR="00D10503" w:rsidRPr="00237520" w14:paraId="02BE4849"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472D67"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North Macedonia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A596CB"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6C370"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D4636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08/04/2024</w:t>
            </w:r>
          </w:p>
          <w:p w14:paraId="00F707D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F59D2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9A76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B8B49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3BDB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C2A71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90A14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23.65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6FF2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78.15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F81C8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BC701"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Delays due to establishing a national delivery model.</w:t>
            </w:r>
          </w:p>
        </w:tc>
      </w:tr>
      <w:tr w:rsidR="00D10503" w:rsidRPr="00237520" w14:paraId="79DCEBF5"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E7C09B"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Palau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D4DAF8"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E132B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63490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29/12/2023</w:t>
            </w:r>
          </w:p>
          <w:p w14:paraId="2EF68F4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E4686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86BCD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77A7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43.50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30D5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73.91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52923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73.91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C07E9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73.91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C4E6D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73.91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D9396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04/12/2024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BCFBB"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Coherence, and Biodiversity Finance plans underway.</w:t>
            </w:r>
          </w:p>
        </w:tc>
      </w:tr>
      <w:tr w:rsidR="00D10503" w:rsidRPr="00237520" w14:paraId="7E50C218" w14:textId="77777777" w:rsidTr="00D22022">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52196"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Qatar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65154"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9AFB8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B129C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07/06/2024</w:t>
            </w:r>
          </w:p>
          <w:p w14:paraId="369BFA0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2BBE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E4D1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0B84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8A9A3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A235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31.89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3A9CC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60.56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9CF51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60.56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72CD1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31E5FB"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and Policy Coherence plans underway. Delays experienced due to change of personnel at country level.</w:t>
            </w:r>
          </w:p>
        </w:tc>
      </w:tr>
      <w:tr w:rsidR="00D10503" w:rsidRPr="00237520" w14:paraId="25ADA1E0"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3312EB"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Republic of Congo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9B97A"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FD841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2440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06/03/2024</w:t>
            </w:r>
          </w:p>
          <w:p w14:paraId="26B94F6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83AD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6575A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5FB96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58523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10.96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647B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45.04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0930F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A90BA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82.60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31439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05/02/2026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FBA31E"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Finalized: NBTs, NBSAP, (Monitoring action plan, Policy coherence plan and Biodiversity finance plan all integrated into NBSAP).</w:t>
            </w:r>
          </w:p>
        </w:tc>
      </w:tr>
      <w:tr w:rsidR="00D10503" w:rsidRPr="00237520" w14:paraId="6EE854FE"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27C381"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Rwanda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83D706"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CCCA3"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A3395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24/10/2023</w:t>
            </w:r>
          </w:p>
          <w:p w14:paraId="4ADAC9C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C43C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40B0F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0AEE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D25A8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3.90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72CD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33.28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AFA7A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01F4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71.25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7C4CD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21/11/2025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DC054"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Coherence, and Biodiversity Finance plans underway.</w:t>
            </w:r>
          </w:p>
        </w:tc>
      </w:tr>
      <w:tr w:rsidR="00D10503" w:rsidRPr="00237520" w14:paraId="2DFE528A" w14:textId="77777777" w:rsidTr="00D22022">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11857D"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Sao Tomé and Principe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3AF7EE"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465866"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BA335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29/08/2025</w:t>
            </w:r>
          </w:p>
          <w:p w14:paraId="554FAAB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54940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222,668.79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BFCC2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08A91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4BFA4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CC3EE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5A24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7.07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7F0B0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7.07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D7F7B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14/07/2025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4638CF"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Finalized: NBTs</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Monitoring action plan, policy coherence analysis/plan, biodiversity analysis/plan underway, to be finalized Q2 2026.</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Delays due to late submission of project cooperation agreement documents.</w:t>
            </w:r>
          </w:p>
        </w:tc>
      </w:tr>
      <w:tr w:rsidR="00D10503" w:rsidRPr="00237520" w14:paraId="5DCCE621"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B13CFF"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Senegal</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7DB356"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55ECFE"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71A4C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12/05/2023</w:t>
            </w:r>
          </w:p>
          <w:p w14:paraId="6CCABA8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62F09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57E9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8.50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6529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BBF6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56.39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B9E8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86.56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8C6F8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86.56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9FCF3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86.56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D087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995E8B"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Monitoring action plan, Policy coherence analysis, Biodiversity finance analysis.</w:t>
            </w:r>
          </w:p>
        </w:tc>
      </w:tr>
      <w:tr w:rsidR="00D10503" w:rsidRPr="00C67737" w14:paraId="3ECF4ADB" w14:textId="77777777" w:rsidTr="00D22022">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56A50"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Serbia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EC4F3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A89846"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6895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13/02/2024</w:t>
            </w:r>
          </w:p>
          <w:p w14:paraId="7D3005F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14DB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E301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7529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E9720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17.33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C96A3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34.83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FB8AE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57.38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0BB29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76.56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FA81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03/06/2026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16F7F"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 xml:space="preserve">Finalized: Monitoring action plan, Biodiversity finance analysis. </w:t>
            </w:r>
            <w:r w:rsidRPr="00366492">
              <w:rPr>
                <w:rFonts w:asciiTheme="minorHAnsi" w:hAnsiTheme="minorHAnsi" w:cstheme="minorHAnsi"/>
                <w:lang w:val="en-US"/>
              </w:rPr>
              <w:br/>
            </w:r>
            <w:proofErr w:type="spellStart"/>
            <w:proofErr w:type="gramStart"/>
            <w:r w:rsidRPr="00C67737">
              <w:rPr>
                <w:rFonts w:asciiTheme="minorHAnsi" w:hAnsiTheme="minorHAnsi" w:cstheme="minorHAnsi"/>
                <w:color w:val="000000" w:themeColor="text1"/>
                <w:sz w:val="18"/>
                <w:szCs w:val="18"/>
              </w:rPr>
              <w:t>Drafted</w:t>
            </w:r>
            <w:proofErr w:type="spellEnd"/>
            <w:r w:rsidRPr="00C67737">
              <w:rPr>
                <w:rFonts w:asciiTheme="minorHAnsi" w:hAnsiTheme="minorHAnsi" w:cstheme="minorHAnsi"/>
                <w:color w:val="000000" w:themeColor="text1"/>
                <w:sz w:val="18"/>
                <w:szCs w:val="18"/>
              </w:rPr>
              <w:t>:</w:t>
            </w:r>
            <w:proofErr w:type="gramEnd"/>
            <w:r w:rsidRPr="00C67737">
              <w:rPr>
                <w:rFonts w:asciiTheme="minorHAnsi" w:hAnsiTheme="minorHAnsi" w:cstheme="minorHAnsi"/>
                <w:color w:val="000000" w:themeColor="text1"/>
                <w:sz w:val="18"/>
                <w:szCs w:val="18"/>
              </w:rPr>
              <w:t xml:space="preserve"> </w:t>
            </w:r>
            <w:proofErr w:type="spellStart"/>
            <w:r w:rsidRPr="00C67737">
              <w:rPr>
                <w:rFonts w:asciiTheme="minorHAnsi" w:hAnsiTheme="minorHAnsi" w:cstheme="minorHAnsi"/>
                <w:color w:val="000000" w:themeColor="text1"/>
                <w:sz w:val="18"/>
                <w:szCs w:val="18"/>
              </w:rPr>
              <w:t>NBTs</w:t>
            </w:r>
            <w:proofErr w:type="spellEnd"/>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NBSAP </w:t>
            </w:r>
            <w:proofErr w:type="spellStart"/>
            <w:r w:rsidRPr="00C67737">
              <w:rPr>
                <w:rFonts w:asciiTheme="minorHAnsi" w:hAnsiTheme="minorHAnsi" w:cstheme="minorHAnsi"/>
                <w:color w:val="000000" w:themeColor="text1"/>
                <w:sz w:val="18"/>
                <w:szCs w:val="18"/>
              </w:rPr>
              <w:t>under</w:t>
            </w:r>
            <w:proofErr w:type="spellEnd"/>
            <w:r w:rsidRPr="00C67737">
              <w:rPr>
                <w:rFonts w:asciiTheme="minorHAnsi" w:hAnsiTheme="minorHAnsi" w:cstheme="minorHAnsi"/>
                <w:color w:val="000000" w:themeColor="text1"/>
                <w:sz w:val="18"/>
                <w:szCs w:val="18"/>
              </w:rPr>
              <w:t xml:space="preserve"> consultation.</w:t>
            </w:r>
          </w:p>
        </w:tc>
      </w:tr>
      <w:tr w:rsidR="00D10503" w:rsidRPr="00237520" w14:paraId="09B7ABDD"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7786CE"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Sierra Leone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7B5F1B"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FC7996"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D11CB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27/06/2023</w:t>
            </w:r>
          </w:p>
          <w:p w14:paraId="4548C08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0DC4A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244,615.51</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EA99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6.69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FDCF8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19.92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0FC35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45.15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C6A5A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CD832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2C812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645C4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62F0C"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Coherence, and Biodiversity Finance plans underway.</w:t>
            </w:r>
          </w:p>
        </w:tc>
      </w:tr>
      <w:tr w:rsidR="00D10503" w:rsidRPr="00237520" w14:paraId="7C4D925F"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490238"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Solomon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E6FC62"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CED81"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E046A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08/03/2024</w:t>
            </w:r>
          </w:p>
          <w:p w14:paraId="450357D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4EF2B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223,222.99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C2DF4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FC7D7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6DE0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60A68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E1902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37BA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8BE04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80B7D"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 xml:space="preserve">Draft National Targets completed.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UNEP is following up on the country’s reporting requirements.</w:t>
            </w:r>
          </w:p>
        </w:tc>
      </w:tr>
      <w:tr w:rsidR="00D10503" w:rsidRPr="00237520" w14:paraId="742113D6"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F55028"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South </w:t>
            </w:r>
            <w:proofErr w:type="spellStart"/>
            <w:r w:rsidRPr="00C67737">
              <w:rPr>
                <w:rFonts w:asciiTheme="minorHAnsi" w:hAnsiTheme="minorHAnsi" w:cstheme="minorHAnsi"/>
                <w:color w:val="000000" w:themeColor="text1"/>
                <w:sz w:val="18"/>
                <w:szCs w:val="18"/>
              </w:rPr>
              <w:t>Africa</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10DBEF"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D22BA7"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1789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18/01/2024</w:t>
            </w:r>
          </w:p>
          <w:p w14:paraId="5EDCFBC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B4960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B767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2D4FE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E6CF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70DE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C5BE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CDE39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FEBD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26AF54"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Finalized: NBTs, NBSAP Review, Monitoring gap assessment and plan,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Coherence, and Biodiversity Finance plans underway.</w:t>
            </w:r>
          </w:p>
        </w:tc>
      </w:tr>
      <w:tr w:rsidR="00D10503" w:rsidRPr="00237520" w14:paraId="2CC1D9B1"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02EF5B"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South </w:t>
            </w:r>
            <w:proofErr w:type="spellStart"/>
            <w:r w:rsidRPr="00C67737">
              <w:rPr>
                <w:rFonts w:asciiTheme="minorHAnsi" w:hAnsiTheme="minorHAnsi" w:cstheme="minorHAnsi"/>
                <w:color w:val="000000" w:themeColor="text1"/>
                <w:sz w:val="18"/>
                <w:szCs w:val="18"/>
              </w:rPr>
              <w:t>Sudan</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A53E36"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509AC0"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4D786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18/01/2024</w:t>
            </w:r>
          </w:p>
          <w:p w14:paraId="43114AF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765C5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223,160.00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0872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0E13C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1971A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296AD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4477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65A0A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00D8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A36762"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w:t>
            </w:r>
            <w:r w:rsidRPr="00366492">
              <w:rPr>
                <w:rFonts w:asciiTheme="minorHAnsi" w:hAnsiTheme="minorHAnsi" w:cstheme="minorHAnsi"/>
                <w:color w:val="000000" w:themeColor="text1"/>
                <w:sz w:val="18"/>
                <w:szCs w:val="18"/>
                <w:lang w:val="en-US"/>
              </w:rPr>
              <w:lastRenderedPageBreak/>
              <w:t>Coherence, and Biodiversity Finance plans underway.</w:t>
            </w:r>
          </w:p>
        </w:tc>
      </w:tr>
      <w:tr w:rsidR="00D10503" w:rsidRPr="00237520" w14:paraId="7A4909D3"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C932E5"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lastRenderedPageBreak/>
              <w:t>Sudan</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23BA0"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6716B"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59FF4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1BA3CFE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B2A0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253,615.86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8445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A2390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69.54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72E50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86.06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9714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92.71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C412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2C7F7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239DB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66AEB4"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Finalized: NBTs, NBSAP Review, Monitoring gap assessment, policy coherence analysis, Biodiversity finance analysis, and review.</w:t>
            </w:r>
          </w:p>
        </w:tc>
      </w:tr>
      <w:tr w:rsidR="00D10503" w:rsidRPr="00237520" w14:paraId="1663B283"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0AED12"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Togo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35AA7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D9C31E"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F239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05/10/2023</w:t>
            </w:r>
          </w:p>
          <w:p w14:paraId="40A58C4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038EF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247,119.86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91117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7093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099C2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B7A8A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EFD7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DDB6E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BEE0D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C443A4"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The activities are complete.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Monitoring Action Plan, Policy coherence plan, (Biodiversity Finance Plan to be completed under BIOFIN project)</w:t>
            </w:r>
          </w:p>
        </w:tc>
      </w:tr>
      <w:tr w:rsidR="00D10503" w:rsidRPr="00237520" w14:paraId="5E584C5D"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40D75"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Tonga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44E804"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85C93B"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85A5D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17/04/2024</w:t>
            </w:r>
          </w:p>
          <w:p w14:paraId="7038E96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5FC1C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99DEB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01C9C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6B31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30F3A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007BB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7668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45793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4774CA"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UNEP is following up on country reporting requirements</w:t>
            </w:r>
          </w:p>
        </w:tc>
      </w:tr>
      <w:tr w:rsidR="00D10503" w:rsidRPr="00C67737" w14:paraId="4974F09B" w14:textId="77777777" w:rsidTr="00D22022">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766399"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Türkiye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D7E04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C44C87"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8A21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24/04/2025</w:t>
            </w:r>
          </w:p>
          <w:p w14:paraId="1F30594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CCBDC"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230,806.39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85881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1E98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2831A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4.25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060FE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9C5C1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77.27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85DC7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77.27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67695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402915"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policy coherence analysis.</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w:t>
            </w:r>
            <w:proofErr w:type="spellStart"/>
            <w:r w:rsidRPr="00C67737">
              <w:rPr>
                <w:rFonts w:asciiTheme="minorHAnsi" w:hAnsiTheme="minorHAnsi" w:cstheme="minorHAnsi"/>
                <w:color w:val="000000" w:themeColor="text1"/>
                <w:sz w:val="18"/>
                <w:szCs w:val="18"/>
              </w:rPr>
              <w:t>Finalization</w:t>
            </w:r>
            <w:proofErr w:type="spellEnd"/>
            <w:r w:rsidRPr="00C67737">
              <w:rPr>
                <w:rFonts w:asciiTheme="minorHAnsi" w:hAnsiTheme="minorHAnsi" w:cstheme="minorHAnsi"/>
                <w:color w:val="000000" w:themeColor="text1"/>
                <w:sz w:val="18"/>
                <w:szCs w:val="18"/>
              </w:rPr>
              <w:t xml:space="preserve"> of Monitoring and Policy </w:t>
            </w:r>
            <w:proofErr w:type="spellStart"/>
            <w:r w:rsidRPr="00C67737">
              <w:rPr>
                <w:rFonts w:asciiTheme="minorHAnsi" w:hAnsiTheme="minorHAnsi" w:cstheme="minorHAnsi"/>
                <w:color w:val="000000" w:themeColor="text1"/>
                <w:sz w:val="18"/>
                <w:szCs w:val="18"/>
              </w:rPr>
              <w:t>Coherence</w:t>
            </w:r>
            <w:proofErr w:type="spellEnd"/>
            <w:r w:rsidRPr="00C67737">
              <w:rPr>
                <w:rFonts w:asciiTheme="minorHAnsi" w:hAnsiTheme="minorHAnsi" w:cstheme="minorHAnsi"/>
                <w:color w:val="000000" w:themeColor="text1"/>
                <w:sz w:val="18"/>
                <w:szCs w:val="18"/>
              </w:rPr>
              <w:t xml:space="preserve"> plans </w:t>
            </w:r>
            <w:proofErr w:type="spellStart"/>
            <w:r w:rsidRPr="00C67737">
              <w:rPr>
                <w:rFonts w:asciiTheme="minorHAnsi" w:hAnsiTheme="minorHAnsi" w:cstheme="minorHAnsi"/>
                <w:color w:val="000000" w:themeColor="text1"/>
                <w:sz w:val="18"/>
                <w:szCs w:val="18"/>
              </w:rPr>
              <w:t>underway</w:t>
            </w:r>
            <w:proofErr w:type="spellEnd"/>
            <w:r w:rsidRPr="00C67737">
              <w:rPr>
                <w:rFonts w:asciiTheme="minorHAnsi" w:hAnsiTheme="minorHAnsi" w:cstheme="minorHAnsi"/>
                <w:color w:val="000000" w:themeColor="text1"/>
                <w:sz w:val="18"/>
                <w:szCs w:val="18"/>
              </w:rPr>
              <w:t>.</w:t>
            </w:r>
          </w:p>
        </w:tc>
      </w:tr>
      <w:tr w:rsidR="00D10503" w:rsidRPr="00237520" w14:paraId="6F07DF36" w14:textId="77777777" w:rsidTr="00D22022">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F4C51"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Tuvalu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5F8961"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632CB"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77667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26/03/2024</w:t>
            </w:r>
          </w:p>
          <w:p w14:paraId="48A1EEF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5870F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223,837.99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F360C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51F2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8884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313B0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9.69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B3361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EFE6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36EF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25E67B"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UNEP is following up on the country’s reporting requirements.</w:t>
            </w:r>
          </w:p>
        </w:tc>
      </w:tr>
      <w:tr w:rsidR="00D10503" w:rsidRPr="00237520" w14:paraId="04900B2F"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0B155A"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Uganda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3EE58D"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F9337B"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8C6D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06/06/2023</w:t>
            </w:r>
          </w:p>
          <w:p w14:paraId="1330A85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B76FE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246,291.85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D617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25.63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9FE21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40.79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B0CB5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82.62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74C92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95.91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55B83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88976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25359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04/10/2024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4CBEC"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Coherence, and Biodiversity Finance plans underway.</w:t>
            </w:r>
          </w:p>
        </w:tc>
      </w:tr>
      <w:tr w:rsidR="00D10503" w:rsidRPr="00237520" w14:paraId="75EB22AC"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09B383"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United Republic of Tanzania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386D3A"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C30C3C"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B91C2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26/01/2024</w:t>
            </w:r>
          </w:p>
          <w:p w14:paraId="007B1CB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0A264D"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224,670.58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C0ED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817221"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51.98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044A7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8541F"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99.63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0144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06278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265F8B"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12/06/2025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C55FA"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Activities are ongoing.</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Coherence, and Biodiversity Finance plans underway.</w:t>
            </w:r>
          </w:p>
        </w:tc>
      </w:tr>
      <w:tr w:rsidR="00D10503" w:rsidRPr="00237520" w14:paraId="7826198F" w14:textId="77777777" w:rsidTr="00D22022">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9E0BEE"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Vanuatu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3C9595"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35317"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D76AA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24/10/2023</w:t>
            </w:r>
          </w:p>
          <w:p w14:paraId="6123659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CC19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222,118.00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BD475"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32907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10.31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C870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24.29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35366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74772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0C621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24.29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D0D4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2A08D"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policy coherence analysis, Biodiversity finance analysis, and review.</w:t>
            </w:r>
            <w:r w:rsidRPr="00366492">
              <w:rPr>
                <w:rFonts w:asciiTheme="minorHAnsi" w:hAnsiTheme="minorHAnsi" w:cstheme="minorHAnsi"/>
                <w:lang w:val="en-US"/>
              </w:rPr>
              <w:br/>
            </w:r>
            <w:r w:rsidRPr="00366492">
              <w:rPr>
                <w:rFonts w:asciiTheme="minorHAnsi" w:hAnsiTheme="minorHAnsi" w:cstheme="minorHAnsi"/>
                <w:sz w:val="18"/>
                <w:szCs w:val="18"/>
                <w:lang w:val="en-US"/>
              </w:rPr>
              <w:t xml:space="preserve"> </w:t>
            </w:r>
            <w:r w:rsidRPr="00366492">
              <w:rPr>
                <w:rFonts w:asciiTheme="minorHAnsi" w:hAnsiTheme="minorHAnsi" w:cstheme="minorHAnsi"/>
                <w:color w:val="000000" w:themeColor="text1"/>
                <w:sz w:val="18"/>
                <w:szCs w:val="18"/>
                <w:lang w:val="en-US"/>
              </w:rPr>
              <w:t xml:space="preserve"> Finalization of Monitoring, Policy Coherence, and Biodiversity Finance plans underway.</w:t>
            </w:r>
          </w:p>
        </w:tc>
      </w:tr>
      <w:tr w:rsidR="00D10503" w:rsidRPr="00C67737" w14:paraId="4CA033AF" w14:textId="77777777" w:rsidTr="00D22022">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F8912" w14:textId="77777777" w:rsidR="00D10503" w:rsidRPr="00C67737" w:rsidRDefault="00D10503" w:rsidP="00D22022">
            <w:pPr>
              <w:pStyle w:val="paragraph"/>
              <w:spacing w:after="0"/>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lastRenderedPageBreak/>
              <w:t>Zambia</w:t>
            </w:r>
            <w:proofErr w:type="spellEnd"/>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A56C6"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FBE99"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FD729"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06/06/2023</w:t>
            </w:r>
          </w:p>
          <w:p w14:paraId="67FE291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7B587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224,594.73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FD591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35.98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4ED5D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39.67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6E6BD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82.36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2B6BDE"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62B4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6C73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88.14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557F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1C16B7"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366492">
              <w:rPr>
                <w:rFonts w:asciiTheme="minorHAnsi" w:hAnsiTheme="minorHAnsi" w:cstheme="minorHAnsi"/>
                <w:color w:val="000000" w:themeColor="text1"/>
                <w:sz w:val="18"/>
                <w:szCs w:val="18"/>
                <w:lang w:val="en-US"/>
              </w:rPr>
              <w:t xml:space="preserve">Activities are ongoing. Finalized: NBTs UNEP is following up on country reporting requirements. </w:t>
            </w:r>
            <w:r w:rsidRPr="00C67737">
              <w:rPr>
                <w:rFonts w:asciiTheme="minorHAnsi" w:hAnsiTheme="minorHAnsi" w:cstheme="minorHAnsi"/>
                <w:color w:val="000000" w:themeColor="text1"/>
                <w:sz w:val="18"/>
                <w:szCs w:val="18"/>
              </w:rPr>
              <w:t xml:space="preserve">Late start of the </w:t>
            </w:r>
            <w:proofErr w:type="spellStart"/>
            <w:r w:rsidRPr="00C67737">
              <w:rPr>
                <w:rFonts w:asciiTheme="minorHAnsi" w:hAnsiTheme="minorHAnsi" w:cstheme="minorHAnsi"/>
                <w:color w:val="000000" w:themeColor="text1"/>
                <w:sz w:val="18"/>
                <w:szCs w:val="18"/>
              </w:rPr>
              <w:t>project</w:t>
            </w:r>
            <w:proofErr w:type="spellEnd"/>
            <w:r w:rsidRPr="00C67737">
              <w:rPr>
                <w:rFonts w:asciiTheme="minorHAnsi" w:hAnsiTheme="minorHAnsi" w:cstheme="minorHAnsi"/>
                <w:color w:val="000000" w:themeColor="text1"/>
                <w:sz w:val="18"/>
                <w:szCs w:val="18"/>
              </w:rPr>
              <w:t xml:space="preserve"> due to </w:t>
            </w:r>
            <w:proofErr w:type="spellStart"/>
            <w:r w:rsidRPr="00C67737">
              <w:rPr>
                <w:rFonts w:asciiTheme="minorHAnsi" w:hAnsiTheme="minorHAnsi" w:cstheme="minorHAnsi"/>
                <w:color w:val="000000" w:themeColor="text1"/>
                <w:sz w:val="18"/>
                <w:szCs w:val="18"/>
              </w:rPr>
              <w:t>procurement</w:t>
            </w:r>
            <w:proofErr w:type="spellEnd"/>
            <w:r w:rsidRPr="00C67737">
              <w:rPr>
                <w:rFonts w:asciiTheme="minorHAnsi" w:hAnsiTheme="minorHAnsi" w:cstheme="minorHAnsi"/>
                <w:color w:val="000000" w:themeColor="text1"/>
                <w:sz w:val="18"/>
                <w:szCs w:val="18"/>
              </w:rPr>
              <w:t xml:space="preserve"> </w:t>
            </w:r>
            <w:proofErr w:type="gramStart"/>
            <w:r w:rsidRPr="00C67737">
              <w:rPr>
                <w:rFonts w:asciiTheme="minorHAnsi" w:hAnsiTheme="minorHAnsi" w:cstheme="minorHAnsi"/>
                <w:color w:val="000000" w:themeColor="text1"/>
                <w:sz w:val="18"/>
                <w:szCs w:val="18"/>
              </w:rPr>
              <w:t>challenges</w:t>
            </w:r>
            <w:proofErr w:type="gramEnd"/>
            <w:r w:rsidRPr="00C67737">
              <w:rPr>
                <w:rFonts w:asciiTheme="minorHAnsi" w:hAnsiTheme="minorHAnsi" w:cstheme="minorHAnsi"/>
                <w:color w:val="000000" w:themeColor="text1"/>
                <w:sz w:val="18"/>
                <w:szCs w:val="18"/>
              </w:rPr>
              <w:t>.</w:t>
            </w:r>
          </w:p>
        </w:tc>
      </w:tr>
      <w:tr w:rsidR="00D10503" w:rsidRPr="00237520" w14:paraId="1A56183D" w14:textId="77777777" w:rsidTr="00D22022">
        <w:trPr>
          <w:trHeight w:val="202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EBAC2C" w14:textId="77777777" w:rsidR="00D10503" w:rsidRPr="00C67737" w:rsidRDefault="00D10503" w:rsidP="00D22022">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Zimbabwe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38E788"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171430" w14:textId="77777777" w:rsidR="00D10503" w:rsidRPr="00C67737" w:rsidRDefault="00D10503" w:rsidP="00D22022">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6E4FBA"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78F567B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97B1F6"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932147"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084D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5.21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458F0"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71.35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4B134"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ECC58"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320523"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87.58</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FC0042" w14:textId="77777777" w:rsidR="00D10503" w:rsidRPr="00C67737" w:rsidRDefault="00D10503" w:rsidP="00D22022">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2B712" w14:textId="77777777" w:rsidR="00D10503" w:rsidRPr="00366492" w:rsidRDefault="00D10503" w:rsidP="00D22022">
            <w:pPr>
              <w:pStyle w:val="paragraph"/>
              <w:spacing w:after="0"/>
              <w:rPr>
                <w:rFonts w:asciiTheme="minorHAnsi" w:hAnsiTheme="minorHAnsi" w:cstheme="minorHAnsi"/>
                <w:color w:val="000000" w:themeColor="text1"/>
                <w:sz w:val="18"/>
                <w:szCs w:val="18"/>
                <w:lang w:val="en-US"/>
              </w:rPr>
            </w:pPr>
            <w:r w:rsidRPr="00366492">
              <w:rPr>
                <w:rFonts w:asciiTheme="minorHAnsi" w:hAnsiTheme="minorHAnsi" w:cstheme="minorHAnsi"/>
                <w:color w:val="000000" w:themeColor="text1"/>
                <w:sz w:val="18"/>
                <w:szCs w:val="18"/>
                <w:lang w:val="en-US"/>
              </w:rPr>
              <w:t xml:space="preserve">Activities are ongoing. </w:t>
            </w:r>
            <w:r w:rsidRPr="00366492">
              <w:rPr>
                <w:rFonts w:asciiTheme="minorHAnsi" w:hAnsiTheme="minorHAnsi" w:cstheme="minorHAnsi"/>
                <w:lang w:val="en-US"/>
              </w:rPr>
              <w:br/>
            </w:r>
            <w:r w:rsidRPr="00366492">
              <w:rPr>
                <w:rFonts w:asciiTheme="minorHAnsi" w:hAnsiTheme="minorHAnsi" w:cstheme="minorHAnsi"/>
                <w:color w:val="000000" w:themeColor="text1"/>
                <w:sz w:val="18"/>
                <w:szCs w:val="18"/>
                <w:lang w:val="en-US"/>
              </w:rPr>
              <w:t>Finalized: NBTs, NBSAP Review, Monitoring gap assessment, policy coherence analysis, Biodiversity finance analysis, and review. Finalization of Monitoring, Policy Coherence, and Biodiversity Finance plans underway.</w:t>
            </w:r>
          </w:p>
        </w:tc>
      </w:tr>
    </w:tbl>
    <w:p w14:paraId="426D1C2B" w14:textId="77777777" w:rsidR="005576FA" w:rsidRPr="00C0269A" w:rsidRDefault="005576FA" w:rsidP="005576FA">
      <w:pPr>
        <w:rPr>
          <w:lang w:val="en-US"/>
        </w:rPr>
      </w:pPr>
      <w:r w:rsidRPr="00C0269A">
        <w:rPr>
          <w:lang w:val="en-US"/>
        </w:rPr>
        <w:br w:type="page"/>
      </w:r>
    </w:p>
    <w:p w14:paraId="3276FC4A" w14:textId="77777777" w:rsidR="00366492" w:rsidRPr="00C67737" w:rsidRDefault="00366492" w:rsidP="00640F63">
      <w:pPr>
        <w:pStyle w:val="Heading1"/>
        <w:numPr>
          <w:ilvl w:val="0"/>
          <w:numId w:val="0"/>
        </w:numPr>
        <w:ind w:left="720"/>
        <w:rPr>
          <w:lang w:val="en-US"/>
        </w:rPr>
      </w:pPr>
      <w:bookmarkStart w:id="226" w:name="_Toc239237107"/>
      <w:bookmarkStart w:id="227" w:name="_Toc242184740"/>
      <w:bookmarkStart w:id="228" w:name="_Toc242185302"/>
      <w:r w:rsidRPr="00C67737">
        <w:rPr>
          <w:lang w:val="en-US"/>
        </w:rPr>
        <w:lastRenderedPageBreak/>
        <w:t>Annex 6 - Status of Resources Approved in GEF-8 for the Preparation of National Biodiversity Strategies and Action Plans and Seventh National Reports</w:t>
      </w:r>
      <w:bookmarkEnd w:id="226"/>
      <w:bookmarkEnd w:id="227"/>
      <w:bookmarkEnd w:id="228"/>
    </w:p>
    <w:p w14:paraId="65049948" w14:textId="77777777" w:rsidR="005576FA" w:rsidRPr="00C0269A" w:rsidRDefault="005576FA" w:rsidP="005576FA">
      <w:pPr>
        <w:rPr>
          <w:lang w:val="en-US"/>
        </w:rPr>
      </w:pPr>
      <w:r w:rsidRPr="00C0269A">
        <w:rPr>
          <w:lang w:val="en-US"/>
        </w:rPr>
        <w:t xml:space="preserve">This annex summarizes the status of activities under the GEF-8 grant for the Preparation of National Biodiversity Strategy and Action Plans and Seventh National Reports as of June 15, 2026. This support was approved by the GEF Council on June 1, 2023, as two umbrella programs: GEFID 11281 serving 70 countries implemented by the UNEP and GEFID 11286 serving 69 countries implemented by the UNDP. The GEF CEO endorsed the UNDP program on January 26, 2024, and the UNEP program on March 27, 2024.  </w:t>
      </w:r>
    </w:p>
    <w:p w14:paraId="7C7953AB" w14:textId="77777777" w:rsidR="005576FA" w:rsidRPr="00C0269A" w:rsidRDefault="005576FA" w:rsidP="005576FA">
      <w:pPr>
        <w:rPr>
          <w:lang w:val="en-US"/>
        </w:rPr>
      </w:pPr>
      <w:r w:rsidRPr="00C0269A">
        <w:rPr>
          <w:lang w:val="en-US"/>
        </w:rPr>
        <w:t xml:space="preserve">The following tables include information for all 139 countries, compiled by the two Implementing Agencies. The “Status of Project Activities” column indicates whether the country has submitted an updated NBSAP and a draft or complete 7th National Report through the CBD’s Online Reporting Tool. </w:t>
      </w:r>
    </w:p>
    <w:p w14:paraId="558BB244" w14:textId="77777777" w:rsidR="005576FA" w:rsidRPr="00C0269A" w:rsidRDefault="005576FA" w:rsidP="005576FA">
      <w:pPr>
        <w:rPr>
          <w:lang w:val="en-US"/>
        </w:rPr>
      </w:pPr>
      <w:r w:rsidRPr="00C0269A">
        <w:rPr>
          <w:lang w:val="en-US"/>
        </w:rPr>
        <w:t>All financial amounts are shown in US dollars. Date format is DD/MM/YYYY. Countries may have advanced further in the preparation of the two project outputs since the cutoff date of June 15, 2026.</w:t>
      </w:r>
    </w:p>
    <w:p w14:paraId="651219E3" w14:textId="77777777" w:rsidR="00EB7D85" w:rsidRPr="00C67737" w:rsidRDefault="00EB7D85" w:rsidP="00EB7D85">
      <w:pPr>
        <w:pStyle w:val="Heading3"/>
        <w:rPr>
          <w:lang w:val="en-US"/>
        </w:rPr>
      </w:pPr>
      <w:bookmarkStart w:id="229" w:name="_Toc239237108"/>
      <w:bookmarkStart w:id="230" w:name="_Toc242184681"/>
      <w:bookmarkStart w:id="231" w:name="_Toc242184741"/>
      <w:r w:rsidRPr="00C67737">
        <w:rPr>
          <w:lang w:val="en-US"/>
        </w:rPr>
        <w:t>Table A: Countries supported by UNDP</w:t>
      </w:r>
      <w:r>
        <w:rPr>
          <w:rStyle w:val="FootnoteReference"/>
          <w:lang w:val="en-US"/>
        </w:rPr>
        <w:footnoteReference w:id="166"/>
      </w:r>
      <w:bookmarkEnd w:id="229"/>
      <w:bookmarkEnd w:id="230"/>
      <w:bookmarkEnd w:id="231"/>
    </w:p>
    <w:tbl>
      <w:tblPr>
        <w:tblStyle w:val="TableGrid"/>
        <w:tblW w:w="13111" w:type="dxa"/>
        <w:tblLook w:val="04A0" w:firstRow="1" w:lastRow="0" w:firstColumn="1" w:lastColumn="0" w:noHBand="0" w:noVBand="1"/>
      </w:tblPr>
      <w:tblGrid>
        <w:gridCol w:w="1254"/>
        <w:gridCol w:w="1073"/>
        <w:gridCol w:w="1320"/>
        <w:gridCol w:w="1095"/>
        <w:gridCol w:w="1095"/>
        <w:gridCol w:w="1095"/>
        <w:gridCol w:w="1095"/>
        <w:gridCol w:w="1420"/>
        <w:gridCol w:w="3664"/>
      </w:tblGrid>
      <w:tr w:rsidR="00FF164B" w:rsidRPr="00C67737" w14:paraId="0B714399" w14:textId="77777777" w:rsidTr="00D22022">
        <w:trPr>
          <w:trHeight w:val="885"/>
          <w:tblHeader/>
        </w:trPr>
        <w:tc>
          <w:tcPr>
            <w:tcW w:w="125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6915AEA6" w14:textId="77777777" w:rsidR="00FF164B" w:rsidRPr="00C67737" w:rsidRDefault="00FF164B" w:rsidP="00D22022">
            <w:pPr>
              <w:jc w:val="center"/>
              <w:rPr>
                <w:rFonts w:cstheme="minorHAnsi"/>
                <w:sz w:val="18"/>
                <w:szCs w:val="18"/>
              </w:rPr>
            </w:pPr>
            <w:r w:rsidRPr="00C67737">
              <w:rPr>
                <w:rFonts w:cstheme="minorHAnsi"/>
                <w:b/>
                <w:bCs/>
                <w:color w:val="000000" w:themeColor="text1"/>
                <w:sz w:val="18"/>
                <w:szCs w:val="18"/>
              </w:rPr>
              <w:t>Country</w:t>
            </w:r>
          </w:p>
        </w:tc>
        <w:tc>
          <w:tcPr>
            <w:tcW w:w="1078"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7FDA1707" w14:textId="77777777" w:rsidR="00FF164B" w:rsidRPr="00FF164B" w:rsidRDefault="00FF164B" w:rsidP="00D22022">
            <w:pPr>
              <w:jc w:val="center"/>
              <w:rPr>
                <w:rFonts w:cstheme="minorHAnsi"/>
                <w:sz w:val="18"/>
                <w:szCs w:val="18"/>
                <w:lang w:val="en-US"/>
              </w:rPr>
            </w:pPr>
            <w:r w:rsidRPr="00FF164B">
              <w:rPr>
                <w:rFonts w:cstheme="minorHAnsi"/>
                <w:b/>
                <w:bCs/>
                <w:color w:val="000000" w:themeColor="text1"/>
                <w:sz w:val="18"/>
                <w:szCs w:val="18"/>
                <w:lang w:val="en-US"/>
              </w:rPr>
              <w:t>Amount approved (excluding agency fees)</w:t>
            </w:r>
          </w:p>
        </w:tc>
        <w:tc>
          <w:tcPr>
            <w:tcW w:w="132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6CB269FE" w14:textId="77777777" w:rsidR="00FF164B" w:rsidRPr="00FF164B" w:rsidRDefault="00FF164B" w:rsidP="00D22022">
            <w:pPr>
              <w:jc w:val="center"/>
              <w:rPr>
                <w:rFonts w:cstheme="minorHAnsi"/>
                <w:b/>
                <w:bCs/>
                <w:color w:val="000000" w:themeColor="text1"/>
                <w:sz w:val="18"/>
                <w:szCs w:val="18"/>
                <w:lang w:val="en-US"/>
              </w:rPr>
            </w:pPr>
            <w:r w:rsidRPr="00FF164B">
              <w:rPr>
                <w:rFonts w:cstheme="minorHAnsi"/>
                <w:b/>
                <w:bCs/>
                <w:color w:val="000000" w:themeColor="text1"/>
                <w:sz w:val="18"/>
                <w:szCs w:val="18"/>
                <w:lang w:val="en-US"/>
              </w:rPr>
              <w:t xml:space="preserve">Dates and </w:t>
            </w:r>
            <w:bookmarkStart w:id="232" w:name="_Int_024JKb8Y"/>
            <w:proofErr w:type="gramStart"/>
            <w:r w:rsidRPr="00FF164B">
              <w:rPr>
                <w:rFonts w:cstheme="minorHAnsi"/>
                <w:b/>
                <w:bCs/>
                <w:color w:val="000000" w:themeColor="text1"/>
                <w:sz w:val="18"/>
                <w:szCs w:val="18"/>
                <w:lang w:val="en-US"/>
              </w:rPr>
              <w:t>amount</w:t>
            </w:r>
            <w:bookmarkEnd w:id="232"/>
            <w:proofErr w:type="gramEnd"/>
            <w:r w:rsidRPr="00FF164B">
              <w:rPr>
                <w:rFonts w:cstheme="minorHAnsi"/>
                <w:b/>
                <w:bCs/>
                <w:color w:val="000000" w:themeColor="text1"/>
                <w:sz w:val="18"/>
                <w:szCs w:val="18"/>
                <w:lang w:val="en-US"/>
              </w:rPr>
              <w:t xml:space="preserve"> of disbursements of GEF funds by UNDP</w:t>
            </w:r>
            <w:r w:rsidRPr="00C67737">
              <w:rPr>
                <w:rStyle w:val="FootnoteReference"/>
                <w:rFonts w:cstheme="minorHAnsi"/>
                <w:b/>
                <w:bCs/>
                <w:color w:val="000000" w:themeColor="text1"/>
                <w:sz w:val="18"/>
                <w:szCs w:val="18"/>
              </w:rPr>
              <w:footnoteReference w:id="167"/>
            </w:r>
          </w:p>
          <w:p w14:paraId="13991842" w14:textId="77777777" w:rsidR="00FF164B" w:rsidRPr="00FF164B" w:rsidRDefault="00FF164B" w:rsidP="00D22022">
            <w:pPr>
              <w:jc w:val="center"/>
              <w:rPr>
                <w:rFonts w:cstheme="minorHAnsi"/>
                <w:sz w:val="18"/>
                <w:szCs w:val="18"/>
                <w:lang w:val="en-US"/>
              </w:rPr>
            </w:pPr>
          </w:p>
        </w:tc>
        <w:tc>
          <w:tcPr>
            <w:tcW w:w="4220"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73444D80" w14:textId="77777777" w:rsidR="00FF164B" w:rsidRPr="00FF164B" w:rsidRDefault="00FF164B" w:rsidP="00D22022">
            <w:pPr>
              <w:jc w:val="center"/>
              <w:rPr>
                <w:rFonts w:cstheme="minorHAnsi"/>
                <w:color w:val="000000" w:themeColor="text1"/>
                <w:sz w:val="18"/>
                <w:szCs w:val="18"/>
                <w:lang w:val="en-US"/>
              </w:rPr>
            </w:pPr>
            <w:r w:rsidRPr="00FF164B">
              <w:rPr>
                <w:rFonts w:cstheme="minorHAnsi"/>
                <w:b/>
                <w:bCs/>
                <w:color w:val="000000" w:themeColor="text1"/>
                <w:sz w:val="18"/>
                <w:szCs w:val="18"/>
                <w:lang w:val="en-US"/>
              </w:rPr>
              <w:t>Expenditures (%) (Total Consumption/CO Grant)</w:t>
            </w:r>
          </w:p>
        </w:tc>
        <w:tc>
          <w:tcPr>
            <w:tcW w:w="1439" w:type="dxa"/>
            <w:vMerge w:val="restart"/>
            <w:tcBorders>
              <w:top w:val="single" w:sz="8" w:space="0" w:color="000000" w:themeColor="text1"/>
              <w:left w:val="nil"/>
              <w:bottom w:val="single" w:sz="8" w:space="0" w:color="000000" w:themeColor="text1"/>
              <w:right w:val="single" w:sz="8" w:space="0" w:color="000000" w:themeColor="text1"/>
            </w:tcBorders>
            <w:shd w:val="clear" w:color="auto" w:fill="E7E6E6"/>
            <w:tcMar>
              <w:left w:w="105" w:type="dxa"/>
              <w:right w:w="105" w:type="dxa"/>
            </w:tcMar>
            <w:vAlign w:val="center"/>
          </w:tcPr>
          <w:p w14:paraId="1E5E2A2D" w14:textId="77777777" w:rsidR="00FF164B" w:rsidRPr="00FF164B" w:rsidRDefault="00FF164B" w:rsidP="00D22022">
            <w:pPr>
              <w:jc w:val="center"/>
              <w:rPr>
                <w:rFonts w:cstheme="minorHAnsi"/>
                <w:sz w:val="18"/>
                <w:szCs w:val="18"/>
                <w:lang w:val="en-US"/>
              </w:rPr>
            </w:pPr>
            <w:r w:rsidRPr="00FF164B">
              <w:rPr>
                <w:rFonts w:cstheme="minorHAnsi"/>
                <w:b/>
                <w:bCs/>
                <w:color w:val="000000" w:themeColor="text1"/>
                <w:sz w:val="18"/>
                <w:szCs w:val="18"/>
                <w:lang w:val="en-US"/>
              </w:rPr>
              <w:t>Date submission to COP of NBSAP and 7</w:t>
            </w:r>
            <w:r w:rsidRPr="00FF164B">
              <w:rPr>
                <w:rFonts w:cstheme="minorHAnsi"/>
                <w:b/>
                <w:bCs/>
                <w:color w:val="000000" w:themeColor="text1"/>
                <w:sz w:val="18"/>
                <w:szCs w:val="18"/>
                <w:vertAlign w:val="superscript"/>
                <w:lang w:val="en-US"/>
              </w:rPr>
              <w:t>th</w:t>
            </w:r>
            <w:r w:rsidRPr="00FF164B">
              <w:rPr>
                <w:rFonts w:cstheme="minorHAnsi"/>
                <w:b/>
                <w:bCs/>
                <w:color w:val="000000" w:themeColor="text1"/>
                <w:sz w:val="18"/>
                <w:szCs w:val="18"/>
                <w:lang w:val="en-US"/>
              </w:rPr>
              <w:t xml:space="preserve"> national report (7NR)</w:t>
            </w:r>
          </w:p>
        </w:tc>
        <w:tc>
          <w:tcPr>
            <w:tcW w:w="3796"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1D84D1CC" w14:textId="77777777" w:rsidR="00FF164B" w:rsidRPr="00C67737" w:rsidRDefault="00FF164B" w:rsidP="00D22022">
            <w:pPr>
              <w:jc w:val="center"/>
              <w:rPr>
                <w:rFonts w:cstheme="minorHAnsi"/>
                <w:b/>
                <w:bCs/>
                <w:color w:val="000000" w:themeColor="text1"/>
                <w:sz w:val="18"/>
                <w:szCs w:val="18"/>
              </w:rPr>
            </w:pPr>
            <w:proofErr w:type="spellStart"/>
            <w:r w:rsidRPr="00C67737">
              <w:rPr>
                <w:rFonts w:cstheme="minorHAnsi"/>
                <w:b/>
                <w:bCs/>
                <w:color w:val="000000" w:themeColor="text1"/>
                <w:sz w:val="18"/>
                <w:szCs w:val="18"/>
              </w:rPr>
              <w:t>Status</w:t>
            </w:r>
            <w:proofErr w:type="spellEnd"/>
            <w:r w:rsidRPr="00C67737">
              <w:rPr>
                <w:rFonts w:cstheme="minorHAnsi"/>
                <w:b/>
                <w:bCs/>
                <w:color w:val="000000" w:themeColor="text1"/>
                <w:sz w:val="18"/>
                <w:szCs w:val="18"/>
              </w:rPr>
              <w:t xml:space="preserve"> of </w:t>
            </w:r>
            <w:proofErr w:type="spellStart"/>
            <w:r w:rsidRPr="00C67737">
              <w:rPr>
                <w:rFonts w:cstheme="minorHAnsi"/>
                <w:b/>
                <w:bCs/>
                <w:color w:val="000000" w:themeColor="text1"/>
                <w:sz w:val="18"/>
                <w:szCs w:val="18"/>
              </w:rPr>
              <w:t>project</w:t>
            </w:r>
            <w:proofErr w:type="spellEnd"/>
            <w:r w:rsidRPr="00C67737">
              <w:rPr>
                <w:rFonts w:cstheme="minorHAnsi"/>
                <w:b/>
                <w:bCs/>
                <w:color w:val="000000" w:themeColor="text1"/>
                <w:sz w:val="18"/>
                <w:szCs w:val="18"/>
              </w:rPr>
              <w:t xml:space="preserve"> </w:t>
            </w:r>
            <w:proofErr w:type="spellStart"/>
            <w:r w:rsidRPr="00C67737">
              <w:rPr>
                <w:rFonts w:cstheme="minorHAnsi"/>
                <w:b/>
                <w:bCs/>
                <w:color w:val="000000" w:themeColor="text1"/>
                <w:sz w:val="18"/>
                <w:szCs w:val="18"/>
              </w:rPr>
              <w:t>activities</w:t>
            </w:r>
            <w:proofErr w:type="spellEnd"/>
          </w:p>
        </w:tc>
      </w:tr>
      <w:tr w:rsidR="00FF164B" w:rsidRPr="00C67737" w14:paraId="06AD58D5" w14:textId="77777777" w:rsidTr="00D22022">
        <w:trPr>
          <w:trHeight w:val="300"/>
        </w:trPr>
        <w:tc>
          <w:tcPr>
            <w:tcW w:w="1257" w:type="dxa"/>
            <w:vMerge/>
            <w:vAlign w:val="center"/>
          </w:tcPr>
          <w:p w14:paraId="133AF8CF" w14:textId="77777777" w:rsidR="00FF164B" w:rsidRPr="00C67737" w:rsidRDefault="00FF164B" w:rsidP="00D22022">
            <w:pPr>
              <w:rPr>
                <w:rFonts w:cstheme="minorHAnsi"/>
                <w:sz w:val="18"/>
                <w:szCs w:val="18"/>
              </w:rPr>
            </w:pPr>
          </w:p>
        </w:tc>
        <w:tc>
          <w:tcPr>
            <w:tcW w:w="1078" w:type="dxa"/>
            <w:vMerge/>
            <w:vAlign w:val="center"/>
          </w:tcPr>
          <w:p w14:paraId="5867E7D4" w14:textId="77777777" w:rsidR="00FF164B" w:rsidRPr="00C67737" w:rsidRDefault="00FF164B" w:rsidP="00D22022">
            <w:pPr>
              <w:rPr>
                <w:rFonts w:cstheme="minorHAnsi"/>
                <w:sz w:val="18"/>
                <w:szCs w:val="18"/>
              </w:rPr>
            </w:pPr>
          </w:p>
        </w:tc>
        <w:tc>
          <w:tcPr>
            <w:tcW w:w="1321" w:type="dxa"/>
            <w:vMerge/>
            <w:vAlign w:val="center"/>
          </w:tcPr>
          <w:p w14:paraId="2535868F" w14:textId="77777777" w:rsidR="00FF164B" w:rsidRPr="00C67737" w:rsidRDefault="00FF164B" w:rsidP="00D22022">
            <w:pPr>
              <w:rPr>
                <w:rFonts w:cstheme="minorHAnsi"/>
                <w:sz w:val="18"/>
                <w:szCs w:val="18"/>
              </w:rPr>
            </w:pPr>
          </w:p>
        </w:tc>
        <w:tc>
          <w:tcPr>
            <w:tcW w:w="10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1177EDED" w14:textId="77777777" w:rsidR="00FF164B" w:rsidRPr="00C67737" w:rsidRDefault="00FF164B" w:rsidP="00D22022">
            <w:pPr>
              <w:jc w:val="center"/>
              <w:rPr>
                <w:rFonts w:cstheme="minorHAnsi"/>
                <w:sz w:val="18"/>
                <w:szCs w:val="18"/>
              </w:rPr>
            </w:pPr>
            <w:r w:rsidRPr="00C67737">
              <w:rPr>
                <w:rFonts w:cstheme="minorHAnsi"/>
                <w:b/>
                <w:bCs/>
                <w:color w:val="000000" w:themeColor="text1"/>
                <w:sz w:val="18"/>
                <w:szCs w:val="18"/>
              </w:rPr>
              <w:t>31/12/2024</w:t>
            </w:r>
          </w:p>
        </w:tc>
        <w:tc>
          <w:tcPr>
            <w:tcW w:w="103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40EF45A2" w14:textId="77777777" w:rsidR="00FF164B" w:rsidRPr="00C67737" w:rsidRDefault="00FF164B" w:rsidP="00D22022">
            <w:pPr>
              <w:jc w:val="center"/>
              <w:rPr>
                <w:rFonts w:cstheme="minorHAnsi"/>
                <w:sz w:val="18"/>
                <w:szCs w:val="18"/>
              </w:rPr>
            </w:pPr>
            <w:r w:rsidRPr="00C67737">
              <w:rPr>
                <w:rFonts w:cstheme="minorHAnsi"/>
                <w:b/>
                <w:bCs/>
                <w:color w:val="000000" w:themeColor="text1"/>
                <w:sz w:val="18"/>
                <w:szCs w:val="18"/>
              </w:rPr>
              <w:t>30/06/2025</w:t>
            </w:r>
          </w:p>
        </w:tc>
        <w:tc>
          <w:tcPr>
            <w:tcW w:w="107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364F3BF5" w14:textId="77777777" w:rsidR="00FF164B" w:rsidRPr="00C67737" w:rsidRDefault="00FF164B" w:rsidP="00D22022">
            <w:pPr>
              <w:jc w:val="center"/>
              <w:rPr>
                <w:rFonts w:cstheme="minorHAnsi"/>
                <w:sz w:val="18"/>
                <w:szCs w:val="18"/>
              </w:rPr>
            </w:pPr>
            <w:r w:rsidRPr="00C67737">
              <w:rPr>
                <w:rFonts w:cstheme="minorHAnsi"/>
                <w:b/>
                <w:bCs/>
                <w:color w:val="000000" w:themeColor="text1"/>
                <w:sz w:val="18"/>
                <w:szCs w:val="18"/>
              </w:rPr>
              <w:t>31/12/2025</w:t>
            </w:r>
          </w:p>
        </w:tc>
        <w:tc>
          <w:tcPr>
            <w:tcW w:w="107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18BBF342" w14:textId="77777777" w:rsidR="00FF164B" w:rsidRPr="00C67737" w:rsidRDefault="00FF164B" w:rsidP="00D22022">
            <w:pPr>
              <w:jc w:val="center"/>
              <w:rPr>
                <w:rFonts w:cstheme="minorHAnsi"/>
                <w:b/>
                <w:bCs/>
                <w:color w:val="000000" w:themeColor="text1"/>
                <w:sz w:val="18"/>
                <w:szCs w:val="18"/>
              </w:rPr>
            </w:pPr>
            <w:r w:rsidRPr="00C67737">
              <w:rPr>
                <w:rFonts w:cstheme="minorHAnsi"/>
                <w:b/>
                <w:bCs/>
                <w:color w:val="000000" w:themeColor="text1"/>
                <w:sz w:val="18"/>
                <w:szCs w:val="18"/>
              </w:rPr>
              <w:t>15/06/2026</w:t>
            </w:r>
          </w:p>
        </w:tc>
        <w:tc>
          <w:tcPr>
            <w:tcW w:w="1439" w:type="dxa"/>
            <w:vMerge/>
            <w:vAlign w:val="center"/>
          </w:tcPr>
          <w:p w14:paraId="7D6FE8DD" w14:textId="77777777" w:rsidR="00FF164B" w:rsidRPr="00C67737" w:rsidRDefault="00FF164B" w:rsidP="00D22022">
            <w:pPr>
              <w:rPr>
                <w:rFonts w:cstheme="minorHAnsi"/>
                <w:sz w:val="18"/>
                <w:szCs w:val="18"/>
              </w:rPr>
            </w:pPr>
          </w:p>
        </w:tc>
        <w:tc>
          <w:tcPr>
            <w:tcW w:w="3796" w:type="dxa"/>
            <w:vMerge/>
            <w:vAlign w:val="center"/>
          </w:tcPr>
          <w:p w14:paraId="494567D6" w14:textId="77777777" w:rsidR="00FF164B" w:rsidRPr="00C67737" w:rsidRDefault="00FF164B" w:rsidP="00D22022">
            <w:pPr>
              <w:rPr>
                <w:rFonts w:cstheme="minorHAnsi"/>
                <w:sz w:val="18"/>
                <w:szCs w:val="18"/>
              </w:rPr>
            </w:pPr>
          </w:p>
        </w:tc>
      </w:tr>
      <w:tr w:rsidR="00FF164B" w:rsidRPr="00C67737" w14:paraId="1794AC19" w14:textId="77777777" w:rsidTr="00D22022">
        <w:trPr>
          <w:trHeight w:val="300"/>
        </w:trPr>
        <w:tc>
          <w:tcPr>
            <w:tcW w:w="1257"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43359FEC"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Algeria</w:t>
            </w:r>
          </w:p>
        </w:tc>
        <w:tc>
          <w:tcPr>
            <w:tcW w:w="1078"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7B44F19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1EF4BA9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2DA72E9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01B21FE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297DE53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5DCF26B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7.5</w:t>
            </w:r>
          </w:p>
        </w:tc>
        <w:tc>
          <w:tcPr>
            <w:tcW w:w="1071"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6F0DA3CE"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12.8</w:t>
            </w:r>
          </w:p>
        </w:tc>
        <w:tc>
          <w:tcPr>
            <w:tcW w:w="1439" w:type="dxa"/>
            <w:tcBorders>
              <w:top w:val="single" w:sz="8" w:space="0" w:color="000000" w:themeColor="text1"/>
              <w:left w:val="single" w:sz="8" w:space="0" w:color="auto"/>
              <w:bottom w:val="single" w:sz="8" w:space="0" w:color="auto"/>
              <w:right w:val="single" w:sz="8" w:space="0" w:color="000000" w:themeColor="text1"/>
            </w:tcBorders>
            <w:tcMar>
              <w:left w:w="105" w:type="dxa"/>
              <w:right w:w="105" w:type="dxa"/>
            </w:tcMar>
            <w:vAlign w:val="center"/>
          </w:tcPr>
          <w:p w14:paraId="795207CC"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5B0227F3" w14:textId="77777777" w:rsidR="00FF164B" w:rsidRPr="00C67737" w:rsidRDefault="00FF164B" w:rsidP="00D22022">
            <w:pPr>
              <w:jc w:val="center"/>
              <w:rPr>
                <w:rFonts w:cstheme="minorHAnsi"/>
                <w:sz w:val="18"/>
                <w:szCs w:val="18"/>
              </w:rPr>
            </w:pPr>
          </w:p>
          <w:p w14:paraId="7CC3857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07/03/2026</w:t>
            </w:r>
          </w:p>
        </w:tc>
        <w:tc>
          <w:tcPr>
            <w:tcW w:w="3796"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73E33D07"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final validation by Ministry of Environment and Quality of Life.</w:t>
            </w:r>
          </w:p>
          <w:p w14:paraId="6FA934D8"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 xml:space="preserve"> </w:t>
            </w:r>
          </w:p>
          <w:p w14:paraId="495D33A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Draft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52C126F2" w14:textId="77777777" w:rsidTr="00D22022">
        <w:trPr>
          <w:trHeight w:val="300"/>
        </w:trPr>
        <w:tc>
          <w:tcPr>
            <w:tcW w:w="1257"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3D9B07A9"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Antigua and Barbuda</w:t>
            </w:r>
          </w:p>
        </w:tc>
        <w:tc>
          <w:tcPr>
            <w:tcW w:w="1078"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7F81AA4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2C6EFF8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394D905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A66F0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FF610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3AF80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4A0940"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4.2</w:t>
            </w:r>
          </w:p>
        </w:tc>
        <w:tc>
          <w:tcPr>
            <w:tcW w:w="1439"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vAlign w:val="center"/>
          </w:tcPr>
          <w:p w14:paraId="76519485"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32BB9BF7" w14:textId="77777777" w:rsidR="00FF164B" w:rsidRPr="00FF164B" w:rsidRDefault="00FF164B" w:rsidP="00D22022">
            <w:pPr>
              <w:jc w:val="center"/>
              <w:rPr>
                <w:rFonts w:cstheme="minorHAnsi"/>
                <w:sz w:val="18"/>
                <w:szCs w:val="18"/>
                <w:lang w:val="en-US"/>
              </w:rPr>
            </w:pPr>
          </w:p>
          <w:p w14:paraId="625B3110"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5F7626F3"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final validation by the Department of Environment.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FF164B">
              <w:rPr>
                <w:rFonts w:cstheme="minorHAnsi"/>
                <w:sz w:val="18"/>
                <w:szCs w:val="18"/>
                <w:lang w:val="en-US"/>
              </w:rPr>
              <w:br/>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Inception stage.</w:t>
            </w:r>
          </w:p>
        </w:tc>
      </w:tr>
      <w:tr w:rsidR="00FF164B" w:rsidRPr="00237520" w14:paraId="10D71996"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FFF69E"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lastRenderedPageBreak/>
              <w:t>Argentina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A4EA0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B31E8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33A80BC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D86AC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84D81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23.0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63B47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100517"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64.1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A0097D"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01/11/2024</w:t>
            </w:r>
          </w:p>
          <w:p w14:paraId="5798DAD9" w14:textId="77777777" w:rsidR="00FF164B" w:rsidRPr="00C67737" w:rsidRDefault="00FF164B" w:rsidP="00D22022">
            <w:pPr>
              <w:jc w:val="center"/>
              <w:rPr>
                <w:rFonts w:cstheme="minorHAnsi"/>
                <w:sz w:val="18"/>
                <w:szCs w:val="18"/>
              </w:rPr>
            </w:pPr>
          </w:p>
          <w:p w14:paraId="1E1099E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EC783F"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Submitted by Ministry of Foreign Affairs and International Trade.</w:t>
            </w:r>
          </w:p>
          <w:p w14:paraId="73CE0078" w14:textId="77777777" w:rsidR="00FF164B" w:rsidRPr="00FF164B" w:rsidRDefault="00FF164B" w:rsidP="00D22022">
            <w:pPr>
              <w:jc w:val="center"/>
              <w:rPr>
                <w:rFonts w:cstheme="minorHAnsi"/>
                <w:sz w:val="18"/>
                <w:szCs w:val="18"/>
                <w:lang w:val="en-US"/>
              </w:rPr>
            </w:pPr>
          </w:p>
          <w:p w14:paraId="40F4F7E6"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Status: Under final validation with the Ministry of Foreign Affairs and International Trade.</w:t>
            </w:r>
          </w:p>
        </w:tc>
      </w:tr>
      <w:tr w:rsidR="00FF164B" w:rsidRPr="00C67737" w14:paraId="05698CBB"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FD399B"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Bahamas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97A5E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C5854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2B96211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809A0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A2694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AE3F2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16.6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B9C45D"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16.6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AEEDAB"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67E07057" w14:textId="77777777" w:rsidR="00FF164B" w:rsidRPr="00C67737" w:rsidRDefault="00FF164B" w:rsidP="00D22022">
            <w:pPr>
              <w:jc w:val="center"/>
              <w:rPr>
                <w:rFonts w:cstheme="minorHAnsi"/>
                <w:sz w:val="18"/>
                <w:szCs w:val="18"/>
              </w:rPr>
            </w:pPr>
          </w:p>
          <w:p w14:paraId="2842B4C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17/04/2026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1E748A"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development with the Department of Environmental Planning and Protection.</w:t>
            </w:r>
            <w:r w:rsidRPr="00FF164B">
              <w:rPr>
                <w:rFonts w:cstheme="minorHAnsi"/>
                <w:sz w:val="18"/>
                <w:szCs w:val="18"/>
                <w:lang w:val="en-US"/>
              </w:rPr>
              <w:br/>
            </w:r>
            <w:r w:rsidRPr="00FF164B">
              <w:rPr>
                <w:rFonts w:cstheme="minorHAnsi"/>
                <w:color w:val="000000" w:themeColor="text1"/>
                <w:sz w:val="18"/>
                <w:szCs w:val="18"/>
                <w:lang w:val="en-US"/>
              </w:rPr>
              <w:t xml:space="preserve"> </w:t>
            </w:r>
            <w:r w:rsidRPr="00FF164B">
              <w:rPr>
                <w:rFonts w:cstheme="minorHAnsi"/>
                <w:sz w:val="18"/>
                <w:szCs w:val="18"/>
                <w:lang w:val="en-US"/>
              </w:rPr>
              <w:br/>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2961D00D"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48970F" w14:textId="77777777" w:rsidR="00FF164B" w:rsidRPr="00C67737" w:rsidRDefault="00FF164B" w:rsidP="00D22022">
            <w:pPr>
              <w:ind w:left="-24"/>
              <w:rPr>
                <w:rFonts w:cstheme="minorHAnsi"/>
                <w:sz w:val="18"/>
                <w:szCs w:val="18"/>
              </w:rPr>
            </w:pPr>
            <w:proofErr w:type="spellStart"/>
            <w:r w:rsidRPr="00C67737">
              <w:rPr>
                <w:rFonts w:cstheme="minorHAnsi"/>
                <w:color w:val="000000" w:themeColor="text1"/>
                <w:sz w:val="18"/>
                <w:szCs w:val="18"/>
              </w:rPr>
              <w:t>Bahrain</w:t>
            </w:r>
            <w:proofErr w:type="spellEnd"/>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D7EBF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847AE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176C131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260A8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6F232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A472E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D8B254"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4.6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3E1303"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236C3EDF" w14:textId="77777777" w:rsidR="00FF164B" w:rsidRPr="00C67737" w:rsidRDefault="00FF164B" w:rsidP="00D22022">
            <w:pPr>
              <w:jc w:val="center"/>
              <w:rPr>
                <w:rFonts w:cstheme="minorHAnsi"/>
                <w:sz w:val="18"/>
                <w:szCs w:val="18"/>
              </w:rPr>
            </w:pPr>
          </w:p>
          <w:p w14:paraId="0AB4B05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DD4CA6"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development by the Supreme Council of Environment.</w:t>
            </w:r>
          </w:p>
          <w:p w14:paraId="54D256BE"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 xml:space="preserve"> </w:t>
            </w:r>
          </w:p>
          <w:p w14:paraId="24569A1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301C0790"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7753F2" w14:textId="77777777" w:rsidR="00FF164B" w:rsidRPr="00C67737" w:rsidRDefault="00FF164B" w:rsidP="00D22022">
            <w:pPr>
              <w:ind w:left="-24"/>
              <w:rPr>
                <w:rFonts w:cstheme="minorHAnsi"/>
                <w:sz w:val="18"/>
                <w:szCs w:val="18"/>
              </w:rPr>
            </w:pPr>
            <w:proofErr w:type="spellStart"/>
            <w:r w:rsidRPr="00C67737">
              <w:rPr>
                <w:rFonts w:cstheme="minorHAnsi"/>
                <w:color w:val="000000" w:themeColor="text1"/>
                <w:sz w:val="18"/>
                <w:szCs w:val="18"/>
              </w:rPr>
              <w:t>Barbados</w:t>
            </w:r>
            <w:proofErr w:type="spellEnd"/>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DC40D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B0F88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703A831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C410D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C6581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2DC08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408737"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17.0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8FFFFA"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065C001A" w14:textId="77777777" w:rsidR="00FF164B" w:rsidRPr="00FF164B" w:rsidRDefault="00FF164B" w:rsidP="00D22022">
            <w:pPr>
              <w:jc w:val="center"/>
              <w:rPr>
                <w:rFonts w:cstheme="minorHAnsi"/>
                <w:sz w:val="18"/>
                <w:szCs w:val="18"/>
                <w:lang w:val="en-US"/>
              </w:rPr>
            </w:pPr>
          </w:p>
          <w:p w14:paraId="127C969A"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AA4B6A"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final validation with the Ministry of Environment.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FF164B">
              <w:rPr>
                <w:rFonts w:cstheme="minorHAnsi"/>
                <w:sz w:val="18"/>
                <w:szCs w:val="18"/>
                <w:lang w:val="en-US"/>
              </w:rPr>
              <w:br/>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Inception.</w:t>
            </w:r>
          </w:p>
        </w:tc>
      </w:tr>
      <w:tr w:rsidR="00FF164B" w:rsidRPr="00C67737" w14:paraId="4DD9DBA4"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5AE1ED"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Belize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9A06E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08BD6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5156728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739C2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3A3D1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475D2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11.4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CE4084"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31.3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8DF87F"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28/02/2026</w:t>
            </w:r>
          </w:p>
          <w:p w14:paraId="6782F361" w14:textId="77777777" w:rsidR="00FF164B" w:rsidRPr="00C67737" w:rsidRDefault="00FF164B" w:rsidP="00D22022">
            <w:pPr>
              <w:jc w:val="center"/>
              <w:rPr>
                <w:rFonts w:cstheme="minorHAnsi"/>
                <w:sz w:val="18"/>
                <w:szCs w:val="18"/>
              </w:rPr>
            </w:pPr>
          </w:p>
          <w:p w14:paraId="25BFC8E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89FDC9" w14:textId="77777777" w:rsidR="00FF164B" w:rsidRPr="00C67737" w:rsidRDefault="00FF164B" w:rsidP="00D22022">
            <w:pPr>
              <w:jc w:val="center"/>
              <w:rPr>
                <w:rFonts w:cstheme="minorHAnsi"/>
                <w:color w:val="000000" w:themeColor="text1"/>
                <w:sz w:val="18"/>
                <w:szCs w:val="18"/>
              </w:rPr>
            </w:pPr>
            <w:r w:rsidRPr="00FF164B">
              <w:rPr>
                <w:rFonts w:cstheme="minorHAnsi"/>
                <w:color w:val="000000" w:themeColor="text1"/>
                <w:sz w:val="18"/>
                <w:szCs w:val="18"/>
                <w:lang w:val="en-US"/>
              </w:rPr>
              <w:t xml:space="preserve">NBSAP Status: Submitted by the Ministry of Sustainable Development and Climate Change. </w:t>
            </w:r>
            <w:r w:rsidRPr="00FF164B">
              <w:rPr>
                <w:rFonts w:cstheme="minorHAnsi"/>
                <w:sz w:val="18"/>
                <w:szCs w:val="18"/>
                <w:lang w:val="en-US"/>
              </w:rPr>
              <w:br/>
            </w:r>
            <w:r w:rsidRPr="00FF164B">
              <w:rPr>
                <w:rFonts w:cstheme="minorHAnsi"/>
                <w:sz w:val="18"/>
                <w:szCs w:val="18"/>
                <w:lang w:val="en-US"/>
              </w:rPr>
              <w:br/>
            </w: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237520" w14:paraId="2FED5EE2"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CBF154"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Bhutan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F5F9A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78841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7C6F63A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4FEC7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2E89F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9.6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7067B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25.6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475874"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41.0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1941D8"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21/10/2025</w:t>
            </w:r>
          </w:p>
          <w:p w14:paraId="4BFFBDEE" w14:textId="77777777" w:rsidR="00FF164B" w:rsidRPr="00C67737" w:rsidRDefault="00FF164B" w:rsidP="00D22022">
            <w:pPr>
              <w:jc w:val="center"/>
              <w:rPr>
                <w:rFonts w:cstheme="minorHAnsi"/>
                <w:sz w:val="18"/>
                <w:szCs w:val="18"/>
              </w:rPr>
            </w:pPr>
          </w:p>
          <w:p w14:paraId="2D2631B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4E4D04"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lastRenderedPageBreak/>
              <w:t>NBSAP Status: Submitted by the Ministry of Energy and Natural Resources.</w:t>
            </w:r>
            <w:r w:rsidRPr="00FF164B">
              <w:rPr>
                <w:rFonts w:cstheme="minorHAnsi"/>
                <w:sz w:val="18"/>
                <w:szCs w:val="18"/>
                <w:lang w:val="en-US"/>
              </w:rPr>
              <w:br/>
            </w:r>
            <w:r w:rsidRPr="00FF164B">
              <w:rPr>
                <w:rFonts w:cstheme="minorHAnsi"/>
                <w:color w:val="000000" w:themeColor="text1"/>
                <w:sz w:val="18"/>
                <w:szCs w:val="18"/>
                <w:lang w:val="en-US"/>
              </w:rPr>
              <w:t xml:space="preserve"> </w:t>
            </w:r>
            <w:r w:rsidRPr="00FF164B">
              <w:rPr>
                <w:rFonts w:cstheme="minorHAnsi"/>
                <w:sz w:val="18"/>
                <w:szCs w:val="18"/>
                <w:lang w:val="en-US"/>
              </w:rPr>
              <w:br/>
            </w:r>
            <w:r w:rsidRPr="00FF164B">
              <w:rPr>
                <w:rFonts w:cstheme="minorHAnsi"/>
                <w:color w:val="000000" w:themeColor="text1"/>
                <w:sz w:val="18"/>
                <w:szCs w:val="18"/>
                <w:lang w:val="en-US"/>
              </w:rPr>
              <w:lastRenderedPageBreak/>
              <w:t>7NR Status: Submitted by the Ministry of Energy and Natural Resources.</w:t>
            </w:r>
          </w:p>
        </w:tc>
      </w:tr>
      <w:tr w:rsidR="00FF164B" w:rsidRPr="00C67737" w14:paraId="63E74225"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5DC211"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lastRenderedPageBreak/>
              <w:t>Bolivia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EAE85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DFDCC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5C254DE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29823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742FE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5F4B5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D979C9"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21.3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21C434"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6370AA7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 </w:t>
            </w:r>
          </w:p>
          <w:p w14:paraId="7449BF6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409029"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final validation with the Ministry of Development Planning and Environment.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FF164B">
              <w:rPr>
                <w:rFonts w:cstheme="minorHAnsi"/>
                <w:sz w:val="18"/>
                <w:szCs w:val="18"/>
                <w:lang w:val="en-US"/>
              </w:rPr>
              <w:br/>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61C6E2BD"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E169B2"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Brazil</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A0ACD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14033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3CCBE43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4FE00C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705EA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EC2BD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59FA7F"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16.0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EBA07E"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29/12/2025 </w:t>
            </w:r>
            <w:r w:rsidRPr="00C67737">
              <w:rPr>
                <w:rFonts w:cstheme="minorHAnsi"/>
                <w:sz w:val="18"/>
                <w:szCs w:val="18"/>
              </w:rPr>
              <w:br/>
            </w: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78F11E"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the Ministry of Environmental and Climate Change.</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237520" w14:paraId="3BD81390" w14:textId="77777777" w:rsidTr="00D22022">
        <w:trPr>
          <w:trHeight w:val="945"/>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F55A82" w14:textId="77777777" w:rsidR="00FF164B" w:rsidRPr="00C67737" w:rsidRDefault="00FF164B" w:rsidP="00D22022">
            <w:pPr>
              <w:ind w:left="-24"/>
              <w:rPr>
                <w:rFonts w:cstheme="minorHAnsi"/>
                <w:sz w:val="18"/>
                <w:szCs w:val="18"/>
              </w:rPr>
            </w:pPr>
            <w:proofErr w:type="spellStart"/>
            <w:r w:rsidRPr="00C67737">
              <w:rPr>
                <w:rFonts w:cstheme="minorHAnsi"/>
                <w:color w:val="000000" w:themeColor="text1"/>
                <w:sz w:val="18"/>
                <w:szCs w:val="18"/>
              </w:rPr>
              <w:t>Cambodia</w:t>
            </w:r>
            <w:proofErr w:type="spellEnd"/>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9DEBA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65D82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3F23423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B0FCB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DC018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13.1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3353F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29D060"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52.1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2BC6F2"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10/04/2026</w:t>
            </w:r>
          </w:p>
          <w:p w14:paraId="267C041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B689F9"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Submitted by the Ministry of Environment.</w:t>
            </w:r>
            <w:r w:rsidRPr="00FF164B">
              <w:rPr>
                <w:rFonts w:cstheme="minorHAnsi"/>
                <w:sz w:val="18"/>
                <w:szCs w:val="18"/>
                <w:lang w:val="en-US"/>
              </w:rPr>
              <w:br/>
            </w:r>
            <w:r w:rsidRPr="00FF164B">
              <w:rPr>
                <w:rFonts w:cstheme="minorHAnsi"/>
                <w:color w:val="000000" w:themeColor="text1"/>
                <w:sz w:val="18"/>
                <w:szCs w:val="18"/>
                <w:lang w:val="en-US"/>
              </w:rPr>
              <w:t xml:space="preserve"> 7NR Status: Submitted by the Ministry of Environment.</w:t>
            </w:r>
          </w:p>
        </w:tc>
      </w:tr>
      <w:tr w:rsidR="00FF164B" w:rsidRPr="00C67737" w14:paraId="446CE7B7"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7349C3"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Chile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E19E7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8A544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17CF7E4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2C783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0D54B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78A05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36.9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AB0C1C"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83.8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FC48FE"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27/03/2026</w:t>
            </w:r>
          </w:p>
          <w:p w14:paraId="2089024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2A2F7F"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the Ministry of Environment.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237520" w14:paraId="37AEBF15"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022363"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China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14408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FBE09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4AE3FC7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5A160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0B395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A2DC8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F2E36F"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57.7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0C0299"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13/10/2024</w:t>
            </w:r>
          </w:p>
          <w:p w14:paraId="69CC895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BE9032"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Submitted by the Ministry of Ecology and Environment.</w:t>
            </w:r>
            <w:r w:rsidRPr="00FF164B">
              <w:rPr>
                <w:rFonts w:cstheme="minorHAnsi"/>
                <w:sz w:val="18"/>
                <w:szCs w:val="18"/>
                <w:lang w:val="en-US"/>
              </w:rPr>
              <w:br/>
            </w:r>
            <w:r w:rsidRPr="00FF164B">
              <w:rPr>
                <w:rFonts w:cstheme="minorHAnsi"/>
                <w:color w:val="000000" w:themeColor="text1"/>
                <w:sz w:val="18"/>
                <w:szCs w:val="18"/>
                <w:lang w:val="en-US"/>
              </w:rPr>
              <w:t xml:space="preserve"> 7NR Status: Submitted by the Ministry of Ecology and Environment.</w:t>
            </w:r>
          </w:p>
        </w:tc>
      </w:tr>
      <w:tr w:rsidR="00FF164B" w:rsidRPr="00C67737" w14:paraId="54D03289"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E55834"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Colombia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7598F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7ACA1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6DA6FC2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24B91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DE701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11.6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7E108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44.7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4D9292"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67.3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FC97FF"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21/10/2024</w:t>
            </w:r>
          </w:p>
          <w:p w14:paraId="2B5FEAE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C27A08"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Ministry of Environment and Sustainable Development.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725FF08B"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2FA35C"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lastRenderedPageBreak/>
              <w:t>Costa Rica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9AE85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D075B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0D4025E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FBBD0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8F9DC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A45B8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31.3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57C5B4"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76.8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482956"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6566A2C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7EBE86"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 xml:space="preserve">NBSAP Status: Under final validation with Ministry of Environment and Energy. </w:t>
            </w:r>
            <w:r w:rsidRPr="00FF164B">
              <w:rPr>
                <w:rFonts w:cstheme="minorHAnsi"/>
                <w:sz w:val="18"/>
                <w:szCs w:val="18"/>
                <w:lang w:val="en-US"/>
              </w:rPr>
              <w:br/>
            </w: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75E0FF8D"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9C0AD7"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Cuba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58CE2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EA2F5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7626459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49764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4C089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F17D0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18.1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56C4B8"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28.5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C5A9BF"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31/07/2024</w:t>
            </w:r>
          </w:p>
          <w:p w14:paraId="250DFB9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04/03/2026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79F60C"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the Ministry of Science, Technology, and Environment.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75BC55D2"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B8B237"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Dominica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99DAB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67BC0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32A5189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ADD7D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3E0B4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446BA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E2DEFA"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23.3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90F994"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3EC3A97D"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49EAA9"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 xml:space="preserve">NBSAP Status: Under development with the Ministry of Environment. </w:t>
            </w:r>
            <w:r w:rsidRPr="00FF164B">
              <w:rPr>
                <w:rFonts w:cstheme="minorHAnsi"/>
                <w:sz w:val="18"/>
                <w:szCs w:val="18"/>
                <w:lang w:val="en-US"/>
              </w:rPr>
              <w:br/>
            </w: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Inception.</w:t>
            </w:r>
          </w:p>
        </w:tc>
      </w:tr>
      <w:tr w:rsidR="00FF164B" w:rsidRPr="00C67737" w14:paraId="5F81614A"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354004" w14:textId="77777777" w:rsidR="00FF164B" w:rsidRPr="00C67737" w:rsidRDefault="00FF164B" w:rsidP="00D22022">
            <w:pPr>
              <w:ind w:left="-24"/>
              <w:rPr>
                <w:rFonts w:cstheme="minorHAnsi"/>
                <w:sz w:val="18"/>
                <w:szCs w:val="18"/>
              </w:rPr>
            </w:pPr>
            <w:proofErr w:type="spellStart"/>
            <w:r w:rsidRPr="00C67737">
              <w:rPr>
                <w:rFonts w:cstheme="minorHAnsi"/>
                <w:color w:val="000000" w:themeColor="text1"/>
                <w:sz w:val="18"/>
                <w:szCs w:val="18"/>
              </w:rPr>
              <w:t>Dominican</w:t>
            </w:r>
            <w:proofErr w:type="spellEnd"/>
            <w:r w:rsidRPr="00C67737">
              <w:rPr>
                <w:rFonts w:cstheme="minorHAnsi"/>
                <w:color w:val="000000" w:themeColor="text1"/>
                <w:sz w:val="18"/>
                <w:szCs w:val="18"/>
              </w:rPr>
              <w:t xml:space="preserve"> Republic</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E5B47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4A13D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65E8502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58170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79259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A4D45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29.5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732BC8"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42.4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635C23"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69D2ABA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1089C0"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final validation with the Ministry of Environment and Natural Resources.</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6C4AD0A7"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7E4C39"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Ecuador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3ECF3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A161A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0B2B363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CB452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27CD7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023D3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17.2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F2A7D1"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26.3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1CD20C"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08/04/2026</w:t>
            </w:r>
          </w:p>
          <w:p w14:paraId="46B2D70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17/03/2026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EFD1A7"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the Ministry of Environment and Water.</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1B655871"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338078"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Egypt</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D4415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DBF7A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59B8B95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AAA86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0C406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1085D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EB66B1"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16.7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CF691F"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24/11/2025</w:t>
            </w:r>
          </w:p>
          <w:p w14:paraId="2A00956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70E476"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Submitted by Ministry of Environment.</w:t>
            </w:r>
          </w:p>
          <w:p w14:paraId="4CF984B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Under </w:t>
            </w:r>
            <w:proofErr w:type="spellStart"/>
            <w:r w:rsidRPr="00C67737">
              <w:rPr>
                <w:rFonts w:cstheme="minorHAnsi"/>
                <w:color w:val="000000" w:themeColor="text1"/>
                <w:sz w:val="18"/>
                <w:szCs w:val="18"/>
              </w:rPr>
              <w:t>development</w:t>
            </w:r>
            <w:proofErr w:type="spellEnd"/>
            <w:r w:rsidRPr="00C67737">
              <w:rPr>
                <w:rFonts w:cstheme="minorHAnsi"/>
                <w:color w:val="000000" w:themeColor="text1"/>
                <w:sz w:val="18"/>
                <w:szCs w:val="18"/>
              </w:rPr>
              <w:t>.</w:t>
            </w:r>
          </w:p>
        </w:tc>
      </w:tr>
      <w:tr w:rsidR="00FF164B" w:rsidRPr="00C67737" w14:paraId="702E6553"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FEB979"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El Salvador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1E294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2360B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44421BF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383B4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48185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DACF3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9.1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4C7CBA"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25.7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59ACD4"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30/01/2026 </w:t>
            </w:r>
            <w:r w:rsidRPr="00C67737">
              <w:rPr>
                <w:rFonts w:cstheme="minorHAnsi"/>
                <w:sz w:val="18"/>
                <w:szCs w:val="18"/>
              </w:rPr>
              <w:br/>
            </w: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48493D"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the</w:t>
            </w:r>
            <w:r w:rsidRPr="00FF164B">
              <w:rPr>
                <w:rFonts w:cstheme="minorHAnsi"/>
                <w:b/>
                <w:bCs/>
                <w:color w:val="000000" w:themeColor="text1"/>
                <w:sz w:val="18"/>
                <w:szCs w:val="18"/>
                <w:lang w:val="en-US"/>
              </w:rPr>
              <w:t xml:space="preserve"> </w:t>
            </w:r>
            <w:r w:rsidRPr="00FF164B">
              <w:rPr>
                <w:rFonts w:cstheme="minorHAnsi"/>
                <w:color w:val="000000" w:themeColor="text1"/>
                <w:sz w:val="18"/>
                <w:szCs w:val="18"/>
                <w:lang w:val="en-US"/>
              </w:rPr>
              <w:t>Ministry of Environment and Natural Resources.</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4D780785"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F21BE3"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lastRenderedPageBreak/>
              <w:t>Grenada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24A98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89A17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4104869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ABE3F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561CE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A09CE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AFCD23"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4.1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5DB0A6"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704EB096"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D953FE"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development with the Ministry of Climate Resilience, Environment and Renewable Energy.</w:t>
            </w:r>
            <w:r w:rsidRPr="00FF164B">
              <w:rPr>
                <w:rFonts w:cstheme="minorHAnsi"/>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Inception stage.</w:t>
            </w:r>
          </w:p>
        </w:tc>
      </w:tr>
      <w:tr w:rsidR="00FF164B" w:rsidRPr="00C67737" w14:paraId="569DC89D"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C567C4"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Guatemala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2A73A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A31F3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47F1432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A9B34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4FF75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D0E68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6.7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2890AD"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21.2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430933"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7AC4C6E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0ED8BD"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final validation with the Ministry of Environment and Natural Resources.</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p>
        </w:tc>
      </w:tr>
      <w:tr w:rsidR="00FF164B" w:rsidRPr="00C67737" w14:paraId="1B2BED4E"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2615D5"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Guyana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2094A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F473E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0F0F7AE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EBA27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C3F32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536BF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62C6DD"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60.6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73F317"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4B4174E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2F6B16"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development with the Environmental Protection Agency.</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0B3DA50A"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3B99A8"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Haiti</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82B77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C45C2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6110A99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47337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8E30B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F10B6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4EECC6"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84.0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DE1B8E"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21/10/2025 </w:t>
            </w:r>
            <w:r w:rsidRPr="00C67737">
              <w:rPr>
                <w:rFonts w:cstheme="minorHAnsi"/>
                <w:sz w:val="18"/>
                <w:szCs w:val="18"/>
              </w:rPr>
              <w:br/>
            </w: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D3F632"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Submitted by Ministry of Environment.</w:t>
            </w:r>
          </w:p>
          <w:p w14:paraId="5B98AD4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Under </w:t>
            </w:r>
            <w:proofErr w:type="spellStart"/>
            <w:r w:rsidRPr="00C67737">
              <w:rPr>
                <w:rFonts w:cstheme="minorHAnsi"/>
                <w:color w:val="000000" w:themeColor="text1"/>
                <w:sz w:val="18"/>
                <w:szCs w:val="18"/>
              </w:rPr>
              <w:t>development</w:t>
            </w:r>
            <w:proofErr w:type="spellEnd"/>
            <w:r w:rsidRPr="00C67737">
              <w:rPr>
                <w:rFonts w:cstheme="minorHAnsi"/>
                <w:color w:val="000000" w:themeColor="text1"/>
                <w:sz w:val="18"/>
                <w:szCs w:val="18"/>
              </w:rPr>
              <w:t>.</w:t>
            </w:r>
          </w:p>
        </w:tc>
      </w:tr>
      <w:tr w:rsidR="00FF164B" w:rsidRPr="00C67737" w14:paraId="24D054A1"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F13557"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Honduras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983A1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F9B5B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76BCDED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BE6C4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4D797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5.1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39027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1FCF2B"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55.8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5B72D9"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6D51BA9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6FD877"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final validation with the Ministry of Natural Resources and Environment.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4DF62902"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4B60A7"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India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C7E16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1EF41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4A8842F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7D172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6.6</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EE19D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19.7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61614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44.9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DDF8C0"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68.0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9C9F4F"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16/01/2025 </w:t>
            </w:r>
            <w:r w:rsidRPr="00C67737">
              <w:rPr>
                <w:rFonts w:cstheme="minorHAnsi"/>
                <w:sz w:val="18"/>
                <w:szCs w:val="18"/>
              </w:rPr>
              <w:br/>
            </w: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98976D" w14:textId="77777777" w:rsidR="00FF164B" w:rsidRPr="00C67737" w:rsidRDefault="00FF164B" w:rsidP="00D22022">
            <w:pPr>
              <w:jc w:val="center"/>
              <w:rPr>
                <w:rFonts w:cstheme="minorHAnsi"/>
                <w:color w:val="000000" w:themeColor="text1"/>
                <w:sz w:val="18"/>
                <w:szCs w:val="18"/>
              </w:rPr>
            </w:pPr>
            <w:r w:rsidRPr="00FF164B">
              <w:rPr>
                <w:rFonts w:cstheme="minorHAnsi"/>
                <w:color w:val="000000" w:themeColor="text1"/>
                <w:sz w:val="18"/>
                <w:szCs w:val="18"/>
                <w:lang w:val="en-US"/>
              </w:rPr>
              <w:t>NBSAP Status: Submitted by the Ministry of Environment, Forest, &amp; Climate Change.</w:t>
            </w:r>
            <w:r w:rsidRPr="00FF164B">
              <w:rPr>
                <w:rFonts w:cstheme="minorHAnsi"/>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237520" w14:paraId="6174DC26"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900797"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Indonesia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80323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12C29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5AC002A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31CA4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2A064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26.5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4058C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56.2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9B2CCD"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70.6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129234"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27/02/2026 </w:t>
            </w:r>
            <w:r w:rsidRPr="00C67737">
              <w:rPr>
                <w:rFonts w:cstheme="minorHAnsi"/>
                <w:sz w:val="18"/>
                <w:szCs w:val="18"/>
              </w:rPr>
              <w:br/>
            </w: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7FDE02" w14:textId="77777777" w:rsidR="00FF164B" w:rsidRPr="00FF164B" w:rsidRDefault="00FF164B" w:rsidP="00D22022">
            <w:pPr>
              <w:jc w:val="center"/>
              <w:rPr>
                <w:rFonts w:cstheme="minorHAnsi"/>
                <w:color w:val="000000" w:themeColor="text1"/>
                <w:sz w:val="18"/>
                <w:szCs w:val="18"/>
                <w:lang w:val="en-US"/>
              </w:rPr>
            </w:pPr>
            <w:r w:rsidRPr="00FF164B">
              <w:rPr>
                <w:rFonts w:cstheme="minorHAnsi"/>
                <w:color w:val="000000" w:themeColor="text1"/>
                <w:sz w:val="18"/>
                <w:szCs w:val="18"/>
                <w:lang w:val="en-US"/>
              </w:rPr>
              <w:t>NBSAP Status: Submitted by the Ministry of Environment</w:t>
            </w:r>
            <w:r w:rsidRPr="00FF164B">
              <w:rPr>
                <w:rFonts w:cstheme="minorHAnsi"/>
                <w:sz w:val="18"/>
                <w:szCs w:val="18"/>
                <w:lang w:val="en-US"/>
              </w:rPr>
              <w:br/>
            </w:r>
            <w:r w:rsidRPr="00FF164B">
              <w:rPr>
                <w:rFonts w:cstheme="minorHAnsi"/>
                <w:color w:val="000000" w:themeColor="text1"/>
                <w:sz w:val="18"/>
                <w:szCs w:val="18"/>
                <w:lang w:val="en-US"/>
              </w:rPr>
              <w:t xml:space="preserve"> 7NR Status: Submitted.</w:t>
            </w:r>
          </w:p>
        </w:tc>
      </w:tr>
      <w:tr w:rsidR="00FF164B" w:rsidRPr="00C67737" w14:paraId="2A31BA72"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2E8D72"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lastRenderedPageBreak/>
              <w:t>Iraq</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F540F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CAAC9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044CA4D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5C2FC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A1F28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E2344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FD7991"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55.2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2D725D"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2A89269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9A294C"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development by Ministry of Environment.</w:t>
            </w:r>
          </w:p>
          <w:p w14:paraId="372F3C8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320EA0D1"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CA721E"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Jamaica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88C66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3077F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197840E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5F16C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F93B2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5F8B8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10.4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79A37F"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14.4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8221F8"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175DF0FA"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F25E0C"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development with the Ministry of Water, Environment and Climate Change.</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Under </w:t>
            </w:r>
            <w:proofErr w:type="spellStart"/>
            <w:r w:rsidRPr="00C67737">
              <w:rPr>
                <w:rFonts w:cstheme="minorHAnsi"/>
                <w:color w:val="000000" w:themeColor="text1"/>
                <w:sz w:val="18"/>
                <w:szCs w:val="18"/>
              </w:rPr>
              <w:t>development</w:t>
            </w:r>
            <w:proofErr w:type="spellEnd"/>
            <w:r w:rsidRPr="00C67737">
              <w:rPr>
                <w:rFonts w:cstheme="minorHAnsi"/>
                <w:color w:val="000000" w:themeColor="text1"/>
                <w:sz w:val="18"/>
                <w:szCs w:val="18"/>
              </w:rPr>
              <w:t>.</w:t>
            </w:r>
          </w:p>
        </w:tc>
      </w:tr>
      <w:tr w:rsidR="00FF164B" w:rsidRPr="00C67737" w14:paraId="48127F1D"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3C3D13"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Jordan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00093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6EAB5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5CB02E6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F202F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68586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18.4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145AB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28.0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E9A6C0"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44.8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AF0664"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11/08/2024</w:t>
            </w:r>
          </w:p>
          <w:p w14:paraId="089500B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03/03/2026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497D3E"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Submitted Ministry of Environment.</w:t>
            </w:r>
          </w:p>
          <w:p w14:paraId="39568AA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1CB5ACE3"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A34FD5"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Kazakhstan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3A5F1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5FD95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0621B78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8B40A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3B91B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51236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51.4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C7A957"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66.4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B84BAB"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113BC08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55D9FA"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final validation by Ministry of Ecology, Geology and Natural Resources.</w:t>
            </w:r>
          </w:p>
          <w:p w14:paraId="44982AF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008B5386"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B641CE" w14:textId="77777777" w:rsidR="00FF164B" w:rsidRPr="00C67737" w:rsidRDefault="00FF164B" w:rsidP="00D22022">
            <w:pPr>
              <w:ind w:left="-24"/>
              <w:rPr>
                <w:rFonts w:cstheme="minorHAnsi"/>
                <w:sz w:val="18"/>
                <w:szCs w:val="18"/>
              </w:rPr>
            </w:pPr>
            <w:proofErr w:type="spellStart"/>
            <w:r w:rsidRPr="00C67737">
              <w:rPr>
                <w:rFonts w:cstheme="minorHAnsi"/>
                <w:color w:val="000000" w:themeColor="text1"/>
                <w:sz w:val="18"/>
                <w:szCs w:val="18"/>
              </w:rPr>
              <w:t>Kyrgyzstan</w:t>
            </w:r>
            <w:proofErr w:type="spellEnd"/>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073E4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EDC7E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3019885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90FCC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3.2</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3F13F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18.8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EE069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38.9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7F54C6"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54.2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E4172F"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05/03/2026 </w:t>
            </w:r>
            <w:r w:rsidRPr="00C67737">
              <w:rPr>
                <w:rFonts w:cstheme="minorHAnsi"/>
                <w:sz w:val="18"/>
                <w:szCs w:val="18"/>
              </w:rPr>
              <w:br/>
            </w: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5A253E"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Submitted by Ministry of Natural Resources, Ecology and Technical Supervision.</w:t>
            </w:r>
          </w:p>
          <w:p w14:paraId="345373B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237520" w14:paraId="1EA36882"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0FDF4E"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Lao PDR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F6AE8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936AE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3B7920A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E6360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B38D7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54.5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4645A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E9E498"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79.9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F34A0D"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266C9C5B"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B71B69"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final validation by the Ministry of Natural Resources and Environment.</w:t>
            </w:r>
            <w:r w:rsidRPr="00FF164B">
              <w:rPr>
                <w:rFonts w:cstheme="minorHAnsi"/>
                <w:sz w:val="18"/>
                <w:szCs w:val="18"/>
                <w:lang w:val="en-US"/>
              </w:rPr>
              <w:br/>
            </w:r>
            <w:r w:rsidRPr="00FF164B">
              <w:rPr>
                <w:rFonts w:cstheme="minorHAnsi"/>
                <w:color w:val="000000" w:themeColor="text1"/>
                <w:sz w:val="18"/>
                <w:szCs w:val="18"/>
                <w:lang w:val="en-US"/>
              </w:rPr>
              <w:t xml:space="preserve"> 7NR Status: Under final validation by the Ministry of Natural Resources and Environment.</w:t>
            </w:r>
          </w:p>
        </w:tc>
      </w:tr>
      <w:tr w:rsidR="00FF164B" w:rsidRPr="00C67737" w14:paraId="23BEE900"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ED0323"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Lebanon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9E539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F9CE0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5662AEC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D7CAE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8FEC1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61F97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AC1769"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30.7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0ACE37"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09/02/2026</w:t>
            </w:r>
          </w:p>
          <w:p w14:paraId="5296013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lastRenderedPageBreak/>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B9E19D"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lastRenderedPageBreak/>
              <w:t>NBSAP status: Submitted by Ministry of Environment.</w:t>
            </w:r>
          </w:p>
          <w:p w14:paraId="7911322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Under </w:t>
            </w:r>
            <w:proofErr w:type="spellStart"/>
            <w:r w:rsidRPr="00C67737">
              <w:rPr>
                <w:rFonts w:cstheme="minorHAnsi"/>
                <w:color w:val="000000" w:themeColor="text1"/>
                <w:sz w:val="18"/>
                <w:szCs w:val="18"/>
              </w:rPr>
              <w:t>development</w:t>
            </w:r>
            <w:proofErr w:type="spellEnd"/>
            <w:r w:rsidRPr="00C67737">
              <w:rPr>
                <w:rFonts w:cstheme="minorHAnsi"/>
                <w:color w:val="000000" w:themeColor="text1"/>
                <w:sz w:val="18"/>
                <w:szCs w:val="18"/>
              </w:rPr>
              <w:t>.</w:t>
            </w:r>
          </w:p>
        </w:tc>
      </w:tr>
      <w:tr w:rsidR="00FF164B" w:rsidRPr="00C67737" w14:paraId="6FA543FE"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FD7A31"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Malaysia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4597C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DD397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59F2413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BD347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93D19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8.1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DC657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2CAD37"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90.7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FDF8E9"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02/08/2024</w:t>
            </w:r>
          </w:p>
          <w:p w14:paraId="3B42EBF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6457F4"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Submitted by the Ministry of Natural Resources and Environmental Sustainability.</w:t>
            </w:r>
          </w:p>
          <w:p w14:paraId="518ED59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237520" w14:paraId="4001A33C"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2E5951"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Maldives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253D9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B8701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00B02E7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F27EF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FDA25F" w14:textId="77777777" w:rsidR="00FF164B" w:rsidRPr="00C67737" w:rsidRDefault="00FF164B" w:rsidP="00D22022">
            <w:pPr>
              <w:jc w:val="center"/>
              <w:rPr>
                <w:rFonts w:cstheme="minorHAnsi"/>
                <w:sz w:val="18"/>
                <w:szCs w:val="18"/>
              </w:rPr>
            </w:pPr>
            <w:r>
              <w:rPr>
                <w:rFonts w:cstheme="minorHAnsi"/>
                <w:color w:val="000000" w:themeColor="text1"/>
                <w:sz w:val="18"/>
                <w:szCs w:val="18"/>
              </w:rPr>
              <w:t>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4AF747" w14:textId="77777777" w:rsidR="00FF164B" w:rsidRPr="00C67737" w:rsidRDefault="00FF164B" w:rsidP="00D22022">
            <w:pPr>
              <w:jc w:val="center"/>
              <w:rPr>
                <w:rFonts w:cstheme="minorHAnsi"/>
                <w:sz w:val="18"/>
                <w:szCs w:val="18"/>
              </w:rPr>
            </w:pPr>
            <w:r>
              <w:rPr>
                <w:rFonts w:cstheme="minorHAnsi"/>
                <w:color w:val="000000" w:themeColor="text1"/>
                <w:sz w:val="18"/>
                <w:szCs w:val="18"/>
              </w:rPr>
              <w:t>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FD4B71" w14:textId="77777777" w:rsidR="00FF164B" w:rsidRPr="00C67737" w:rsidRDefault="00FF164B" w:rsidP="00D22022">
            <w:pPr>
              <w:jc w:val="center"/>
              <w:rPr>
                <w:rFonts w:cstheme="minorHAnsi"/>
                <w:color w:val="000000" w:themeColor="text1"/>
                <w:sz w:val="18"/>
                <w:szCs w:val="18"/>
              </w:rPr>
            </w:pPr>
            <w:r>
              <w:rPr>
                <w:rFonts w:cstheme="minorHAnsi"/>
                <w:sz w:val="18"/>
                <w:szCs w:val="18"/>
              </w:rPr>
              <w:t>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43F037"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5E63305E"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435D71"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Inception phase.</w:t>
            </w:r>
          </w:p>
          <w:p w14:paraId="196482FB"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status: Inception phase.</w:t>
            </w:r>
          </w:p>
        </w:tc>
      </w:tr>
      <w:tr w:rsidR="00FF164B" w:rsidRPr="00C67737" w14:paraId="4A2E9BD5"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E01CA6" w14:textId="77777777" w:rsidR="00FF164B" w:rsidRPr="00C67737" w:rsidRDefault="00FF164B" w:rsidP="00D22022">
            <w:pPr>
              <w:ind w:left="-24"/>
              <w:rPr>
                <w:rFonts w:cstheme="minorHAnsi"/>
                <w:sz w:val="18"/>
                <w:szCs w:val="18"/>
              </w:rPr>
            </w:pPr>
            <w:proofErr w:type="spellStart"/>
            <w:r w:rsidRPr="00C67737">
              <w:rPr>
                <w:rFonts w:cstheme="minorHAnsi"/>
                <w:color w:val="000000" w:themeColor="text1"/>
                <w:sz w:val="18"/>
                <w:szCs w:val="18"/>
              </w:rPr>
              <w:t>Mauritania</w:t>
            </w:r>
            <w:proofErr w:type="spellEnd"/>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B7DCB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9ABB6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001472B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8128C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06156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12.9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7050B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27.0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D426DC"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29.6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E3A53B"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20/10/2024</w:t>
            </w:r>
          </w:p>
          <w:p w14:paraId="4946A41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112600"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Submitted by Ministry of Environment.</w:t>
            </w:r>
          </w:p>
          <w:p w14:paraId="4AEB913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Under </w:t>
            </w:r>
            <w:proofErr w:type="spellStart"/>
            <w:r w:rsidRPr="00C67737">
              <w:rPr>
                <w:rFonts w:cstheme="minorHAnsi"/>
                <w:color w:val="000000" w:themeColor="text1"/>
                <w:sz w:val="18"/>
                <w:szCs w:val="18"/>
              </w:rPr>
              <w:t>development</w:t>
            </w:r>
            <w:proofErr w:type="spellEnd"/>
            <w:r w:rsidRPr="00C67737">
              <w:rPr>
                <w:rFonts w:cstheme="minorHAnsi"/>
                <w:color w:val="000000" w:themeColor="text1"/>
                <w:sz w:val="18"/>
                <w:szCs w:val="18"/>
              </w:rPr>
              <w:t>.</w:t>
            </w:r>
          </w:p>
        </w:tc>
      </w:tr>
      <w:tr w:rsidR="00FF164B" w:rsidRPr="00C67737" w14:paraId="209B9496"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1D24B3"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Mauritius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15DD9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E1C4F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0B4D0D1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FD214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F1568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92A2A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761643"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1.8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40FA62"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77D246C2"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F1736A"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development by Ministry of Agro-Industry, Food Security, Blue Economy, and Fisheries.</w:t>
            </w:r>
          </w:p>
          <w:p w14:paraId="41E59BE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Under </w:t>
            </w:r>
            <w:proofErr w:type="spellStart"/>
            <w:r w:rsidRPr="00C67737">
              <w:rPr>
                <w:rFonts w:cstheme="minorHAnsi"/>
                <w:color w:val="000000" w:themeColor="text1"/>
                <w:sz w:val="18"/>
                <w:szCs w:val="18"/>
              </w:rPr>
              <w:t>development</w:t>
            </w:r>
            <w:proofErr w:type="spellEnd"/>
            <w:r w:rsidRPr="00C67737">
              <w:rPr>
                <w:rFonts w:cstheme="minorHAnsi"/>
                <w:color w:val="000000" w:themeColor="text1"/>
                <w:sz w:val="18"/>
                <w:szCs w:val="18"/>
              </w:rPr>
              <w:t>.</w:t>
            </w:r>
          </w:p>
        </w:tc>
      </w:tr>
      <w:tr w:rsidR="00FF164B" w:rsidRPr="00C67737" w14:paraId="21F3D0BD"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A00EE5"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Mexico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6816D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414A6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0DCFA3B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C85E9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E1F97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9.9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2CE51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28.7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5D4B12"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49.9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15AF5C"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22/08/2024</w:t>
            </w:r>
          </w:p>
          <w:p w14:paraId="7BF50A4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9825EE"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the National Commission for the Knowledge and Use of Biodiversity.</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237520" w14:paraId="3B8D3F17"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9B9BC3"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Mongolia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B33BB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05C37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2427FDE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453D3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4987A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48.2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E6A98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62.8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0263ED"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71.5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C06AAA"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09C8E75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60619A"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final validation by the Ministry of Environment and Climate Change.</w:t>
            </w:r>
            <w:r w:rsidRPr="00FF164B">
              <w:rPr>
                <w:rFonts w:cstheme="minorHAnsi"/>
                <w:sz w:val="18"/>
                <w:szCs w:val="18"/>
                <w:lang w:val="en-US"/>
              </w:rPr>
              <w:br/>
            </w:r>
            <w:r w:rsidRPr="00FF164B">
              <w:rPr>
                <w:rFonts w:cstheme="minorHAnsi"/>
                <w:color w:val="000000" w:themeColor="text1"/>
                <w:sz w:val="18"/>
                <w:szCs w:val="18"/>
                <w:lang w:val="en-US"/>
              </w:rPr>
              <w:t xml:space="preserve"> 7NR Status: Submitted by the Ministry of Environment and Climate Change.</w:t>
            </w:r>
          </w:p>
        </w:tc>
      </w:tr>
      <w:tr w:rsidR="00FF164B" w:rsidRPr="00C67737" w14:paraId="47C9F845"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BA2FCC"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Morocco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C861C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5CD44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2B47B93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98AF7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90758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FA458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49A1B6"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42.7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CD84E7"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1B707E3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lastRenderedPageBreak/>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A5E356"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lastRenderedPageBreak/>
              <w:t>NBSAP status: Under development by Ministry of Energy Transition and Sustainable Development.</w:t>
            </w:r>
          </w:p>
          <w:p w14:paraId="080F234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lastRenderedPageBreak/>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7A063D5D"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464ADB" w14:textId="77777777" w:rsidR="00FF164B" w:rsidRPr="00C67737" w:rsidRDefault="00FF164B" w:rsidP="00D22022">
            <w:pPr>
              <w:ind w:left="-24"/>
              <w:rPr>
                <w:rFonts w:cstheme="minorHAnsi"/>
                <w:sz w:val="18"/>
                <w:szCs w:val="18"/>
              </w:rPr>
            </w:pPr>
            <w:proofErr w:type="spellStart"/>
            <w:r w:rsidRPr="00C67737">
              <w:rPr>
                <w:rFonts w:cstheme="minorHAnsi"/>
                <w:color w:val="000000" w:themeColor="text1"/>
                <w:sz w:val="18"/>
                <w:szCs w:val="18"/>
              </w:rPr>
              <w:lastRenderedPageBreak/>
              <w:t>Nepal</w:t>
            </w:r>
            <w:proofErr w:type="spellEnd"/>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B27A9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15D43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5F7A0D6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610BB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0A9F5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902AE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15.0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CB5083"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29.7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DC94F2"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184ADC3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EEC45C"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final validation with the Ministry of Forests and Environment.</w:t>
            </w:r>
          </w:p>
          <w:p w14:paraId="04EFAE8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475C5CF5"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6D02F5"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Pakistan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1759A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D8388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78FDAED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2879F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DBE44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D05E3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60.2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BA49B4"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74.0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AA584E"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r w:rsidRPr="00C67737">
              <w:rPr>
                <w:rFonts w:cstheme="minorHAnsi"/>
                <w:sz w:val="18"/>
                <w:szCs w:val="18"/>
              </w:rPr>
              <w:br/>
            </w:r>
            <w:r w:rsidRPr="00C67737">
              <w:rPr>
                <w:rFonts w:cstheme="minorHAnsi"/>
                <w:color w:val="000000" w:themeColor="text1"/>
                <w:sz w:val="18"/>
                <w:szCs w:val="18"/>
              </w:rPr>
              <w:t xml:space="preserve"> 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0A80FA"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final validation by the Ministry of Climate Change and Environmental Coordination.</w:t>
            </w:r>
          </w:p>
          <w:p w14:paraId="3502CC1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59FF52FC"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66EB3C"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Panama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5B3A8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E1562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7DB34C2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7DEF5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533DF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7CD50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55.6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05D632"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59.1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F715C8"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22/12/2025 </w:t>
            </w:r>
            <w:r w:rsidRPr="00C67737">
              <w:rPr>
                <w:rFonts w:cstheme="minorHAnsi"/>
                <w:sz w:val="18"/>
                <w:szCs w:val="18"/>
              </w:rPr>
              <w:br/>
            </w: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0B566B"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the Ministry of Environment.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237520" w14:paraId="0031B35A"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1F812A"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 xml:space="preserve">Papua New </w:t>
            </w:r>
            <w:proofErr w:type="spellStart"/>
            <w:r w:rsidRPr="00C67737">
              <w:rPr>
                <w:rFonts w:cstheme="minorHAnsi"/>
                <w:color w:val="000000" w:themeColor="text1"/>
                <w:sz w:val="18"/>
                <w:szCs w:val="18"/>
              </w:rPr>
              <w:t>Guinea</w:t>
            </w:r>
            <w:proofErr w:type="spellEnd"/>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AAE62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4C1AF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27B45E4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91F27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0F477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35C60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69.6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FB9327" w14:textId="77777777" w:rsidR="00FF164B" w:rsidRPr="00C67737" w:rsidRDefault="00FF164B" w:rsidP="00D22022">
            <w:pPr>
              <w:jc w:val="center"/>
              <w:rPr>
                <w:rFonts w:cstheme="minorHAnsi"/>
                <w:color w:val="000000" w:themeColor="text1"/>
                <w:sz w:val="18"/>
                <w:szCs w:val="18"/>
              </w:rPr>
            </w:pPr>
            <w:r w:rsidRPr="00C67737">
              <w:rPr>
                <w:rFonts w:cstheme="minorHAnsi"/>
                <w:color w:val="000000"/>
                <w:sz w:val="18"/>
                <w:szCs w:val="18"/>
              </w:rPr>
              <w:t>91.1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48FC03"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6DF8C572"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BB95C1"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development by the Conservation and Environment Protection Authority.</w:t>
            </w:r>
          </w:p>
          <w:p w14:paraId="666D0A51"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status: Under development by the Conservation and Environment Protection Authority.</w:t>
            </w:r>
          </w:p>
        </w:tc>
      </w:tr>
      <w:tr w:rsidR="00FF164B" w:rsidRPr="00237520" w14:paraId="4853FAB4"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BA22B8"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Paraguay</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D2A7F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827CA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1CF4575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C6EA6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0.1</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1AACA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8.3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5DA66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C6B329" w14:textId="77777777" w:rsidR="00FF164B" w:rsidRPr="00C67737" w:rsidRDefault="00FF164B" w:rsidP="00D22022">
            <w:pPr>
              <w:jc w:val="center"/>
              <w:rPr>
                <w:rFonts w:cstheme="minorHAnsi"/>
                <w:color w:val="000000" w:themeColor="text1"/>
                <w:sz w:val="18"/>
                <w:szCs w:val="18"/>
              </w:rPr>
            </w:pPr>
            <w:r w:rsidRPr="00C67737">
              <w:rPr>
                <w:rFonts w:cstheme="minorHAnsi"/>
                <w:color w:val="000000"/>
                <w:sz w:val="18"/>
                <w:szCs w:val="18"/>
              </w:rPr>
              <w:t>41.7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D406A2"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11/02/2026</w:t>
            </w:r>
          </w:p>
          <w:p w14:paraId="390F4D6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02/03/2026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19D02C"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Submitted Ministry of Environment and Sustainable Development</w:t>
            </w:r>
            <w:r w:rsidRPr="00FF164B">
              <w:rPr>
                <w:rFonts w:cstheme="minorHAnsi"/>
                <w:sz w:val="18"/>
                <w:szCs w:val="18"/>
                <w:lang w:val="en-US"/>
              </w:rPr>
              <w:br/>
            </w:r>
            <w:r w:rsidRPr="00FF164B">
              <w:rPr>
                <w:rFonts w:cstheme="minorHAnsi"/>
                <w:color w:val="000000" w:themeColor="text1"/>
                <w:sz w:val="18"/>
                <w:szCs w:val="18"/>
                <w:lang w:val="en-US"/>
              </w:rPr>
              <w:t xml:space="preserve"> 7NR Status: Submitted</w:t>
            </w:r>
          </w:p>
        </w:tc>
      </w:tr>
      <w:tr w:rsidR="00FF164B" w:rsidRPr="00C67737" w14:paraId="78E6CF3C"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C5B99C"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Peru</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6E76E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D5597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6FD5C4E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EFC53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5.7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6E574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11.0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1624F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31.1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94F517" w14:textId="77777777" w:rsidR="00FF164B" w:rsidRPr="00C67737" w:rsidRDefault="00FF164B" w:rsidP="00D22022">
            <w:pPr>
              <w:jc w:val="center"/>
              <w:rPr>
                <w:rFonts w:cstheme="minorHAnsi"/>
                <w:color w:val="000000" w:themeColor="text1"/>
                <w:sz w:val="18"/>
                <w:szCs w:val="18"/>
              </w:rPr>
            </w:pPr>
            <w:r w:rsidRPr="00C67737">
              <w:rPr>
                <w:rFonts w:cstheme="minorHAnsi"/>
                <w:color w:val="000000"/>
                <w:sz w:val="18"/>
                <w:szCs w:val="18"/>
              </w:rPr>
              <w:t>53.5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8B59A1"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30/10/2024</w:t>
            </w:r>
          </w:p>
          <w:p w14:paraId="2CFA735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28BCFC"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the Ministry of Environment.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09E38592"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A919C5"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lastRenderedPageBreak/>
              <w:t>Philippines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4E86D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97ABA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47A07BA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B3D38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C6246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37.8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6E645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57.6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0C6C58"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79.5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A546C8"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17/04/2026</w:t>
            </w:r>
          </w:p>
          <w:p w14:paraId="1399463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268FFA"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 xml:space="preserve">NBSAP status: </w:t>
            </w:r>
            <w:r w:rsidRPr="00FF164B">
              <w:rPr>
                <w:rStyle w:val="normaltextrun"/>
                <w:rFonts w:cstheme="minorHAnsi"/>
                <w:color w:val="000000" w:themeColor="text1"/>
                <w:sz w:val="18"/>
                <w:szCs w:val="18"/>
                <w:lang w:val="en-US"/>
              </w:rPr>
              <w:t>Abridged version submitted while unabridged is under final validation with the Department of Environment and Natural Resources. </w:t>
            </w:r>
          </w:p>
          <w:p w14:paraId="346E634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389D3A92"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87DF4B"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Saint Lucia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8E355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A1E0A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2634B63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3F61B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94FF2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0E3CA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3AEF87"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26.7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03BB60"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47382798"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53C444"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development with the Ministry of Sustainable Development, Energy, Science and Technology.</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started</w:t>
            </w:r>
            <w:proofErr w:type="spellEnd"/>
            <w:r w:rsidRPr="00C67737">
              <w:rPr>
                <w:rFonts w:cstheme="minorHAnsi"/>
                <w:color w:val="000000" w:themeColor="text1"/>
                <w:sz w:val="18"/>
                <w:szCs w:val="18"/>
              </w:rPr>
              <w:t>.</w:t>
            </w:r>
          </w:p>
        </w:tc>
      </w:tr>
      <w:tr w:rsidR="00FF164B" w:rsidRPr="00237520" w14:paraId="1120D27F"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DCD307"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Samoa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985AC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E0719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5C71CBA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9D8DF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5B481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E8952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AE14FD"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17.6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680D72"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2FD8989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62D251"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final validation with the Ministry of Natural Resources and Environment.</w:t>
            </w:r>
          </w:p>
          <w:p w14:paraId="212B31C3"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status: Submitted by the Ministry of Natural Resources and Environment.</w:t>
            </w:r>
          </w:p>
        </w:tc>
      </w:tr>
      <w:tr w:rsidR="00FF164B" w:rsidRPr="00C67737" w14:paraId="4F787E3A"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37FEA5"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Seychelles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30D5B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84665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6455DCC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04D18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E8250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E2563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124471"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34.6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D848F8"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55740D9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3B57D1"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development by Ministry of Environment, Climate, Energy and Natural Resources.</w:t>
            </w:r>
          </w:p>
          <w:p w14:paraId="5FA4C72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1960AB45"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8F6237"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Somalia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B7CE7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77A58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321736F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A5722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19581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55A2A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55.8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4EC0C2"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78.6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459A55"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5D3E902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2C5FB6"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development by Ministry of Environment and Climate Change.</w:t>
            </w:r>
          </w:p>
          <w:p w14:paraId="7560B08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237520" w14:paraId="78664EED"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973E86"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Sri Lanka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4666F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E89B6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2A9E5C1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3FB58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22AC7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40321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66.3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CD9D47"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74.0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17843B"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5138CAA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C39FB9"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final validation by the Ministry of Environment.</w:t>
            </w:r>
          </w:p>
          <w:p w14:paraId="0DD32605"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status: Submitted by the Ministry of Environment.</w:t>
            </w:r>
          </w:p>
        </w:tc>
      </w:tr>
      <w:tr w:rsidR="00FF164B" w:rsidRPr="00C67737" w14:paraId="71733B02"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EED462"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St Vincent and Grenadines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5677D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411EF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1D4DE73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ACCC2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20C87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B73DF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D12A8A"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15.9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59A2A3"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04C10B0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lastRenderedPageBreak/>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D0CDC7"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lastRenderedPageBreak/>
              <w:t xml:space="preserve">NBSAP Status: Under final validation with the Ministry of Health, Wellness, Environmental </w:t>
            </w:r>
            <w:r w:rsidRPr="00FF164B">
              <w:rPr>
                <w:rFonts w:cstheme="minorHAnsi"/>
                <w:color w:val="000000" w:themeColor="text1"/>
                <w:sz w:val="18"/>
                <w:szCs w:val="18"/>
                <w:lang w:val="en-US"/>
              </w:rPr>
              <w:lastRenderedPageBreak/>
              <w:t>Health, and Energy.</w:t>
            </w:r>
            <w:r w:rsidRPr="00FF164B">
              <w:rPr>
                <w:rFonts w:cstheme="minorHAnsi"/>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10F6B878"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ABB555"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lastRenderedPageBreak/>
              <w:t>St. Kitts and Nevis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58769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CA4A4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79918F2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2E2F9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E5E03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D7AF0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6305A6"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13.2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DC842D"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4FC78824"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BEA618"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development with the Department of Environment.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Inception. </w:t>
            </w:r>
          </w:p>
        </w:tc>
      </w:tr>
      <w:tr w:rsidR="00FF164B" w:rsidRPr="00C67737" w14:paraId="25FB244B"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0F8D96"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Suriname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B7A3F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19E07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36C6309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43039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ECD56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C3907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20.8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8AA423"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37.5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C7AA4E"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20/01/2025</w:t>
            </w:r>
          </w:p>
          <w:p w14:paraId="5DDD592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B175A6"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Ministry of Oil, Gas and Environment.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146611E9"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AC138F" w14:textId="77777777" w:rsidR="00FF164B" w:rsidRPr="00C67737" w:rsidRDefault="00FF164B" w:rsidP="00D22022">
            <w:pPr>
              <w:ind w:left="-24"/>
              <w:rPr>
                <w:rFonts w:cstheme="minorHAnsi"/>
                <w:sz w:val="18"/>
                <w:szCs w:val="18"/>
              </w:rPr>
            </w:pPr>
            <w:proofErr w:type="spellStart"/>
            <w:r w:rsidRPr="00C67737">
              <w:rPr>
                <w:rFonts w:cstheme="minorHAnsi"/>
                <w:color w:val="000000" w:themeColor="text1"/>
                <w:sz w:val="18"/>
                <w:szCs w:val="18"/>
              </w:rPr>
              <w:t>Tajikistan</w:t>
            </w:r>
            <w:proofErr w:type="spellEnd"/>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77254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DDBD7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40BAE35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B12BC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E9EFC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9F6CE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5.4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21665B"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46.9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6090BE"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 xml:space="preserve">NBSAP: Not submitted. </w:t>
            </w:r>
            <w:r w:rsidRPr="00FF164B">
              <w:rPr>
                <w:rFonts w:cstheme="minorHAnsi"/>
                <w:sz w:val="18"/>
                <w:szCs w:val="18"/>
                <w:lang w:val="en-US"/>
              </w:rPr>
              <w:br/>
            </w: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9DA124"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development by Committee for Environmental Protection under the Government of the Republic of Tajikistan.</w:t>
            </w:r>
          </w:p>
          <w:p w14:paraId="283BACE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Under </w:t>
            </w:r>
            <w:proofErr w:type="spellStart"/>
            <w:r w:rsidRPr="00C67737">
              <w:rPr>
                <w:rFonts w:cstheme="minorHAnsi"/>
                <w:color w:val="000000" w:themeColor="text1"/>
                <w:sz w:val="18"/>
                <w:szCs w:val="18"/>
              </w:rPr>
              <w:t>development</w:t>
            </w:r>
            <w:proofErr w:type="spellEnd"/>
            <w:r w:rsidRPr="00C67737">
              <w:rPr>
                <w:rFonts w:cstheme="minorHAnsi"/>
                <w:color w:val="000000" w:themeColor="text1"/>
                <w:sz w:val="18"/>
                <w:szCs w:val="18"/>
              </w:rPr>
              <w:t>.</w:t>
            </w:r>
          </w:p>
        </w:tc>
      </w:tr>
      <w:tr w:rsidR="00FF164B" w:rsidRPr="00C67737" w14:paraId="6B07F612"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C9DD41"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Thailand</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39D6A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EC04C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4F7F3C4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38334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15041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49B3A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56.5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7DDF58"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57.2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EDE600"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22/10/2025</w:t>
            </w:r>
          </w:p>
          <w:p w14:paraId="419D35D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282B0A"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the Office of Natural Resources and Environmental Policy and Planning.</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237520" w14:paraId="1F49C9B4"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780FC5"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Timor Leste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01BC8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AA573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62E0C07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441C6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0345D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9BCE9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38.0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51E74C"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54.0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234A64"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24E9BADE"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B296A3"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final validation with the Ministry of Tourism and Environment.</w:t>
            </w:r>
            <w:r w:rsidRPr="00FF164B">
              <w:rPr>
                <w:rFonts w:cstheme="minorHAnsi"/>
                <w:sz w:val="18"/>
                <w:szCs w:val="18"/>
                <w:lang w:val="en-US"/>
              </w:rPr>
              <w:br/>
            </w:r>
            <w:r w:rsidRPr="00FF164B">
              <w:rPr>
                <w:rFonts w:cstheme="minorHAnsi"/>
                <w:color w:val="000000" w:themeColor="text1"/>
                <w:sz w:val="18"/>
                <w:szCs w:val="18"/>
                <w:lang w:val="en-US"/>
              </w:rPr>
              <w:t xml:space="preserve"> 7NR Status: Under final validation with the Ministry of Tourism and Environment.</w:t>
            </w:r>
          </w:p>
        </w:tc>
      </w:tr>
      <w:tr w:rsidR="00FF164B" w:rsidRPr="00C67737" w14:paraId="4B767CC0"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CBB3BD"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Trinidad &amp; Tobago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BB401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96718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6D8DD9E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EC493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C1403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12.2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C915E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27.2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5956C5"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32.8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628AF9"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1E7A5045"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662A6D"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final validation with the Ministry of Planning and Development.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Under final validation.</w:t>
            </w:r>
          </w:p>
        </w:tc>
      </w:tr>
      <w:tr w:rsidR="00FF164B" w:rsidRPr="00C67737" w14:paraId="58A572B0"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9CB3D5"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Tunisia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ABC34D"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704169"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328A03D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lastRenderedPageBreak/>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C2B090"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lastRenderedPageBreak/>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FC738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21.1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E80AF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FA2756"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52.7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C3D426"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15/10/2024</w:t>
            </w:r>
          </w:p>
          <w:p w14:paraId="47AEA1B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lastRenderedPageBreak/>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7E3F73"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lastRenderedPageBreak/>
              <w:t>NBSAP status: Submitted by Ministry of Environment.</w:t>
            </w:r>
          </w:p>
          <w:p w14:paraId="3354D61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lastRenderedPageBreak/>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19A9A3E4"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2DB755" w14:textId="77777777" w:rsidR="00FF164B" w:rsidRPr="00C67737" w:rsidRDefault="00FF164B" w:rsidP="00D22022">
            <w:pPr>
              <w:ind w:left="-24"/>
              <w:rPr>
                <w:rFonts w:cstheme="minorHAnsi"/>
                <w:sz w:val="18"/>
                <w:szCs w:val="18"/>
              </w:rPr>
            </w:pPr>
            <w:proofErr w:type="spellStart"/>
            <w:r w:rsidRPr="00C67737">
              <w:rPr>
                <w:rFonts w:cstheme="minorHAnsi"/>
                <w:color w:val="000000" w:themeColor="text1"/>
                <w:sz w:val="18"/>
                <w:szCs w:val="18"/>
              </w:rPr>
              <w:lastRenderedPageBreak/>
              <w:t>Turkmenistan</w:t>
            </w:r>
            <w:proofErr w:type="spellEnd"/>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DF193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D7049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02D7AB6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D7A88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69CEB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2B1FE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731B28"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20.5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E5C99D"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3D745E15"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4A217F"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development by Ministry of Environment Protection.</w:t>
            </w:r>
          </w:p>
          <w:p w14:paraId="1AF3E51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Under </w:t>
            </w:r>
            <w:proofErr w:type="spellStart"/>
            <w:r w:rsidRPr="00C67737">
              <w:rPr>
                <w:rFonts w:cstheme="minorHAnsi"/>
                <w:color w:val="000000" w:themeColor="text1"/>
                <w:sz w:val="18"/>
                <w:szCs w:val="18"/>
              </w:rPr>
              <w:t>development</w:t>
            </w:r>
            <w:proofErr w:type="spellEnd"/>
            <w:r w:rsidRPr="00C67737">
              <w:rPr>
                <w:rFonts w:cstheme="minorHAnsi"/>
                <w:color w:val="000000" w:themeColor="text1"/>
                <w:sz w:val="18"/>
                <w:szCs w:val="18"/>
              </w:rPr>
              <w:t>.</w:t>
            </w:r>
          </w:p>
        </w:tc>
      </w:tr>
      <w:tr w:rsidR="00FF164B" w:rsidRPr="00C67737" w14:paraId="24FF3708"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011C33"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Ukraine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A3971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E8EB0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218E68D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595B3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0.6</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0C6B7F"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17.9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84DB5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DFDAF9"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59.6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E03CAD"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Not submitted</w:t>
            </w:r>
          </w:p>
          <w:p w14:paraId="238497DC"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C292B0"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development by Ministry of Economy, Environment and Agriculture.</w:t>
            </w:r>
          </w:p>
          <w:p w14:paraId="3382338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Under </w:t>
            </w:r>
            <w:proofErr w:type="spellStart"/>
            <w:r w:rsidRPr="00C67737">
              <w:rPr>
                <w:rFonts w:cstheme="minorHAnsi"/>
                <w:color w:val="000000" w:themeColor="text1"/>
                <w:sz w:val="18"/>
                <w:szCs w:val="18"/>
              </w:rPr>
              <w:t>development</w:t>
            </w:r>
            <w:proofErr w:type="spellEnd"/>
            <w:r w:rsidRPr="00C67737">
              <w:rPr>
                <w:rFonts w:cstheme="minorHAnsi"/>
                <w:color w:val="000000" w:themeColor="text1"/>
                <w:sz w:val="18"/>
                <w:szCs w:val="18"/>
              </w:rPr>
              <w:t>.</w:t>
            </w:r>
          </w:p>
        </w:tc>
      </w:tr>
      <w:tr w:rsidR="00FF164B" w:rsidRPr="00C67737" w14:paraId="6F5BDDB5"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EEECD8"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Uruguay</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010A7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FC262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7051016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AFF62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8239D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F2A01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F44CE1"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0.5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3601F8"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r w:rsidRPr="00C67737">
              <w:rPr>
                <w:rFonts w:cstheme="minorHAnsi"/>
                <w:sz w:val="18"/>
                <w:szCs w:val="18"/>
              </w:rPr>
              <w:br/>
            </w:r>
            <w:r w:rsidRPr="00C67737">
              <w:rPr>
                <w:rFonts w:cstheme="minorHAnsi"/>
                <w:color w:val="000000" w:themeColor="text1"/>
                <w:sz w:val="18"/>
                <w:szCs w:val="18"/>
              </w:rPr>
              <w:t xml:space="preserve"> 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F663B5"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Under final validation with the Ministry of Environment.</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6BE3239C"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55697B" w14:textId="77777777" w:rsidR="00FF164B" w:rsidRPr="00C67737" w:rsidRDefault="00FF164B" w:rsidP="00D22022">
            <w:pPr>
              <w:ind w:left="-24"/>
              <w:rPr>
                <w:rFonts w:cstheme="minorHAnsi"/>
                <w:sz w:val="18"/>
                <w:szCs w:val="18"/>
              </w:rPr>
            </w:pPr>
            <w:proofErr w:type="spellStart"/>
            <w:r w:rsidRPr="00C67737">
              <w:rPr>
                <w:rFonts w:cstheme="minorHAnsi"/>
                <w:color w:val="000000" w:themeColor="text1"/>
                <w:sz w:val="18"/>
                <w:szCs w:val="18"/>
              </w:rPr>
              <w:t>Uzbekistan</w:t>
            </w:r>
            <w:proofErr w:type="spellEnd"/>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BC6FE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1E7B3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7D69B59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6815B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158EE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27.9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181F11"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6C9F47"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56.7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2720F1"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6B276F3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E2EE51"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Under development by Ministry of Ecology, Environmental Protection and Climate Change.</w:t>
            </w:r>
          </w:p>
          <w:p w14:paraId="36DD892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C67737" w14:paraId="3A097DE4"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DA0958"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Venezuela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A51736"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784CD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6828558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66074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3192C5"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D86C1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B807CC"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8.7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0FFB99"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14/01/2026 </w:t>
            </w:r>
            <w:r w:rsidRPr="00C67737">
              <w:rPr>
                <w:rFonts w:cstheme="minorHAnsi"/>
                <w:sz w:val="18"/>
                <w:szCs w:val="18"/>
              </w:rPr>
              <w:br/>
            </w: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33D1EF" w14:textId="77777777" w:rsidR="00FF164B" w:rsidRPr="00C67737" w:rsidRDefault="00FF164B" w:rsidP="00D22022">
            <w:pPr>
              <w:jc w:val="center"/>
              <w:rPr>
                <w:rFonts w:cstheme="minorHAnsi"/>
                <w:sz w:val="18"/>
                <w:szCs w:val="18"/>
              </w:rPr>
            </w:pPr>
            <w:r w:rsidRPr="00FF164B">
              <w:rPr>
                <w:rFonts w:cstheme="minorHAnsi"/>
                <w:color w:val="000000" w:themeColor="text1"/>
                <w:sz w:val="18"/>
                <w:szCs w:val="18"/>
                <w:lang w:val="en-US"/>
              </w:rPr>
              <w:t>NBSAP Status: Submitted by the Ministry of People’s Power for Eco socialism.</w:t>
            </w:r>
            <w:r w:rsidRPr="00FF164B">
              <w:rPr>
                <w:rFonts w:cstheme="minorHAnsi"/>
                <w:sz w:val="18"/>
                <w:szCs w:val="18"/>
                <w:lang w:val="en-US"/>
              </w:rPr>
              <w:br/>
            </w:r>
            <w:r w:rsidRPr="00FF164B">
              <w:rPr>
                <w:rFonts w:cstheme="minorHAnsi"/>
                <w:color w:val="000000" w:themeColor="text1"/>
                <w:sz w:val="18"/>
                <w:szCs w:val="18"/>
                <w:lang w:val="en-US"/>
              </w:rPr>
              <w:t xml:space="preserve"> </w:t>
            </w:r>
            <w:r w:rsidRPr="00C67737">
              <w:rPr>
                <w:rFonts w:cstheme="minorHAnsi"/>
                <w:color w:val="000000" w:themeColor="text1"/>
                <w:sz w:val="18"/>
                <w:szCs w:val="18"/>
              </w:rPr>
              <w:t xml:space="preserve">7NR </w:t>
            </w:r>
            <w:proofErr w:type="spellStart"/>
            <w:r w:rsidRPr="00C67737">
              <w:rPr>
                <w:rFonts w:cstheme="minorHAnsi"/>
                <w:color w:val="000000" w:themeColor="text1"/>
                <w:sz w:val="18"/>
                <w:szCs w:val="18"/>
              </w:rPr>
              <w:t>Status</w:t>
            </w:r>
            <w:proofErr w:type="spell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r w:rsidR="00FF164B" w:rsidRPr="00237520" w14:paraId="713E4C33"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2F69EC" w14:textId="77777777" w:rsidR="00FF164B" w:rsidRPr="00C67737" w:rsidRDefault="00FF164B" w:rsidP="00D22022">
            <w:pPr>
              <w:ind w:left="-24"/>
              <w:rPr>
                <w:rFonts w:cstheme="minorHAnsi"/>
                <w:sz w:val="18"/>
                <w:szCs w:val="18"/>
              </w:rPr>
            </w:pPr>
            <w:r w:rsidRPr="00C67737">
              <w:rPr>
                <w:rFonts w:cstheme="minorHAnsi"/>
                <w:color w:val="000000" w:themeColor="text1"/>
                <w:sz w:val="18"/>
                <w:szCs w:val="18"/>
              </w:rPr>
              <w:t>Viet Nam</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FF5142"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DD389A"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24D14DC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A293DB"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0EFEFE"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59263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3.6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1C2B48" w14:textId="77777777" w:rsidR="00FF164B" w:rsidRPr="00C67737" w:rsidRDefault="00FF164B" w:rsidP="00D22022">
            <w:pPr>
              <w:jc w:val="center"/>
              <w:rPr>
                <w:rFonts w:cstheme="minorHAnsi"/>
                <w:color w:val="000000" w:themeColor="text1"/>
                <w:sz w:val="18"/>
                <w:szCs w:val="18"/>
              </w:rPr>
            </w:pPr>
            <w:r w:rsidRPr="00C67737">
              <w:rPr>
                <w:rFonts w:cstheme="minorHAnsi"/>
                <w:sz w:val="18"/>
                <w:szCs w:val="18"/>
              </w:rPr>
              <w:t>40.9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B52313"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31/10/2024 </w:t>
            </w:r>
            <w:r w:rsidRPr="00C67737">
              <w:rPr>
                <w:rFonts w:cstheme="minorHAnsi"/>
                <w:sz w:val="18"/>
                <w:szCs w:val="18"/>
              </w:rPr>
              <w:br/>
            </w:r>
            <w:r w:rsidRPr="00C67737">
              <w:rPr>
                <w:rFonts w:cstheme="minorHAnsi"/>
                <w:color w:val="000000" w:themeColor="text1"/>
                <w:sz w:val="18"/>
                <w:szCs w:val="18"/>
              </w:rPr>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Not </w:t>
            </w:r>
            <w:proofErr w:type="spellStart"/>
            <w:r w:rsidRPr="00C67737">
              <w:rPr>
                <w:rFonts w:cstheme="minorHAnsi"/>
                <w:color w:val="000000" w:themeColor="text1"/>
                <w:sz w:val="18"/>
                <w:szCs w:val="18"/>
              </w:rPr>
              <w:t>submitted</w:t>
            </w:r>
            <w:proofErr w:type="spellEnd"/>
          </w:p>
          <w:p w14:paraId="2C0F796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xml:space="preserve"> </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B134AA"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t>NBSAP Status: Submitted by the Ministry of Agriculture and Environment.</w:t>
            </w:r>
            <w:r w:rsidRPr="00FF164B">
              <w:rPr>
                <w:rFonts w:cstheme="minorHAnsi"/>
                <w:sz w:val="18"/>
                <w:szCs w:val="18"/>
                <w:lang w:val="en-US"/>
              </w:rPr>
              <w:br/>
            </w:r>
            <w:r w:rsidRPr="00FF164B">
              <w:rPr>
                <w:rFonts w:cstheme="minorHAnsi"/>
                <w:color w:val="000000" w:themeColor="text1"/>
                <w:sz w:val="18"/>
                <w:szCs w:val="18"/>
                <w:lang w:val="en-US"/>
              </w:rPr>
              <w:t xml:space="preserve"> 7NR Status: Under development by the Ministry of Agriculture and Environment.</w:t>
            </w:r>
          </w:p>
        </w:tc>
      </w:tr>
      <w:tr w:rsidR="00FF164B" w:rsidRPr="00C67737" w14:paraId="515DDE3C" w14:textId="77777777" w:rsidTr="00D22022">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FE36B0" w14:textId="77777777" w:rsidR="00FF164B" w:rsidRPr="00C67737" w:rsidRDefault="00FF164B" w:rsidP="00D22022">
            <w:pPr>
              <w:ind w:left="-24"/>
              <w:rPr>
                <w:rFonts w:cstheme="minorHAnsi"/>
                <w:sz w:val="18"/>
                <w:szCs w:val="18"/>
              </w:rPr>
            </w:pPr>
            <w:proofErr w:type="spellStart"/>
            <w:r w:rsidRPr="00C67737">
              <w:rPr>
                <w:rFonts w:cstheme="minorHAnsi"/>
                <w:color w:val="000000" w:themeColor="text1"/>
                <w:sz w:val="18"/>
                <w:szCs w:val="18"/>
              </w:rPr>
              <w:t>Yemen</w:t>
            </w:r>
            <w:proofErr w:type="spellEnd"/>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84E903"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EBE14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22/9/2024</w:t>
            </w:r>
          </w:p>
          <w:p w14:paraId="412EE5D8"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346304"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C7583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90D017"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t>6.2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8BB11C" w14:textId="77777777" w:rsidR="00FF164B" w:rsidRPr="00C67737" w:rsidRDefault="00FF164B" w:rsidP="00D22022">
            <w:pPr>
              <w:jc w:val="center"/>
              <w:rPr>
                <w:rFonts w:cstheme="minorHAnsi"/>
                <w:color w:val="000000" w:themeColor="text1"/>
                <w:sz w:val="18"/>
                <w:szCs w:val="18"/>
              </w:rPr>
            </w:pPr>
            <w:r w:rsidRPr="00C67737">
              <w:rPr>
                <w:rFonts w:cstheme="minorHAnsi"/>
                <w:color w:val="000000" w:themeColor="text1"/>
                <w:sz w:val="18"/>
                <w:szCs w:val="18"/>
              </w:rPr>
              <w:t>41.6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166632" w14:textId="77777777" w:rsidR="00FF164B" w:rsidRPr="00C67737" w:rsidRDefault="00FF164B" w:rsidP="00D22022">
            <w:pPr>
              <w:jc w:val="center"/>
              <w:rPr>
                <w:rFonts w:cstheme="minorHAnsi"/>
                <w:sz w:val="18"/>
                <w:szCs w:val="18"/>
              </w:rPr>
            </w:pPr>
            <w:proofErr w:type="gramStart"/>
            <w:r w:rsidRPr="00C67737">
              <w:rPr>
                <w:rFonts w:cstheme="minorHAnsi"/>
                <w:color w:val="000000" w:themeColor="text1"/>
                <w:sz w:val="18"/>
                <w:szCs w:val="18"/>
              </w:rPr>
              <w:t>NBSAP:</w:t>
            </w:r>
            <w:proofErr w:type="gramEnd"/>
            <w:r w:rsidRPr="00C67737">
              <w:rPr>
                <w:rFonts w:cstheme="minorHAnsi"/>
                <w:color w:val="000000" w:themeColor="text1"/>
                <w:sz w:val="18"/>
                <w:szCs w:val="18"/>
              </w:rPr>
              <w:t xml:space="preserve"> 06/03/2025 </w:t>
            </w:r>
            <w:r w:rsidRPr="00C67737">
              <w:rPr>
                <w:rFonts w:cstheme="minorHAnsi"/>
                <w:sz w:val="18"/>
                <w:szCs w:val="18"/>
              </w:rPr>
              <w:br/>
            </w:r>
            <w:r w:rsidRPr="00C67737">
              <w:rPr>
                <w:rFonts w:cstheme="minorHAnsi"/>
                <w:color w:val="000000" w:themeColor="text1"/>
                <w:sz w:val="18"/>
                <w:szCs w:val="18"/>
              </w:rPr>
              <w:lastRenderedPageBreak/>
              <w:t>7</w:t>
            </w:r>
            <w:proofErr w:type="gramStart"/>
            <w:r w:rsidRPr="00C67737">
              <w:rPr>
                <w:rFonts w:cstheme="minorHAnsi"/>
                <w:color w:val="000000" w:themeColor="text1"/>
                <w:sz w:val="18"/>
                <w:szCs w:val="18"/>
              </w:rPr>
              <w:t>NR:</w:t>
            </w:r>
            <w:proofErr w:type="gramEnd"/>
            <w:r w:rsidRPr="00C67737">
              <w:rPr>
                <w:rFonts w:cstheme="minorHAnsi"/>
                <w:color w:val="000000" w:themeColor="text1"/>
                <w:sz w:val="18"/>
                <w:szCs w:val="18"/>
              </w:rPr>
              <w:t xml:space="preserve"> 24/03/2026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5B8313" w14:textId="77777777" w:rsidR="00FF164B" w:rsidRPr="00FF164B" w:rsidRDefault="00FF164B" w:rsidP="00D22022">
            <w:pPr>
              <w:jc w:val="center"/>
              <w:rPr>
                <w:rFonts w:cstheme="minorHAnsi"/>
                <w:sz w:val="18"/>
                <w:szCs w:val="18"/>
                <w:lang w:val="en-US"/>
              </w:rPr>
            </w:pPr>
            <w:r w:rsidRPr="00FF164B">
              <w:rPr>
                <w:rFonts w:cstheme="minorHAnsi"/>
                <w:color w:val="000000" w:themeColor="text1"/>
                <w:sz w:val="18"/>
                <w:szCs w:val="18"/>
                <w:lang w:val="en-US"/>
              </w:rPr>
              <w:lastRenderedPageBreak/>
              <w:t>NBSAP status: Submitted by Environmental Protection Agency.</w:t>
            </w:r>
          </w:p>
          <w:p w14:paraId="34C053DC" w14:textId="77777777" w:rsidR="00FF164B" w:rsidRPr="00C67737" w:rsidRDefault="00FF164B" w:rsidP="00D22022">
            <w:pPr>
              <w:jc w:val="center"/>
              <w:rPr>
                <w:rFonts w:cstheme="minorHAnsi"/>
                <w:sz w:val="18"/>
                <w:szCs w:val="18"/>
              </w:rPr>
            </w:pPr>
            <w:r w:rsidRPr="00C67737">
              <w:rPr>
                <w:rFonts w:cstheme="minorHAnsi"/>
                <w:color w:val="000000" w:themeColor="text1"/>
                <w:sz w:val="18"/>
                <w:szCs w:val="18"/>
              </w:rPr>
              <w:lastRenderedPageBreak/>
              <w:t xml:space="preserve">7NR </w:t>
            </w:r>
            <w:proofErr w:type="spellStart"/>
            <w:proofErr w:type="gramStart"/>
            <w:r w:rsidRPr="00C67737">
              <w:rPr>
                <w:rFonts w:cstheme="minorHAnsi"/>
                <w:color w:val="000000" w:themeColor="text1"/>
                <w:sz w:val="18"/>
                <w:szCs w:val="18"/>
              </w:rPr>
              <w:t>status</w:t>
            </w:r>
            <w:proofErr w:type="spellEnd"/>
            <w:r w:rsidRPr="00C67737">
              <w:rPr>
                <w:rFonts w:cstheme="minorHAnsi"/>
                <w:color w:val="000000" w:themeColor="text1"/>
                <w:sz w:val="18"/>
                <w:szCs w:val="18"/>
              </w:rPr>
              <w:t>:</w:t>
            </w:r>
            <w:proofErr w:type="gramEnd"/>
            <w:r w:rsidRPr="00C67737">
              <w:rPr>
                <w:rFonts w:cstheme="minorHAnsi"/>
                <w:color w:val="000000" w:themeColor="text1"/>
                <w:sz w:val="18"/>
                <w:szCs w:val="18"/>
              </w:rPr>
              <w:t xml:space="preserve"> </w:t>
            </w:r>
            <w:proofErr w:type="spellStart"/>
            <w:r w:rsidRPr="00C67737">
              <w:rPr>
                <w:rFonts w:cstheme="minorHAnsi"/>
                <w:color w:val="000000" w:themeColor="text1"/>
                <w:sz w:val="18"/>
                <w:szCs w:val="18"/>
              </w:rPr>
              <w:t>Submitted</w:t>
            </w:r>
            <w:proofErr w:type="spellEnd"/>
            <w:r w:rsidRPr="00C67737">
              <w:rPr>
                <w:rFonts w:cstheme="minorHAnsi"/>
                <w:color w:val="000000" w:themeColor="text1"/>
                <w:sz w:val="18"/>
                <w:szCs w:val="18"/>
              </w:rPr>
              <w:t>.</w:t>
            </w:r>
          </w:p>
        </w:tc>
      </w:tr>
    </w:tbl>
    <w:p w14:paraId="53ECD194" w14:textId="77777777" w:rsidR="005576FA" w:rsidRPr="005576FA" w:rsidRDefault="005576FA" w:rsidP="005576FA"/>
    <w:p w14:paraId="3F30FB20" w14:textId="77777777" w:rsidR="005576FA" w:rsidRPr="005576FA" w:rsidRDefault="005576FA" w:rsidP="005576FA"/>
    <w:p w14:paraId="551EC4BA" w14:textId="77777777" w:rsidR="005576FA" w:rsidRPr="005576FA" w:rsidRDefault="005576FA" w:rsidP="005576FA">
      <w:r w:rsidRPr="005576FA">
        <w:br w:type="page"/>
      </w:r>
    </w:p>
    <w:p w14:paraId="3EFE358A" w14:textId="77777777" w:rsidR="001A7CAD" w:rsidRPr="00C67737" w:rsidRDefault="001A7CAD" w:rsidP="001A7CAD">
      <w:pPr>
        <w:pStyle w:val="Heading3"/>
        <w:rPr>
          <w:lang w:val="en-US"/>
        </w:rPr>
      </w:pPr>
      <w:bookmarkStart w:id="233" w:name="_Toc239237109"/>
      <w:bookmarkStart w:id="234" w:name="_Toc242184682"/>
      <w:bookmarkStart w:id="235" w:name="_Toc242184742"/>
      <w:r w:rsidRPr="00C67737">
        <w:rPr>
          <w:lang w:val="en-US"/>
        </w:rPr>
        <w:lastRenderedPageBreak/>
        <w:t>Table B. Countries supported by UNEP</w:t>
      </w:r>
      <w:bookmarkEnd w:id="233"/>
      <w:bookmarkEnd w:id="234"/>
      <w:bookmarkEnd w:id="235"/>
    </w:p>
    <w:tbl>
      <w:tblPr>
        <w:tblW w:w="13121" w:type="dxa"/>
        <w:tblLook w:val="04A0" w:firstRow="1" w:lastRow="0" w:firstColumn="1" w:lastColumn="0" w:noHBand="0" w:noVBand="1"/>
      </w:tblPr>
      <w:tblGrid>
        <w:gridCol w:w="1220"/>
        <w:gridCol w:w="1036"/>
        <w:gridCol w:w="1289"/>
        <w:gridCol w:w="1335"/>
        <w:gridCol w:w="1101"/>
        <w:gridCol w:w="1101"/>
        <w:gridCol w:w="1126"/>
        <w:gridCol w:w="1085"/>
        <w:gridCol w:w="1177"/>
        <w:gridCol w:w="2651"/>
      </w:tblGrid>
      <w:tr w:rsidR="005B0ADB" w:rsidRPr="00C67737" w14:paraId="11AD6D3A" w14:textId="77777777" w:rsidTr="00D22022">
        <w:trPr>
          <w:trHeight w:val="810"/>
          <w:tblHeader/>
        </w:trPr>
        <w:tc>
          <w:tcPr>
            <w:tcW w:w="1223"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0DEDFEF0" w14:textId="77777777" w:rsidR="005B0ADB" w:rsidRPr="00C67737" w:rsidRDefault="005B0ADB" w:rsidP="00D22022">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Country</w:t>
            </w:r>
          </w:p>
        </w:tc>
        <w:tc>
          <w:tcPr>
            <w:tcW w:w="104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7E59E2CC" w14:textId="77777777" w:rsidR="005B0ADB" w:rsidRPr="005B0ADB" w:rsidRDefault="005B0ADB" w:rsidP="00D22022">
            <w:pPr>
              <w:pStyle w:val="paragraph"/>
              <w:jc w:val="center"/>
              <w:rPr>
                <w:rFonts w:asciiTheme="minorHAnsi" w:hAnsiTheme="minorHAnsi" w:cstheme="minorHAnsi"/>
                <w:b/>
                <w:bCs/>
                <w:color w:val="000000" w:themeColor="text1"/>
                <w:sz w:val="18"/>
                <w:szCs w:val="18"/>
                <w:lang w:val="en-US"/>
              </w:rPr>
            </w:pPr>
            <w:r w:rsidRPr="005B0ADB">
              <w:rPr>
                <w:rFonts w:asciiTheme="minorHAnsi" w:hAnsiTheme="minorHAnsi" w:cstheme="minorHAnsi"/>
                <w:b/>
                <w:bCs/>
                <w:color w:val="000000" w:themeColor="text1"/>
                <w:sz w:val="18"/>
                <w:szCs w:val="18"/>
                <w:lang w:val="en-US"/>
              </w:rPr>
              <w:t>Amount approved (exclusive of agency fees)</w:t>
            </w:r>
          </w:p>
        </w:tc>
        <w:tc>
          <w:tcPr>
            <w:tcW w:w="129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595EB35B" w14:textId="77777777" w:rsidR="005B0ADB" w:rsidRPr="005B0ADB" w:rsidRDefault="005B0ADB" w:rsidP="00D22022">
            <w:pPr>
              <w:pStyle w:val="paragraph"/>
              <w:jc w:val="center"/>
              <w:rPr>
                <w:rFonts w:asciiTheme="minorHAnsi" w:hAnsiTheme="minorHAnsi" w:cstheme="minorHAnsi"/>
                <w:b/>
                <w:bCs/>
                <w:color w:val="000000" w:themeColor="text1"/>
                <w:sz w:val="18"/>
                <w:szCs w:val="18"/>
                <w:lang w:val="en-US"/>
              </w:rPr>
            </w:pPr>
            <w:r w:rsidRPr="005B0ADB">
              <w:rPr>
                <w:rFonts w:asciiTheme="minorHAnsi" w:hAnsiTheme="minorHAnsi" w:cstheme="minorHAnsi"/>
                <w:b/>
                <w:bCs/>
                <w:color w:val="000000" w:themeColor="text1"/>
                <w:sz w:val="18"/>
                <w:szCs w:val="18"/>
                <w:lang w:val="en-US"/>
              </w:rPr>
              <w:t>Date of initial disbursement of GEF funds by UNEP and Country Allocation</w:t>
            </w:r>
            <w:r w:rsidRPr="00C67737">
              <w:rPr>
                <w:rStyle w:val="FootnoteReference"/>
                <w:rFonts w:asciiTheme="minorHAnsi" w:hAnsiTheme="minorHAnsi" w:cstheme="minorHAnsi"/>
                <w:b/>
                <w:bCs/>
                <w:color w:val="000000" w:themeColor="text1"/>
                <w:sz w:val="18"/>
                <w:szCs w:val="18"/>
              </w:rPr>
              <w:footnoteReference w:id="168"/>
            </w:r>
          </w:p>
        </w:tc>
        <w:tc>
          <w:tcPr>
            <w:tcW w:w="1346"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21137EA8" w14:textId="77777777" w:rsidR="005B0ADB" w:rsidRPr="005B0ADB" w:rsidRDefault="005B0ADB" w:rsidP="00D22022">
            <w:pPr>
              <w:pStyle w:val="paragraph"/>
              <w:jc w:val="center"/>
              <w:rPr>
                <w:rFonts w:asciiTheme="minorHAnsi" w:hAnsiTheme="minorHAnsi" w:cstheme="minorHAnsi"/>
                <w:b/>
                <w:bCs/>
                <w:color w:val="000000" w:themeColor="text1"/>
                <w:sz w:val="18"/>
                <w:szCs w:val="18"/>
                <w:lang w:val="en-US"/>
              </w:rPr>
            </w:pPr>
            <w:r w:rsidRPr="005B0ADB">
              <w:rPr>
                <w:rFonts w:asciiTheme="minorHAnsi" w:hAnsiTheme="minorHAnsi" w:cstheme="minorHAnsi"/>
                <w:b/>
                <w:bCs/>
                <w:color w:val="000000" w:themeColor="text1"/>
                <w:sz w:val="18"/>
                <w:szCs w:val="18"/>
                <w:lang w:val="en-US"/>
              </w:rPr>
              <w:t>Amount of GEF funding disbursed</w:t>
            </w:r>
            <w:r w:rsidRPr="00C67737">
              <w:rPr>
                <w:rStyle w:val="FootnoteReference"/>
                <w:rFonts w:asciiTheme="minorHAnsi" w:hAnsiTheme="minorHAnsi" w:cstheme="minorHAnsi"/>
                <w:b/>
                <w:bCs/>
                <w:color w:val="000000" w:themeColor="text1"/>
                <w:sz w:val="18"/>
                <w:szCs w:val="18"/>
              </w:rPr>
              <w:footnoteReference w:id="169"/>
            </w:r>
          </w:p>
        </w:tc>
        <w:tc>
          <w:tcPr>
            <w:tcW w:w="325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03EEA949" w14:textId="77777777" w:rsidR="005B0ADB" w:rsidRPr="00C67737" w:rsidRDefault="005B0ADB" w:rsidP="00D22022">
            <w:pPr>
              <w:pStyle w:val="paragraph"/>
              <w:jc w:val="center"/>
              <w:rPr>
                <w:rFonts w:asciiTheme="minorHAnsi" w:hAnsiTheme="minorHAnsi" w:cstheme="minorHAnsi"/>
                <w:b/>
                <w:bCs/>
                <w:color w:val="000000" w:themeColor="text1"/>
                <w:sz w:val="18"/>
                <w:szCs w:val="18"/>
              </w:rPr>
            </w:pPr>
            <w:proofErr w:type="spellStart"/>
            <w:r w:rsidRPr="00C67737">
              <w:rPr>
                <w:rFonts w:asciiTheme="minorHAnsi" w:hAnsiTheme="minorHAnsi" w:cstheme="minorHAnsi"/>
                <w:b/>
                <w:bCs/>
                <w:color w:val="000000" w:themeColor="text1"/>
                <w:sz w:val="18"/>
                <w:szCs w:val="18"/>
              </w:rPr>
              <w:t>Expenditures</w:t>
            </w:r>
            <w:proofErr w:type="spellEnd"/>
            <w:r w:rsidRPr="00C67737">
              <w:rPr>
                <w:rFonts w:asciiTheme="minorHAnsi" w:hAnsiTheme="minorHAnsi" w:cstheme="minorHAnsi"/>
                <w:b/>
                <w:bCs/>
                <w:color w:val="000000" w:themeColor="text1"/>
                <w:sz w:val="18"/>
                <w:szCs w:val="18"/>
              </w:rPr>
              <w:t xml:space="preserve"> (%)</w:t>
            </w:r>
            <w:r w:rsidRPr="00C67737">
              <w:rPr>
                <w:rStyle w:val="FootnoteReference"/>
                <w:rFonts w:asciiTheme="minorHAnsi" w:hAnsiTheme="minorHAnsi" w:cstheme="minorHAnsi"/>
                <w:b/>
                <w:bCs/>
                <w:color w:val="000000" w:themeColor="text1"/>
                <w:sz w:val="18"/>
                <w:szCs w:val="18"/>
              </w:rPr>
              <w:footnoteReference w:id="170"/>
            </w:r>
          </w:p>
        </w:tc>
        <w:tc>
          <w:tcPr>
            <w:tcW w:w="106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75E0F61C" w14:textId="77777777" w:rsidR="005B0ADB" w:rsidRPr="00C67737" w:rsidRDefault="005B0ADB" w:rsidP="00D22022">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 xml:space="preserve">Date of NBSAP </w:t>
            </w:r>
            <w:proofErr w:type="spellStart"/>
            <w:r w:rsidRPr="00C67737">
              <w:rPr>
                <w:rFonts w:asciiTheme="minorHAnsi" w:hAnsiTheme="minorHAnsi" w:cstheme="minorHAnsi"/>
                <w:b/>
                <w:bCs/>
                <w:color w:val="000000" w:themeColor="text1"/>
                <w:sz w:val="18"/>
                <w:szCs w:val="18"/>
              </w:rPr>
              <w:t>submission</w:t>
            </w:r>
            <w:proofErr w:type="spellEnd"/>
          </w:p>
        </w:tc>
        <w:tc>
          <w:tcPr>
            <w:tcW w:w="1182"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524E90E6" w14:textId="77777777" w:rsidR="005B0ADB" w:rsidRPr="005B0ADB" w:rsidRDefault="005B0ADB" w:rsidP="00D22022">
            <w:pPr>
              <w:pStyle w:val="paragraph"/>
              <w:jc w:val="center"/>
              <w:rPr>
                <w:rFonts w:asciiTheme="minorHAnsi" w:hAnsiTheme="minorHAnsi" w:cstheme="minorHAnsi"/>
                <w:b/>
                <w:bCs/>
                <w:sz w:val="18"/>
                <w:szCs w:val="18"/>
                <w:lang w:val="en-US"/>
              </w:rPr>
            </w:pPr>
            <w:r w:rsidRPr="005B0ADB">
              <w:rPr>
                <w:rFonts w:asciiTheme="minorHAnsi" w:hAnsiTheme="minorHAnsi" w:cstheme="minorHAnsi"/>
                <w:b/>
                <w:bCs/>
                <w:color w:val="000000" w:themeColor="text1"/>
                <w:sz w:val="18"/>
                <w:szCs w:val="18"/>
                <w:lang w:val="en-US"/>
              </w:rPr>
              <w:t>Date of submission of 7</w:t>
            </w:r>
            <w:r w:rsidRPr="005B0ADB">
              <w:rPr>
                <w:rFonts w:asciiTheme="minorHAnsi" w:hAnsiTheme="minorHAnsi" w:cstheme="minorHAnsi"/>
                <w:b/>
                <w:bCs/>
                <w:color w:val="000000" w:themeColor="text1"/>
                <w:sz w:val="18"/>
                <w:szCs w:val="18"/>
                <w:vertAlign w:val="superscript"/>
                <w:lang w:val="en-US"/>
              </w:rPr>
              <w:t>th</w:t>
            </w:r>
            <w:r w:rsidRPr="005B0ADB">
              <w:rPr>
                <w:rFonts w:asciiTheme="minorHAnsi" w:hAnsiTheme="minorHAnsi" w:cstheme="minorHAnsi"/>
                <w:b/>
                <w:bCs/>
                <w:color w:val="000000" w:themeColor="text1"/>
                <w:sz w:val="18"/>
                <w:szCs w:val="18"/>
                <w:lang w:val="en-US"/>
              </w:rPr>
              <w:t xml:space="preserve"> national report</w:t>
            </w:r>
            <w:r w:rsidRPr="00C67737">
              <w:rPr>
                <w:rStyle w:val="FootnoteReference"/>
                <w:rFonts w:asciiTheme="minorHAnsi" w:hAnsiTheme="minorHAnsi" w:cstheme="minorHAnsi"/>
                <w:b/>
                <w:bCs/>
                <w:sz w:val="18"/>
                <w:szCs w:val="18"/>
              </w:rPr>
              <w:footnoteReference w:id="171"/>
            </w:r>
          </w:p>
        </w:tc>
        <w:tc>
          <w:tcPr>
            <w:tcW w:w="2718"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2B19A3CB" w14:textId="77777777" w:rsidR="005B0ADB" w:rsidRPr="00C67737" w:rsidRDefault="005B0ADB" w:rsidP="00D22022">
            <w:pPr>
              <w:pStyle w:val="paragraph"/>
              <w:jc w:val="center"/>
              <w:rPr>
                <w:rFonts w:asciiTheme="minorHAnsi" w:hAnsiTheme="minorHAnsi" w:cstheme="minorHAnsi"/>
                <w:b/>
                <w:bCs/>
                <w:sz w:val="18"/>
                <w:szCs w:val="18"/>
              </w:rPr>
            </w:pPr>
            <w:proofErr w:type="spellStart"/>
            <w:r w:rsidRPr="00C67737">
              <w:rPr>
                <w:rFonts w:asciiTheme="minorHAnsi" w:hAnsiTheme="minorHAnsi" w:cstheme="minorHAnsi"/>
                <w:b/>
                <w:bCs/>
                <w:color w:val="000000" w:themeColor="text1"/>
                <w:sz w:val="18"/>
                <w:szCs w:val="18"/>
              </w:rPr>
              <w:t>Status</w:t>
            </w:r>
            <w:proofErr w:type="spellEnd"/>
            <w:r w:rsidRPr="00C67737">
              <w:rPr>
                <w:rFonts w:asciiTheme="minorHAnsi" w:hAnsiTheme="minorHAnsi" w:cstheme="minorHAnsi"/>
                <w:b/>
                <w:bCs/>
                <w:color w:val="000000" w:themeColor="text1"/>
                <w:sz w:val="18"/>
                <w:szCs w:val="18"/>
              </w:rPr>
              <w:t xml:space="preserve"> of </w:t>
            </w:r>
            <w:proofErr w:type="spellStart"/>
            <w:r w:rsidRPr="00C67737">
              <w:rPr>
                <w:rFonts w:asciiTheme="minorHAnsi" w:hAnsiTheme="minorHAnsi" w:cstheme="minorHAnsi"/>
                <w:b/>
                <w:bCs/>
                <w:color w:val="000000" w:themeColor="text1"/>
                <w:sz w:val="18"/>
                <w:szCs w:val="18"/>
              </w:rPr>
              <w:t>project</w:t>
            </w:r>
            <w:proofErr w:type="spellEnd"/>
            <w:r w:rsidRPr="00C67737">
              <w:rPr>
                <w:rFonts w:asciiTheme="minorHAnsi" w:hAnsiTheme="minorHAnsi" w:cstheme="minorHAnsi"/>
                <w:b/>
                <w:bCs/>
                <w:color w:val="000000" w:themeColor="text1"/>
                <w:sz w:val="18"/>
                <w:szCs w:val="18"/>
              </w:rPr>
              <w:t xml:space="preserve"> </w:t>
            </w:r>
            <w:proofErr w:type="spellStart"/>
            <w:r w:rsidRPr="00C67737">
              <w:rPr>
                <w:rFonts w:asciiTheme="minorHAnsi" w:hAnsiTheme="minorHAnsi" w:cstheme="minorHAnsi"/>
                <w:b/>
                <w:bCs/>
                <w:color w:val="000000" w:themeColor="text1"/>
                <w:sz w:val="18"/>
                <w:szCs w:val="18"/>
              </w:rPr>
              <w:t>activities</w:t>
            </w:r>
            <w:proofErr w:type="spellEnd"/>
            <w:r w:rsidRPr="00C67737">
              <w:rPr>
                <w:rStyle w:val="FootnoteReference"/>
                <w:rFonts w:asciiTheme="minorHAnsi" w:hAnsiTheme="minorHAnsi" w:cstheme="minorHAnsi"/>
                <w:b/>
                <w:bCs/>
                <w:sz w:val="18"/>
                <w:szCs w:val="18"/>
              </w:rPr>
              <w:footnoteReference w:id="172"/>
            </w:r>
          </w:p>
        </w:tc>
      </w:tr>
      <w:tr w:rsidR="005B0ADB" w:rsidRPr="00C67737" w14:paraId="6BE95343" w14:textId="77777777" w:rsidTr="00D22022">
        <w:trPr>
          <w:trHeight w:val="585"/>
        </w:trPr>
        <w:tc>
          <w:tcPr>
            <w:tcW w:w="1223"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4412AD" w14:textId="77777777" w:rsidR="005B0ADB" w:rsidRPr="00C67737" w:rsidRDefault="005B0ADB" w:rsidP="00D22022">
            <w:pPr>
              <w:rPr>
                <w:rFonts w:cstheme="minorHAnsi"/>
              </w:rPr>
            </w:pPr>
          </w:p>
        </w:tc>
        <w:tc>
          <w:tcPr>
            <w:tcW w:w="1041"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F8D510F" w14:textId="77777777" w:rsidR="005B0ADB" w:rsidRPr="00C67737" w:rsidRDefault="005B0ADB" w:rsidP="00D22022">
            <w:pPr>
              <w:jc w:val="center"/>
              <w:rPr>
                <w:rFonts w:cstheme="minorHAnsi"/>
              </w:rPr>
            </w:pPr>
          </w:p>
        </w:tc>
        <w:tc>
          <w:tcPr>
            <w:tcW w:w="1291"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6BA0F6" w14:textId="77777777" w:rsidR="005B0ADB" w:rsidRPr="00C67737" w:rsidRDefault="005B0ADB" w:rsidP="00D22022">
            <w:pPr>
              <w:jc w:val="center"/>
              <w:rPr>
                <w:rFonts w:cstheme="minorHAnsi"/>
              </w:rPr>
            </w:pPr>
          </w:p>
        </w:tc>
        <w:tc>
          <w:tcPr>
            <w:tcW w:w="1346" w:type="dxa"/>
            <w:vMerge/>
            <w:tcBorders>
              <w:top w:val="single" w:sz="8" w:space="0" w:color="000000" w:themeColor="text1"/>
              <w:left w:val="single" w:sz="8" w:space="0" w:color="000000" w:themeColor="text1"/>
            </w:tcBorders>
            <w:vAlign w:val="center"/>
          </w:tcPr>
          <w:p w14:paraId="7B0AE883" w14:textId="77777777" w:rsidR="005B0ADB" w:rsidRPr="00C67737" w:rsidRDefault="005B0ADB" w:rsidP="00D22022">
            <w:pPr>
              <w:jc w:val="center"/>
              <w:rPr>
                <w:rFonts w:cstheme="minorHAnsi"/>
              </w:rPr>
            </w:pPr>
          </w:p>
        </w:tc>
        <w:tc>
          <w:tcPr>
            <w:tcW w:w="1069" w:type="dxa"/>
            <w:tcBorders>
              <w:top w:val="single" w:sz="8" w:space="0" w:color="000000" w:themeColor="text1"/>
              <w:left w:val="single" w:sz="8" w:space="0" w:color="000000" w:themeColor="text1"/>
              <w:bottom w:val="single" w:sz="8" w:space="0" w:color="auto"/>
              <w:right w:val="single" w:sz="8" w:space="0" w:color="auto"/>
            </w:tcBorders>
            <w:shd w:val="clear" w:color="auto" w:fill="E7E6E6"/>
            <w:tcMar>
              <w:left w:w="108" w:type="dxa"/>
              <w:right w:w="108" w:type="dxa"/>
            </w:tcMar>
            <w:vAlign w:val="center"/>
          </w:tcPr>
          <w:p w14:paraId="6C86E00D" w14:textId="77777777" w:rsidR="005B0ADB" w:rsidRPr="00C67737" w:rsidRDefault="005B0ADB" w:rsidP="00D22022">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30/06/2025</w:t>
            </w:r>
          </w:p>
        </w:tc>
        <w:tc>
          <w:tcPr>
            <w:tcW w:w="1057" w:type="dxa"/>
            <w:tcBorders>
              <w:top w:val="single" w:sz="8" w:space="0" w:color="000000" w:themeColor="text1"/>
              <w:left w:val="single" w:sz="8" w:space="0" w:color="auto"/>
              <w:bottom w:val="single" w:sz="8" w:space="0" w:color="auto"/>
              <w:right w:val="single" w:sz="8" w:space="0" w:color="auto"/>
            </w:tcBorders>
            <w:shd w:val="clear" w:color="auto" w:fill="E7E6E6"/>
            <w:tcMar>
              <w:left w:w="108" w:type="dxa"/>
              <w:right w:w="108" w:type="dxa"/>
            </w:tcMar>
            <w:vAlign w:val="center"/>
          </w:tcPr>
          <w:p w14:paraId="0D4E334F" w14:textId="77777777" w:rsidR="005B0ADB" w:rsidRPr="00C67737" w:rsidRDefault="005B0ADB" w:rsidP="00D22022">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31/12/2025</w:t>
            </w:r>
          </w:p>
        </w:tc>
        <w:tc>
          <w:tcPr>
            <w:tcW w:w="1127" w:type="dxa"/>
            <w:tcBorders>
              <w:top w:val="single" w:sz="8" w:space="0" w:color="000000" w:themeColor="text1"/>
              <w:left w:val="single" w:sz="8" w:space="0" w:color="auto"/>
              <w:bottom w:val="single" w:sz="8" w:space="0" w:color="auto"/>
              <w:right w:val="single" w:sz="8" w:space="0" w:color="auto"/>
            </w:tcBorders>
            <w:shd w:val="clear" w:color="auto" w:fill="E7E6E6"/>
            <w:tcMar>
              <w:left w:w="108" w:type="dxa"/>
              <w:right w:w="108" w:type="dxa"/>
            </w:tcMar>
            <w:vAlign w:val="center"/>
          </w:tcPr>
          <w:p w14:paraId="0C13166C" w14:textId="77777777" w:rsidR="005B0ADB" w:rsidRPr="00C67737" w:rsidRDefault="005B0ADB" w:rsidP="00D22022">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15/06/2026</w:t>
            </w:r>
          </w:p>
        </w:tc>
        <w:tc>
          <w:tcPr>
            <w:tcW w:w="1067" w:type="dxa"/>
            <w:vMerge/>
            <w:tcBorders>
              <w:top w:val="single" w:sz="8" w:space="0" w:color="000000" w:themeColor="text1"/>
              <w:right w:val="single" w:sz="8" w:space="0" w:color="000000" w:themeColor="text1"/>
            </w:tcBorders>
            <w:vAlign w:val="center"/>
          </w:tcPr>
          <w:p w14:paraId="534FF3F7" w14:textId="77777777" w:rsidR="005B0ADB" w:rsidRPr="00C67737" w:rsidRDefault="005B0ADB" w:rsidP="00D22022">
            <w:pPr>
              <w:jc w:val="center"/>
              <w:rPr>
                <w:rFonts w:cstheme="minorHAnsi"/>
              </w:rPr>
            </w:pPr>
          </w:p>
        </w:tc>
        <w:tc>
          <w:tcPr>
            <w:tcW w:w="1182"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4F368E" w14:textId="77777777" w:rsidR="005B0ADB" w:rsidRPr="00C67737" w:rsidRDefault="005B0ADB" w:rsidP="00D22022">
            <w:pPr>
              <w:jc w:val="center"/>
              <w:rPr>
                <w:rFonts w:cstheme="minorHAnsi"/>
              </w:rPr>
            </w:pPr>
          </w:p>
        </w:tc>
        <w:tc>
          <w:tcPr>
            <w:tcW w:w="2718"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ECA7AD" w14:textId="77777777" w:rsidR="005B0ADB" w:rsidRPr="00C67737" w:rsidRDefault="005B0ADB" w:rsidP="00D22022">
            <w:pPr>
              <w:rPr>
                <w:rFonts w:cstheme="minorHAnsi"/>
              </w:rPr>
            </w:pPr>
          </w:p>
        </w:tc>
      </w:tr>
      <w:tr w:rsidR="005B0ADB" w:rsidRPr="00C67737" w14:paraId="59059D1F" w14:textId="77777777" w:rsidTr="00D22022">
        <w:trPr>
          <w:trHeight w:val="810"/>
        </w:trPr>
        <w:tc>
          <w:tcPr>
            <w:tcW w:w="1223"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712C331D"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Albania</w:t>
            </w:r>
          </w:p>
        </w:tc>
        <w:tc>
          <w:tcPr>
            <w:tcW w:w="1041"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7B1D07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0B96C1C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30/09/2025</w:t>
            </w:r>
          </w:p>
          <w:p w14:paraId="31953F7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5AFC2D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D1B3E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0696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16.38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09951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16.38</w:t>
            </w:r>
          </w:p>
        </w:tc>
        <w:tc>
          <w:tcPr>
            <w:tcW w:w="1067"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6DA9E5C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29DFF8C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18/03/2026</w:t>
            </w:r>
          </w:p>
        </w:tc>
        <w:tc>
          <w:tcPr>
            <w:tcW w:w="2718"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1056BD49"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under final consultation, for submission by Q2 2026.</w:t>
            </w:r>
          </w:p>
          <w:p w14:paraId="6AA863B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1CB73F97"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6998F6"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Angola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1DE20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74ACB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7911B1B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DC2BF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8EDB0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5558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86.00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5F593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86.00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F455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44D04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74FA5"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UNEP following up on reporting requirements.</w:t>
            </w:r>
          </w:p>
        </w:tc>
      </w:tr>
      <w:tr w:rsidR="005B0ADB" w:rsidRPr="00237520" w14:paraId="1624D328"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0F44BE"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Armenia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D126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47CA0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15/05/2025</w:t>
            </w:r>
          </w:p>
          <w:p w14:paraId="501ECC8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9A452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5B62F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EFDB3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3.29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8DB9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3.29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DF6B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04/10/2026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DCA4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5E7CC"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465A6D6D"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237520" w14:paraId="4E5378FE"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C54FDE" w14:textId="77777777" w:rsidR="005B0ADB" w:rsidRPr="00C67737" w:rsidRDefault="005B0ADB" w:rsidP="00D22022">
            <w:pPr>
              <w:pStyle w:val="paragraph"/>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Azerbaijan</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95C32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D72C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25/04/2025</w:t>
            </w:r>
          </w:p>
          <w:p w14:paraId="7AD94FE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DB244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0CF15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93A68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68F9B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40A57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17B03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D0622F"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Delayed due to changes in government policies regarding project implementation by NGOs.</w:t>
            </w:r>
          </w:p>
        </w:tc>
      </w:tr>
      <w:tr w:rsidR="005B0ADB" w:rsidRPr="00C67737" w14:paraId="7E3E379D"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592E5"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Bangladesh</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1473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46C64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12/12/2025</w:t>
            </w:r>
          </w:p>
          <w:p w14:paraId="61325B5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E679C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BE14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F1E6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EA16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21A3B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91592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16DCB4"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Stakeholder consultations are ongoing.</w:t>
            </w:r>
          </w:p>
          <w:p w14:paraId="3B1DB89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68C379B2"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E870E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Benin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412DB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834B0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28/12/2026</w:t>
            </w:r>
          </w:p>
          <w:p w14:paraId="39E2101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90970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366,202.01</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FDC7D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1.37</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E98CE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1.37</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D054E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1.37</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564F4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2D22F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03/07/2026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2A64A"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7AD216D9"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C67737" w14:paraId="318135E8"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091AF"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Bosnia and </w:t>
            </w:r>
            <w:proofErr w:type="spellStart"/>
            <w:r w:rsidRPr="00C67737">
              <w:rPr>
                <w:rFonts w:asciiTheme="minorHAnsi" w:hAnsiTheme="minorHAnsi" w:cstheme="minorHAnsi"/>
                <w:color w:val="000000" w:themeColor="text1"/>
                <w:sz w:val="18"/>
                <w:szCs w:val="18"/>
              </w:rPr>
              <w:t>Herzegovina</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81AF4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2D31C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w:t>
            </w:r>
          </w:p>
          <w:p w14:paraId="44DC292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30F3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0C63B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B159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570F3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EFFCB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BEA763" w14:textId="77777777" w:rsidR="005B0ADB" w:rsidRPr="00C67737" w:rsidRDefault="005B0ADB" w:rsidP="00D22022">
            <w:pPr>
              <w:pStyle w:val="paragraph"/>
              <w:jc w:val="center"/>
              <w:rPr>
                <w:rFonts w:asciiTheme="minorHAnsi" w:hAnsiTheme="minorHAnsi" w:cstheme="minorHAnsi"/>
                <w:sz w:val="18"/>
                <w:szCs w:val="18"/>
              </w:rPr>
            </w:pP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284F9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5B0ADB">
              <w:rPr>
                <w:rFonts w:asciiTheme="minorHAnsi" w:hAnsiTheme="minorHAnsi" w:cstheme="minorHAnsi"/>
                <w:color w:val="000000" w:themeColor="text1"/>
                <w:sz w:val="18"/>
                <w:szCs w:val="18"/>
                <w:lang w:val="en-US"/>
              </w:rPr>
              <w:t>The delivery process is being finalized between the country and the UNEP.</w:t>
            </w:r>
            <w:r w:rsidRPr="005B0ADB">
              <w:rPr>
                <w:rFonts w:asciiTheme="minorHAnsi" w:hAnsiTheme="minorHAnsi" w:cstheme="minorHAnsi"/>
                <w:lang w:val="en-US"/>
              </w:rPr>
              <w:br/>
            </w:r>
            <w:r w:rsidRPr="005B0ADB">
              <w:rPr>
                <w:rFonts w:asciiTheme="minorHAnsi" w:hAnsiTheme="minorHAnsi" w:cstheme="minorHAnsi"/>
                <w:sz w:val="18"/>
                <w:szCs w:val="18"/>
                <w:lang w:val="en-US"/>
              </w:rPr>
              <w:t xml:space="preserve"> </w:t>
            </w:r>
            <w:r w:rsidRPr="005B0ADB">
              <w:rPr>
                <w:rFonts w:asciiTheme="minorHAnsi" w:hAnsiTheme="minorHAnsi" w:cstheme="minorHAnsi"/>
                <w:color w:val="000000" w:themeColor="text1"/>
                <w:sz w:val="18"/>
                <w:szCs w:val="18"/>
                <w:lang w:val="en-US"/>
              </w:rPr>
              <w:t xml:space="preserve"> </w:t>
            </w:r>
            <w:r w:rsidRPr="00C67737">
              <w:rPr>
                <w:rFonts w:asciiTheme="minorHAnsi" w:hAnsiTheme="minorHAnsi" w:cstheme="minorHAnsi"/>
                <w:color w:val="000000" w:themeColor="text1"/>
                <w:sz w:val="18"/>
                <w:szCs w:val="18"/>
              </w:rPr>
              <w:t xml:space="preserve">NBSAP and 7NR to </w:t>
            </w:r>
            <w:proofErr w:type="spellStart"/>
            <w:r w:rsidRPr="00C67737">
              <w:rPr>
                <w:rFonts w:asciiTheme="minorHAnsi" w:hAnsiTheme="minorHAnsi" w:cstheme="minorHAnsi"/>
                <w:color w:val="000000" w:themeColor="text1"/>
                <w:sz w:val="18"/>
                <w:szCs w:val="18"/>
              </w:rPr>
              <w:t>be</w:t>
            </w:r>
            <w:proofErr w:type="spellEnd"/>
            <w:r w:rsidRPr="00C67737">
              <w:rPr>
                <w:rFonts w:asciiTheme="minorHAnsi" w:hAnsiTheme="minorHAnsi" w:cstheme="minorHAnsi"/>
                <w:color w:val="000000" w:themeColor="text1"/>
                <w:sz w:val="18"/>
                <w:szCs w:val="18"/>
              </w:rPr>
              <w:t xml:space="preserve"> </w:t>
            </w:r>
            <w:proofErr w:type="spellStart"/>
            <w:r w:rsidRPr="00C67737">
              <w:rPr>
                <w:rFonts w:asciiTheme="minorHAnsi" w:hAnsiTheme="minorHAnsi" w:cstheme="minorHAnsi"/>
                <w:color w:val="000000" w:themeColor="text1"/>
                <w:sz w:val="18"/>
                <w:szCs w:val="18"/>
              </w:rPr>
              <w:t>completed</w:t>
            </w:r>
            <w:proofErr w:type="spellEnd"/>
            <w:r w:rsidRPr="00C67737">
              <w:rPr>
                <w:rFonts w:asciiTheme="minorHAnsi" w:hAnsiTheme="minorHAnsi" w:cstheme="minorHAnsi"/>
                <w:color w:val="000000" w:themeColor="text1"/>
                <w:sz w:val="18"/>
                <w:szCs w:val="18"/>
              </w:rPr>
              <w:t xml:space="preserve"> by Q4 2026.</w:t>
            </w:r>
          </w:p>
        </w:tc>
      </w:tr>
      <w:tr w:rsidR="005B0ADB" w:rsidRPr="00C67737" w14:paraId="0BA21DF3"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DE304"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Botswana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FAF33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51218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10/02/2025</w:t>
            </w:r>
          </w:p>
          <w:p w14:paraId="0B8019C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68AF3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363,281.99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5DFD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90A4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D2BF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0.72</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9BEC6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9378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15/04/2026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44FDF"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Updating underway with stakeholder consultations ongoing.</w:t>
            </w:r>
          </w:p>
          <w:p w14:paraId="4C58F45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66A334E2"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63A82D"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Burkina Faso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37A95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67D35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15/05/2025</w:t>
            </w:r>
          </w:p>
          <w:p w14:paraId="6723393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57154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362,382.59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D808E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DA640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3C3FC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0.52</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6789F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26/12/2024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2485F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337E30"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0E7CD926"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237520" w14:paraId="73A8D843"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30B724"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Burundi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EAF4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C7106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21/10/2025</w:t>
            </w:r>
          </w:p>
          <w:p w14:paraId="67CD48E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72F86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363,002.03</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B02E2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E78AD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7.39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68A4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7.39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B3079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05/01/2026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781E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8038EA"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10143E5B"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237520" w14:paraId="29572441"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7D6CD0"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Cabo Verde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445B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B4969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26/06/2025</w:t>
            </w:r>
          </w:p>
          <w:p w14:paraId="2001EF6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4A267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B1D01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7B7D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3F47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658C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E82176" w14:textId="77777777" w:rsidR="005B0ADB" w:rsidRPr="00C67737" w:rsidRDefault="005B0ADB" w:rsidP="00D22022">
            <w:pPr>
              <w:pStyle w:val="paragraph"/>
              <w:jc w:val="center"/>
              <w:rPr>
                <w:rFonts w:asciiTheme="minorHAnsi" w:hAnsiTheme="minorHAnsi" w:cstheme="minorHAnsi"/>
                <w:sz w:val="18"/>
                <w:szCs w:val="18"/>
              </w:rPr>
            </w:pP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585F92"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UNEP following up on reporting requirements.</w:t>
            </w:r>
          </w:p>
        </w:tc>
      </w:tr>
      <w:tr w:rsidR="005B0ADB" w:rsidRPr="00237520" w14:paraId="66D8EC0D"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69EA5" w14:textId="77777777" w:rsidR="005B0ADB" w:rsidRPr="00C67737" w:rsidRDefault="005B0ADB" w:rsidP="00D22022">
            <w:pPr>
              <w:pStyle w:val="paragraph"/>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lastRenderedPageBreak/>
              <w:t>Cameroon</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D0C8E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B913A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22/07/2025</w:t>
            </w:r>
          </w:p>
          <w:p w14:paraId="6433A25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E7D81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5AE20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9EB67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15.11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A871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15.11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D360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01/01/2025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FD842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2AF92"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5AD635C0"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237520" w14:paraId="1B0D1D72"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E49EBE"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Central </w:t>
            </w:r>
            <w:proofErr w:type="spellStart"/>
            <w:r w:rsidRPr="00C67737">
              <w:rPr>
                <w:rFonts w:asciiTheme="minorHAnsi" w:hAnsiTheme="minorHAnsi" w:cstheme="minorHAnsi"/>
                <w:color w:val="000000" w:themeColor="text1"/>
                <w:sz w:val="18"/>
                <w:szCs w:val="18"/>
              </w:rPr>
              <w:t>African</w:t>
            </w:r>
            <w:proofErr w:type="spellEnd"/>
            <w:r w:rsidRPr="00C67737">
              <w:rPr>
                <w:rFonts w:asciiTheme="minorHAnsi" w:hAnsiTheme="minorHAnsi" w:cstheme="minorHAnsi"/>
                <w:color w:val="000000" w:themeColor="text1"/>
                <w:sz w:val="18"/>
                <w:szCs w:val="18"/>
              </w:rPr>
              <w:t xml:space="preserve"> Republic</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AA7B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0859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26/09/2025</w:t>
            </w:r>
          </w:p>
          <w:p w14:paraId="5641226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2C17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361,810.99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557E9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0.40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78C0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0.40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F3C28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0.40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7ABB0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65599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Not </w:t>
            </w:r>
            <w:proofErr w:type="spellStart"/>
            <w:r w:rsidRPr="00C67737">
              <w:rPr>
                <w:rFonts w:asciiTheme="minorHAnsi" w:hAnsiTheme="minorHAnsi" w:cstheme="minorHAnsi"/>
                <w:color w:val="000000" w:themeColor="text1"/>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2B37EC"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to be submitted by Q2, 2026.</w:t>
            </w:r>
            <w:r w:rsidRPr="005B0ADB">
              <w:rPr>
                <w:rFonts w:asciiTheme="minorHAnsi" w:hAnsiTheme="minorHAnsi" w:cstheme="minorHAnsi"/>
                <w:lang w:val="en-US"/>
              </w:rPr>
              <w:br/>
            </w:r>
            <w:r w:rsidRPr="005B0ADB">
              <w:rPr>
                <w:rFonts w:asciiTheme="minorHAnsi" w:hAnsiTheme="minorHAnsi" w:cstheme="minorHAnsi"/>
                <w:sz w:val="18"/>
                <w:szCs w:val="18"/>
                <w:lang w:val="en-US"/>
              </w:rPr>
              <w:t xml:space="preserve"> </w:t>
            </w:r>
            <w:r w:rsidRPr="005B0ADB">
              <w:rPr>
                <w:rFonts w:asciiTheme="minorHAnsi" w:hAnsiTheme="minorHAnsi" w:cstheme="minorHAnsi"/>
                <w:color w:val="000000" w:themeColor="text1"/>
                <w:sz w:val="18"/>
                <w:szCs w:val="18"/>
                <w:lang w:val="en-US"/>
              </w:rPr>
              <w:t xml:space="preserve">  7NR to be submitted by Q2 2026.</w:t>
            </w:r>
          </w:p>
        </w:tc>
      </w:tr>
      <w:tr w:rsidR="005B0ADB" w:rsidRPr="00237520" w14:paraId="63A3D56A"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2F678B"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Chad</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A4241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0AB74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24/09/2025</w:t>
            </w:r>
          </w:p>
          <w:p w14:paraId="1C267FC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01C73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362,468.49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490D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74D48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0.54</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0B26A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0.54</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D5963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13/07/2025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F006B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19/03/2026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3E21FA"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68AA2D96"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C67737" w14:paraId="4397FE8E"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3F425D" w14:textId="77777777" w:rsidR="005B0ADB" w:rsidRPr="00C67737" w:rsidRDefault="005B0ADB" w:rsidP="00D22022">
            <w:pPr>
              <w:pStyle w:val="paragraph"/>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Comoros</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E1B11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54A2BD"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21/03/2025</w:t>
            </w:r>
          </w:p>
          <w:p w14:paraId="7AF41A8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9ABA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363,096.03</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2A984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37.06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FE21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68.30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32321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68.30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B7DDF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A34A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51C24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Country </w:t>
            </w:r>
            <w:proofErr w:type="spellStart"/>
            <w:r w:rsidRPr="00C67737">
              <w:rPr>
                <w:rFonts w:asciiTheme="minorHAnsi" w:hAnsiTheme="minorHAnsi" w:cstheme="minorHAnsi"/>
                <w:color w:val="000000" w:themeColor="text1"/>
                <w:sz w:val="18"/>
                <w:szCs w:val="18"/>
              </w:rPr>
              <w:t>finalized</w:t>
            </w:r>
            <w:proofErr w:type="spellEnd"/>
            <w:r w:rsidRPr="00C67737">
              <w:rPr>
                <w:rFonts w:asciiTheme="minorHAnsi" w:hAnsiTheme="minorHAnsi" w:cstheme="minorHAnsi"/>
                <w:color w:val="000000" w:themeColor="text1"/>
                <w:sz w:val="18"/>
                <w:szCs w:val="18"/>
              </w:rPr>
              <w:t xml:space="preserve"> NBSAP offline.</w:t>
            </w:r>
          </w:p>
        </w:tc>
      </w:tr>
      <w:tr w:rsidR="005B0ADB" w:rsidRPr="00C67737" w14:paraId="0D74312F"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D6DB8"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Cook </w:t>
            </w:r>
            <w:proofErr w:type="spellStart"/>
            <w:r w:rsidRPr="00C67737">
              <w:rPr>
                <w:rFonts w:asciiTheme="minorHAnsi" w:hAnsiTheme="minorHAnsi" w:cstheme="minorHAnsi"/>
                <w:color w:val="000000" w:themeColor="text1"/>
                <w:sz w:val="18"/>
                <w:szCs w:val="18"/>
              </w:rPr>
              <w:t>Islands</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37076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3F94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04/03/2025</w:t>
            </w:r>
          </w:p>
          <w:p w14:paraId="5C1EB9C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C944A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CC08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1.09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528B1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3.32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AE532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11.00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B91E0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15C4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FE5EBE"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Updating underway with stakeholder consultations ongoing.</w:t>
            </w:r>
          </w:p>
          <w:p w14:paraId="4685936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18EA6C38"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8F80FC"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Cote D’Ivoire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54242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FAE4F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03/10/2026</w:t>
            </w:r>
          </w:p>
          <w:p w14:paraId="7F2FF0C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3458C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ED8E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13230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34987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C9F8E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12/12/2025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5E906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D7B5FD"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626D5F35"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237520" w14:paraId="58BE2857"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464C66"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Djibouti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EDDDC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173A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07/07/2025</w:t>
            </w:r>
          </w:p>
          <w:p w14:paraId="349ECA8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CB5B8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8236E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805FD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E93F3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B6D9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8D5D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03641"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UNEP following up on reporting requirements.</w:t>
            </w:r>
            <w:r w:rsidRPr="005B0ADB">
              <w:rPr>
                <w:rFonts w:asciiTheme="minorHAnsi" w:hAnsiTheme="minorHAnsi" w:cstheme="minorHAnsi"/>
                <w:lang w:val="en-US"/>
              </w:rPr>
              <w:br/>
            </w:r>
            <w:r w:rsidRPr="005B0ADB">
              <w:rPr>
                <w:rFonts w:asciiTheme="minorHAnsi" w:hAnsiTheme="minorHAnsi" w:cstheme="minorHAnsi"/>
                <w:sz w:val="18"/>
                <w:szCs w:val="18"/>
                <w:lang w:val="en-US"/>
              </w:rPr>
              <w:t xml:space="preserve"> </w:t>
            </w:r>
            <w:r w:rsidRPr="005B0ADB">
              <w:rPr>
                <w:rFonts w:asciiTheme="minorHAnsi" w:hAnsiTheme="minorHAnsi" w:cstheme="minorHAnsi"/>
                <w:color w:val="000000" w:themeColor="text1"/>
                <w:sz w:val="18"/>
                <w:szCs w:val="18"/>
                <w:lang w:val="en-US"/>
              </w:rPr>
              <w:t xml:space="preserve">  NBSAP to be finalized by end of Q3 2026.</w:t>
            </w:r>
            <w:r w:rsidRPr="005B0ADB">
              <w:rPr>
                <w:rFonts w:asciiTheme="minorHAnsi" w:hAnsiTheme="minorHAnsi" w:cstheme="minorHAnsi"/>
                <w:lang w:val="en-US"/>
              </w:rPr>
              <w:br/>
            </w:r>
            <w:r w:rsidRPr="005B0ADB">
              <w:rPr>
                <w:rFonts w:asciiTheme="minorHAnsi" w:hAnsiTheme="minorHAnsi" w:cstheme="minorHAnsi"/>
                <w:sz w:val="18"/>
                <w:szCs w:val="18"/>
                <w:lang w:val="en-US"/>
              </w:rPr>
              <w:t xml:space="preserve"> </w:t>
            </w:r>
            <w:r w:rsidRPr="005B0ADB">
              <w:rPr>
                <w:rFonts w:asciiTheme="minorHAnsi" w:hAnsiTheme="minorHAnsi" w:cstheme="minorHAnsi"/>
                <w:color w:val="000000" w:themeColor="text1"/>
                <w:sz w:val="18"/>
                <w:szCs w:val="18"/>
                <w:lang w:val="en-US"/>
              </w:rPr>
              <w:t xml:space="preserve">  7th National Report submitted to CBD </w:t>
            </w:r>
            <w:r w:rsidRPr="005B0ADB">
              <w:rPr>
                <w:rFonts w:asciiTheme="minorHAnsi" w:hAnsiTheme="minorHAnsi" w:cstheme="minorHAnsi"/>
                <w:lang w:val="en-US"/>
              </w:rPr>
              <w:br/>
            </w:r>
            <w:r w:rsidRPr="005B0ADB">
              <w:rPr>
                <w:rFonts w:asciiTheme="minorHAnsi" w:hAnsiTheme="minorHAnsi" w:cstheme="minorHAnsi"/>
                <w:color w:val="000000" w:themeColor="text1"/>
                <w:sz w:val="18"/>
                <w:szCs w:val="18"/>
                <w:lang w:val="en-US"/>
              </w:rPr>
              <w:t xml:space="preserve">Secretariat on 06/03/2026 – </w:t>
            </w:r>
            <w:r w:rsidRPr="005B0ADB">
              <w:rPr>
                <w:rFonts w:asciiTheme="minorHAnsi" w:hAnsiTheme="minorHAnsi" w:cstheme="minorHAnsi"/>
                <w:color w:val="000000" w:themeColor="text1"/>
                <w:sz w:val="18"/>
                <w:szCs w:val="18"/>
                <w:lang w:val="en-US"/>
              </w:rPr>
              <w:lastRenderedPageBreak/>
              <w:t>technical support required to validate submission on CBD Online Reporting Tool.</w:t>
            </w:r>
          </w:p>
        </w:tc>
      </w:tr>
      <w:tr w:rsidR="005B0ADB" w:rsidRPr="00237520" w14:paraId="329CC1AD"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E6B73" w14:textId="77777777" w:rsidR="005B0ADB" w:rsidRPr="005B0ADB" w:rsidRDefault="005B0ADB" w:rsidP="00D22022">
            <w:pPr>
              <w:pStyle w:val="paragraph"/>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lastRenderedPageBreak/>
              <w:t>Democratic Republic of the Congo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0CC61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18136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26/06/2025</w:t>
            </w:r>
          </w:p>
          <w:p w14:paraId="5BAC64D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A4E4C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362,905.84</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E9258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52268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19.25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CEB9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19.25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063AC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28/07/2025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0985A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58918B"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31D42503"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237520" w14:paraId="4CB4B1BF"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EDEAB"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Equatorial </w:t>
            </w:r>
            <w:proofErr w:type="spellStart"/>
            <w:r w:rsidRPr="00C67737">
              <w:rPr>
                <w:rFonts w:asciiTheme="minorHAnsi" w:hAnsiTheme="minorHAnsi" w:cstheme="minorHAnsi"/>
                <w:color w:val="000000" w:themeColor="text1"/>
                <w:sz w:val="18"/>
                <w:szCs w:val="18"/>
              </w:rPr>
              <w:t>Guinea</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71114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B08B6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16/07/2025</w:t>
            </w:r>
          </w:p>
          <w:p w14:paraId="52E0307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FA3A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362,839.29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67C3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77FA2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4C8D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5ABB8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D9CDF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BF49FC"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4C860683"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237520" w14:paraId="1D1D3CDB"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3C447"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Eritrea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5DB41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D3414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047B457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249A7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6452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D6FFE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3C63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78E80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30/11/2025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A348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ESD- 30/08/2026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DECAC"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7NR Finalized, yet to be uploaded to the CBD’s ORT.</w:t>
            </w:r>
          </w:p>
        </w:tc>
      </w:tr>
      <w:tr w:rsidR="005B0ADB" w:rsidRPr="00C67737" w14:paraId="1A6BDDB5"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B46425"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Eswatini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296F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64C0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04/02/2025</w:t>
            </w:r>
          </w:p>
          <w:p w14:paraId="5170BC7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FB9D3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CB1B5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3.34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E5138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35.66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2BE97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35.66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A8E4A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9CE9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5829FC"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Updating underway with stakeholder consultations ongoing.</w:t>
            </w:r>
          </w:p>
          <w:p w14:paraId="3A4F974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C67737" w14:paraId="59FCE0E9"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52AD7" w14:textId="77777777" w:rsidR="005B0ADB" w:rsidRPr="00C67737" w:rsidRDefault="005B0ADB" w:rsidP="00D22022">
            <w:pPr>
              <w:pStyle w:val="paragraph"/>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Ethiopia</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E95BE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76EEE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25/04/2025</w:t>
            </w:r>
          </w:p>
          <w:p w14:paraId="73B6F84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024D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71628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14.22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DD7D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43.65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AF3F2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43.65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7B84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30/09/2025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468D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379245"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draft completed with validation underway.</w:t>
            </w:r>
          </w:p>
          <w:p w14:paraId="26F32C7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5CA7E337"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4D4022"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Fiji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A22B0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85FE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11/12/2025</w:t>
            </w:r>
          </w:p>
          <w:p w14:paraId="68636CD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536B1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03C4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5515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1EB03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5A91C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30/06/2026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9880A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ESD- 30/06/2026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C4109"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Late commencement of project activities experienced due.</w:t>
            </w:r>
          </w:p>
        </w:tc>
      </w:tr>
      <w:tr w:rsidR="005B0ADB" w:rsidRPr="00237520" w14:paraId="3F6AA3BE"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492DE"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Gabon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318F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20FD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26/01/2026</w:t>
            </w:r>
          </w:p>
          <w:p w14:paraId="15C700A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70D41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84825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8A231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12C7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43F9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31/12/2025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C7E2E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57FB4D"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submitted.</w:t>
            </w:r>
          </w:p>
          <w:p w14:paraId="455094D6"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7th NR submitted.</w:t>
            </w:r>
          </w:p>
        </w:tc>
      </w:tr>
      <w:tr w:rsidR="005B0ADB" w:rsidRPr="00C67737" w14:paraId="7483CF91"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188D3B" w14:textId="77777777" w:rsidR="005B0ADB" w:rsidRPr="00C67737" w:rsidRDefault="005B0ADB" w:rsidP="00D22022">
            <w:pPr>
              <w:pStyle w:val="paragraph"/>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lastRenderedPageBreak/>
              <w:t>Gambia</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EF0F2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24918D"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06/02/2025</w:t>
            </w:r>
          </w:p>
          <w:p w14:paraId="70F08DE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810C9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DF5A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7.81</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568D0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38.44</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6CC1E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38.44</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665A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87534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26B76"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Project proceeding as planned.</w:t>
            </w:r>
            <w:r w:rsidRPr="00223661">
              <w:rPr>
                <w:rFonts w:asciiTheme="minorHAnsi" w:hAnsiTheme="minorHAnsi" w:cstheme="minorHAnsi"/>
                <w:lang w:val="en-US"/>
              </w:rPr>
              <w:br/>
            </w:r>
            <w:r w:rsidRPr="00223661">
              <w:rPr>
                <w:rFonts w:asciiTheme="minorHAnsi" w:hAnsiTheme="minorHAnsi" w:cstheme="minorHAnsi"/>
                <w:sz w:val="18"/>
                <w:szCs w:val="18"/>
                <w:lang w:val="en-US"/>
              </w:rPr>
              <w:t xml:space="preserve"> </w:t>
            </w:r>
            <w:r w:rsidRPr="00223661">
              <w:rPr>
                <w:rFonts w:asciiTheme="minorHAnsi" w:hAnsiTheme="minorHAnsi" w:cstheme="minorHAnsi"/>
                <w:color w:val="000000" w:themeColor="text1"/>
                <w:sz w:val="18"/>
                <w:szCs w:val="18"/>
                <w:lang w:val="en-US"/>
              </w:rPr>
              <w:t xml:space="preserve"> NBSAP status: Updating underway with stakeholder consultations ongoing.</w:t>
            </w:r>
          </w:p>
          <w:p w14:paraId="25316F3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67FA0465"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ED7EC"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Georgia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6E687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9FD6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02/10/2026</w:t>
            </w:r>
          </w:p>
          <w:p w14:paraId="316A913D"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52959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0D5A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51832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20F89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EE4E2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984C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A70F13"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in planning stage, 7NR in planning stage.</w:t>
            </w:r>
          </w:p>
        </w:tc>
      </w:tr>
      <w:tr w:rsidR="005B0ADB" w:rsidRPr="00C67737" w14:paraId="6C6ED66F"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87953E"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Ghana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7563B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EFE1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21/07/2025</w:t>
            </w:r>
          </w:p>
          <w:p w14:paraId="09E6319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0A208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8F131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B513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C75CE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322E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E680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09E7A0"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Updating underway with stakeholder consultations ongoing.</w:t>
            </w:r>
          </w:p>
          <w:p w14:paraId="6907D47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73AB512B"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254E2B" w14:textId="77777777" w:rsidR="005B0ADB" w:rsidRPr="00C67737" w:rsidRDefault="005B0ADB" w:rsidP="00D22022">
            <w:pPr>
              <w:pStyle w:val="paragraph"/>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Guinea</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34AC8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CC6A7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22/04/2025</w:t>
            </w:r>
          </w:p>
          <w:p w14:paraId="611D884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023AC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362,673.39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4B69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2E56D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15.16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C72E1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15.16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40B49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01/01/2021</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5D35E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EA0DCC"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submitted.</w:t>
            </w:r>
          </w:p>
          <w:p w14:paraId="6A20495C"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7th NR submitted.</w:t>
            </w:r>
          </w:p>
        </w:tc>
      </w:tr>
      <w:tr w:rsidR="005B0ADB" w:rsidRPr="00237520" w14:paraId="05AF3A52"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55DD67" w14:textId="77777777" w:rsidR="005B0ADB" w:rsidRPr="00C67737" w:rsidRDefault="005B0ADB" w:rsidP="00D22022">
            <w:pPr>
              <w:pStyle w:val="paragraph"/>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Guinea</w:t>
            </w:r>
            <w:proofErr w:type="spellEnd"/>
            <w:r w:rsidRPr="00C67737">
              <w:rPr>
                <w:rFonts w:asciiTheme="minorHAnsi" w:hAnsiTheme="minorHAnsi" w:cstheme="minorHAnsi"/>
                <w:color w:val="000000" w:themeColor="text1"/>
                <w:sz w:val="18"/>
                <w:szCs w:val="18"/>
              </w:rPr>
              <w:t xml:space="preserve"> Bissau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B78C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F56B9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w:t>
            </w:r>
          </w:p>
          <w:p w14:paraId="012E79D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0621F2" w14:textId="77777777" w:rsidR="005B0ADB" w:rsidRPr="00C67737" w:rsidRDefault="005B0ADB" w:rsidP="00D22022">
            <w:pPr>
              <w:pStyle w:val="paragraph"/>
              <w:jc w:val="center"/>
              <w:rPr>
                <w:rFonts w:asciiTheme="minorHAnsi" w:hAnsiTheme="minorHAnsi" w:cstheme="minorHAnsi"/>
                <w:sz w:val="18"/>
                <w:szCs w:val="18"/>
              </w:rPr>
            </w:pP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513B1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6038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2482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5FE0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8ECC1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38C374"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Country to submit project cooperation agreement documents to UNEP.</w:t>
            </w:r>
          </w:p>
        </w:tc>
      </w:tr>
      <w:tr w:rsidR="005B0ADB" w:rsidRPr="00C67737" w14:paraId="3886FD93"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5D14F6"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Kenya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F9EB8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E2CF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13/03/2026</w:t>
            </w:r>
          </w:p>
          <w:p w14:paraId="319F775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B2114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CE3D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DD19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EFC02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AAF6D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CBDD0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EA8633"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Updating underway with stakeholder consultations ongoing.</w:t>
            </w:r>
          </w:p>
          <w:p w14:paraId="112AF85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C67737" w14:paraId="4B962762"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AB88F"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Kiribati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71CB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257F5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21/07/2025</w:t>
            </w:r>
          </w:p>
          <w:p w14:paraId="3793AF0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AEB21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F3746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C4540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D9540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78B01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904C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ESD- 31/12/2026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921A1"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Updating underway with stakeholder consultations ongoing.</w:t>
            </w:r>
          </w:p>
          <w:p w14:paraId="1E5C077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7</w:t>
            </w:r>
            <w:r w:rsidRPr="00C67737">
              <w:rPr>
                <w:rFonts w:asciiTheme="minorHAnsi" w:hAnsiTheme="minorHAnsi" w:cstheme="minorHAnsi"/>
                <w:color w:val="000000" w:themeColor="text1"/>
                <w:sz w:val="18"/>
                <w:szCs w:val="18"/>
                <w:vertAlign w:val="superscript"/>
              </w:rPr>
              <w:t>th</w:t>
            </w:r>
            <w:r w:rsidRPr="00C67737">
              <w:rPr>
                <w:rFonts w:asciiTheme="minorHAnsi" w:hAnsiTheme="minorHAnsi" w:cstheme="minorHAnsi"/>
                <w:color w:val="000000" w:themeColor="text1"/>
                <w:sz w:val="18"/>
                <w:szCs w:val="18"/>
              </w:rPr>
              <w:t xml:space="preserve"> NR on </w:t>
            </w:r>
            <w:proofErr w:type="spellStart"/>
            <w:r w:rsidRPr="00C67737">
              <w:rPr>
                <w:rFonts w:asciiTheme="minorHAnsi" w:hAnsiTheme="minorHAnsi" w:cstheme="minorHAnsi"/>
                <w:color w:val="000000" w:themeColor="text1"/>
                <w:sz w:val="18"/>
                <w:szCs w:val="18"/>
              </w:rPr>
              <w:t>preparation</w:t>
            </w:r>
            <w:proofErr w:type="spellEnd"/>
          </w:p>
        </w:tc>
      </w:tr>
      <w:tr w:rsidR="005B0ADB" w:rsidRPr="00237520" w14:paraId="3D62696C"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1B051"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Lesotho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860BD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80E69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3F1BCEA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3D0B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FB7DA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12.38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0F98A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12.38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61031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12.38</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C10FF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05/03/2026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8EDC9D"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23100"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submitted.</w:t>
            </w:r>
          </w:p>
          <w:p w14:paraId="3B0EAF28"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7th NR submitted.</w:t>
            </w:r>
          </w:p>
        </w:tc>
      </w:tr>
      <w:tr w:rsidR="005B0ADB" w:rsidRPr="00C67737" w14:paraId="7EEB800A"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73308D"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Liberia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1A3C4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8673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28/01/2025</w:t>
            </w:r>
          </w:p>
          <w:p w14:paraId="2DEB50D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88142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79044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A65D9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1CB2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BEB8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46F81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8CC6C"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draft completed with validation underway.</w:t>
            </w:r>
          </w:p>
          <w:p w14:paraId="79B70FF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4FFFE02A"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9C0AA0"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Madagascar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073D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79DA0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15/05/2025</w:t>
            </w:r>
          </w:p>
          <w:p w14:paraId="3EADF1D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4BBC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363,297.55</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43700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D3D4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33.83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95390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33.83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BA29D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12/01/2026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E33A6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4538F8"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submitted.</w:t>
            </w:r>
          </w:p>
          <w:p w14:paraId="2BA765FA"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7th NR submitted.</w:t>
            </w:r>
          </w:p>
        </w:tc>
      </w:tr>
      <w:tr w:rsidR="005B0ADB" w:rsidRPr="00C67737" w14:paraId="50FA1640"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479BE0"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Malawi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33BA7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84414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22/04/2025</w:t>
            </w:r>
          </w:p>
          <w:p w14:paraId="3FC89AB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4C74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362,985.59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DFCB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9486A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FE281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5473B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6FA6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214EF5"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Updating underway with stakeholder consultations ongoing.</w:t>
            </w:r>
          </w:p>
          <w:p w14:paraId="26DEEB6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C67737" w14:paraId="37701B2A"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347FCD"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Mali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179A2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82FE8D"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24/07/2025</w:t>
            </w:r>
          </w:p>
          <w:p w14:paraId="0A6C3C4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50DCC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1F96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3AF40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AFE50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1A0B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EA91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B1001"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UNEP following up on reporting requirements.</w:t>
            </w:r>
          </w:p>
          <w:p w14:paraId="12C1FF6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666C80B7"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EE0B0"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Marshall </w:t>
            </w:r>
            <w:proofErr w:type="spellStart"/>
            <w:r w:rsidRPr="00C67737">
              <w:rPr>
                <w:rFonts w:asciiTheme="minorHAnsi" w:hAnsiTheme="minorHAnsi" w:cstheme="minorHAnsi"/>
                <w:color w:val="000000" w:themeColor="text1"/>
                <w:sz w:val="18"/>
                <w:szCs w:val="18"/>
              </w:rPr>
              <w:t>Islands</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8EB64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F287D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19/08/2025</w:t>
            </w:r>
          </w:p>
          <w:p w14:paraId="7951639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65C18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BE9B6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5BC6A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E1F75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DBE28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D7DC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1E1792"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submitted.</w:t>
            </w:r>
          </w:p>
          <w:p w14:paraId="6F7B40A9"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7th NR submitted.</w:t>
            </w:r>
          </w:p>
        </w:tc>
      </w:tr>
      <w:tr w:rsidR="005B0ADB" w:rsidRPr="00237520" w14:paraId="3294D896"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2C6EB" w14:textId="77777777" w:rsidR="005B0ADB" w:rsidRPr="00C67737" w:rsidRDefault="005B0ADB" w:rsidP="00D22022">
            <w:pPr>
              <w:pStyle w:val="paragraph"/>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Micronesia</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E6086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E1C8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16/07/2025</w:t>
            </w:r>
          </w:p>
          <w:p w14:paraId="02F96CA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C9A43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AEE87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191D6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8AFCF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89C0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2686C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06/03/2026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0CFF51" w14:textId="77777777" w:rsidR="005B0ADB" w:rsidRPr="00223661" w:rsidRDefault="005B0ADB" w:rsidP="00D22022">
            <w:pPr>
              <w:pStyle w:val="paragraph"/>
              <w:jc w:val="center"/>
              <w:rPr>
                <w:rFonts w:asciiTheme="minorHAnsi" w:hAnsiTheme="minorHAnsi" w:cstheme="minorHAnsi"/>
                <w:sz w:val="18"/>
                <w:szCs w:val="18"/>
                <w:lang w:val="en-US"/>
              </w:rPr>
            </w:pPr>
          </w:p>
          <w:p w14:paraId="6EABB8C4"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lastRenderedPageBreak/>
              <w:t>NBSAP status: Updating underway with stakeholder consultations ongoing.</w:t>
            </w:r>
          </w:p>
          <w:p w14:paraId="4CDC1816"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w:t>
            </w:r>
            <w:r w:rsidRPr="00223661">
              <w:rPr>
                <w:rFonts w:asciiTheme="minorHAnsi" w:hAnsiTheme="minorHAnsi" w:cstheme="minorHAnsi"/>
                <w:color w:val="000000" w:themeColor="text1"/>
                <w:sz w:val="18"/>
                <w:szCs w:val="18"/>
                <w:vertAlign w:val="superscript"/>
                <w:lang w:val="en-US"/>
              </w:rPr>
              <w:t>th</w:t>
            </w:r>
            <w:r w:rsidRPr="00223661">
              <w:rPr>
                <w:rFonts w:asciiTheme="minorHAnsi" w:hAnsiTheme="minorHAnsi" w:cstheme="minorHAnsi"/>
                <w:color w:val="000000" w:themeColor="text1"/>
                <w:sz w:val="18"/>
                <w:szCs w:val="18"/>
                <w:lang w:val="en-US"/>
              </w:rPr>
              <w:t xml:space="preserve"> NR in preparation. </w:t>
            </w:r>
            <w:r w:rsidRPr="00223661">
              <w:rPr>
                <w:rFonts w:asciiTheme="minorHAnsi" w:hAnsiTheme="minorHAnsi" w:cstheme="minorHAnsi"/>
                <w:lang w:val="en-US"/>
              </w:rPr>
              <w:br/>
            </w:r>
            <w:r w:rsidRPr="00223661">
              <w:rPr>
                <w:rFonts w:asciiTheme="minorHAnsi" w:hAnsiTheme="minorHAnsi" w:cstheme="minorHAnsi"/>
                <w:color w:val="000000" w:themeColor="text1"/>
                <w:sz w:val="18"/>
                <w:szCs w:val="18"/>
                <w:lang w:val="en-US"/>
              </w:rPr>
              <w:t>Delay due to change of personnel at country level.</w:t>
            </w:r>
          </w:p>
        </w:tc>
      </w:tr>
      <w:tr w:rsidR="005B0ADB" w:rsidRPr="00237520" w14:paraId="7E14B9B5"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45CF1B"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Moldova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2705C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50A9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09/03/2025</w:t>
            </w:r>
          </w:p>
          <w:p w14:paraId="1E4338E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B337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230B0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A72A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BDD84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EBA4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20/10/2024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D7FF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8269AA"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submitted.</w:t>
            </w:r>
          </w:p>
          <w:p w14:paraId="2B1C772D"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7th NR submitted.</w:t>
            </w:r>
          </w:p>
        </w:tc>
      </w:tr>
      <w:tr w:rsidR="005B0ADB" w:rsidRPr="00237520" w14:paraId="074902B1"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255614"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Montenegro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42AE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CE166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26/06/2026</w:t>
            </w:r>
          </w:p>
          <w:p w14:paraId="7D3EB31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8E68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17DF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2A8FA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4C2C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40CAA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AF5E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A98B12"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The delivery process is being finalized between the country and the UNEP.</w:t>
            </w:r>
          </w:p>
        </w:tc>
      </w:tr>
      <w:tr w:rsidR="005B0ADB" w:rsidRPr="00C67737" w14:paraId="02BB5642"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F8E8EA"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Mozambique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0C1DB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DCE4F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2A49091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E68B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363,314.98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34C2A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363,314.98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1D1A2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81F41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7DAB4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0.73</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1FF6D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C82B9"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UNEP following up on reporting requirements.</w:t>
            </w:r>
          </w:p>
          <w:p w14:paraId="383FCD7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13EA88A2"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8E2A3"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Namibia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B7E0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2FACB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24/04/2025</w:t>
            </w:r>
          </w:p>
          <w:p w14:paraId="6B01A2D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D14BC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364,135.88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54EF5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0.91</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6E41C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DE6E7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FEE9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2101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213E3D"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submitted.</w:t>
            </w:r>
          </w:p>
          <w:p w14:paraId="305DA75E"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7th NR submitted.</w:t>
            </w:r>
          </w:p>
        </w:tc>
      </w:tr>
      <w:tr w:rsidR="005B0ADB" w:rsidRPr="00237520" w14:paraId="0D4AB84D"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86D45"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Nauru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D4AF4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5628D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13/06/2025</w:t>
            </w:r>
          </w:p>
          <w:p w14:paraId="056A84D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77354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364,296.77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4494D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0.95</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0F4CC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01697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38387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B5AE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ESD- 31/12/2026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3B9E7F"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Updating underway with stakeholder consultations ongoing.</w:t>
            </w:r>
          </w:p>
          <w:p w14:paraId="323C3FA9"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w:t>
            </w:r>
            <w:r w:rsidRPr="00223661">
              <w:rPr>
                <w:rFonts w:asciiTheme="minorHAnsi" w:hAnsiTheme="minorHAnsi" w:cstheme="minorHAnsi"/>
                <w:color w:val="000000" w:themeColor="text1"/>
                <w:sz w:val="18"/>
                <w:szCs w:val="18"/>
                <w:vertAlign w:val="superscript"/>
                <w:lang w:val="en-US"/>
              </w:rPr>
              <w:t>th</w:t>
            </w:r>
            <w:r w:rsidRPr="00223661">
              <w:rPr>
                <w:rFonts w:asciiTheme="minorHAnsi" w:hAnsiTheme="minorHAnsi" w:cstheme="minorHAnsi"/>
                <w:color w:val="000000" w:themeColor="text1"/>
                <w:sz w:val="18"/>
                <w:szCs w:val="18"/>
                <w:lang w:val="en-US"/>
              </w:rPr>
              <w:t xml:space="preserve"> NR on preparation</w:t>
            </w:r>
          </w:p>
          <w:p w14:paraId="4C6301D9"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Delay experienced due to late commencement of activities.</w:t>
            </w:r>
          </w:p>
        </w:tc>
      </w:tr>
      <w:tr w:rsidR="005B0ADB" w:rsidRPr="00237520" w14:paraId="55366964"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D2CFB"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Nicaragua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0345D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9B2CD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w:t>
            </w:r>
          </w:p>
          <w:p w14:paraId="4D13DE9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F205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7BEF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86912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7C5E1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31692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9CA34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3018DB"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Country to revise and submit project cooperation agreement documents to UNEP.</w:t>
            </w:r>
          </w:p>
        </w:tc>
      </w:tr>
      <w:tr w:rsidR="005B0ADB" w:rsidRPr="00C67737" w14:paraId="5C479622"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760762"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Niger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05FD3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CFECD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28/03/2025</w:t>
            </w:r>
          </w:p>
          <w:p w14:paraId="55BCCC7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FDE1F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427,500.00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D221D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29.73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9D50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64.68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1F55A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74.21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2599C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9EE7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D3BE4"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UNEP following up on reporting requirements.</w:t>
            </w:r>
          </w:p>
          <w:p w14:paraId="6C3F87B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0A97792F"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777FC"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Nigeria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A2CC0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9D4F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05/08/2025</w:t>
            </w:r>
          </w:p>
          <w:p w14:paraId="07EC49A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D21C1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427,500.00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8BFCA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14.55</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7DD1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71.23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99C06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71.23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78063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18/06/2025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3460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F2FA93"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submitted.</w:t>
            </w:r>
          </w:p>
          <w:p w14:paraId="3983A681"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7th NR submitted.</w:t>
            </w:r>
          </w:p>
        </w:tc>
      </w:tr>
      <w:tr w:rsidR="005B0ADB" w:rsidRPr="00237520" w14:paraId="7A7EF2F9"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10BD23"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Niue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4E95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E891BD"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12/11/2025</w:t>
            </w:r>
          </w:p>
          <w:p w14:paraId="522BBF0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4D22D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3DE5F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AC5BE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4E435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79869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E2F7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FE0CB"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Updating underway with stakeholder consultations ongoing.</w:t>
            </w:r>
          </w:p>
          <w:p w14:paraId="0CBF8944"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w:t>
            </w:r>
            <w:r w:rsidRPr="00223661">
              <w:rPr>
                <w:rFonts w:asciiTheme="minorHAnsi" w:hAnsiTheme="minorHAnsi" w:cstheme="minorHAnsi"/>
                <w:color w:val="000000" w:themeColor="text1"/>
                <w:sz w:val="18"/>
                <w:szCs w:val="18"/>
                <w:vertAlign w:val="superscript"/>
                <w:lang w:val="en-US"/>
              </w:rPr>
              <w:t>th</w:t>
            </w:r>
            <w:r w:rsidRPr="00223661">
              <w:rPr>
                <w:rFonts w:asciiTheme="minorHAnsi" w:hAnsiTheme="minorHAnsi" w:cstheme="minorHAnsi"/>
                <w:color w:val="000000" w:themeColor="text1"/>
                <w:sz w:val="18"/>
                <w:szCs w:val="18"/>
                <w:lang w:val="en-US"/>
              </w:rPr>
              <w:t xml:space="preserve"> NR on preparation</w:t>
            </w:r>
          </w:p>
          <w:p w14:paraId="2B01AE0D"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Delay experienced due to late commencement of activities.</w:t>
            </w:r>
          </w:p>
        </w:tc>
      </w:tr>
      <w:tr w:rsidR="005B0ADB" w:rsidRPr="00C67737" w14:paraId="0AE03276"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3C3AE2"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North Macedonia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BD6D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5D5E0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w:t>
            </w:r>
          </w:p>
          <w:p w14:paraId="4FEE0D2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7BC21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D1271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D6B06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39EE5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78EBF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01990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589F3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223661">
              <w:rPr>
                <w:rFonts w:asciiTheme="minorHAnsi" w:hAnsiTheme="minorHAnsi" w:cstheme="minorHAnsi"/>
                <w:color w:val="000000" w:themeColor="text1"/>
                <w:sz w:val="18"/>
                <w:szCs w:val="18"/>
                <w:lang w:val="en-US"/>
              </w:rPr>
              <w:t xml:space="preserve">The Country has identified a local partner and agreement signed between UNEP and Partner on June 23, 2026. </w:t>
            </w:r>
            <w:proofErr w:type="spellStart"/>
            <w:r w:rsidRPr="00C67737">
              <w:rPr>
                <w:rFonts w:asciiTheme="minorHAnsi" w:hAnsiTheme="minorHAnsi" w:cstheme="minorHAnsi"/>
                <w:color w:val="000000" w:themeColor="text1"/>
                <w:sz w:val="18"/>
                <w:szCs w:val="18"/>
              </w:rPr>
              <w:t>Fund</w:t>
            </w:r>
            <w:proofErr w:type="spellEnd"/>
            <w:r w:rsidRPr="00C67737">
              <w:rPr>
                <w:rFonts w:asciiTheme="minorHAnsi" w:hAnsiTheme="minorHAnsi" w:cstheme="minorHAnsi"/>
                <w:color w:val="000000" w:themeColor="text1"/>
                <w:sz w:val="18"/>
                <w:szCs w:val="18"/>
              </w:rPr>
              <w:t xml:space="preserve"> </w:t>
            </w:r>
            <w:proofErr w:type="spellStart"/>
            <w:r w:rsidRPr="00C67737">
              <w:rPr>
                <w:rFonts w:asciiTheme="minorHAnsi" w:hAnsiTheme="minorHAnsi" w:cstheme="minorHAnsi"/>
                <w:color w:val="000000" w:themeColor="text1"/>
                <w:sz w:val="18"/>
                <w:szCs w:val="18"/>
              </w:rPr>
              <w:t>disbursement</w:t>
            </w:r>
            <w:proofErr w:type="spellEnd"/>
            <w:r w:rsidRPr="00C67737">
              <w:rPr>
                <w:rFonts w:asciiTheme="minorHAnsi" w:hAnsiTheme="minorHAnsi" w:cstheme="minorHAnsi"/>
                <w:color w:val="000000" w:themeColor="text1"/>
                <w:sz w:val="18"/>
                <w:szCs w:val="18"/>
              </w:rPr>
              <w:t xml:space="preserve"> </w:t>
            </w:r>
            <w:proofErr w:type="spellStart"/>
            <w:r w:rsidRPr="00C67737">
              <w:rPr>
                <w:rFonts w:asciiTheme="minorHAnsi" w:hAnsiTheme="minorHAnsi" w:cstheme="minorHAnsi"/>
                <w:color w:val="000000" w:themeColor="text1"/>
                <w:sz w:val="18"/>
                <w:szCs w:val="18"/>
              </w:rPr>
              <w:t>is</w:t>
            </w:r>
            <w:proofErr w:type="spellEnd"/>
            <w:r w:rsidRPr="00C67737">
              <w:rPr>
                <w:rFonts w:asciiTheme="minorHAnsi" w:hAnsiTheme="minorHAnsi" w:cstheme="minorHAnsi"/>
                <w:color w:val="000000" w:themeColor="text1"/>
                <w:sz w:val="18"/>
                <w:szCs w:val="18"/>
              </w:rPr>
              <w:t xml:space="preserve"> </w:t>
            </w:r>
            <w:proofErr w:type="spellStart"/>
            <w:r w:rsidRPr="00C67737">
              <w:rPr>
                <w:rFonts w:asciiTheme="minorHAnsi" w:hAnsiTheme="minorHAnsi" w:cstheme="minorHAnsi"/>
                <w:color w:val="000000" w:themeColor="text1"/>
                <w:sz w:val="18"/>
                <w:szCs w:val="18"/>
              </w:rPr>
              <w:t>ongoing</w:t>
            </w:r>
            <w:proofErr w:type="spellEnd"/>
            <w:r w:rsidRPr="00C67737">
              <w:rPr>
                <w:rFonts w:asciiTheme="minorHAnsi" w:hAnsiTheme="minorHAnsi" w:cstheme="minorHAnsi"/>
                <w:color w:val="000000" w:themeColor="text1"/>
                <w:sz w:val="18"/>
                <w:szCs w:val="18"/>
              </w:rPr>
              <w:t>.</w:t>
            </w:r>
          </w:p>
        </w:tc>
      </w:tr>
      <w:tr w:rsidR="005B0ADB" w:rsidRPr="00C67737" w14:paraId="4BA0B36F"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FC7E8E"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Palau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8FF57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79A1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27/12/2025</w:t>
            </w:r>
          </w:p>
          <w:p w14:paraId="3F6F140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5F7EA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8A6BB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52206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B28EC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C1CF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90242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869CC"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Updating underway with stakeholder consultations ongoing.</w:t>
            </w:r>
          </w:p>
          <w:p w14:paraId="488FB1B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C67737" w14:paraId="418943EB"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084E2"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Qatar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C6D0F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4B0E6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19/03/2026</w:t>
            </w:r>
          </w:p>
          <w:p w14:paraId="4774AFF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F0D5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008DF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2124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93B1F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20175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2C5C0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3DA01"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Updating underway with stakeholder consultations ongoing.</w:t>
            </w:r>
          </w:p>
          <w:p w14:paraId="295F213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72211DCF"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FF7685"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Republic of Congo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72B89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203E6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30/03/2026</w:t>
            </w:r>
          </w:p>
          <w:p w14:paraId="34064B6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6CC4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362,716.18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57022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F9731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C1481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79B9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31/12/2025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96FE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E6247D"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submitted.</w:t>
            </w:r>
          </w:p>
          <w:p w14:paraId="3312C520"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7th NR submitted.</w:t>
            </w:r>
          </w:p>
        </w:tc>
      </w:tr>
      <w:tr w:rsidR="005B0ADB" w:rsidRPr="00237520" w14:paraId="13AE0148"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818F72"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Rwanda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69155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5112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10/06/2025</w:t>
            </w:r>
          </w:p>
          <w:p w14:paraId="4650283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3830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73E9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A3CB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591CD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B4397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07/10/2025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0CC65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220872"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NBSAP status: submitted.</w:t>
            </w:r>
          </w:p>
          <w:p w14:paraId="4AAAC0A9" w14:textId="77777777" w:rsidR="005B0ADB" w:rsidRPr="00223661" w:rsidRDefault="005B0ADB" w:rsidP="00D22022">
            <w:pPr>
              <w:pStyle w:val="paragraph"/>
              <w:jc w:val="center"/>
              <w:rPr>
                <w:rFonts w:asciiTheme="minorHAnsi" w:hAnsiTheme="minorHAnsi" w:cstheme="minorHAnsi"/>
                <w:color w:val="000000" w:themeColor="text1"/>
                <w:sz w:val="18"/>
                <w:szCs w:val="18"/>
                <w:lang w:val="en-US"/>
              </w:rPr>
            </w:pPr>
            <w:r w:rsidRPr="00223661">
              <w:rPr>
                <w:rFonts w:asciiTheme="minorHAnsi" w:hAnsiTheme="minorHAnsi" w:cstheme="minorHAnsi"/>
                <w:color w:val="000000" w:themeColor="text1"/>
                <w:sz w:val="18"/>
                <w:szCs w:val="18"/>
                <w:lang w:val="en-US"/>
              </w:rPr>
              <w:t>7</w:t>
            </w:r>
            <w:r w:rsidRPr="00223661">
              <w:rPr>
                <w:rFonts w:asciiTheme="minorHAnsi" w:hAnsiTheme="minorHAnsi" w:cstheme="minorHAnsi"/>
                <w:color w:val="000000" w:themeColor="text1"/>
                <w:sz w:val="18"/>
                <w:szCs w:val="18"/>
                <w:vertAlign w:val="superscript"/>
                <w:lang w:val="en-US"/>
              </w:rPr>
              <w:t>th</w:t>
            </w:r>
            <w:r w:rsidRPr="00223661">
              <w:rPr>
                <w:rFonts w:asciiTheme="minorHAnsi" w:hAnsiTheme="minorHAnsi" w:cstheme="minorHAnsi"/>
                <w:color w:val="000000" w:themeColor="text1"/>
                <w:sz w:val="18"/>
                <w:szCs w:val="18"/>
                <w:lang w:val="en-US"/>
              </w:rPr>
              <w:t xml:space="preserve"> NR preparation is underway with national stakeholder consultations ongoing.</w:t>
            </w:r>
            <w:r w:rsidRPr="00223661">
              <w:rPr>
                <w:rFonts w:asciiTheme="minorHAnsi" w:hAnsiTheme="minorHAnsi" w:cstheme="minorHAnsi"/>
                <w:lang w:val="en-US"/>
              </w:rPr>
              <w:br/>
            </w:r>
            <w:r w:rsidRPr="00223661">
              <w:rPr>
                <w:rFonts w:asciiTheme="minorHAnsi" w:hAnsiTheme="minorHAnsi" w:cstheme="minorHAnsi"/>
                <w:sz w:val="18"/>
                <w:szCs w:val="18"/>
                <w:lang w:val="en-US"/>
              </w:rPr>
              <w:t xml:space="preserve"> </w:t>
            </w:r>
            <w:r w:rsidRPr="00223661">
              <w:rPr>
                <w:rFonts w:asciiTheme="minorHAnsi" w:hAnsiTheme="minorHAnsi" w:cstheme="minorHAnsi"/>
                <w:color w:val="000000" w:themeColor="text1"/>
                <w:sz w:val="18"/>
                <w:szCs w:val="18"/>
                <w:lang w:val="en-US"/>
              </w:rPr>
              <w:t xml:space="preserve"> Delay in submission of 7</w:t>
            </w:r>
            <w:r w:rsidRPr="00223661">
              <w:rPr>
                <w:rFonts w:asciiTheme="minorHAnsi" w:hAnsiTheme="minorHAnsi" w:cstheme="minorHAnsi"/>
                <w:color w:val="000000" w:themeColor="text1"/>
                <w:sz w:val="18"/>
                <w:szCs w:val="18"/>
                <w:vertAlign w:val="superscript"/>
                <w:lang w:val="en-US"/>
              </w:rPr>
              <w:t>th</w:t>
            </w:r>
            <w:r w:rsidRPr="00223661">
              <w:rPr>
                <w:rFonts w:asciiTheme="minorHAnsi" w:hAnsiTheme="minorHAnsi" w:cstheme="minorHAnsi"/>
                <w:color w:val="000000" w:themeColor="text1"/>
                <w:sz w:val="18"/>
                <w:szCs w:val="18"/>
                <w:lang w:val="en-US"/>
              </w:rPr>
              <w:t xml:space="preserve"> NR due to national procurement challenges.</w:t>
            </w:r>
          </w:p>
        </w:tc>
      </w:tr>
      <w:tr w:rsidR="005B0ADB" w:rsidRPr="00C67737" w14:paraId="734CD2AE"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73D5EA"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Sao Tomé and Principe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E232A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BEC0F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17/12/2025</w:t>
            </w:r>
          </w:p>
          <w:p w14:paraId="3FFD53F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8BFAB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1DDDE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D5B86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106C6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BD0E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2B440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DDAD4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223661">
              <w:rPr>
                <w:rFonts w:asciiTheme="minorHAnsi" w:hAnsiTheme="minorHAnsi" w:cstheme="minorHAnsi"/>
                <w:color w:val="000000" w:themeColor="text1"/>
                <w:sz w:val="18"/>
                <w:szCs w:val="18"/>
                <w:lang w:val="en-US"/>
              </w:rPr>
              <w:t>UNEP following up on reporting requirements.</w:t>
            </w:r>
            <w:r w:rsidRPr="00223661">
              <w:rPr>
                <w:rFonts w:asciiTheme="minorHAnsi" w:hAnsiTheme="minorHAnsi" w:cstheme="minorHAnsi"/>
                <w:lang w:val="en-US"/>
              </w:rPr>
              <w:br/>
            </w:r>
            <w:r w:rsidRPr="00223661">
              <w:rPr>
                <w:rFonts w:asciiTheme="minorHAnsi" w:hAnsiTheme="minorHAnsi" w:cstheme="minorHAnsi"/>
                <w:sz w:val="18"/>
                <w:szCs w:val="18"/>
                <w:lang w:val="en-US"/>
              </w:rPr>
              <w:t xml:space="preserve"> </w:t>
            </w:r>
            <w:r w:rsidRPr="00223661">
              <w:rPr>
                <w:rFonts w:asciiTheme="minorHAnsi" w:hAnsiTheme="minorHAnsi" w:cstheme="minorHAnsi"/>
                <w:color w:val="000000" w:themeColor="text1"/>
                <w:sz w:val="18"/>
                <w:szCs w:val="18"/>
                <w:lang w:val="en-US"/>
              </w:rPr>
              <w:t xml:space="preserve"> NBSAP to be submitted by end of Q2 2026.</w:t>
            </w:r>
            <w:r w:rsidRPr="00223661">
              <w:rPr>
                <w:rFonts w:asciiTheme="minorHAnsi" w:hAnsiTheme="minorHAnsi" w:cstheme="minorHAnsi"/>
                <w:lang w:val="en-US"/>
              </w:rPr>
              <w:br/>
            </w:r>
            <w:r w:rsidRPr="00223661">
              <w:rPr>
                <w:rFonts w:asciiTheme="minorHAnsi" w:hAnsiTheme="minorHAnsi" w:cstheme="minorHAnsi"/>
                <w:sz w:val="18"/>
                <w:szCs w:val="18"/>
                <w:lang w:val="en-US"/>
              </w:rPr>
              <w:t xml:space="preserve"> </w:t>
            </w:r>
            <w:r w:rsidRPr="00223661">
              <w:rPr>
                <w:rFonts w:asciiTheme="minorHAnsi" w:hAnsiTheme="minorHAnsi" w:cstheme="minorHAnsi"/>
                <w:color w:val="000000" w:themeColor="text1"/>
                <w:sz w:val="18"/>
                <w:szCs w:val="18"/>
                <w:lang w:val="en-US"/>
              </w:rPr>
              <w:t xml:space="preserve"> </w:t>
            </w:r>
            <w:r w:rsidRPr="00C67737">
              <w:rPr>
                <w:rFonts w:asciiTheme="minorHAnsi" w:hAnsiTheme="minorHAnsi" w:cstheme="minorHAnsi"/>
                <w:color w:val="000000" w:themeColor="text1"/>
                <w:sz w:val="18"/>
                <w:szCs w:val="18"/>
              </w:rPr>
              <w:t>7</w:t>
            </w:r>
            <w:r w:rsidRPr="00C67737">
              <w:rPr>
                <w:rFonts w:asciiTheme="minorHAnsi" w:hAnsiTheme="minorHAnsi" w:cstheme="minorHAnsi"/>
                <w:color w:val="000000" w:themeColor="text1"/>
                <w:sz w:val="18"/>
                <w:szCs w:val="18"/>
                <w:vertAlign w:val="superscript"/>
              </w:rPr>
              <w:t>th</w:t>
            </w:r>
            <w:r w:rsidRPr="00C67737">
              <w:rPr>
                <w:rFonts w:asciiTheme="minorHAnsi" w:hAnsiTheme="minorHAnsi" w:cstheme="minorHAnsi"/>
                <w:color w:val="000000" w:themeColor="text1"/>
                <w:sz w:val="18"/>
                <w:szCs w:val="18"/>
              </w:rPr>
              <w:t xml:space="preserve"> NR to </w:t>
            </w:r>
            <w:proofErr w:type="spellStart"/>
            <w:r w:rsidRPr="00C67737">
              <w:rPr>
                <w:rFonts w:asciiTheme="minorHAnsi" w:hAnsiTheme="minorHAnsi" w:cstheme="minorHAnsi"/>
                <w:color w:val="000000" w:themeColor="text1"/>
                <w:sz w:val="18"/>
                <w:szCs w:val="18"/>
              </w:rPr>
              <w:t>be</w:t>
            </w:r>
            <w:proofErr w:type="spellEnd"/>
            <w:r w:rsidRPr="00C67737">
              <w:rPr>
                <w:rFonts w:asciiTheme="minorHAnsi" w:hAnsiTheme="minorHAnsi" w:cstheme="minorHAnsi"/>
                <w:color w:val="000000" w:themeColor="text1"/>
                <w:sz w:val="18"/>
                <w:szCs w:val="18"/>
              </w:rPr>
              <w:t xml:space="preserve">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 xml:space="preserve"> by end Q2 2026.</w:t>
            </w:r>
          </w:p>
        </w:tc>
      </w:tr>
      <w:tr w:rsidR="005B0ADB" w:rsidRPr="00237520" w14:paraId="56B44075"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B5A44"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Senegal</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2C2B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3A79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0B70200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A32F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D1257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2.70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96040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47.75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24EE7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47.75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DDED8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ED3B4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076B88"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NBSAP status: submitted.</w:t>
            </w:r>
          </w:p>
          <w:p w14:paraId="6DB51359"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7th NR submitted.</w:t>
            </w:r>
          </w:p>
        </w:tc>
      </w:tr>
      <w:tr w:rsidR="005B0ADB" w:rsidRPr="00C67737" w14:paraId="55E7BD81"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99D8C"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Serbia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BDE3E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DD82F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11/03/2026</w:t>
            </w:r>
          </w:p>
          <w:p w14:paraId="44F61A5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D68ED"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F267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C358F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86B8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82AAB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DBBB3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AA28A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670408">
              <w:rPr>
                <w:rFonts w:asciiTheme="minorHAnsi" w:hAnsiTheme="minorHAnsi" w:cstheme="minorHAnsi"/>
                <w:color w:val="000000" w:themeColor="text1"/>
                <w:sz w:val="18"/>
                <w:szCs w:val="18"/>
                <w:lang w:val="en-US"/>
              </w:rPr>
              <w:t xml:space="preserve">NBSAP status: under consultation. UNEP </w:t>
            </w:r>
            <w:proofErr w:type="gramStart"/>
            <w:r w:rsidRPr="00670408">
              <w:rPr>
                <w:rFonts w:asciiTheme="minorHAnsi" w:hAnsiTheme="minorHAnsi" w:cstheme="minorHAnsi"/>
                <w:color w:val="000000" w:themeColor="text1"/>
                <w:sz w:val="18"/>
                <w:szCs w:val="18"/>
                <w:lang w:val="en-US"/>
              </w:rPr>
              <w:t>supporting</w:t>
            </w:r>
            <w:proofErr w:type="gramEnd"/>
            <w:r w:rsidRPr="00670408">
              <w:rPr>
                <w:rFonts w:asciiTheme="minorHAnsi" w:hAnsiTheme="minorHAnsi" w:cstheme="minorHAnsi"/>
                <w:color w:val="000000" w:themeColor="text1"/>
                <w:sz w:val="18"/>
                <w:szCs w:val="18"/>
                <w:lang w:val="en-US"/>
              </w:rPr>
              <w:t xml:space="preserve"> project execution.</w:t>
            </w:r>
            <w:r w:rsidRPr="00670408">
              <w:rPr>
                <w:rFonts w:asciiTheme="minorHAnsi" w:hAnsiTheme="minorHAnsi" w:cstheme="minorHAnsi"/>
                <w:lang w:val="en-US"/>
              </w:rPr>
              <w:br/>
            </w:r>
            <w:r w:rsidRPr="00670408">
              <w:rPr>
                <w:rFonts w:asciiTheme="minorHAnsi" w:hAnsiTheme="minorHAnsi" w:cstheme="minorHAnsi"/>
                <w:sz w:val="18"/>
                <w:szCs w:val="18"/>
                <w:lang w:val="en-US"/>
              </w:rPr>
              <w:lastRenderedPageBreak/>
              <w:t xml:space="preserve"> </w:t>
            </w:r>
            <w:r w:rsidRPr="00670408">
              <w:rPr>
                <w:rFonts w:asciiTheme="minorHAnsi" w:hAnsiTheme="minorHAnsi" w:cstheme="minorHAnsi"/>
                <w:color w:val="000000" w:themeColor="text1"/>
                <w:sz w:val="18"/>
                <w:szCs w:val="18"/>
                <w:lang w:val="en-US"/>
              </w:rPr>
              <w:t xml:space="preserve"> </w:t>
            </w:r>
            <w:r w:rsidRPr="00C67737">
              <w:rPr>
                <w:rFonts w:asciiTheme="minorHAnsi" w:hAnsiTheme="minorHAnsi" w:cstheme="minorHAnsi"/>
                <w:color w:val="000000" w:themeColor="text1"/>
                <w:sz w:val="18"/>
                <w:szCs w:val="18"/>
              </w:rPr>
              <w:t xml:space="preserve">Partner can </w:t>
            </w:r>
            <w:proofErr w:type="spellStart"/>
            <w:r w:rsidRPr="00C67737">
              <w:rPr>
                <w:rFonts w:asciiTheme="minorHAnsi" w:hAnsiTheme="minorHAnsi" w:cstheme="minorHAnsi"/>
                <w:color w:val="000000" w:themeColor="text1"/>
                <w:sz w:val="18"/>
                <w:szCs w:val="18"/>
              </w:rPr>
              <w:t>access</w:t>
            </w:r>
            <w:proofErr w:type="spellEnd"/>
            <w:r w:rsidRPr="00C67737">
              <w:rPr>
                <w:rFonts w:asciiTheme="minorHAnsi" w:hAnsiTheme="minorHAnsi" w:cstheme="minorHAnsi"/>
                <w:color w:val="000000" w:themeColor="text1"/>
                <w:sz w:val="18"/>
                <w:szCs w:val="18"/>
              </w:rPr>
              <w:t xml:space="preserve"> 100% of the </w:t>
            </w:r>
            <w:proofErr w:type="spellStart"/>
            <w:r w:rsidRPr="00C67737">
              <w:rPr>
                <w:rFonts w:asciiTheme="minorHAnsi" w:hAnsiTheme="minorHAnsi" w:cstheme="minorHAnsi"/>
                <w:color w:val="000000" w:themeColor="text1"/>
                <w:sz w:val="18"/>
                <w:szCs w:val="18"/>
              </w:rPr>
              <w:t>project</w:t>
            </w:r>
            <w:proofErr w:type="spellEnd"/>
            <w:r w:rsidRPr="00C67737">
              <w:rPr>
                <w:rFonts w:asciiTheme="minorHAnsi" w:hAnsiTheme="minorHAnsi" w:cstheme="minorHAnsi"/>
                <w:color w:val="000000" w:themeColor="text1"/>
                <w:sz w:val="18"/>
                <w:szCs w:val="18"/>
              </w:rPr>
              <w:t xml:space="preserve"> </w:t>
            </w:r>
            <w:proofErr w:type="spellStart"/>
            <w:r w:rsidRPr="00C67737">
              <w:rPr>
                <w:rFonts w:asciiTheme="minorHAnsi" w:hAnsiTheme="minorHAnsi" w:cstheme="minorHAnsi"/>
                <w:color w:val="000000" w:themeColor="text1"/>
                <w:sz w:val="18"/>
                <w:szCs w:val="18"/>
              </w:rPr>
              <w:t>funds</w:t>
            </w:r>
            <w:proofErr w:type="spellEnd"/>
            <w:r w:rsidRPr="00C67737">
              <w:rPr>
                <w:rFonts w:asciiTheme="minorHAnsi" w:hAnsiTheme="minorHAnsi" w:cstheme="minorHAnsi"/>
                <w:color w:val="000000" w:themeColor="text1"/>
                <w:sz w:val="18"/>
                <w:szCs w:val="18"/>
              </w:rPr>
              <w:t>.</w:t>
            </w:r>
          </w:p>
        </w:tc>
      </w:tr>
      <w:tr w:rsidR="005B0ADB" w:rsidRPr="00C67737" w14:paraId="37BFBB21"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DE87D"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Sierra Leone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CC91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AB74B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27/06/2025</w:t>
            </w:r>
          </w:p>
          <w:p w14:paraId="52A93F8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7474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761B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EB7B6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25.75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EAB9F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25.75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C5F5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12720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AE810A"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NBSAP status: Updating underway with stakeholder consultations ongoing.</w:t>
            </w:r>
          </w:p>
          <w:p w14:paraId="69994382"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04DCCD26" w14:textId="77777777" w:rsidTr="00D22022">
        <w:trPr>
          <w:trHeight w:val="1627"/>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7A9FDA"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Solomon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53573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6D8B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13/08/2025</w:t>
            </w:r>
          </w:p>
          <w:p w14:paraId="18F3B8B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0344F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7884F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14F5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DC08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F0DC6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44CF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ESD- 30/06/2026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484DC9" w14:textId="77777777" w:rsidR="005B0ADB" w:rsidRPr="00670408" w:rsidRDefault="005B0ADB" w:rsidP="00D22022">
            <w:pPr>
              <w:pStyle w:val="paragraph"/>
              <w:jc w:val="center"/>
              <w:rPr>
                <w:rFonts w:asciiTheme="minorHAnsi" w:hAnsiTheme="minorHAnsi" w:cstheme="minorHAnsi"/>
                <w:sz w:val="18"/>
                <w:szCs w:val="18"/>
                <w:lang w:val="en-US"/>
              </w:rPr>
            </w:pPr>
            <w:r w:rsidRPr="00670408">
              <w:rPr>
                <w:rFonts w:asciiTheme="minorHAnsi" w:hAnsiTheme="minorHAnsi" w:cstheme="minorHAnsi"/>
                <w:color w:val="000000" w:themeColor="text1"/>
                <w:sz w:val="18"/>
                <w:szCs w:val="18"/>
                <w:lang w:val="en-US"/>
              </w:rPr>
              <w:t>NBSAP status: Updating underway with stakeholder consultations ongoing.</w:t>
            </w:r>
            <w:r w:rsidRPr="00670408">
              <w:rPr>
                <w:rFonts w:asciiTheme="minorHAnsi" w:hAnsiTheme="minorHAnsi" w:cstheme="minorHAnsi"/>
                <w:lang w:val="en-US"/>
              </w:rPr>
              <w:br/>
            </w:r>
            <w:r w:rsidRPr="00670408">
              <w:rPr>
                <w:rFonts w:asciiTheme="minorHAnsi" w:hAnsiTheme="minorHAnsi" w:cstheme="minorHAnsi"/>
                <w:sz w:val="18"/>
                <w:szCs w:val="18"/>
                <w:lang w:val="en-US"/>
              </w:rPr>
              <w:t xml:space="preserve"> </w:t>
            </w:r>
            <w:r w:rsidRPr="00670408">
              <w:rPr>
                <w:rFonts w:asciiTheme="minorHAnsi" w:hAnsiTheme="minorHAnsi" w:cstheme="minorHAnsi"/>
                <w:color w:val="000000" w:themeColor="text1"/>
                <w:sz w:val="18"/>
                <w:szCs w:val="18"/>
                <w:lang w:val="en-US"/>
              </w:rPr>
              <w:t xml:space="preserve"> 7</w:t>
            </w:r>
            <w:r w:rsidRPr="00670408">
              <w:rPr>
                <w:rFonts w:asciiTheme="minorHAnsi" w:hAnsiTheme="minorHAnsi" w:cstheme="minorHAnsi"/>
                <w:color w:val="000000" w:themeColor="text1"/>
                <w:sz w:val="18"/>
                <w:szCs w:val="18"/>
                <w:vertAlign w:val="superscript"/>
                <w:lang w:val="en-US"/>
              </w:rPr>
              <w:t>th</w:t>
            </w:r>
            <w:r w:rsidRPr="00670408">
              <w:rPr>
                <w:rFonts w:asciiTheme="minorHAnsi" w:hAnsiTheme="minorHAnsi" w:cstheme="minorHAnsi"/>
                <w:color w:val="000000" w:themeColor="text1"/>
                <w:sz w:val="18"/>
                <w:szCs w:val="18"/>
                <w:lang w:val="en-US"/>
              </w:rPr>
              <w:t xml:space="preserve"> NR expected in Q2, 2026.</w:t>
            </w:r>
            <w:r w:rsidRPr="00670408">
              <w:rPr>
                <w:rFonts w:asciiTheme="minorHAnsi" w:hAnsiTheme="minorHAnsi" w:cstheme="minorHAnsi"/>
                <w:lang w:val="en-US"/>
              </w:rPr>
              <w:br/>
            </w:r>
            <w:r w:rsidRPr="00670408">
              <w:rPr>
                <w:rFonts w:asciiTheme="minorHAnsi" w:hAnsiTheme="minorHAnsi" w:cstheme="minorHAnsi"/>
                <w:sz w:val="18"/>
                <w:szCs w:val="18"/>
                <w:lang w:val="en-US"/>
              </w:rPr>
              <w:t xml:space="preserve"> </w:t>
            </w:r>
            <w:r w:rsidRPr="00670408">
              <w:rPr>
                <w:rFonts w:asciiTheme="minorHAnsi" w:hAnsiTheme="minorHAnsi" w:cstheme="minorHAnsi"/>
                <w:color w:val="000000" w:themeColor="text1"/>
                <w:sz w:val="18"/>
                <w:szCs w:val="18"/>
                <w:lang w:val="en-US"/>
              </w:rPr>
              <w:t xml:space="preserve"> Delay in preparation of 7</w:t>
            </w:r>
            <w:r w:rsidRPr="00670408">
              <w:rPr>
                <w:rFonts w:asciiTheme="minorHAnsi" w:hAnsiTheme="minorHAnsi" w:cstheme="minorHAnsi"/>
                <w:color w:val="000000" w:themeColor="text1"/>
                <w:sz w:val="18"/>
                <w:szCs w:val="18"/>
                <w:vertAlign w:val="superscript"/>
                <w:lang w:val="en-US"/>
              </w:rPr>
              <w:t>th</w:t>
            </w:r>
            <w:r w:rsidRPr="00670408">
              <w:rPr>
                <w:rFonts w:asciiTheme="minorHAnsi" w:hAnsiTheme="minorHAnsi" w:cstheme="minorHAnsi"/>
                <w:color w:val="000000" w:themeColor="text1"/>
                <w:sz w:val="18"/>
                <w:szCs w:val="18"/>
                <w:lang w:val="en-US"/>
              </w:rPr>
              <w:t xml:space="preserve"> NR due to procurement challenges.</w:t>
            </w:r>
            <w:r w:rsidRPr="00670408">
              <w:rPr>
                <w:rFonts w:asciiTheme="minorHAnsi" w:hAnsiTheme="minorHAnsi" w:cstheme="minorHAnsi"/>
                <w:lang w:val="en-US"/>
              </w:rPr>
              <w:br/>
            </w:r>
            <w:r w:rsidRPr="00670408">
              <w:rPr>
                <w:rFonts w:asciiTheme="minorHAnsi" w:hAnsiTheme="minorHAnsi" w:cstheme="minorHAnsi"/>
                <w:sz w:val="18"/>
                <w:szCs w:val="18"/>
                <w:lang w:val="en-US"/>
              </w:rPr>
              <w:t xml:space="preserve"> </w:t>
            </w:r>
            <w:r w:rsidRPr="00670408">
              <w:rPr>
                <w:rFonts w:asciiTheme="minorHAnsi" w:hAnsiTheme="minorHAnsi" w:cstheme="minorHAnsi"/>
                <w:color w:val="000000" w:themeColor="text1"/>
                <w:sz w:val="18"/>
                <w:szCs w:val="18"/>
                <w:lang w:val="en-US"/>
              </w:rPr>
              <w:t xml:space="preserve"> </w:t>
            </w:r>
            <w:r w:rsidRPr="00670408">
              <w:rPr>
                <w:rFonts w:asciiTheme="minorHAnsi" w:hAnsiTheme="minorHAnsi" w:cstheme="minorHAnsi"/>
                <w:lang w:val="en-US"/>
              </w:rPr>
              <w:br/>
            </w:r>
            <w:r w:rsidRPr="00670408">
              <w:rPr>
                <w:rFonts w:asciiTheme="minorHAnsi" w:hAnsiTheme="minorHAnsi" w:cstheme="minorHAnsi"/>
                <w:sz w:val="18"/>
                <w:szCs w:val="18"/>
                <w:lang w:val="en-US"/>
              </w:rPr>
              <w:t xml:space="preserve"> </w:t>
            </w:r>
            <w:r w:rsidRPr="00670408">
              <w:rPr>
                <w:rFonts w:asciiTheme="minorHAnsi" w:hAnsiTheme="minorHAnsi" w:cstheme="minorHAnsi"/>
                <w:lang w:val="en-US"/>
              </w:rPr>
              <w:br/>
            </w:r>
          </w:p>
        </w:tc>
      </w:tr>
      <w:tr w:rsidR="005B0ADB" w:rsidRPr="00C67737" w14:paraId="16B0E139"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B6D5F7"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South </w:t>
            </w:r>
            <w:proofErr w:type="spellStart"/>
            <w:r w:rsidRPr="00C67737">
              <w:rPr>
                <w:rFonts w:asciiTheme="minorHAnsi" w:hAnsiTheme="minorHAnsi" w:cstheme="minorHAnsi"/>
                <w:color w:val="000000" w:themeColor="text1"/>
                <w:sz w:val="18"/>
                <w:szCs w:val="18"/>
              </w:rPr>
              <w:t>Africa</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B302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B4518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21/11/2025</w:t>
            </w:r>
          </w:p>
          <w:p w14:paraId="17A90CA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571D4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0A6ED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4A8C8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FE559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26320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5A553D"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4FA92" w14:textId="77777777" w:rsidR="005B0ADB" w:rsidRPr="00670408" w:rsidRDefault="005B0ADB" w:rsidP="00D22022">
            <w:pPr>
              <w:pStyle w:val="paragraph"/>
              <w:jc w:val="center"/>
              <w:rPr>
                <w:rFonts w:asciiTheme="minorHAnsi" w:hAnsiTheme="minorHAnsi" w:cstheme="minorHAnsi"/>
                <w:sz w:val="18"/>
                <w:szCs w:val="18"/>
                <w:lang w:val="en-US"/>
              </w:rPr>
            </w:pPr>
          </w:p>
          <w:p w14:paraId="458DA514"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NBSAP status: draft completed with national validation ongoing.</w:t>
            </w:r>
          </w:p>
          <w:p w14:paraId="6602DBA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C67737" w14:paraId="2D1F8EED"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BCF57E"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South </w:t>
            </w:r>
            <w:proofErr w:type="spellStart"/>
            <w:r w:rsidRPr="00C67737">
              <w:rPr>
                <w:rFonts w:asciiTheme="minorHAnsi" w:hAnsiTheme="minorHAnsi" w:cstheme="minorHAnsi"/>
                <w:color w:val="000000" w:themeColor="text1"/>
                <w:sz w:val="18"/>
                <w:szCs w:val="18"/>
              </w:rPr>
              <w:t>Sudan</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22959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D1081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04/07/2025</w:t>
            </w:r>
          </w:p>
          <w:p w14:paraId="41300C1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4D590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D26A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9FB43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D2B2D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24002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25CEE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7F3062"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NBSAP status: Updating underway with national stakeholder consultations ongoing.</w:t>
            </w:r>
          </w:p>
          <w:p w14:paraId="73700FE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237520" w14:paraId="46D34EF5"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BAEAF2" w14:textId="77777777" w:rsidR="005B0ADB" w:rsidRPr="00C67737" w:rsidRDefault="005B0ADB" w:rsidP="00D22022">
            <w:pPr>
              <w:pStyle w:val="paragraph"/>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lastRenderedPageBreak/>
              <w:t>Sudan</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D41F6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C4A16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04/09/2025</w:t>
            </w:r>
          </w:p>
          <w:p w14:paraId="1171E6F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B6115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C4AD6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3DC82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34315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54F6A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31/10/2025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617D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4C6F8B"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265FDDF9"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237520" w14:paraId="07901859"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8F202"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Togo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B90AD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E2E62E"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25/06/2025</w:t>
            </w:r>
          </w:p>
          <w:p w14:paraId="1BA52C0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97070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363,086.90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F5478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6268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BFE8E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0.68</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7793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15/11/2024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D1A71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031595"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NBSAP status: submitted.</w:t>
            </w:r>
          </w:p>
          <w:p w14:paraId="7C5FF03C"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7th NR submitted.</w:t>
            </w:r>
          </w:p>
        </w:tc>
      </w:tr>
      <w:tr w:rsidR="005B0ADB" w:rsidRPr="00C67737" w14:paraId="5DA28B7E"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02CD33"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Tonga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86E03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546AC9"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30/09/2025</w:t>
            </w:r>
          </w:p>
          <w:p w14:paraId="1A915B7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6EB1C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A71F6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6D3CF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7A0B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6CC0E1"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01/01/2022</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0470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211EA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670408">
              <w:rPr>
                <w:rFonts w:asciiTheme="minorHAnsi" w:hAnsiTheme="minorHAnsi" w:cstheme="minorHAnsi"/>
                <w:color w:val="000000" w:themeColor="text1"/>
                <w:sz w:val="18"/>
                <w:szCs w:val="18"/>
                <w:lang w:val="en-US"/>
              </w:rPr>
              <w:t>Project proceeding as planned.</w:t>
            </w:r>
            <w:r w:rsidRPr="00670408">
              <w:rPr>
                <w:rFonts w:asciiTheme="minorHAnsi" w:hAnsiTheme="minorHAnsi" w:cstheme="minorHAnsi"/>
                <w:lang w:val="en-US"/>
              </w:rPr>
              <w:br/>
            </w:r>
            <w:r w:rsidRPr="00670408">
              <w:rPr>
                <w:rFonts w:asciiTheme="minorHAnsi" w:hAnsiTheme="minorHAnsi" w:cstheme="minorHAnsi"/>
                <w:sz w:val="18"/>
                <w:szCs w:val="18"/>
                <w:lang w:val="en-US"/>
              </w:rPr>
              <w:t xml:space="preserve"> </w:t>
            </w:r>
            <w:r w:rsidRPr="00670408">
              <w:rPr>
                <w:rFonts w:asciiTheme="minorHAnsi" w:hAnsiTheme="minorHAnsi" w:cstheme="minorHAnsi"/>
                <w:color w:val="000000" w:themeColor="text1"/>
                <w:sz w:val="18"/>
                <w:szCs w:val="18"/>
                <w:lang w:val="en-US"/>
              </w:rPr>
              <w:t xml:space="preserve"> Delay in preparation of 7NR due to late start of activity.</w:t>
            </w:r>
            <w:r w:rsidRPr="00670408">
              <w:rPr>
                <w:rFonts w:asciiTheme="minorHAnsi" w:hAnsiTheme="minorHAnsi" w:cstheme="minorHAnsi"/>
                <w:lang w:val="en-US"/>
              </w:rPr>
              <w:br/>
            </w:r>
            <w:r w:rsidRPr="00670408">
              <w:rPr>
                <w:rFonts w:asciiTheme="minorHAnsi" w:hAnsiTheme="minorHAnsi" w:cstheme="minorHAnsi"/>
                <w:sz w:val="18"/>
                <w:szCs w:val="18"/>
                <w:lang w:val="en-US"/>
              </w:rPr>
              <w:t xml:space="preserve"> </w:t>
            </w:r>
            <w:r w:rsidRPr="00670408">
              <w:rPr>
                <w:rFonts w:asciiTheme="minorHAnsi" w:hAnsiTheme="minorHAnsi" w:cstheme="minorHAnsi"/>
                <w:color w:val="000000" w:themeColor="text1"/>
                <w:sz w:val="18"/>
                <w:szCs w:val="18"/>
                <w:lang w:val="en-US"/>
              </w:rPr>
              <w:t xml:space="preserve"> </w:t>
            </w:r>
            <w:r w:rsidRPr="00C67737">
              <w:rPr>
                <w:rFonts w:asciiTheme="minorHAnsi" w:hAnsiTheme="minorHAnsi" w:cstheme="minorHAnsi"/>
                <w:color w:val="000000" w:themeColor="text1"/>
                <w:sz w:val="18"/>
                <w:szCs w:val="18"/>
              </w:rPr>
              <w:t xml:space="preserve">7NR </w:t>
            </w:r>
            <w:proofErr w:type="spellStart"/>
            <w:r w:rsidRPr="00C67737">
              <w:rPr>
                <w:rFonts w:asciiTheme="minorHAnsi" w:hAnsiTheme="minorHAnsi" w:cstheme="minorHAnsi"/>
                <w:color w:val="000000" w:themeColor="text1"/>
                <w:sz w:val="18"/>
                <w:szCs w:val="18"/>
              </w:rPr>
              <w:t>expected</w:t>
            </w:r>
            <w:proofErr w:type="spellEnd"/>
            <w:r w:rsidRPr="00C67737">
              <w:rPr>
                <w:rFonts w:asciiTheme="minorHAnsi" w:hAnsiTheme="minorHAnsi" w:cstheme="minorHAnsi"/>
                <w:color w:val="000000" w:themeColor="text1"/>
                <w:sz w:val="18"/>
                <w:szCs w:val="18"/>
              </w:rPr>
              <w:t xml:space="preserve"> in Q2,2026.</w:t>
            </w:r>
          </w:p>
        </w:tc>
      </w:tr>
      <w:tr w:rsidR="005B0ADB" w:rsidRPr="00C67737" w14:paraId="2F075348"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CE46E7"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Türkiye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2D57F"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5513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03/10/2026</w:t>
            </w:r>
          </w:p>
          <w:p w14:paraId="7B4969EB"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714C6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8C611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754AC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C2A0B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C5FF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19D47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F8448D"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NBSAP status: Updating underway with national stakeholder consultations ongoing.</w:t>
            </w:r>
          </w:p>
          <w:p w14:paraId="786AA9F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r w:rsidR="005B0ADB" w:rsidRPr="00C67737" w14:paraId="254CCCFE"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12B005"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Tuvalu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F798D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B0497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07/07/2025</w:t>
            </w:r>
          </w:p>
          <w:p w14:paraId="08FEA19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89C50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5910C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E4D38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45902"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276F9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F0500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3B703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670408">
              <w:rPr>
                <w:rFonts w:asciiTheme="minorHAnsi" w:hAnsiTheme="minorHAnsi" w:cstheme="minorHAnsi"/>
                <w:color w:val="000000" w:themeColor="text1"/>
                <w:sz w:val="18"/>
                <w:szCs w:val="18"/>
                <w:lang w:val="en-US"/>
              </w:rPr>
              <w:t>NBSAP status: draft completed with validation of data ongoing.</w:t>
            </w:r>
            <w:r w:rsidRPr="00670408">
              <w:rPr>
                <w:rFonts w:asciiTheme="minorHAnsi" w:hAnsiTheme="minorHAnsi" w:cstheme="minorHAnsi"/>
                <w:lang w:val="en-US"/>
              </w:rPr>
              <w:br/>
            </w:r>
            <w:r w:rsidRPr="00670408">
              <w:rPr>
                <w:rFonts w:asciiTheme="minorHAnsi" w:hAnsiTheme="minorHAnsi" w:cstheme="minorHAnsi"/>
                <w:sz w:val="18"/>
                <w:szCs w:val="18"/>
                <w:lang w:val="en-US"/>
              </w:rPr>
              <w:t xml:space="preserve"> </w:t>
            </w:r>
            <w:r w:rsidRPr="00670408">
              <w:rPr>
                <w:rFonts w:asciiTheme="minorHAnsi" w:hAnsiTheme="minorHAnsi" w:cstheme="minorHAnsi"/>
                <w:color w:val="000000" w:themeColor="text1"/>
                <w:sz w:val="18"/>
                <w:szCs w:val="18"/>
                <w:lang w:val="en-US"/>
              </w:rPr>
              <w:t xml:space="preserve"> </w:t>
            </w:r>
            <w:r w:rsidRPr="00C67737">
              <w:rPr>
                <w:rFonts w:asciiTheme="minorHAnsi" w:hAnsiTheme="minorHAnsi" w:cstheme="minorHAnsi"/>
                <w:color w:val="000000" w:themeColor="text1"/>
                <w:sz w:val="18"/>
                <w:szCs w:val="18"/>
              </w:rPr>
              <w:t xml:space="preserve">UNEP </w:t>
            </w:r>
            <w:proofErr w:type="spellStart"/>
            <w:r w:rsidRPr="00C67737">
              <w:rPr>
                <w:rFonts w:asciiTheme="minorHAnsi" w:hAnsiTheme="minorHAnsi" w:cstheme="minorHAnsi"/>
                <w:color w:val="000000" w:themeColor="text1"/>
                <w:sz w:val="18"/>
                <w:szCs w:val="18"/>
              </w:rPr>
              <w:t>following</w:t>
            </w:r>
            <w:proofErr w:type="spellEnd"/>
            <w:r w:rsidRPr="00C67737">
              <w:rPr>
                <w:rFonts w:asciiTheme="minorHAnsi" w:hAnsiTheme="minorHAnsi" w:cstheme="minorHAnsi"/>
                <w:color w:val="000000" w:themeColor="text1"/>
                <w:sz w:val="18"/>
                <w:szCs w:val="18"/>
              </w:rPr>
              <w:t xml:space="preserve"> up on </w:t>
            </w:r>
            <w:proofErr w:type="spellStart"/>
            <w:r w:rsidRPr="00C67737">
              <w:rPr>
                <w:rFonts w:asciiTheme="minorHAnsi" w:hAnsiTheme="minorHAnsi" w:cstheme="minorHAnsi"/>
                <w:color w:val="000000" w:themeColor="text1"/>
                <w:sz w:val="18"/>
                <w:szCs w:val="18"/>
              </w:rPr>
              <w:t>reporting</w:t>
            </w:r>
            <w:proofErr w:type="spellEnd"/>
            <w:r w:rsidRPr="00C67737">
              <w:rPr>
                <w:rFonts w:asciiTheme="minorHAnsi" w:hAnsiTheme="minorHAnsi" w:cstheme="minorHAnsi"/>
                <w:color w:val="000000" w:themeColor="text1"/>
                <w:sz w:val="18"/>
                <w:szCs w:val="18"/>
              </w:rPr>
              <w:t xml:space="preserve"> </w:t>
            </w:r>
            <w:proofErr w:type="spellStart"/>
            <w:r w:rsidRPr="00C67737">
              <w:rPr>
                <w:rFonts w:asciiTheme="minorHAnsi" w:hAnsiTheme="minorHAnsi" w:cstheme="minorHAnsi"/>
                <w:color w:val="000000" w:themeColor="text1"/>
                <w:sz w:val="18"/>
                <w:szCs w:val="18"/>
              </w:rPr>
              <w:t>requirements</w:t>
            </w:r>
            <w:proofErr w:type="spellEnd"/>
            <w:r w:rsidRPr="00C67737">
              <w:rPr>
                <w:rFonts w:asciiTheme="minorHAnsi" w:hAnsiTheme="minorHAnsi" w:cstheme="minorHAnsi"/>
                <w:color w:val="000000" w:themeColor="text1"/>
                <w:sz w:val="18"/>
                <w:szCs w:val="18"/>
              </w:rPr>
              <w:t>.</w:t>
            </w:r>
          </w:p>
        </w:tc>
      </w:tr>
      <w:tr w:rsidR="005B0ADB" w:rsidRPr="00237520" w14:paraId="4435AB73"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60EC0A"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Uganda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C053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70D0B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22/04/2025</w:t>
            </w:r>
          </w:p>
          <w:p w14:paraId="5502FB9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7B32F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362,765.89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5EF66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6.49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FFB7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34.89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FF4F4A"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34.89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186CD"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01/01/2025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ED33C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E90454"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NBSAP status: submitted.</w:t>
            </w:r>
          </w:p>
          <w:p w14:paraId="585807F2"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7th NR submitted.</w:t>
            </w:r>
          </w:p>
        </w:tc>
      </w:tr>
      <w:tr w:rsidR="005B0ADB" w:rsidRPr="00237520" w14:paraId="304FA7AA"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FF4121"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United Republic of Tanzania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26D7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E96A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09/10/2025</w:t>
            </w:r>
          </w:p>
          <w:p w14:paraId="6647048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86545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5D58A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1EE578"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60E87"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78140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13/06/2025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A53937"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0E9AB"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NBSAP status: submitted.</w:t>
            </w:r>
          </w:p>
          <w:p w14:paraId="1D61142C" w14:textId="77777777" w:rsidR="005B0ADB" w:rsidRPr="00670408" w:rsidRDefault="005B0ADB" w:rsidP="00D22022">
            <w:pPr>
              <w:pStyle w:val="paragraph"/>
              <w:jc w:val="center"/>
              <w:rPr>
                <w:rFonts w:asciiTheme="minorHAnsi" w:hAnsiTheme="minorHAnsi" w:cstheme="minorHAnsi"/>
                <w:color w:val="000000" w:themeColor="text1"/>
                <w:sz w:val="18"/>
                <w:szCs w:val="18"/>
                <w:lang w:val="en-US"/>
              </w:rPr>
            </w:pPr>
            <w:r w:rsidRPr="00670408">
              <w:rPr>
                <w:rFonts w:asciiTheme="minorHAnsi" w:hAnsiTheme="minorHAnsi" w:cstheme="minorHAnsi"/>
                <w:color w:val="000000" w:themeColor="text1"/>
                <w:sz w:val="18"/>
                <w:szCs w:val="18"/>
                <w:lang w:val="en-US"/>
              </w:rPr>
              <w:t>7th NR submitted.</w:t>
            </w:r>
          </w:p>
        </w:tc>
      </w:tr>
      <w:tr w:rsidR="005B0ADB" w:rsidRPr="00237520" w14:paraId="07FF6CB1"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DFE9C3"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Vanuatu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17E93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5A6A6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16/06/2025</w:t>
            </w:r>
          </w:p>
          <w:p w14:paraId="2AB0A44C"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9BB7E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EAC68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CFDA7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FC55B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70B1C3"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30/03/2026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603160"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52F7CF"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1DF98210"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237520" w14:paraId="1A5B4152" w14:textId="77777777" w:rsidTr="00D22022">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F983B6" w14:textId="77777777" w:rsidR="005B0ADB" w:rsidRPr="00C67737" w:rsidRDefault="005B0ADB" w:rsidP="00D22022">
            <w:pPr>
              <w:pStyle w:val="paragraph"/>
              <w:rPr>
                <w:rFonts w:asciiTheme="minorHAnsi" w:hAnsiTheme="minorHAnsi" w:cstheme="minorHAnsi"/>
                <w:color w:val="000000" w:themeColor="text1"/>
                <w:sz w:val="18"/>
                <w:szCs w:val="18"/>
              </w:rPr>
            </w:pPr>
            <w:proofErr w:type="spellStart"/>
            <w:r w:rsidRPr="00C67737">
              <w:rPr>
                <w:rFonts w:asciiTheme="minorHAnsi" w:hAnsiTheme="minorHAnsi" w:cstheme="minorHAnsi"/>
                <w:color w:val="000000" w:themeColor="text1"/>
                <w:sz w:val="18"/>
                <w:szCs w:val="18"/>
              </w:rPr>
              <w:t>Zambia</w:t>
            </w:r>
            <w:proofErr w:type="spellEnd"/>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3ECCE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47E0C8"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19/08/025</w:t>
            </w:r>
          </w:p>
          <w:p w14:paraId="27874634"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D01F3"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607E94"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4A931"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3B83D6"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D63B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02/06/2026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271515"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60A9E8"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submitted.</w:t>
            </w:r>
          </w:p>
          <w:p w14:paraId="69631CF8"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7th NR submitted.</w:t>
            </w:r>
          </w:p>
        </w:tc>
      </w:tr>
      <w:tr w:rsidR="005B0ADB" w:rsidRPr="00C67737" w14:paraId="0D619334" w14:textId="77777777" w:rsidTr="00D22022">
        <w:trPr>
          <w:trHeight w:val="30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E5977E" w14:textId="77777777" w:rsidR="005B0ADB" w:rsidRPr="00C67737" w:rsidRDefault="005B0ADB" w:rsidP="00D22022">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Zimbabwe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F19929"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8D924F"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3432C76D"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197B90"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A60A6C"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17</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EA932B"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21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CD2D5"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D0F2BE" w14:textId="77777777" w:rsidR="005B0ADB" w:rsidRPr="00C67737" w:rsidRDefault="005B0ADB" w:rsidP="00D22022">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 xml:space="preserve">Not </w:t>
            </w:r>
            <w:proofErr w:type="spellStart"/>
            <w:r w:rsidRPr="00C67737">
              <w:rPr>
                <w:rFonts w:asciiTheme="minorHAnsi" w:hAnsiTheme="minorHAnsi" w:cstheme="minorHAnsi"/>
                <w:sz w:val="18"/>
                <w:szCs w:val="18"/>
              </w:rPr>
              <w:t>Submitted</w:t>
            </w:r>
            <w:proofErr w:type="spellEnd"/>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D5A2A"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8A965" w14:textId="77777777" w:rsidR="005B0ADB" w:rsidRPr="005B0ADB" w:rsidRDefault="005B0ADB" w:rsidP="00D22022">
            <w:pPr>
              <w:pStyle w:val="paragraph"/>
              <w:jc w:val="center"/>
              <w:rPr>
                <w:rFonts w:asciiTheme="minorHAnsi" w:hAnsiTheme="minorHAnsi" w:cstheme="minorHAnsi"/>
                <w:color w:val="000000" w:themeColor="text1"/>
                <w:sz w:val="18"/>
                <w:szCs w:val="18"/>
                <w:lang w:val="en-US"/>
              </w:rPr>
            </w:pPr>
            <w:r w:rsidRPr="005B0ADB">
              <w:rPr>
                <w:rFonts w:asciiTheme="minorHAnsi" w:hAnsiTheme="minorHAnsi" w:cstheme="minorHAnsi"/>
                <w:color w:val="000000" w:themeColor="text1"/>
                <w:sz w:val="18"/>
                <w:szCs w:val="18"/>
                <w:lang w:val="en-US"/>
              </w:rPr>
              <w:t>NBSAP status: Updating underway with national stakeholder consultations ongoing.</w:t>
            </w:r>
          </w:p>
          <w:p w14:paraId="01073AA6" w14:textId="77777777" w:rsidR="005B0ADB" w:rsidRPr="00C67737" w:rsidRDefault="005B0ADB" w:rsidP="00D22022">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7th NR </w:t>
            </w:r>
            <w:proofErr w:type="spellStart"/>
            <w:r w:rsidRPr="00C67737">
              <w:rPr>
                <w:rFonts w:asciiTheme="minorHAnsi" w:hAnsiTheme="minorHAnsi" w:cstheme="minorHAnsi"/>
                <w:color w:val="000000" w:themeColor="text1"/>
                <w:sz w:val="18"/>
                <w:szCs w:val="18"/>
              </w:rPr>
              <w:t>submitted</w:t>
            </w:r>
            <w:proofErr w:type="spellEnd"/>
            <w:r w:rsidRPr="00C67737">
              <w:rPr>
                <w:rFonts w:asciiTheme="minorHAnsi" w:hAnsiTheme="minorHAnsi" w:cstheme="minorHAnsi"/>
                <w:color w:val="000000" w:themeColor="text1"/>
                <w:sz w:val="18"/>
                <w:szCs w:val="18"/>
              </w:rPr>
              <w:t>.</w:t>
            </w:r>
          </w:p>
        </w:tc>
      </w:tr>
    </w:tbl>
    <w:p w14:paraId="7453DB47" w14:textId="77777777" w:rsidR="005576FA" w:rsidRPr="005576FA" w:rsidRDefault="005576FA" w:rsidP="005576FA"/>
    <w:p w14:paraId="50102E94" w14:textId="77777777" w:rsidR="005576FA" w:rsidRPr="005576FA" w:rsidRDefault="005576FA" w:rsidP="005576FA"/>
    <w:p w14:paraId="17D7B105" w14:textId="77777777" w:rsidR="005576FA" w:rsidRPr="005576FA" w:rsidRDefault="005576FA" w:rsidP="005576FA">
      <w:r w:rsidRPr="005576FA">
        <w:br w:type="page"/>
      </w:r>
    </w:p>
    <w:p w14:paraId="430E8A23" w14:textId="77777777" w:rsidR="00223661" w:rsidRPr="00C67737" w:rsidRDefault="00223661" w:rsidP="00640F63">
      <w:pPr>
        <w:pStyle w:val="Heading1"/>
        <w:numPr>
          <w:ilvl w:val="0"/>
          <w:numId w:val="0"/>
        </w:numPr>
        <w:ind w:left="720"/>
        <w:rPr>
          <w:lang w:val="en-US"/>
        </w:rPr>
      </w:pPr>
      <w:bookmarkStart w:id="236" w:name="_Toc239237110"/>
      <w:bookmarkStart w:id="237" w:name="_Toc242184743"/>
      <w:bookmarkStart w:id="238" w:name="_Toc242185303"/>
      <w:r w:rsidRPr="00C67737">
        <w:rPr>
          <w:lang w:val="en-US"/>
        </w:rPr>
        <w:lastRenderedPageBreak/>
        <w:t>Annex 7 - Status of Resources Approved for the Preparation of National Biodiversity Finance Plans</w:t>
      </w:r>
      <w:bookmarkEnd w:id="236"/>
      <w:bookmarkEnd w:id="237"/>
      <w:bookmarkEnd w:id="238"/>
    </w:p>
    <w:p w14:paraId="74A35CF0" w14:textId="77777777" w:rsidR="005576FA" w:rsidRPr="00750129" w:rsidRDefault="005576FA" w:rsidP="005576FA">
      <w:pPr>
        <w:rPr>
          <w:lang w:val="en-US"/>
        </w:rPr>
      </w:pPr>
    </w:p>
    <w:p w14:paraId="3A316590" w14:textId="77777777" w:rsidR="005576FA" w:rsidRPr="00750129" w:rsidRDefault="005576FA" w:rsidP="005576FA">
      <w:pPr>
        <w:rPr>
          <w:lang w:val="en-US"/>
        </w:rPr>
      </w:pPr>
      <w:r w:rsidRPr="00750129">
        <w:rPr>
          <w:lang w:val="en-US"/>
        </w:rPr>
        <w:t>This annex lists the 91 countries that have already received financial support by the GEF through the “</w:t>
      </w:r>
      <w:hyperlink r:id="rId67" w:history="1">
        <w:r w:rsidRPr="00750129">
          <w:rPr>
            <w:lang w:val="en-US"/>
          </w:rPr>
          <w:t>Umbrella Programme to Support Development of Biodiversity Finance Plans</w:t>
        </w:r>
      </w:hyperlink>
      <w:r w:rsidRPr="00750129">
        <w:rPr>
          <w:lang w:val="en-US"/>
        </w:rPr>
        <w:t xml:space="preserve">” (GEF ID 11054) and summarizes the status of project activities for each as of June 15, 2026. The information was compiled by the UNDP as the Implementing Agency. </w:t>
      </w:r>
    </w:p>
    <w:p w14:paraId="14122141" w14:textId="77777777" w:rsidR="005576FA" w:rsidRPr="00750129" w:rsidRDefault="005576FA" w:rsidP="005576FA">
      <w:pPr>
        <w:rPr>
          <w:lang w:val="en-US"/>
        </w:rPr>
      </w:pPr>
      <w:r w:rsidRPr="00750129">
        <w:rPr>
          <w:lang w:val="en-US"/>
        </w:rPr>
        <w:t xml:space="preserve">The support includes a $300,000 grant per country and $10.53 million of global and regional technical assistance, exclusive of agency fees. The program was approved by the GEF Council on December 12, 2022, and endorsed by the GEF CEO on November 20, 2023. </w:t>
      </w:r>
    </w:p>
    <w:p w14:paraId="16926939" w14:textId="77777777" w:rsidR="005576FA" w:rsidRPr="00750129" w:rsidRDefault="005576FA" w:rsidP="005576FA">
      <w:pPr>
        <w:rPr>
          <w:lang w:val="en-US"/>
        </w:rPr>
      </w:pPr>
      <w:r w:rsidRPr="00750129">
        <w:rPr>
          <w:lang w:val="en-US"/>
        </w:rPr>
        <w:t>Seven countries that had not requested support earlier were added (Bahamas, Chile, Eritrea, Guyana, Lebanon, Seychelles and Syria) through a project amendment in June 2026. These seven countries are not listed below as the corresponding funds have not been disbursed and activities have not started yet.</w:t>
      </w:r>
    </w:p>
    <w:p w14:paraId="09DB6270" w14:textId="77777777" w:rsidR="005576FA" w:rsidRPr="00750129" w:rsidRDefault="005576FA" w:rsidP="005576FA">
      <w:pPr>
        <w:rPr>
          <w:lang w:val="en-US"/>
        </w:rPr>
      </w:pPr>
      <w:r w:rsidRPr="00750129">
        <w:rPr>
          <w:lang w:val="en-US"/>
        </w:rPr>
        <w:t xml:space="preserve">All financial amounts are shown in US dollars. </w:t>
      </w:r>
    </w:p>
    <w:p w14:paraId="405C150A" w14:textId="77777777" w:rsidR="005576FA" w:rsidRPr="00750129" w:rsidRDefault="005576FA" w:rsidP="005576FA">
      <w:pPr>
        <w:rPr>
          <w:lang w:val="en-US"/>
        </w:rPr>
      </w:pPr>
      <w:r w:rsidRPr="00750129">
        <w:rPr>
          <w:lang w:val="en-US"/>
        </w:rPr>
        <w:t>Under UNDP financial reporting procedures, expenditure figures may change until the Combined Delivery Report (CDR) is finalized and signed in June of the following year, reflecting normal accounting, reconciliation and IPSAS compliance processes.</w:t>
      </w:r>
    </w:p>
    <w:p w14:paraId="279FFCDF" w14:textId="77777777" w:rsidR="005576FA" w:rsidRPr="00750129" w:rsidRDefault="005576FA" w:rsidP="005576FA">
      <w:pPr>
        <w:rPr>
          <w:lang w:val="en-US"/>
        </w:rPr>
      </w:pP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250"/>
        <w:gridCol w:w="882"/>
        <w:gridCol w:w="1245"/>
        <w:gridCol w:w="1102"/>
        <w:gridCol w:w="1056"/>
        <w:gridCol w:w="1382"/>
        <w:gridCol w:w="1136"/>
        <w:gridCol w:w="5409"/>
      </w:tblGrid>
      <w:tr w:rsidR="00670408" w:rsidRPr="00C67737" w14:paraId="2614F0A8" w14:textId="77777777" w:rsidTr="00D22022">
        <w:trPr>
          <w:trHeight w:val="936"/>
          <w:tblHeader/>
          <w:jc w:val="center"/>
        </w:trPr>
        <w:tc>
          <w:tcPr>
            <w:tcW w:w="1250" w:type="dxa"/>
            <w:shd w:val="clear" w:color="auto" w:fill="E7E6E6" w:themeFill="background2"/>
            <w:vAlign w:val="center"/>
            <w:hideMark/>
          </w:tcPr>
          <w:p w14:paraId="7EC9468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b/>
                <w:bCs/>
                <w:sz w:val="18"/>
                <w:szCs w:val="18"/>
                <w:lang w:eastAsia="en-PH"/>
              </w:rPr>
              <w:t>Country</w:t>
            </w:r>
          </w:p>
        </w:tc>
        <w:tc>
          <w:tcPr>
            <w:tcW w:w="882" w:type="dxa"/>
            <w:shd w:val="clear" w:color="auto" w:fill="E7E6E6" w:themeFill="background2"/>
            <w:vAlign w:val="center"/>
            <w:hideMark/>
          </w:tcPr>
          <w:p w14:paraId="0AA40B2E" w14:textId="77777777" w:rsidR="00670408" w:rsidRPr="00670408" w:rsidRDefault="00670408" w:rsidP="00D22022">
            <w:pPr>
              <w:spacing w:after="0"/>
              <w:jc w:val="center"/>
              <w:rPr>
                <w:rFonts w:eastAsia="Times New Roman" w:cstheme="minorHAnsi"/>
                <w:b/>
                <w:bCs/>
                <w:sz w:val="18"/>
                <w:szCs w:val="18"/>
                <w:lang w:val="en-US" w:eastAsia="en-PH"/>
              </w:rPr>
            </w:pPr>
            <w:r w:rsidRPr="00670408">
              <w:rPr>
                <w:rFonts w:eastAsia="Times New Roman" w:cstheme="minorHAnsi"/>
                <w:b/>
                <w:bCs/>
                <w:sz w:val="18"/>
                <w:szCs w:val="18"/>
                <w:lang w:val="en-US" w:eastAsia="en-PH"/>
              </w:rPr>
              <w:t>Amount approved (exclusive of agency fees)</w:t>
            </w:r>
          </w:p>
        </w:tc>
        <w:tc>
          <w:tcPr>
            <w:tcW w:w="1245" w:type="dxa"/>
            <w:shd w:val="clear" w:color="auto" w:fill="E7E6E6" w:themeFill="background2"/>
            <w:vAlign w:val="center"/>
            <w:hideMark/>
          </w:tcPr>
          <w:p w14:paraId="524D9EAE" w14:textId="77777777" w:rsidR="00670408" w:rsidRPr="00670408" w:rsidRDefault="00670408" w:rsidP="00D22022">
            <w:pPr>
              <w:spacing w:after="0"/>
              <w:jc w:val="center"/>
              <w:rPr>
                <w:rFonts w:eastAsia="Times New Roman" w:cstheme="minorHAnsi"/>
                <w:b/>
                <w:bCs/>
                <w:sz w:val="18"/>
                <w:szCs w:val="18"/>
                <w:lang w:val="en-US" w:eastAsia="en-PH"/>
              </w:rPr>
            </w:pPr>
            <w:r w:rsidRPr="00670408">
              <w:rPr>
                <w:rFonts w:eastAsia="Times New Roman" w:cstheme="minorHAnsi"/>
                <w:b/>
                <w:bCs/>
                <w:sz w:val="18"/>
                <w:szCs w:val="18"/>
                <w:lang w:val="en-US" w:eastAsia="en-PH"/>
              </w:rPr>
              <w:t>Date of 1</w:t>
            </w:r>
            <w:r w:rsidRPr="00670408">
              <w:rPr>
                <w:rFonts w:eastAsia="Times New Roman" w:cstheme="minorHAnsi"/>
                <w:b/>
                <w:bCs/>
                <w:sz w:val="18"/>
                <w:szCs w:val="18"/>
                <w:vertAlign w:val="superscript"/>
                <w:lang w:val="en-US" w:eastAsia="en-PH"/>
              </w:rPr>
              <w:t>st</w:t>
            </w:r>
            <w:r w:rsidRPr="00670408">
              <w:rPr>
                <w:rFonts w:eastAsia="Times New Roman" w:cstheme="minorHAnsi"/>
                <w:b/>
                <w:bCs/>
                <w:sz w:val="18"/>
                <w:szCs w:val="18"/>
                <w:lang w:val="en-US" w:eastAsia="en-PH"/>
              </w:rPr>
              <w:t xml:space="preserve"> disbursements of GEF funds by UNDP</w:t>
            </w:r>
          </w:p>
        </w:tc>
        <w:tc>
          <w:tcPr>
            <w:tcW w:w="1102" w:type="dxa"/>
            <w:shd w:val="clear" w:color="auto" w:fill="E7E6E6" w:themeFill="background2"/>
            <w:vAlign w:val="center"/>
            <w:hideMark/>
          </w:tcPr>
          <w:p w14:paraId="06CD512E" w14:textId="77777777" w:rsidR="00670408" w:rsidRPr="00670408" w:rsidRDefault="00670408" w:rsidP="00D22022">
            <w:pPr>
              <w:spacing w:after="0"/>
              <w:jc w:val="center"/>
              <w:rPr>
                <w:rFonts w:eastAsia="Times New Roman" w:cstheme="minorHAnsi"/>
                <w:b/>
                <w:bCs/>
                <w:sz w:val="18"/>
                <w:szCs w:val="18"/>
                <w:lang w:val="en-US" w:eastAsia="en-PH"/>
              </w:rPr>
            </w:pPr>
            <w:r w:rsidRPr="00670408">
              <w:rPr>
                <w:rFonts w:eastAsia="Times New Roman" w:cstheme="minorHAnsi"/>
                <w:b/>
                <w:bCs/>
                <w:sz w:val="18"/>
                <w:szCs w:val="18"/>
                <w:lang w:val="en-US" w:eastAsia="en-PH"/>
              </w:rPr>
              <w:t>Amount disbursed by UNDP as of March 31, 2026</w:t>
            </w:r>
          </w:p>
        </w:tc>
        <w:tc>
          <w:tcPr>
            <w:tcW w:w="1056" w:type="dxa"/>
            <w:shd w:val="clear" w:color="auto" w:fill="E7E6E6" w:themeFill="background2"/>
            <w:vAlign w:val="center"/>
            <w:hideMark/>
          </w:tcPr>
          <w:p w14:paraId="0DB00EA2" w14:textId="77777777" w:rsidR="00670408" w:rsidRPr="00670408" w:rsidRDefault="00670408" w:rsidP="00D22022">
            <w:pPr>
              <w:spacing w:after="0"/>
              <w:jc w:val="center"/>
              <w:rPr>
                <w:rFonts w:eastAsia="Times New Roman" w:cstheme="minorHAnsi"/>
                <w:b/>
                <w:bCs/>
                <w:sz w:val="18"/>
                <w:szCs w:val="18"/>
                <w:lang w:val="en-US" w:eastAsia="en-PH"/>
              </w:rPr>
            </w:pPr>
            <w:r w:rsidRPr="00670408">
              <w:rPr>
                <w:rFonts w:eastAsia="Times New Roman" w:cstheme="minorHAnsi"/>
                <w:b/>
                <w:bCs/>
                <w:sz w:val="18"/>
                <w:szCs w:val="18"/>
                <w:lang w:val="en-US" w:eastAsia="en-PH"/>
              </w:rPr>
              <w:t>Expenditure rate as of March 31, 2026 (%)</w:t>
            </w:r>
          </w:p>
        </w:tc>
        <w:tc>
          <w:tcPr>
            <w:tcW w:w="1382" w:type="dxa"/>
            <w:shd w:val="clear" w:color="auto" w:fill="E7E6E6" w:themeFill="background2"/>
            <w:vAlign w:val="center"/>
          </w:tcPr>
          <w:p w14:paraId="362E03D1" w14:textId="77777777" w:rsidR="00670408" w:rsidRPr="00670408" w:rsidRDefault="00670408" w:rsidP="00D22022">
            <w:pPr>
              <w:spacing w:after="0"/>
              <w:jc w:val="center"/>
              <w:rPr>
                <w:rFonts w:eastAsia="Times New Roman" w:cstheme="minorHAnsi"/>
                <w:b/>
                <w:bCs/>
                <w:sz w:val="18"/>
                <w:szCs w:val="18"/>
                <w:lang w:val="en-US" w:eastAsia="en-PH"/>
              </w:rPr>
            </w:pPr>
            <w:r w:rsidRPr="00670408">
              <w:rPr>
                <w:rFonts w:eastAsia="Times New Roman" w:cstheme="minorHAnsi"/>
                <w:b/>
                <w:bCs/>
                <w:sz w:val="18"/>
                <w:szCs w:val="18"/>
                <w:lang w:val="en-US" w:eastAsia="en-PH"/>
              </w:rPr>
              <w:t>Amount disbursed by UNDP</w:t>
            </w:r>
          </w:p>
          <w:p w14:paraId="1E552DCA" w14:textId="77777777" w:rsidR="00670408" w:rsidRPr="00670408" w:rsidRDefault="00670408" w:rsidP="00D22022">
            <w:pPr>
              <w:spacing w:before="0" w:after="0"/>
              <w:jc w:val="center"/>
              <w:rPr>
                <w:rFonts w:eastAsia="Aptos" w:cstheme="minorHAnsi"/>
                <w:b/>
                <w:bCs/>
                <w:sz w:val="18"/>
                <w:szCs w:val="18"/>
                <w:lang w:val="en-US"/>
              </w:rPr>
            </w:pPr>
            <w:r w:rsidRPr="00670408">
              <w:rPr>
                <w:rFonts w:eastAsia="Times New Roman" w:cstheme="minorHAnsi"/>
                <w:b/>
                <w:bCs/>
                <w:sz w:val="18"/>
                <w:szCs w:val="18"/>
                <w:lang w:val="en-US" w:eastAsia="en-PH"/>
              </w:rPr>
              <w:t>As of 15-Jun-26</w:t>
            </w:r>
          </w:p>
        </w:tc>
        <w:tc>
          <w:tcPr>
            <w:tcW w:w="1136" w:type="dxa"/>
            <w:shd w:val="clear" w:color="auto" w:fill="E7E6E6" w:themeFill="background2"/>
            <w:vAlign w:val="center"/>
          </w:tcPr>
          <w:p w14:paraId="44CA4F16" w14:textId="77777777" w:rsidR="00670408" w:rsidRPr="00670408" w:rsidRDefault="00670408" w:rsidP="00D22022">
            <w:pPr>
              <w:spacing w:after="0"/>
              <w:jc w:val="center"/>
              <w:rPr>
                <w:rFonts w:eastAsia="Aptos" w:cstheme="minorHAnsi"/>
                <w:b/>
                <w:bCs/>
                <w:sz w:val="18"/>
                <w:szCs w:val="18"/>
                <w:lang w:val="en-US"/>
              </w:rPr>
            </w:pPr>
            <w:r w:rsidRPr="00670408">
              <w:rPr>
                <w:rFonts w:eastAsia="Times New Roman" w:cstheme="minorHAnsi"/>
                <w:b/>
                <w:bCs/>
                <w:sz w:val="18"/>
                <w:szCs w:val="18"/>
                <w:lang w:val="en-US" w:eastAsia="en-PH"/>
              </w:rPr>
              <w:t>Expenditure rate as of 15-Jun-26</w:t>
            </w:r>
          </w:p>
        </w:tc>
        <w:tc>
          <w:tcPr>
            <w:tcW w:w="5409" w:type="dxa"/>
            <w:shd w:val="clear" w:color="auto" w:fill="E7E6E6" w:themeFill="background2"/>
            <w:vAlign w:val="center"/>
            <w:hideMark/>
          </w:tcPr>
          <w:p w14:paraId="2048DB62" w14:textId="77777777" w:rsidR="00670408" w:rsidRPr="00C67737" w:rsidRDefault="00670408" w:rsidP="00D22022">
            <w:pPr>
              <w:spacing w:after="0"/>
              <w:jc w:val="center"/>
              <w:rPr>
                <w:rFonts w:eastAsia="Times New Roman" w:cstheme="minorHAnsi"/>
                <w:b/>
                <w:bCs/>
                <w:sz w:val="18"/>
                <w:szCs w:val="18"/>
                <w:lang w:eastAsia="en-PH"/>
              </w:rPr>
            </w:pPr>
            <w:proofErr w:type="spellStart"/>
            <w:r w:rsidRPr="00C67737">
              <w:rPr>
                <w:rFonts w:eastAsia="Times New Roman" w:cstheme="minorHAnsi"/>
                <w:b/>
                <w:bCs/>
                <w:sz w:val="18"/>
                <w:szCs w:val="18"/>
                <w:lang w:eastAsia="en-PH"/>
              </w:rPr>
              <w:t>Status</w:t>
            </w:r>
            <w:proofErr w:type="spellEnd"/>
            <w:r w:rsidRPr="00C67737">
              <w:rPr>
                <w:rFonts w:eastAsia="Times New Roman" w:cstheme="minorHAnsi"/>
                <w:b/>
                <w:bCs/>
                <w:sz w:val="18"/>
                <w:szCs w:val="18"/>
                <w:lang w:eastAsia="en-PH"/>
              </w:rPr>
              <w:t xml:space="preserve"> of </w:t>
            </w:r>
            <w:proofErr w:type="spellStart"/>
            <w:r w:rsidRPr="00C67737">
              <w:rPr>
                <w:rFonts w:eastAsia="Times New Roman" w:cstheme="minorHAnsi"/>
                <w:b/>
                <w:bCs/>
                <w:sz w:val="18"/>
                <w:szCs w:val="18"/>
                <w:lang w:eastAsia="en-PH"/>
              </w:rPr>
              <w:t>project</w:t>
            </w:r>
            <w:proofErr w:type="spellEnd"/>
            <w:r w:rsidRPr="00C67737">
              <w:rPr>
                <w:rFonts w:eastAsia="Times New Roman" w:cstheme="minorHAnsi"/>
                <w:b/>
                <w:bCs/>
                <w:sz w:val="18"/>
                <w:szCs w:val="18"/>
                <w:lang w:eastAsia="en-PH"/>
              </w:rPr>
              <w:t xml:space="preserve"> </w:t>
            </w:r>
            <w:proofErr w:type="spellStart"/>
            <w:r w:rsidRPr="00C67737">
              <w:rPr>
                <w:rFonts w:eastAsia="Times New Roman" w:cstheme="minorHAnsi"/>
                <w:b/>
                <w:bCs/>
                <w:sz w:val="18"/>
                <w:szCs w:val="18"/>
                <w:lang w:eastAsia="en-PH"/>
              </w:rPr>
              <w:t>activities</w:t>
            </w:r>
            <w:proofErr w:type="spellEnd"/>
          </w:p>
        </w:tc>
      </w:tr>
      <w:tr w:rsidR="00670408" w:rsidRPr="00237520" w14:paraId="76A31B47" w14:textId="77777777" w:rsidTr="00D22022">
        <w:trPr>
          <w:trHeight w:val="1872"/>
          <w:jc w:val="center"/>
        </w:trPr>
        <w:tc>
          <w:tcPr>
            <w:tcW w:w="1250" w:type="dxa"/>
            <w:vAlign w:val="center"/>
            <w:hideMark/>
          </w:tcPr>
          <w:p w14:paraId="0C611D66"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Albania</w:t>
            </w:r>
          </w:p>
        </w:tc>
        <w:tc>
          <w:tcPr>
            <w:tcW w:w="882" w:type="dxa"/>
            <w:vAlign w:val="center"/>
            <w:hideMark/>
          </w:tcPr>
          <w:p w14:paraId="04B186A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987A224" w14:textId="77777777" w:rsidR="00670408" w:rsidRPr="00C67737" w:rsidRDefault="00670408" w:rsidP="00D22022">
            <w:pPr>
              <w:spacing w:after="0"/>
              <w:jc w:val="center"/>
              <w:rPr>
                <w:rFonts w:eastAsia="Times New Roman" w:cstheme="minorHAnsi"/>
                <w:sz w:val="18"/>
                <w:szCs w:val="18"/>
              </w:rPr>
            </w:pPr>
            <w:proofErr w:type="spellStart"/>
            <w:r w:rsidRPr="00C67737">
              <w:rPr>
                <w:rFonts w:eastAsia="Times New Roman" w:cstheme="minorHAnsi"/>
                <w:sz w:val="18"/>
                <w:szCs w:val="18"/>
              </w:rPr>
              <w:t>Dec</w:t>
            </w:r>
            <w:proofErr w:type="spellEnd"/>
            <w:r w:rsidRPr="00C67737">
              <w:rPr>
                <w:rFonts w:eastAsia="Times New Roman" w:cstheme="minorHAnsi"/>
                <w:sz w:val="18"/>
                <w:szCs w:val="18"/>
              </w:rPr>
              <w:t xml:space="preserve"> 1, 2024</w:t>
            </w:r>
          </w:p>
        </w:tc>
        <w:tc>
          <w:tcPr>
            <w:tcW w:w="1102" w:type="dxa"/>
            <w:vAlign w:val="center"/>
            <w:hideMark/>
          </w:tcPr>
          <w:p w14:paraId="5364010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11,775.00</w:t>
            </w:r>
          </w:p>
        </w:tc>
        <w:tc>
          <w:tcPr>
            <w:tcW w:w="1056" w:type="dxa"/>
            <w:vAlign w:val="center"/>
            <w:hideMark/>
          </w:tcPr>
          <w:p w14:paraId="3E87CA4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3.75%</w:t>
            </w:r>
          </w:p>
        </w:tc>
        <w:tc>
          <w:tcPr>
            <w:tcW w:w="1382" w:type="dxa"/>
            <w:vAlign w:val="center"/>
          </w:tcPr>
          <w:p w14:paraId="7A68A943"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13,574.68</w:t>
            </w:r>
          </w:p>
        </w:tc>
        <w:tc>
          <w:tcPr>
            <w:tcW w:w="1136" w:type="dxa"/>
            <w:vAlign w:val="center"/>
          </w:tcPr>
          <w:p w14:paraId="1C325F83"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4.32%</w:t>
            </w:r>
          </w:p>
        </w:tc>
        <w:tc>
          <w:tcPr>
            <w:tcW w:w="5409" w:type="dxa"/>
            <w:vAlign w:val="center"/>
            <w:hideMark/>
          </w:tcPr>
          <w:p w14:paraId="5386D4EB"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Foundational steps are underway with the submission of the Multi-Year Work Plan for technical review. However, progress is contingent on the finalization of the national project team structure and budget, as key roles, including the National Coordinator, remain to be filled. Consequently, the Policy and Institutional Review (PIR), Subsidies Report, Biodiversity Expenditure Review (BER), and Finance Needs Assessment (FNA) are in progress but do not yet have drafts. The country office is actively working to finalize the team and budget to move forward.</w:t>
            </w:r>
          </w:p>
        </w:tc>
      </w:tr>
      <w:tr w:rsidR="00670408" w:rsidRPr="00237520" w14:paraId="6F3797C5" w14:textId="77777777" w:rsidTr="00D22022">
        <w:trPr>
          <w:trHeight w:val="521"/>
          <w:jc w:val="center"/>
        </w:trPr>
        <w:tc>
          <w:tcPr>
            <w:tcW w:w="1250" w:type="dxa"/>
            <w:vAlign w:val="center"/>
            <w:hideMark/>
          </w:tcPr>
          <w:p w14:paraId="6A5A5FD0"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Algeria</w:t>
            </w:r>
          </w:p>
        </w:tc>
        <w:tc>
          <w:tcPr>
            <w:tcW w:w="882" w:type="dxa"/>
            <w:vAlign w:val="center"/>
            <w:hideMark/>
          </w:tcPr>
          <w:p w14:paraId="281A937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E9915F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Sep 30, 2025</w:t>
            </w:r>
          </w:p>
        </w:tc>
        <w:tc>
          <w:tcPr>
            <w:tcW w:w="1102" w:type="dxa"/>
            <w:vAlign w:val="center"/>
            <w:hideMark/>
          </w:tcPr>
          <w:p w14:paraId="71EBE88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128,981.00</w:t>
            </w:r>
          </w:p>
        </w:tc>
        <w:tc>
          <w:tcPr>
            <w:tcW w:w="1056" w:type="dxa"/>
            <w:vAlign w:val="center"/>
            <w:hideMark/>
          </w:tcPr>
          <w:p w14:paraId="0245BBA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41.08%</w:t>
            </w:r>
          </w:p>
        </w:tc>
        <w:tc>
          <w:tcPr>
            <w:tcW w:w="1382" w:type="dxa"/>
            <w:vAlign w:val="center"/>
          </w:tcPr>
          <w:p w14:paraId="483B9E6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145,634.75</w:t>
            </w:r>
          </w:p>
        </w:tc>
        <w:tc>
          <w:tcPr>
            <w:tcW w:w="1136" w:type="dxa"/>
            <w:vAlign w:val="center"/>
          </w:tcPr>
          <w:p w14:paraId="32388E8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46.38%</w:t>
            </w:r>
          </w:p>
        </w:tc>
        <w:tc>
          <w:tcPr>
            <w:tcW w:w="5409" w:type="dxa"/>
            <w:vAlign w:val="center"/>
            <w:hideMark/>
          </w:tcPr>
          <w:p w14:paraId="3EC0382B"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has achieved significant operational milestones, including the onboarding of the Project Coordinator, Biodiversity Finance Expert, and National Policy Expert. The first Steering Committee meeting has taken place, and a Project Director has been identified within the Ministry of Environment to serve as the main technical focal point. While the Policy and Institutional Review (PIR), Subsidies Report, and Biodiversity Expenditure Report (BER) are underway, a primary </w:t>
            </w:r>
            <w:r w:rsidRPr="00670408">
              <w:rPr>
                <w:rFonts w:cstheme="minorHAnsi"/>
                <w:sz w:val="18"/>
                <w:szCs w:val="18"/>
                <w:lang w:val="en-US"/>
              </w:rPr>
              <w:lastRenderedPageBreak/>
              <w:t>challenge has been the postponement of the inception workshop due to low stakeholder response. To ensure efficiency, the UNDP Country Office will leverage existing internal resources for project support while the team focuses on rescheduling the workshop and advancing technical assessments.</w:t>
            </w:r>
          </w:p>
        </w:tc>
      </w:tr>
      <w:tr w:rsidR="00670408" w:rsidRPr="00237520" w14:paraId="2617F4FA" w14:textId="77777777" w:rsidTr="00D22022">
        <w:trPr>
          <w:trHeight w:val="1872"/>
          <w:jc w:val="center"/>
        </w:trPr>
        <w:tc>
          <w:tcPr>
            <w:tcW w:w="1250" w:type="dxa"/>
            <w:vAlign w:val="center"/>
            <w:hideMark/>
          </w:tcPr>
          <w:p w14:paraId="42C64BB7"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Angola</w:t>
            </w:r>
          </w:p>
        </w:tc>
        <w:tc>
          <w:tcPr>
            <w:tcW w:w="882" w:type="dxa"/>
            <w:vAlign w:val="center"/>
            <w:hideMark/>
          </w:tcPr>
          <w:p w14:paraId="4C537BB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9BE7D04"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Aug 1, 2025</w:t>
            </w:r>
          </w:p>
        </w:tc>
        <w:tc>
          <w:tcPr>
            <w:tcW w:w="1102" w:type="dxa"/>
            <w:vAlign w:val="center"/>
            <w:hideMark/>
          </w:tcPr>
          <w:p w14:paraId="5BCED24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63,228.00</w:t>
            </w:r>
          </w:p>
        </w:tc>
        <w:tc>
          <w:tcPr>
            <w:tcW w:w="1056" w:type="dxa"/>
            <w:vAlign w:val="center"/>
            <w:hideMark/>
          </w:tcPr>
          <w:p w14:paraId="2864CC4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20.14%</w:t>
            </w:r>
          </w:p>
        </w:tc>
        <w:tc>
          <w:tcPr>
            <w:tcW w:w="1382" w:type="dxa"/>
            <w:vAlign w:val="center"/>
          </w:tcPr>
          <w:p w14:paraId="3DFC756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100,628.36</w:t>
            </w:r>
          </w:p>
        </w:tc>
        <w:tc>
          <w:tcPr>
            <w:tcW w:w="1136" w:type="dxa"/>
            <w:vAlign w:val="center"/>
          </w:tcPr>
          <w:p w14:paraId="193125E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32.05%</w:t>
            </w:r>
          </w:p>
        </w:tc>
        <w:tc>
          <w:tcPr>
            <w:tcW w:w="5409" w:type="dxa"/>
            <w:vAlign w:val="center"/>
            <w:hideMark/>
          </w:tcPr>
          <w:p w14:paraId="0D87997C"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team is largely in place. Key assessments are underway, with the Policy and Institutional Review (PIR) progressing and its consultant on board. The Biodiversity Expenditure Report (BER) is also in progress, with the Environmental Finance Analyst developing the methodology with stakeholders. A budgetary constraint prevents the recruitment of a dedicated project lead; this is being managed by assigning leadership responsibilities to the heads of the Environment and Inclusive Growth Portfolios.</w:t>
            </w:r>
          </w:p>
        </w:tc>
      </w:tr>
      <w:tr w:rsidR="00670408" w:rsidRPr="00D95ACA" w14:paraId="068CE311" w14:textId="77777777" w:rsidTr="00D22022">
        <w:trPr>
          <w:trHeight w:val="1872"/>
          <w:jc w:val="center"/>
        </w:trPr>
        <w:tc>
          <w:tcPr>
            <w:tcW w:w="1250" w:type="dxa"/>
            <w:vAlign w:val="center"/>
            <w:hideMark/>
          </w:tcPr>
          <w:p w14:paraId="001DE6E0"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Antigua and Barbuda</w:t>
            </w:r>
          </w:p>
        </w:tc>
        <w:tc>
          <w:tcPr>
            <w:tcW w:w="882" w:type="dxa"/>
            <w:vAlign w:val="center"/>
            <w:hideMark/>
          </w:tcPr>
          <w:p w14:paraId="162EE0D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F754EB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Jan 1, 2025</w:t>
            </w:r>
          </w:p>
        </w:tc>
        <w:tc>
          <w:tcPr>
            <w:tcW w:w="1102" w:type="dxa"/>
            <w:vAlign w:val="center"/>
            <w:hideMark/>
          </w:tcPr>
          <w:p w14:paraId="725873F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28,549.21</w:t>
            </w:r>
          </w:p>
        </w:tc>
        <w:tc>
          <w:tcPr>
            <w:tcW w:w="1056" w:type="dxa"/>
            <w:vAlign w:val="center"/>
            <w:hideMark/>
          </w:tcPr>
          <w:p w14:paraId="46656EF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9.09%</w:t>
            </w:r>
          </w:p>
        </w:tc>
        <w:tc>
          <w:tcPr>
            <w:tcW w:w="1382" w:type="dxa"/>
            <w:vAlign w:val="center"/>
          </w:tcPr>
          <w:p w14:paraId="3C60032E"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43,306.47</w:t>
            </w:r>
          </w:p>
        </w:tc>
        <w:tc>
          <w:tcPr>
            <w:tcW w:w="1136" w:type="dxa"/>
            <w:vAlign w:val="center"/>
          </w:tcPr>
          <w:p w14:paraId="4A66CDAF"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13.79%</w:t>
            </w:r>
          </w:p>
        </w:tc>
        <w:tc>
          <w:tcPr>
            <w:tcW w:w="5409" w:type="dxa"/>
            <w:vAlign w:val="center"/>
            <w:hideMark/>
          </w:tcPr>
          <w:p w14:paraId="64ED8179"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has successfully </w:t>
            </w:r>
            <w:proofErr w:type="gramStart"/>
            <w:r w:rsidRPr="00670408">
              <w:rPr>
                <w:rFonts w:cstheme="minorHAnsi"/>
                <w:sz w:val="18"/>
                <w:szCs w:val="18"/>
                <w:lang w:val="en-US"/>
              </w:rPr>
              <w:t>onboarded</w:t>
            </w:r>
            <w:proofErr w:type="gramEnd"/>
            <w:r w:rsidRPr="00670408">
              <w:rPr>
                <w:rFonts w:cstheme="minorHAnsi"/>
                <w:sz w:val="18"/>
                <w:szCs w:val="18"/>
                <w:lang w:val="en-US"/>
              </w:rPr>
              <w:t xml:space="preserve"> its National Coordinator and Project Support Associate, and a preliminary agreement on a shared team structure has been reached with the National Focal Point. The Policy and Institutional Review (PIR) is in progress without a draft, with implementation initiated under the Enabling Activities support. The hiring of a crucial Finance Specialist was delayed due to a change in recruitment strategy; however, the </w:t>
            </w:r>
            <w:proofErr w:type="gramStart"/>
            <w:r w:rsidRPr="00670408">
              <w:rPr>
                <w:rFonts w:cstheme="minorHAnsi"/>
                <w:sz w:val="18"/>
                <w:szCs w:val="18"/>
                <w:lang w:val="en-US"/>
              </w:rPr>
              <w:t>Multi-Country Office</w:t>
            </w:r>
            <w:proofErr w:type="gramEnd"/>
            <w:r w:rsidRPr="00670408">
              <w:rPr>
                <w:rFonts w:cstheme="minorHAnsi"/>
                <w:sz w:val="18"/>
                <w:szCs w:val="18"/>
                <w:lang w:val="en-US"/>
              </w:rPr>
              <w:t xml:space="preserve"> has launched a Request for Information (RFI) and will use a roster-based IC contract to expedite the process.</w:t>
            </w:r>
          </w:p>
        </w:tc>
      </w:tr>
      <w:tr w:rsidR="00670408" w:rsidRPr="00237520" w14:paraId="0801BD6C" w14:textId="77777777" w:rsidTr="00D22022">
        <w:trPr>
          <w:trHeight w:val="1872"/>
          <w:jc w:val="center"/>
        </w:trPr>
        <w:tc>
          <w:tcPr>
            <w:tcW w:w="1250" w:type="dxa"/>
            <w:vAlign w:val="center"/>
            <w:hideMark/>
          </w:tcPr>
          <w:p w14:paraId="65EFAA10"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Armenia</w:t>
            </w:r>
          </w:p>
        </w:tc>
        <w:tc>
          <w:tcPr>
            <w:tcW w:w="882" w:type="dxa"/>
            <w:vAlign w:val="center"/>
            <w:hideMark/>
          </w:tcPr>
          <w:p w14:paraId="365C0C1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447C35E" w14:textId="77777777" w:rsidR="00670408" w:rsidRPr="00C67737" w:rsidRDefault="00670408" w:rsidP="00D22022">
            <w:pPr>
              <w:jc w:val="center"/>
              <w:rPr>
                <w:rFonts w:eastAsia="Times New Roman" w:cstheme="minorHAnsi"/>
                <w:sz w:val="18"/>
                <w:szCs w:val="18"/>
                <w:lang w:eastAsia="en-PH"/>
              </w:rPr>
            </w:pPr>
            <w:r w:rsidRPr="00C67737">
              <w:rPr>
                <w:rFonts w:eastAsia="Aptos" w:cstheme="minorHAnsi"/>
                <w:sz w:val="18"/>
                <w:szCs w:val="18"/>
              </w:rPr>
              <w:t>Sep 1, 2024</w:t>
            </w:r>
          </w:p>
        </w:tc>
        <w:tc>
          <w:tcPr>
            <w:tcW w:w="1102" w:type="dxa"/>
            <w:vAlign w:val="center"/>
            <w:hideMark/>
          </w:tcPr>
          <w:p w14:paraId="501EA2C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135,390.00</w:t>
            </w:r>
          </w:p>
        </w:tc>
        <w:tc>
          <w:tcPr>
            <w:tcW w:w="1056" w:type="dxa"/>
            <w:vAlign w:val="center"/>
            <w:hideMark/>
          </w:tcPr>
          <w:p w14:paraId="4258480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43.12%</w:t>
            </w:r>
          </w:p>
        </w:tc>
        <w:tc>
          <w:tcPr>
            <w:tcW w:w="1382" w:type="dxa"/>
            <w:vAlign w:val="center"/>
          </w:tcPr>
          <w:p w14:paraId="4FD0C95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153,894.76</w:t>
            </w:r>
          </w:p>
        </w:tc>
        <w:tc>
          <w:tcPr>
            <w:tcW w:w="1136" w:type="dxa"/>
            <w:vAlign w:val="center"/>
          </w:tcPr>
          <w:p w14:paraId="17C8749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49.01%</w:t>
            </w:r>
          </w:p>
        </w:tc>
        <w:tc>
          <w:tcPr>
            <w:tcW w:w="5409" w:type="dxa"/>
            <w:vAlign w:val="center"/>
            <w:hideMark/>
          </w:tcPr>
          <w:p w14:paraId="002E3707"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advancing well with a full national team, including a new National Coordinator. Significant progress has been made on key reports, with drafts available for the Policy and Institutional Review (PIR) and the Subsidies Report. The Biodiversity Expenditure Review (BER) is also well advanced, and a company has been contracted for the Finance Needs Assessment (FNA). A key priority is strengthening engagement with the Ministry of Finance, for which contact is being established. Online technical training has been provided to support the team as it continues its technical work.</w:t>
            </w:r>
          </w:p>
        </w:tc>
      </w:tr>
      <w:tr w:rsidR="00670408" w:rsidRPr="00237520" w14:paraId="55F08AC8" w14:textId="77777777" w:rsidTr="00D22022">
        <w:trPr>
          <w:trHeight w:val="624"/>
          <w:jc w:val="center"/>
        </w:trPr>
        <w:tc>
          <w:tcPr>
            <w:tcW w:w="1250" w:type="dxa"/>
            <w:vAlign w:val="center"/>
            <w:hideMark/>
          </w:tcPr>
          <w:p w14:paraId="45CC7C5A"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Azerbaijan</w:t>
            </w:r>
            <w:proofErr w:type="spellEnd"/>
          </w:p>
        </w:tc>
        <w:tc>
          <w:tcPr>
            <w:tcW w:w="882" w:type="dxa"/>
            <w:vAlign w:val="center"/>
            <w:hideMark/>
          </w:tcPr>
          <w:p w14:paraId="50CB5FA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5225C59" w14:textId="77777777" w:rsidR="00670408" w:rsidRPr="00C67737" w:rsidRDefault="00670408" w:rsidP="00D22022">
            <w:pPr>
              <w:spacing w:after="0"/>
              <w:jc w:val="center"/>
              <w:rPr>
                <w:rFonts w:eastAsia="Times New Roman" w:cstheme="minorHAnsi"/>
                <w:sz w:val="18"/>
                <w:szCs w:val="18"/>
                <w:lang w:eastAsia="en-PH"/>
              </w:rPr>
            </w:pPr>
          </w:p>
        </w:tc>
        <w:tc>
          <w:tcPr>
            <w:tcW w:w="1102" w:type="dxa"/>
            <w:vAlign w:val="center"/>
            <w:hideMark/>
          </w:tcPr>
          <w:p w14:paraId="323D7669" w14:textId="77777777" w:rsidR="00670408" w:rsidRPr="00C67737" w:rsidRDefault="00670408" w:rsidP="00D22022">
            <w:pPr>
              <w:spacing w:after="0"/>
              <w:jc w:val="center"/>
              <w:rPr>
                <w:rFonts w:eastAsia="Times New Roman" w:cstheme="minorHAnsi"/>
                <w:sz w:val="18"/>
                <w:szCs w:val="18"/>
                <w:lang w:eastAsia="en-PH"/>
              </w:rPr>
            </w:pPr>
          </w:p>
        </w:tc>
        <w:tc>
          <w:tcPr>
            <w:tcW w:w="1056" w:type="dxa"/>
            <w:vAlign w:val="center"/>
            <w:hideMark/>
          </w:tcPr>
          <w:p w14:paraId="7AF456D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0.00%</w:t>
            </w:r>
          </w:p>
        </w:tc>
        <w:tc>
          <w:tcPr>
            <w:tcW w:w="1382" w:type="dxa"/>
            <w:vAlign w:val="center"/>
          </w:tcPr>
          <w:p w14:paraId="0AB42E88"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w:t>
            </w:r>
          </w:p>
        </w:tc>
        <w:tc>
          <w:tcPr>
            <w:tcW w:w="1136" w:type="dxa"/>
            <w:vAlign w:val="center"/>
          </w:tcPr>
          <w:p w14:paraId="3D69C257"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0.00%</w:t>
            </w:r>
          </w:p>
        </w:tc>
        <w:tc>
          <w:tcPr>
            <w:tcW w:w="5409" w:type="dxa"/>
            <w:vAlign w:val="center"/>
            <w:hideMark/>
          </w:tcPr>
          <w:p w14:paraId="1D516085"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Project activities are currently facing significant challenges and are on hold. The government has announced the closure of the UNDP Country Office, and negotiations are underway to determine the future of operations.</w:t>
            </w:r>
          </w:p>
        </w:tc>
      </w:tr>
      <w:tr w:rsidR="00670408" w:rsidRPr="00D95ACA" w14:paraId="663FED37" w14:textId="77777777" w:rsidTr="00D22022">
        <w:trPr>
          <w:trHeight w:val="1560"/>
          <w:jc w:val="center"/>
        </w:trPr>
        <w:tc>
          <w:tcPr>
            <w:tcW w:w="1250" w:type="dxa"/>
            <w:vAlign w:val="center"/>
            <w:hideMark/>
          </w:tcPr>
          <w:p w14:paraId="08090AE7"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lastRenderedPageBreak/>
              <w:t>Bahrain</w:t>
            </w:r>
            <w:proofErr w:type="spellEnd"/>
          </w:p>
        </w:tc>
        <w:tc>
          <w:tcPr>
            <w:tcW w:w="882" w:type="dxa"/>
            <w:vAlign w:val="center"/>
            <w:hideMark/>
          </w:tcPr>
          <w:p w14:paraId="5DF3F72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735CF4E5" w14:textId="77777777" w:rsidR="00670408" w:rsidRPr="00C67737" w:rsidRDefault="00670408" w:rsidP="00D22022">
            <w:pPr>
              <w:spacing w:after="0"/>
              <w:jc w:val="center"/>
              <w:rPr>
                <w:rFonts w:eastAsia="Times New Roman" w:cstheme="minorHAnsi"/>
                <w:sz w:val="18"/>
                <w:szCs w:val="18"/>
              </w:rPr>
            </w:pPr>
            <w:proofErr w:type="spellStart"/>
            <w:r w:rsidRPr="00C67737">
              <w:rPr>
                <w:rFonts w:eastAsia="Times New Roman" w:cstheme="minorHAnsi"/>
                <w:sz w:val="18"/>
                <w:szCs w:val="18"/>
              </w:rPr>
              <w:t>Dec</w:t>
            </w:r>
            <w:proofErr w:type="spellEnd"/>
            <w:r w:rsidRPr="00C67737">
              <w:rPr>
                <w:rFonts w:eastAsia="Times New Roman" w:cstheme="minorHAnsi"/>
                <w:sz w:val="18"/>
                <w:szCs w:val="18"/>
              </w:rPr>
              <w:t xml:space="preserve"> 30, 2025</w:t>
            </w:r>
          </w:p>
        </w:tc>
        <w:tc>
          <w:tcPr>
            <w:tcW w:w="1102" w:type="dxa"/>
            <w:vAlign w:val="center"/>
            <w:hideMark/>
          </w:tcPr>
          <w:p w14:paraId="502BE6B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35,899.00</w:t>
            </w:r>
          </w:p>
        </w:tc>
        <w:tc>
          <w:tcPr>
            <w:tcW w:w="1056" w:type="dxa"/>
            <w:vAlign w:val="center"/>
            <w:hideMark/>
          </w:tcPr>
          <w:p w14:paraId="3F3E8EC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11.43%</w:t>
            </w:r>
          </w:p>
        </w:tc>
        <w:tc>
          <w:tcPr>
            <w:tcW w:w="1382" w:type="dxa"/>
            <w:vAlign w:val="center"/>
          </w:tcPr>
          <w:p w14:paraId="5DF8977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61,219.09</w:t>
            </w:r>
          </w:p>
        </w:tc>
        <w:tc>
          <w:tcPr>
            <w:tcW w:w="1136" w:type="dxa"/>
            <w:vAlign w:val="center"/>
          </w:tcPr>
          <w:p w14:paraId="24D7F0B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19.50%</w:t>
            </w:r>
          </w:p>
        </w:tc>
        <w:tc>
          <w:tcPr>
            <w:tcW w:w="5409" w:type="dxa"/>
            <w:vAlign w:val="center"/>
            <w:hideMark/>
          </w:tcPr>
          <w:p w14:paraId="0B3AB50A"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A key achievement is the contracting of a firm to identify harmful subsidies, with the inception report received and reviewed. However, the recruitment of national Policy and Finance Experts was unsuccessful and will be re-advertised for a company. The Steering Committee has not yet been established, and the management team is focused on securing </w:t>
            </w:r>
            <w:proofErr w:type="gramStart"/>
            <w:r w:rsidRPr="00670408">
              <w:rPr>
                <w:rFonts w:cstheme="minorHAnsi"/>
                <w:sz w:val="18"/>
                <w:szCs w:val="18"/>
                <w:lang w:val="en-US"/>
              </w:rPr>
              <w:t>approvals</w:t>
            </w:r>
            <w:proofErr w:type="gramEnd"/>
            <w:r w:rsidRPr="00670408">
              <w:rPr>
                <w:rFonts w:cstheme="minorHAnsi"/>
                <w:sz w:val="18"/>
                <w:szCs w:val="18"/>
                <w:lang w:val="en-US"/>
              </w:rPr>
              <w:t xml:space="preserve"> for the new recruitments to complete the team and formally launch project governance structures.</w:t>
            </w:r>
          </w:p>
        </w:tc>
      </w:tr>
      <w:tr w:rsidR="00670408" w:rsidRPr="00237520" w14:paraId="01A707CE" w14:textId="77777777" w:rsidTr="00D22022">
        <w:trPr>
          <w:trHeight w:val="1248"/>
          <w:jc w:val="center"/>
        </w:trPr>
        <w:tc>
          <w:tcPr>
            <w:tcW w:w="1250" w:type="dxa"/>
            <w:vAlign w:val="center"/>
            <w:hideMark/>
          </w:tcPr>
          <w:p w14:paraId="3D7C33BE"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Bangladesh</w:t>
            </w:r>
          </w:p>
        </w:tc>
        <w:tc>
          <w:tcPr>
            <w:tcW w:w="882" w:type="dxa"/>
            <w:vAlign w:val="center"/>
            <w:hideMark/>
          </w:tcPr>
          <w:p w14:paraId="60D9D4E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FCA0D7F"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Mar 24, 2025</w:t>
            </w:r>
          </w:p>
        </w:tc>
        <w:tc>
          <w:tcPr>
            <w:tcW w:w="1102" w:type="dxa"/>
            <w:vAlign w:val="center"/>
            <w:hideMark/>
          </w:tcPr>
          <w:p w14:paraId="2574779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161,622.00</w:t>
            </w:r>
          </w:p>
        </w:tc>
        <w:tc>
          <w:tcPr>
            <w:tcW w:w="1056" w:type="dxa"/>
            <w:vAlign w:val="center"/>
            <w:hideMark/>
          </w:tcPr>
          <w:p w14:paraId="001D778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51.47%</w:t>
            </w:r>
          </w:p>
        </w:tc>
        <w:tc>
          <w:tcPr>
            <w:tcW w:w="1382" w:type="dxa"/>
            <w:vAlign w:val="center"/>
          </w:tcPr>
          <w:p w14:paraId="057F90C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187,400.11</w:t>
            </w:r>
          </w:p>
        </w:tc>
        <w:tc>
          <w:tcPr>
            <w:tcW w:w="1136" w:type="dxa"/>
            <w:vAlign w:val="center"/>
          </w:tcPr>
          <w:p w14:paraId="09E1B2C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59.68%</w:t>
            </w:r>
          </w:p>
        </w:tc>
        <w:tc>
          <w:tcPr>
            <w:tcW w:w="5409" w:type="dxa"/>
            <w:vAlign w:val="center"/>
            <w:hideMark/>
          </w:tcPr>
          <w:p w14:paraId="32946302"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fully staffed and successfully completed its inception workshop with high-level officials in attendance, marking a strong start. All technical reports are being prepared simultaneously, though drafts are not yet available. The project's technical team is actively engaged with global support to advance technical work.</w:t>
            </w:r>
          </w:p>
        </w:tc>
      </w:tr>
      <w:tr w:rsidR="00670408" w:rsidRPr="00237520" w14:paraId="29D35FDD" w14:textId="77777777" w:rsidTr="00D22022">
        <w:trPr>
          <w:trHeight w:val="1248"/>
          <w:jc w:val="center"/>
        </w:trPr>
        <w:tc>
          <w:tcPr>
            <w:tcW w:w="1250" w:type="dxa"/>
            <w:vAlign w:val="center"/>
            <w:hideMark/>
          </w:tcPr>
          <w:p w14:paraId="7FE30AEA"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Barbados</w:t>
            </w:r>
            <w:proofErr w:type="spellEnd"/>
          </w:p>
        </w:tc>
        <w:tc>
          <w:tcPr>
            <w:tcW w:w="882" w:type="dxa"/>
            <w:vAlign w:val="center"/>
            <w:hideMark/>
          </w:tcPr>
          <w:p w14:paraId="4426A77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9F42008"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457DA08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32,060.30</w:t>
            </w:r>
          </w:p>
        </w:tc>
        <w:tc>
          <w:tcPr>
            <w:tcW w:w="1056" w:type="dxa"/>
            <w:vAlign w:val="center"/>
            <w:hideMark/>
          </w:tcPr>
          <w:p w14:paraId="7F84622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10.21%</w:t>
            </w:r>
          </w:p>
        </w:tc>
        <w:tc>
          <w:tcPr>
            <w:tcW w:w="1382" w:type="dxa"/>
            <w:vAlign w:val="center"/>
          </w:tcPr>
          <w:p w14:paraId="14B5C5AA"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48,907.82</w:t>
            </w:r>
          </w:p>
        </w:tc>
        <w:tc>
          <w:tcPr>
            <w:tcW w:w="1136" w:type="dxa"/>
            <w:vAlign w:val="center"/>
          </w:tcPr>
          <w:p w14:paraId="1C6CC26F"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15.58 %</w:t>
            </w:r>
          </w:p>
        </w:tc>
        <w:tc>
          <w:tcPr>
            <w:tcW w:w="5409" w:type="dxa"/>
            <w:vAlign w:val="center"/>
            <w:hideMark/>
          </w:tcPr>
          <w:p w14:paraId="136BCE3B"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progressing under the </w:t>
            </w:r>
            <w:proofErr w:type="gramStart"/>
            <w:r w:rsidRPr="00670408">
              <w:rPr>
                <w:rFonts w:cstheme="minorHAnsi"/>
                <w:sz w:val="18"/>
                <w:szCs w:val="18"/>
                <w:lang w:val="en-US"/>
              </w:rPr>
              <w:t>Multi-Country Office</w:t>
            </w:r>
            <w:proofErr w:type="gramEnd"/>
            <w:r w:rsidRPr="00670408">
              <w:rPr>
                <w:rFonts w:cstheme="minorHAnsi"/>
                <w:sz w:val="18"/>
                <w:szCs w:val="18"/>
                <w:lang w:val="en-US"/>
              </w:rPr>
              <w:t>, with a consultant hired to develop a preliminary version of the Policy and Institutional Review (PIR) and Biodiversity Expenditure Report (BER), resulting in an initial draft. The Multi-Year Work Plan and budget revision were approved in April, and a Request for Information for further technical services has been closed. However, a key meeting with the government has been postponed. The management team is focused on advancing procurement and addressing the meeting delay to maintain momentum.</w:t>
            </w:r>
          </w:p>
        </w:tc>
      </w:tr>
      <w:tr w:rsidR="00670408" w:rsidRPr="00237520" w14:paraId="5F9CCFCA" w14:textId="77777777" w:rsidTr="00D22022">
        <w:trPr>
          <w:trHeight w:val="1872"/>
          <w:jc w:val="center"/>
        </w:trPr>
        <w:tc>
          <w:tcPr>
            <w:tcW w:w="1250" w:type="dxa"/>
            <w:vAlign w:val="center"/>
            <w:hideMark/>
          </w:tcPr>
          <w:p w14:paraId="2D115E21"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Benin</w:t>
            </w:r>
          </w:p>
        </w:tc>
        <w:tc>
          <w:tcPr>
            <w:tcW w:w="882" w:type="dxa"/>
            <w:vAlign w:val="center"/>
            <w:hideMark/>
          </w:tcPr>
          <w:p w14:paraId="0E54DE5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8E2C54F"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Nov 5, 2024</w:t>
            </w:r>
          </w:p>
        </w:tc>
        <w:tc>
          <w:tcPr>
            <w:tcW w:w="1102" w:type="dxa"/>
            <w:vAlign w:val="center"/>
            <w:hideMark/>
          </w:tcPr>
          <w:p w14:paraId="5EB864C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73,381.00</w:t>
            </w:r>
          </w:p>
        </w:tc>
        <w:tc>
          <w:tcPr>
            <w:tcW w:w="1056" w:type="dxa"/>
            <w:vAlign w:val="center"/>
            <w:hideMark/>
          </w:tcPr>
          <w:p w14:paraId="62FE200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23.37%</w:t>
            </w:r>
          </w:p>
        </w:tc>
        <w:tc>
          <w:tcPr>
            <w:tcW w:w="1382" w:type="dxa"/>
            <w:vAlign w:val="center"/>
          </w:tcPr>
          <w:p w14:paraId="4A1F4CD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122,571.24</w:t>
            </w:r>
          </w:p>
        </w:tc>
        <w:tc>
          <w:tcPr>
            <w:tcW w:w="1136" w:type="dxa"/>
            <w:vAlign w:val="center"/>
          </w:tcPr>
          <w:p w14:paraId="2DD3929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39.04%</w:t>
            </w:r>
          </w:p>
        </w:tc>
        <w:tc>
          <w:tcPr>
            <w:tcW w:w="5409" w:type="dxa"/>
            <w:vAlign w:val="center"/>
            <w:hideMark/>
          </w:tcPr>
          <w:p w14:paraId="28ABBDCB"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advancing steadily with a full team recruited and key assessments underway. A draft of the Policy and Institutional Review (PIR) </w:t>
            </w:r>
            <w:proofErr w:type="gramStart"/>
            <w:r w:rsidRPr="00670408">
              <w:rPr>
                <w:rFonts w:cstheme="minorHAnsi"/>
                <w:sz w:val="18"/>
                <w:szCs w:val="18"/>
                <w:lang w:val="en-US"/>
              </w:rPr>
              <w:t>is</w:t>
            </w:r>
            <w:proofErr w:type="gramEnd"/>
            <w:r w:rsidRPr="00670408">
              <w:rPr>
                <w:rFonts w:cstheme="minorHAnsi"/>
                <w:sz w:val="18"/>
                <w:szCs w:val="18"/>
                <w:lang w:val="en-US"/>
              </w:rPr>
              <w:t xml:space="preserve"> nearly finalized, and drafts for the Subsidies Report and Finance Needs Assessment (FNA) are also in progress. Data collection for the Biodiversity Expenditure Review (BER) has begun. Although the original PIR expert departed, the National Coordinator has stepped in to ensure continuity. The UNDP Country Office is also recruiting an additional expert to further support the development of the BER, FNA, and the Biodiversity Finance Plan.</w:t>
            </w:r>
          </w:p>
        </w:tc>
      </w:tr>
      <w:tr w:rsidR="00670408" w:rsidRPr="00237520" w14:paraId="10789C87" w14:textId="77777777" w:rsidTr="00D22022">
        <w:trPr>
          <w:trHeight w:val="1248"/>
          <w:jc w:val="center"/>
        </w:trPr>
        <w:tc>
          <w:tcPr>
            <w:tcW w:w="1250" w:type="dxa"/>
            <w:vAlign w:val="center"/>
            <w:hideMark/>
          </w:tcPr>
          <w:p w14:paraId="1DDC5752"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Bolivia</w:t>
            </w:r>
          </w:p>
        </w:tc>
        <w:tc>
          <w:tcPr>
            <w:tcW w:w="882" w:type="dxa"/>
            <w:vAlign w:val="center"/>
            <w:hideMark/>
          </w:tcPr>
          <w:p w14:paraId="290E9D9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0C05132"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5CF7AC8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57,911.00</w:t>
            </w:r>
          </w:p>
        </w:tc>
        <w:tc>
          <w:tcPr>
            <w:tcW w:w="1056" w:type="dxa"/>
            <w:vAlign w:val="center"/>
            <w:hideMark/>
          </w:tcPr>
          <w:p w14:paraId="24A1935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18.44%</w:t>
            </w:r>
          </w:p>
        </w:tc>
        <w:tc>
          <w:tcPr>
            <w:tcW w:w="1382" w:type="dxa"/>
            <w:vAlign w:val="center"/>
          </w:tcPr>
          <w:p w14:paraId="659DB56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79,218.71</w:t>
            </w:r>
          </w:p>
        </w:tc>
        <w:tc>
          <w:tcPr>
            <w:tcW w:w="1136" w:type="dxa"/>
            <w:vAlign w:val="center"/>
          </w:tcPr>
          <w:p w14:paraId="6E456A5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25.23%</w:t>
            </w:r>
          </w:p>
        </w:tc>
        <w:tc>
          <w:tcPr>
            <w:tcW w:w="5409" w:type="dxa"/>
            <w:vAlign w:val="center"/>
            <w:hideMark/>
          </w:tcPr>
          <w:p w14:paraId="780C71D9"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team is established with a National Coordinator and an Administrative Project Associate in place. The terms of reference for the Policy and Institutional Review (PIR) and Biodiversity Expenditure Review (BER) have been finalized, and procurement processes are in their final stages. Both consultancies are expected to commence in December. The current focus is on completing these recruitments to formally launch the technical assessments.</w:t>
            </w:r>
          </w:p>
        </w:tc>
      </w:tr>
      <w:tr w:rsidR="00670408" w:rsidRPr="00237520" w14:paraId="489033E2" w14:textId="77777777" w:rsidTr="00D22022">
        <w:trPr>
          <w:trHeight w:val="1248"/>
          <w:jc w:val="center"/>
        </w:trPr>
        <w:tc>
          <w:tcPr>
            <w:tcW w:w="1250" w:type="dxa"/>
            <w:vAlign w:val="center"/>
            <w:hideMark/>
          </w:tcPr>
          <w:p w14:paraId="7E19A2E8"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Bosnia-</w:t>
            </w:r>
            <w:proofErr w:type="spellStart"/>
            <w:r w:rsidRPr="00C67737">
              <w:rPr>
                <w:rFonts w:eastAsia="Times New Roman" w:cstheme="minorHAnsi"/>
                <w:sz w:val="18"/>
                <w:szCs w:val="18"/>
                <w:lang w:eastAsia="en-PH"/>
              </w:rPr>
              <w:t>Herzegovina</w:t>
            </w:r>
            <w:proofErr w:type="spellEnd"/>
          </w:p>
        </w:tc>
        <w:tc>
          <w:tcPr>
            <w:tcW w:w="882" w:type="dxa"/>
            <w:vAlign w:val="center"/>
            <w:hideMark/>
          </w:tcPr>
          <w:p w14:paraId="388BA38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00C6434" w14:textId="77777777" w:rsidR="00670408" w:rsidRPr="00C67737" w:rsidRDefault="00670408" w:rsidP="00D22022">
            <w:pPr>
              <w:jc w:val="center"/>
              <w:rPr>
                <w:rFonts w:eastAsia="Aptos" w:cstheme="minorHAnsi"/>
                <w:sz w:val="18"/>
                <w:szCs w:val="18"/>
              </w:rPr>
            </w:pPr>
            <w:r w:rsidRPr="00C67737">
              <w:rPr>
                <w:rFonts w:eastAsia="Helvetica" w:cstheme="minorHAnsi"/>
                <w:sz w:val="18"/>
                <w:szCs w:val="18"/>
              </w:rPr>
              <w:t>Jul 11, 2024</w:t>
            </w:r>
          </w:p>
        </w:tc>
        <w:tc>
          <w:tcPr>
            <w:tcW w:w="1102" w:type="dxa"/>
            <w:vAlign w:val="center"/>
            <w:hideMark/>
          </w:tcPr>
          <w:p w14:paraId="566CFEA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152,432.00</w:t>
            </w:r>
          </w:p>
        </w:tc>
        <w:tc>
          <w:tcPr>
            <w:tcW w:w="1056" w:type="dxa"/>
            <w:vAlign w:val="center"/>
            <w:hideMark/>
          </w:tcPr>
          <w:p w14:paraId="2E72056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48.55%</w:t>
            </w:r>
          </w:p>
        </w:tc>
        <w:tc>
          <w:tcPr>
            <w:tcW w:w="1382" w:type="dxa"/>
            <w:vAlign w:val="center"/>
          </w:tcPr>
          <w:p w14:paraId="6745940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171,248.99</w:t>
            </w:r>
          </w:p>
        </w:tc>
        <w:tc>
          <w:tcPr>
            <w:tcW w:w="1136" w:type="dxa"/>
            <w:vAlign w:val="center"/>
          </w:tcPr>
          <w:p w14:paraId="734DEF4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54.54%</w:t>
            </w:r>
          </w:p>
        </w:tc>
        <w:tc>
          <w:tcPr>
            <w:tcW w:w="5409" w:type="dxa"/>
            <w:vAlign w:val="center"/>
            <w:hideMark/>
          </w:tcPr>
          <w:p w14:paraId="0FE11285"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fully staffed and has effectively adapted to the unique </w:t>
            </w:r>
            <w:proofErr w:type="gramStart"/>
            <w:r w:rsidRPr="00670408">
              <w:rPr>
                <w:rFonts w:cstheme="minorHAnsi"/>
                <w:sz w:val="18"/>
                <w:szCs w:val="18"/>
                <w:lang w:val="en-US"/>
              </w:rPr>
              <w:t>country</w:t>
            </w:r>
            <w:proofErr w:type="gramEnd"/>
            <w:r w:rsidRPr="00670408">
              <w:rPr>
                <w:rFonts w:cstheme="minorHAnsi"/>
                <w:sz w:val="18"/>
                <w:szCs w:val="18"/>
                <w:lang w:val="en-US"/>
              </w:rPr>
              <w:t xml:space="preserve"> context by appointing two consultants for the Policy and Institutional Review (PIR). This has enabled significant progress, with drafts now available for the PIR, the Subsidies Report, and the Biodiversity Expenditure Review (BER), all of which are awaiting finalization. The project is well-managed by the national coordinator, ensuring all technical work is advancing as planned.</w:t>
            </w:r>
          </w:p>
        </w:tc>
      </w:tr>
      <w:tr w:rsidR="00670408" w:rsidRPr="00237520" w14:paraId="44378224" w14:textId="77777777" w:rsidTr="00D22022">
        <w:trPr>
          <w:trHeight w:val="431"/>
          <w:jc w:val="center"/>
        </w:trPr>
        <w:tc>
          <w:tcPr>
            <w:tcW w:w="1250" w:type="dxa"/>
            <w:vAlign w:val="center"/>
            <w:hideMark/>
          </w:tcPr>
          <w:p w14:paraId="5F234E73"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Burkina Faso</w:t>
            </w:r>
          </w:p>
        </w:tc>
        <w:tc>
          <w:tcPr>
            <w:tcW w:w="882" w:type="dxa"/>
            <w:vAlign w:val="center"/>
            <w:hideMark/>
          </w:tcPr>
          <w:p w14:paraId="68857A7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3B78476"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1261984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101,337.00</w:t>
            </w:r>
          </w:p>
        </w:tc>
        <w:tc>
          <w:tcPr>
            <w:tcW w:w="1056" w:type="dxa"/>
            <w:vAlign w:val="center"/>
            <w:hideMark/>
          </w:tcPr>
          <w:p w14:paraId="451BCDD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32.27%</w:t>
            </w:r>
          </w:p>
        </w:tc>
        <w:tc>
          <w:tcPr>
            <w:tcW w:w="1382" w:type="dxa"/>
            <w:vAlign w:val="center"/>
          </w:tcPr>
          <w:p w14:paraId="56B44FC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127,586.87</w:t>
            </w:r>
          </w:p>
        </w:tc>
        <w:tc>
          <w:tcPr>
            <w:tcW w:w="1136" w:type="dxa"/>
            <w:vAlign w:val="center"/>
          </w:tcPr>
          <w:p w14:paraId="5E645DC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40.63%</w:t>
            </w:r>
          </w:p>
        </w:tc>
        <w:tc>
          <w:tcPr>
            <w:tcW w:w="5409" w:type="dxa"/>
            <w:vAlign w:val="center"/>
            <w:hideMark/>
          </w:tcPr>
          <w:p w14:paraId="4B6D8942"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making solid progress with a full team recruited and key assessments ongoing. The Policy and Institutional Review (PIR) is almost finalized, with drafts available for both it and the Subsidies Report. Work on the Biodiversity Expenditure Review (BER) and Finance Needs Assessment (FNA) is also progressing well. The team is demonstrating strong national coordination, notably by aligning the BER with a previously conducted Public Expenditure Review for Climate and Disaster Risk to ensure synergy and efficiency.</w:t>
            </w:r>
          </w:p>
        </w:tc>
      </w:tr>
      <w:tr w:rsidR="00670408" w:rsidRPr="00237520" w14:paraId="74E61C72" w14:textId="77777777" w:rsidTr="00D22022">
        <w:trPr>
          <w:trHeight w:val="1872"/>
          <w:jc w:val="center"/>
        </w:trPr>
        <w:tc>
          <w:tcPr>
            <w:tcW w:w="1250" w:type="dxa"/>
            <w:vAlign w:val="center"/>
            <w:hideMark/>
          </w:tcPr>
          <w:p w14:paraId="20887EC4"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Burundi</w:t>
            </w:r>
          </w:p>
        </w:tc>
        <w:tc>
          <w:tcPr>
            <w:tcW w:w="882" w:type="dxa"/>
            <w:vAlign w:val="center"/>
            <w:hideMark/>
          </w:tcPr>
          <w:p w14:paraId="2F73D6F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A0A3FDC"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Nov 1, 2025</w:t>
            </w:r>
          </w:p>
        </w:tc>
        <w:tc>
          <w:tcPr>
            <w:tcW w:w="1102" w:type="dxa"/>
            <w:vAlign w:val="center"/>
            <w:hideMark/>
          </w:tcPr>
          <w:p w14:paraId="4640A00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67,767.00</w:t>
            </w:r>
          </w:p>
        </w:tc>
        <w:tc>
          <w:tcPr>
            <w:tcW w:w="1056" w:type="dxa"/>
            <w:vAlign w:val="center"/>
            <w:hideMark/>
          </w:tcPr>
          <w:p w14:paraId="3847325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21.58%</w:t>
            </w:r>
          </w:p>
        </w:tc>
        <w:tc>
          <w:tcPr>
            <w:tcW w:w="1382" w:type="dxa"/>
            <w:vAlign w:val="center"/>
          </w:tcPr>
          <w:p w14:paraId="1E62DD4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67,766.70</w:t>
            </w:r>
          </w:p>
        </w:tc>
        <w:tc>
          <w:tcPr>
            <w:tcW w:w="1136" w:type="dxa"/>
            <w:vAlign w:val="center"/>
          </w:tcPr>
          <w:p w14:paraId="51CF533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21.58%</w:t>
            </w:r>
          </w:p>
        </w:tc>
        <w:tc>
          <w:tcPr>
            <w:tcW w:w="5409" w:type="dxa"/>
            <w:vAlign w:val="center"/>
            <w:hideMark/>
          </w:tcPr>
          <w:p w14:paraId="19B94DB0"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A full project team is on board and making progress on technical assessments, with drafts of the Policy and Institutional Review (PIR) and the Subsidies Report in development. However, implementation has been slowed by significant governmental restructuring and the absence of an official project launch or steering committee, which has limited stakeholder consultations. To mitigate this, management is initiating sub-national consultations to advance data collection while concurrently working to establish formal governance structures.</w:t>
            </w:r>
          </w:p>
        </w:tc>
      </w:tr>
      <w:tr w:rsidR="00670408" w:rsidRPr="00237520" w14:paraId="5668C7FC" w14:textId="77777777" w:rsidTr="00D22022">
        <w:trPr>
          <w:trHeight w:val="1560"/>
          <w:jc w:val="center"/>
        </w:trPr>
        <w:tc>
          <w:tcPr>
            <w:tcW w:w="1250" w:type="dxa"/>
            <w:vAlign w:val="center"/>
            <w:hideMark/>
          </w:tcPr>
          <w:p w14:paraId="3ADE3481"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Cabo Verde</w:t>
            </w:r>
          </w:p>
        </w:tc>
        <w:tc>
          <w:tcPr>
            <w:tcW w:w="882" w:type="dxa"/>
            <w:vAlign w:val="center"/>
            <w:hideMark/>
          </w:tcPr>
          <w:p w14:paraId="799112B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D875510"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Mar 6, 2025</w:t>
            </w:r>
          </w:p>
        </w:tc>
        <w:tc>
          <w:tcPr>
            <w:tcW w:w="1102" w:type="dxa"/>
            <w:vAlign w:val="center"/>
            <w:hideMark/>
          </w:tcPr>
          <w:p w14:paraId="5BD7205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79,796.00</w:t>
            </w:r>
          </w:p>
        </w:tc>
        <w:tc>
          <w:tcPr>
            <w:tcW w:w="1056" w:type="dxa"/>
            <w:vAlign w:val="center"/>
            <w:hideMark/>
          </w:tcPr>
          <w:p w14:paraId="6700F8D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25.41%</w:t>
            </w:r>
          </w:p>
        </w:tc>
        <w:tc>
          <w:tcPr>
            <w:tcW w:w="1382" w:type="dxa"/>
            <w:vAlign w:val="center"/>
          </w:tcPr>
          <w:p w14:paraId="2B57D36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88,641.42</w:t>
            </w:r>
          </w:p>
        </w:tc>
        <w:tc>
          <w:tcPr>
            <w:tcW w:w="1136" w:type="dxa"/>
            <w:vAlign w:val="center"/>
          </w:tcPr>
          <w:p w14:paraId="6357160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28.23%</w:t>
            </w:r>
          </w:p>
        </w:tc>
        <w:tc>
          <w:tcPr>
            <w:tcW w:w="5409" w:type="dxa"/>
            <w:vAlign w:val="center"/>
            <w:hideMark/>
          </w:tcPr>
          <w:p w14:paraId="1EF5CA90"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now operational with the Project Lead on board as of April 2026. However, progress on the Policy and Institutional Review (PIR) and Biodiversity Expenditure Review (BER) was interrupted pending new guidance from the government. This stems from a misunderstanding that BIOFIN's activities might overlap with the GEF-7 EAS project. To resolve this, the Technical Advisor is analyzing the EAS reports to provide a coordinated strategy and clarify synergies, which will facilitate productive discussions with the government to move forward. This was also discussed between NBSAP UNEP, government representative, global team and coordinator during the AARD in April 2026.</w:t>
            </w:r>
          </w:p>
        </w:tc>
      </w:tr>
      <w:tr w:rsidR="00670408" w:rsidRPr="00237520" w14:paraId="143A0FE7" w14:textId="77777777" w:rsidTr="00D22022">
        <w:trPr>
          <w:trHeight w:val="1560"/>
          <w:jc w:val="center"/>
        </w:trPr>
        <w:tc>
          <w:tcPr>
            <w:tcW w:w="1250" w:type="dxa"/>
            <w:vAlign w:val="center"/>
            <w:hideMark/>
          </w:tcPr>
          <w:p w14:paraId="0CCCE7F1"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Cameroon</w:t>
            </w:r>
            <w:proofErr w:type="spellEnd"/>
          </w:p>
        </w:tc>
        <w:tc>
          <w:tcPr>
            <w:tcW w:w="882" w:type="dxa"/>
            <w:vAlign w:val="center"/>
            <w:hideMark/>
          </w:tcPr>
          <w:p w14:paraId="2BEAB06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57E9E42"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Mar 20, 2025</w:t>
            </w:r>
          </w:p>
        </w:tc>
        <w:tc>
          <w:tcPr>
            <w:tcW w:w="1102" w:type="dxa"/>
            <w:vAlign w:val="center"/>
            <w:hideMark/>
          </w:tcPr>
          <w:p w14:paraId="458A3C5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131,386.00</w:t>
            </w:r>
          </w:p>
        </w:tc>
        <w:tc>
          <w:tcPr>
            <w:tcW w:w="1056" w:type="dxa"/>
            <w:vAlign w:val="center"/>
            <w:hideMark/>
          </w:tcPr>
          <w:p w14:paraId="6338D04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41.84%</w:t>
            </w:r>
          </w:p>
        </w:tc>
        <w:tc>
          <w:tcPr>
            <w:tcW w:w="1382" w:type="dxa"/>
            <w:vAlign w:val="center"/>
          </w:tcPr>
          <w:p w14:paraId="159C3B3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172,907.33</w:t>
            </w:r>
          </w:p>
        </w:tc>
        <w:tc>
          <w:tcPr>
            <w:tcW w:w="1136" w:type="dxa"/>
            <w:vAlign w:val="center"/>
          </w:tcPr>
          <w:p w14:paraId="2598A8F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55.07%</w:t>
            </w:r>
          </w:p>
        </w:tc>
        <w:tc>
          <w:tcPr>
            <w:tcW w:w="5409" w:type="dxa"/>
            <w:vAlign w:val="center"/>
            <w:hideMark/>
          </w:tcPr>
          <w:p w14:paraId="6C97BCFC"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fully staffed and making good progress, with the Policy and Institutional Review (PIR) at a final stage and a draft of the Subsidies Report also in progress. However, a primary challenge is a lack of fluid communication from the UNDP Country Office, which prefers to share information only after reports are finalized. To ensure timely support and oversight, a meeting with the Resident Representative has been held, and an in-country mission will be organized to strengthen collaboration.</w:t>
            </w:r>
          </w:p>
        </w:tc>
      </w:tr>
      <w:tr w:rsidR="00670408" w:rsidRPr="00237520" w14:paraId="6D8CC714" w14:textId="77777777" w:rsidTr="00D22022">
        <w:trPr>
          <w:trHeight w:val="1248"/>
          <w:jc w:val="center"/>
        </w:trPr>
        <w:tc>
          <w:tcPr>
            <w:tcW w:w="1250" w:type="dxa"/>
            <w:vAlign w:val="center"/>
            <w:hideMark/>
          </w:tcPr>
          <w:p w14:paraId="1280CA3E"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 xml:space="preserve">Central </w:t>
            </w:r>
            <w:proofErr w:type="spellStart"/>
            <w:r w:rsidRPr="00C67737">
              <w:rPr>
                <w:rFonts w:eastAsia="Times New Roman" w:cstheme="minorHAnsi"/>
                <w:sz w:val="18"/>
                <w:szCs w:val="18"/>
                <w:lang w:eastAsia="en-PH"/>
              </w:rPr>
              <w:t>Africa</w:t>
            </w:r>
            <w:proofErr w:type="spellEnd"/>
          </w:p>
        </w:tc>
        <w:tc>
          <w:tcPr>
            <w:tcW w:w="882" w:type="dxa"/>
            <w:vAlign w:val="center"/>
            <w:hideMark/>
          </w:tcPr>
          <w:p w14:paraId="71DB5E4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7BC94A6"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Aug 1, 2025</w:t>
            </w:r>
          </w:p>
        </w:tc>
        <w:tc>
          <w:tcPr>
            <w:tcW w:w="1102" w:type="dxa"/>
            <w:vAlign w:val="center"/>
            <w:hideMark/>
          </w:tcPr>
          <w:p w14:paraId="689F697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58,094.00</w:t>
            </w:r>
          </w:p>
        </w:tc>
        <w:tc>
          <w:tcPr>
            <w:tcW w:w="1056" w:type="dxa"/>
            <w:vAlign w:val="center"/>
            <w:hideMark/>
          </w:tcPr>
          <w:p w14:paraId="469DC6C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18.50%</w:t>
            </w:r>
          </w:p>
        </w:tc>
        <w:tc>
          <w:tcPr>
            <w:tcW w:w="1382" w:type="dxa"/>
            <w:vAlign w:val="center"/>
          </w:tcPr>
          <w:p w14:paraId="2DE0BF1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82,973.32</w:t>
            </w:r>
          </w:p>
        </w:tc>
        <w:tc>
          <w:tcPr>
            <w:tcW w:w="1136" w:type="dxa"/>
            <w:vAlign w:val="center"/>
          </w:tcPr>
          <w:p w14:paraId="2210225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26.42%</w:t>
            </w:r>
          </w:p>
        </w:tc>
        <w:tc>
          <w:tcPr>
            <w:tcW w:w="5409" w:type="dxa"/>
            <w:vAlign w:val="center"/>
            <w:hideMark/>
          </w:tcPr>
          <w:p w14:paraId="6002FC0F"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proceeding effectively with a full team on board, led by a strong and active national coordinator. Key assessments are ongoing, with drafts of the Policy and Institutional Review (PIR) and the Subsidies Report already in progress. The Biodiversity Expenditure Review (BER) and the Finance Needs Assessment (FNA) have also been initiated, reflecting the project's positive momentum.</w:t>
            </w:r>
          </w:p>
        </w:tc>
      </w:tr>
      <w:tr w:rsidR="00670408" w:rsidRPr="00237520" w14:paraId="18FB2A6A" w14:textId="77777777" w:rsidTr="00D22022">
        <w:trPr>
          <w:trHeight w:val="1560"/>
          <w:jc w:val="center"/>
        </w:trPr>
        <w:tc>
          <w:tcPr>
            <w:tcW w:w="1250" w:type="dxa"/>
            <w:vAlign w:val="center"/>
            <w:hideMark/>
          </w:tcPr>
          <w:p w14:paraId="4CBE3F3A"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Chad</w:t>
            </w:r>
          </w:p>
        </w:tc>
        <w:tc>
          <w:tcPr>
            <w:tcW w:w="882" w:type="dxa"/>
            <w:vAlign w:val="center"/>
            <w:hideMark/>
          </w:tcPr>
          <w:p w14:paraId="398C82B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E80715D"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Nov 3, 2025</w:t>
            </w:r>
          </w:p>
        </w:tc>
        <w:tc>
          <w:tcPr>
            <w:tcW w:w="1102" w:type="dxa"/>
            <w:vAlign w:val="center"/>
            <w:hideMark/>
          </w:tcPr>
          <w:p w14:paraId="0089DB6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88,527.00</w:t>
            </w:r>
          </w:p>
        </w:tc>
        <w:tc>
          <w:tcPr>
            <w:tcW w:w="1056" w:type="dxa"/>
            <w:vAlign w:val="center"/>
            <w:hideMark/>
          </w:tcPr>
          <w:p w14:paraId="43B3818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28.19%</w:t>
            </w:r>
          </w:p>
        </w:tc>
        <w:tc>
          <w:tcPr>
            <w:tcW w:w="1382" w:type="dxa"/>
            <w:vAlign w:val="center"/>
          </w:tcPr>
          <w:p w14:paraId="587CA98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103,205.73</w:t>
            </w:r>
          </w:p>
        </w:tc>
        <w:tc>
          <w:tcPr>
            <w:tcW w:w="1136" w:type="dxa"/>
            <w:vAlign w:val="center"/>
          </w:tcPr>
          <w:p w14:paraId="417F852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32.87%</w:t>
            </w:r>
          </w:p>
        </w:tc>
        <w:tc>
          <w:tcPr>
            <w:tcW w:w="5409" w:type="dxa"/>
            <w:vAlign w:val="center"/>
            <w:hideMark/>
          </w:tcPr>
          <w:p w14:paraId="54248B27"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While the recruitment of a National Coordinator is still ongoing, a UNV Specialist has been brought in as an interim coordinator to ensure activities move forward. The experts for the Policy and Institutional Review (PIR) and the Biodiversity Expenditure Review/Finance Needs Assessment (BER/FNA) have been recruited. Work is advancing at a measured pace, as consultants awaited the signing of the Steering Committee decree to begin broad stakeholder engagement. The official </w:t>
            </w:r>
            <w:proofErr w:type="spellStart"/>
            <w:r w:rsidRPr="00670408">
              <w:rPr>
                <w:rFonts w:cstheme="minorHAnsi"/>
                <w:sz w:val="18"/>
                <w:szCs w:val="18"/>
                <w:lang w:val="en-US"/>
              </w:rPr>
              <w:t>programme</w:t>
            </w:r>
            <w:proofErr w:type="spellEnd"/>
            <w:r w:rsidRPr="00670408">
              <w:rPr>
                <w:rFonts w:cstheme="minorHAnsi"/>
                <w:sz w:val="18"/>
                <w:szCs w:val="18"/>
                <w:lang w:val="en-US"/>
              </w:rPr>
              <w:t xml:space="preserve"> launch in June is expected to accelerate consultations.</w:t>
            </w:r>
          </w:p>
        </w:tc>
      </w:tr>
      <w:tr w:rsidR="00670408" w:rsidRPr="00237520" w14:paraId="7BFDC8EA" w14:textId="77777777" w:rsidTr="00D22022">
        <w:trPr>
          <w:trHeight w:val="1248"/>
          <w:jc w:val="center"/>
        </w:trPr>
        <w:tc>
          <w:tcPr>
            <w:tcW w:w="1250" w:type="dxa"/>
            <w:vAlign w:val="center"/>
            <w:hideMark/>
          </w:tcPr>
          <w:p w14:paraId="7696F6C7"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lastRenderedPageBreak/>
              <w:t>Comoros</w:t>
            </w:r>
            <w:proofErr w:type="spellEnd"/>
          </w:p>
        </w:tc>
        <w:tc>
          <w:tcPr>
            <w:tcW w:w="882" w:type="dxa"/>
            <w:vAlign w:val="center"/>
            <w:hideMark/>
          </w:tcPr>
          <w:p w14:paraId="18861B1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BC92EDE"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Nov 1, 2024</w:t>
            </w:r>
          </w:p>
        </w:tc>
        <w:tc>
          <w:tcPr>
            <w:tcW w:w="1102" w:type="dxa"/>
            <w:vAlign w:val="center"/>
            <w:hideMark/>
          </w:tcPr>
          <w:p w14:paraId="2017F6B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90,214.00</w:t>
            </w:r>
          </w:p>
        </w:tc>
        <w:tc>
          <w:tcPr>
            <w:tcW w:w="1056" w:type="dxa"/>
            <w:vAlign w:val="center"/>
            <w:hideMark/>
          </w:tcPr>
          <w:p w14:paraId="526135F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28.73%</w:t>
            </w:r>
          </w:p>
        </w:tc>
        <w:tc>
          <w:tcPr>
            <w:tcW w:w="1382" w:type="dxa"/>
            <w:vAlign w:val="center"/>
          </w:tcPr>
          <w:p w14:paraId="7660B40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90,582.56</w:t>
            </w:r>
          </w:p>
        </w:tc>
        <w:tc>
          <w:tcPr>
            <w:tcW w:w="1136" w:type="dxa"/>
            <w:vAlign w:val="center"/>
          </w:tcPr>
          <w:p w14:paraId="76E836B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28.85%</w:t>
            </w:r>
          </w:p>
        </w:tc>
        <w:tc>
          <w:tcPr>
            <w:tcW w:w="5409" w:type="dxa"/>
            <w:vAlign w:val="center"/>
            <w:hideMark/>
          </w:tcPr>
          <w:p w14:paraId="45878B74"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team is fully staffed, and the Policy and Institutional Review (PIR) and Subsidies Report are in progress, though without available drafts. A significant challenge is the delay in establishing a Steering Committee, which has hindered the collection of official data. The management team is focused on expediting the formation of this committee to facilitate stakeholder engagement and improve data access.</w:t>
            </w:r>
          </w:p>
        </w:tc>
      </w:tr>
      <w:tr w:rsidR="00670408" w:rsidRPr="00237520" w14:paraId="15C339AA" w14:textId="77777777" w:rsidTr="00D22022">
        <w:trPr>
          <w:trHeight w:val="1560"/>
          <w:jc w:val="center"/>
        </w:trPr>
        <w:tc>
          <w:tcPr>
            <w:tcW w:w="1250" w:type="dxa"/>
            <w:vAlign w:val="center"/>
            <w:hideMark/>
          </w:tcPr>
          <w:p w14:paraId="5211A8CD"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Congo Republic</w:t>
            </w:r>
          </w:p>
        </w:tc>
        <w:tc>
          <w:tcPr>
            <w:tcW w:w="882" w:type="dxa"/>
            <w:vAlign w:val="center"/>
            <w:hideMark/>
          </w:tcPr>
          <w:p w14:paraId="0A859A9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2894038"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Mar 6, 2025</w:t>
            </w:r>
          </w:p>
        </w:tc>
        <w:tc>
          <w:tcPr>
            <w:tcW w:w="1102" w:type="dxa"/>
            <w:vAlign w:val="center"/>
            <w:hideMark/>
          </w:tcPr>
          <w:p w14:paraId="26716D4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48,979.00</w:t>
            </w:r>
          </w:p>
        </w:tc>
        <w:tc>
          <w:tcPr>
            <w:tcW w:w="1056" w:type="dxa"/>
            <w:vAlign w:val="center"/>
            <w:hideMark/>
          </w:tcPr>
          <w:p w14:paraId="6878FFF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15.60%</w:t>
            </w:r>
          </w:p>
        </w:tc>
        <w:tc>
          <w:tcPr>
            <w:tcW w:w="1382" w:type="dxa"/>
            <w:vAlign w:val="center"/>
          </w:tcPr>
          <w:p w14:paraId="0500D77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27,707.46</w:t>
            </w:r>
          </w:p>
        </w:tc>
        <w:tc>
          <w:tcPr>
            <w:tcW w:w="1136" w:type="dxa"/>
            <w:vAlign w:val="center"/>
          </w:tcPr>
          <w:p w14:paraId="0C579CB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8.82%</w:t>
            </w:r>
          </w:p>
        </w:tc>
        <w:tc>
          <w:tcPr>
            <w:tcW w:w="5409" w:type="dxa"/>
            <w:vAlign w:val="center"/>
            <w:hideMark/>
          </w:tcPr>
          <w:p w14:paraId="18231AAE"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faces significant challenges, including weak coordination with the government and limited national ownership. Synergies with the related GEF-7 EAS project are also inadequate. To address this, a technical lead is being recruited to initiate activities, and a high-level communication from the Regional Bureau is anticipated to encourage greater engagement from the Country Office. Despite these issues, an initial assessment for the Policy and Institutional Review (PIR) has been conducted in cooperation with BIOFIN China, which will require further updates.</w:t>
            </w:r>
          </w:p>
        </w:tc>
      </w:tr>
      <w:tr w:rsidR="00670408" w:rsidRPr="00237520" w14:paraId="313E13D7" w14:textId="77777777" w:rsidTr="00D22022">
        <w:trPr>
          <w:trHeight w:val="1560"/>
          <w:jc w:val="center"/>
        </w:trPr>
        <w:tc>
          <w:tcPr>
            <w:tcW w:w="1250" w:type="dxa"/>
            <w:vAlign w:val="center"/>
            <w:hideMark/>
          </w:tcPr>
          <w:p w14:paraId="7D87E7ED"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 xml:space="preserve">Cook </w:t>
            </w:r>
            <w:proofErr w:type="spellStart"/>
            <w:r w:rsidRPr="00C67737">
              <w:rPr>
                <w:rFonts w:eastAsia="Times New Roman" w:cstheme="minorHAnsi"/>
                <w:sz w:val="18"/>
                <w:szCs w:val="18"/>
                <w:lang w:eastAsia="en-PH"/>
              </w:rPr>
              <w:t>Islands</w:t>
            </w:r>
            <w:proofErr w:type="spellEnd"/>
          </w:p>
        </w:tc>
        <w:tc>
          <w:tcPr>
            <w:tcW w:w="882" w:type="dxa"/>
            <w:vAlign w:val="center"/>
            <w:hideMark/>
          </w:tcPr>
          <w:p w14:paraId="61D95FA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B36E9D2"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Oct 1, 2024</w:t>
            </w:r>
          </w:p>
        </w:tc>
        <w:tc>
          <w:tcPr>
            <w:tcW w:w="1102" w:type="dxa"/>
            <w:vAlign w:val="center"/>
            <w:hideMark/>
          </w:tcPr>
          <w:p w14:paraId="34B515E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45,748.00</w:t>
            </w:r>
          </w:p>
        </w:tc>
        <w:tc>
          <w:tcPr>
            <w:tcW w:w="1056" w:type="dxa"/>
            <w:vAlign w:val="center"/>
            <w:hideMark/>
          </w:tcPr>
          <w:p w14:paraId="2216E9A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14.57%</w:t>
            </w:r>
          </w:p>
        </w:tc>
        <w:tc>
          <w:tcPr>
            <w:tcW w:w="1382" w:type="dxa"/>
            <w:vAlign w:val="center"/>
          </w:tcPr>
          <w:p w14:paraId="640EB39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157,763.70</w:t>
            </w:r>
          </w:p>
        </w:tc>
        <w:tc>
          <w:tcPr>
            <w:tcW w:w="1136" w:type="dxa"/>
            <w:vAlign w:val="center"/>
          </w:tcPr>
          <w:p w14:paraId="230C6E5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50.24%</w:t>
            </w:r>
          </w:p>
        </w:tc>
        <w:tc>
          <w:tcPr>
            <w:tcW w:w="5409" w:type="dxa"/>
            <w:vAlign w:val="center"/>
            <w:hideMark/>
          </w:tcPr>
          <w:p w14:paraId="2EF2BCB4"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progressing under a centralized PMU model shared with Samoa and Niue. The in-country coordinator has been recruited, and the Policy and Institutional Review (PIR) is being executed by an in-house technical advisor. Procurement for a firm to conduct the BER, FNA, and BFP is with the Contracts, Asset, and Procurement Committee. To ensure sustained coordination across the countries, the process to recruit a full-time regional coordinator based in Samoa has been re-initiated.</w:t>
            </w:r>
          </w:p>
        </w:tc>
      </w:tr>
      <w:tr w:rsidR="00670408" w:rsidRPr="00237520" w14:paraId="3EDED4A1" w14:textId="77777777" w:rsidTr="00D22022">
        <w:trPr>
          <w:trHeight w:val="1560"/>
          <w:jc w:val="center"/>
        </w:trPr>
        <w:tc>
          <w:tcPr>
            <w:tcW w:w="1250" w:type="dxa"/>
            <w:vAlign w:val="center"/>
            <w:hideMark/>
          </w:tcPr>
          <w:p w14:paraId="358BFFC4"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Cote d'Ivoire</w:t>
            </w:r>
          </w:p>
        </w:tc>
        <w:tc>
          <w:tcPr>
            <w:tcW w:w="882" w:type="dxa"/>
            <w:vAlign w:val="center"/>
            <w:hideMark/>
          </w:tcPr>
          <w:p w14:paraId="56DFC1D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11B50EE" w14:textId="77777777" w:rsidR="00670408" w:rsidRPr="00C67737" w:rsidRDefault="00670408" w:rsidP="00D22022">
            <w:pPr>
              <w:spacing w:after="0"/>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Dec</w:t>
            </w:r>
            <w:proofErr w:type="spellEnd"/>
            <w:r w:rsidRPr="00C67737">
              <w:rPr>
                <w:rFonts w:eastAsia="Times New Roman" w:cstheme="minorHAnsi"/>
                <w:sz w:val="18"/>
                <w:szCs w:val="18"/>
                <w:lang w:eastAsia="en-PH"/>
              </w:rPr>
              <w:t xml:space="preserve"> 16, 2024</w:t>
            </w:r>
          </w:p>
        </w:tc>
        <w:tc>
          <w:tcPr>
            <w:tcW w:w="1102" w:type="dxa"/>
            <w:vAlign w:val="center"/>
            <w:hideMark/>
          </w:tcPr>
          <w:p w14:paraId="6FFCAAC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114,674.00</w:t>
            </w:r>
          </w:p>
        </w:tc>
        <w:tc>
          <w:tcPr>
            <w:tcW w:w="1056" w:type="dxa"/>
            <w:vAlign w:val="center"/>
            <w:hideMark/>
          </w:tcPr>
          <w:p w14:paraId="4B3078D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36.52%</w:t>
            </w:r>
          </w:p>
        </w:tc>
        <w:tc>
          <w:tcPr>
            <w:tcW w:w="1382" w:type="dxa"/>
            <w:vAlign w:val="center"/>
          </w:tcPr>
          <w:p w14:paraId="1D98EDA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136,592.71</w:t>
            </w:r>
          </w:p>
        </w:tc>
        <w:tc>
          <w:tcPr>
            <w:tcW w:w="1136" w:type="dxa"/>
            <w:vAlign w:val="center"/>
          </w:tcPr>
          <w:p w14:paraId="0EE305A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43.50%</w:t>
            </w:r>
          </w:p>
        </w:tc>
        <w:tc>
          <w:tcPr>
            <w:tcW w:w="5409" w:type="dxa"/>
            <w:vAlign w:val="center"/>
            <w:hideMark/>
          </w:tcPr>
          <w:p w14:paraId="365D930B"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has successfully recruited its National Coordinator and Project Associate, and the project launch took place in October. The Policy and Institutional Review (PIR) expert is also on board, and drafts of the PIR and the Subsidies Report are in progress. Work is also underway for the Biodiversity Expenditure Review (BER). The current focus is on finalizing the recruitment of a biodiversity finance expert to ensure all technical components can advance as planned.</w:t>
            </w:r>
          </w:p>
        </w:tc>
      </w:tr>
      <w:tr w:rsidR="00670408" w:rsidRPr="00237520" w14:paraId="2A7F064B" w14:textId="77777777" w:rsidTr="00D22022">
        <w:trPr>
          <w:trHeight w:val="1560"/>
          <w:jc w:val="center"/>
        </w:trPr>
        <w:tc>
          <w:tcPr>
            <w:tcW w:w="1250" w:type="dxa"/>
            <w:vAlign w:val="center"/>
            <w:hideMark/>
          </w:tcPr>
          <w:p w14:paraId="058FF0D8"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Djibouti</w:t>
            </w:r>
          </w:p>
        </w:tc>
        <w:tc>
          <w:tcPr>
            <w:tcW w:w="882" w:type="dxa"/>
            <w:vAlign w:val="center"/>
            <w:hideMark/>
          </w:tcPr>
          <w:p w14:paraId="7E17457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DD0CC82"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Oct 9, 2024</w:t>
            </w:r>
          </w:p>
        </w:tc>
        <w:tc>
          <w:tcPr>
            <w:tcW w:w="1102" w:type="dxa"/>
            <w:vAlign w:val="center"/>
            <w:hideMark/>
          </w:tcPr>
          <w:p w14:paraId="2E426ED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154,480.00</w:t>
            </w:r>
          </w:p>
        </w:tc>
        <w:tc>
          <w:tcPr>
            <w:tcW w:w="1056" w:type="dxa"/>
            <w:vAlign w:val="center"/>
            <w:hideMark/>
          </w:tcPr>
          <w:p w14:paraId="45A22EB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49.20%</w:t>
            </w:r>
          </w:p>
        </w:tc>
        <w:tc>
          <w:tcPr>
            <w:tcW w:w="1382" w:type="dxa"/>
            <w:vAlign w:val="center"/>
          </w:tcPr>
          <w:p w14:paraId="79E7778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142,539.83</w:t>
            </w:r>
          </w:p>
        </w:tc>
        <w:tc>
          <w:tcPr>
            <w:tcW w:w="1136" w:type="dxa"/>
            <w:vAlign w:val="center"/>
          </w:tcPr>
          <w:p w14:paraId="3FE052D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45.39%</w:t>
            </w:r>
          </w:p>
        </w:tc>
        <w:tc>
          <w:tcPr>
            <w:tcW w:w="5409" w:type="dxa"/>
            <w:vAlign w:val="center"/>
            <w:hideMark/>
          </w:tcPr>
          <w:p w14:paraId="1BD737A9"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staffed with a National Coordinator and a consultant for the Biodiversity Expenditure Review (BER) and Finance Needs Assessment (FNA), and initial training has been conducted. A second draft of the Policy and Institutional Review (PIR) has been submitted for review. However, implementation is advancing at a measured pace. The management team is focused on accelerating activities to meet project timelines.</w:t>
            </w:r>
          </w:p>
        </w:tc>
      </w:tr>
      <w:tr w:rsidR="00670408" w:rsidRPr="00237520" w14:paraId="3DBBC6C3" w14:textId="77777777" w:rsidTr="00D22022">
        <w:trPr>
          <w:trHeight w:val="1560"/>
          <w:jc w:val="center"/>
        </w:trPr>
        <w:tc>
          <w:tcPr>
            <w:tcW w:w="1250" w:type="dxa"/>
            <w:vAlign w:val="center"/>
            <w:hideMark/>
          </w:tcPr>
          <w:p w14:paraId="6621320D"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Dominica</w:t>
            </w:r>
          </w:p>
        </w:tc>
        <w:tc>
          <w:tcPr>
            <w:tcW w:w="882" w:type="dxa"/>
            <w:vAlign w:val="center"/>
            <w:hideMark/>
          </w:tcPr>
          <w:p w14:paraId="228A0F8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581F8EC"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Jan 1, 2025</w:t>
            </w:r>
          </w:p>
        </w:tc>
        <w:tc>
          <w:tcPr>
            <w:tcW w:w="1102" w:type="dxa"/>
            <w:vAlign w:val="center"/>
            <w:hideMark/>
          </w:tcPr>
          <w:p w14:paraId="0637318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31,691.03</w:t>
            </w:r>
          </w:p>
        </w:tc>
        <w:tc>
          <w:tcPr>
            <w:tcW w:w="1056" w:type="dxa"/>
            <w:vAlign w:val="center"/>
            <w:hideMark/>
          </w:tcPr>
          <w:p w14:paraId="0E73DFF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10.09%</w:t>
            </w:r>
          </w:p>
        </w:tc>
        <w:tc>
          <w:tcPr>
            <w:tcW w:w="1382" w:type="dxa"/>
            <w:vAlign w:val="center"/>
          </w:tcPr>
          <w:p w14:paraId="0E62B024"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47,837.61</w:t>
            </w:r>
          </w:p>
        </w:tc>
        <w:tc>
          <w:tcPr>
            <w:tcW w:w="1136" w:type="dxa"/>
            <w:vAlign w:val="center"/>
          </w:tcPr>
          <w:p w14:paraId="7B0C002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15.23%</w:t>
            </w:r>
          </w:p>
        </w:tc>
        <w:tc>
          <w:tcPr>
            <w:tcW w:w="5409" w:type="dxa"/>
            <w:vAlign w:val="center"/>
            <w:hideMark/>
          </w:tcPr>
          <w:p w14:paraId="166F0FBF"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first Steering Committee meeting was successfully held in January 2026. The project has made excellent progress by completing the first draft of the Policy and Institutional Review (PIR) using unallocated funds from the EAS project. This high-quality draft provides a strong foundation for the Finance Needs Assessment (FNA), which is now also in progress. A challenge in hiring a Finance Specialist is being addressed by changing the contract type to an IC under a roster to expedite recruitment.</w:t>
            </w:r>
          </w:p>
        </w:tc>
      </w:tr>
      <w:tr w:rsidR="00670408" w:rsidRPr="00D95ACA" w14:paraId="19D5BF4B" w14:textId="77777777" w:rsidTr="00D22022">
        <w:trPr>
          <w:trHeight w:val="1248"/>
          <w:jc w:val="center"/>
        </w:trPr>
        <w:tc>
          <w:tcPr>
            <w:tcW w:w="1250" w:type="dxa"/>
            <w:vAlign w:val="center"/>
            <w:hideMark/>
          </w:tcPr>
          <w:p w14:paraId="67C4FF67"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Dominican</w:t>
            </w:r>
            <w:proofErr w:type="spellEnd"/>
            <w:r w:rsidRPr="00C67737">
              <w:rPr>
                <w:rFonts w:eastAsia="Times New Roman" w:cstheme="minorHAnsi"/>
                <w:sz w:val="18"/>
                <w:szCs w:val="18"/>
                <w:lang w:eastAsia="en-PH"/>
              </w:rPr>
              <w:t xml:space="preserve"> Republic</w:t>
            </w:r>
          </w:p>
        </w:tc>
        <w:tc>
          <w:tcPr>
            <w:tcW w:w="882" w:type="dxa"/>
            <w:vAlign w:val="center"/>
            <w:hideMark/>
          </w:tcPr>
          <w:p w14:paraId="0B87071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6278359"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Mar 3, 2025</w:t>
            </w:r>
          </w:p>
        </w:tc>
        <w:tc>
          <w:tcPr>
            <w:tcW w:w="1102" w:type="dxa"/>
            <w:vAlign w:val="center"/>
            <w:hideMark/>
          </w:tcPr>
          <w:p w14:paraId="44E6DB8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91,588.00</w:t>
            </w:r>
          </w:p>
        </w:tc>
        <w:tc>
          <w:tcPr>
            <w:tcW w:w="1056" w:type="dxa"/>
            <w:vAlign w:val="center"/>
            <w:hideMark/>
          </w:tcPr>
          <w:p w14:paraId="6781917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29.17%</w:t>
            </w:r>
          </w:p>
        </w:tc>
        <w:tc>
          <w:tcPr>
            <w:tcW w:w="1382" w:type="dxa"/>
            <w:vAlign w:val="center"/>
          </w:tcPr>
          <w:p w14:paraId="70B6ECA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114,478.56</w:t>
            </w:r>
          </w:p>
        </w:tc>
        <w:tc>
          <w:tcPr>
            <w:tcW w:w="1136" w:type="dxa"/>
            <w:vAlign w:val="center"/>
          </w:tcPr>
          <w:p w14:paraId="34A2B69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36.46%</w:t>
            </w:r>
          </w:p>
        </w:tc>
        <w:tc>
          <w:tcPr>
            <w:tcW w:w="5409" w:type="dxa"/>
            <w:vAlign w:val="center"/>
            <w:hideMark/>
          </w:tcPr>
          <w:p w14:paraId="614471FC"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well-established, with the </w:t>
            </w:r>
            <w:proofErr w:type="gramStart"/>
            <w:r w:rsidRPr="00670408">
              <w:rPr>
                <w:rFonts w:cstheme="minorHAnsi"/>
                <w:sz w:val="18"/>
                <w:szCs w:val="18"/>
                <w:lang w:val="en-US"/>
              </w:rPr>
              <w:t>Coordinator</w:t>
            </w:r>
            <w:proofErr w:type="gramEnd"/>
            <w:r w:rsidRPr="00670408">
              <w:rPr>
                <w:rFonts w:cstheme="minorHAnsi"/>
                <w:sz w:val="18"/>
                <w:szCs w:val="18"/>
                <w:lang w:val="en-US"/>
              </w:rPr>
              <w:t xml:space="preserve"> in place and working in close coordination with the government and the NBSAP EAS process. Following a successful launch, the project has completed its Policy and Institutional Review (PIR). A mission is </w:t>
            </w:r>
            <w:proofErr w:type="gramStart"/>
            <w:r w:rsidRPr="00670408">
              <w:rPr>
                <w:rFonts w:cstheme="minorHAnsi"/>
                <w:sz w:val="18"/>
                <w:szCs w:val="18"/>
                <w:lang w:val="en-US"/>
              </w:rPr>
              <w:t>programmed</w:t>
            </w:r>
            <w:proofErr w:type="gramEnd"/>
            <w:r w:rsidRPr="00670408">
              <w:rPr>
                <w:rFonts w:cstheme="minorHAnsi"/>
                <w:sz w:val="18"/>
                <w:szCs w:val="18"/>
                <w:lang w:val="en-US"/>
              </w:rPr>
              <w:t xml:space="preserve"> for July, and the hiring of the finance specialist is in its final stages, which will allow the project to maintain its positive momentum.</w:t>
            </w:r>
          </w:p>
        </w:tc>
      </w:tr>
      <w:tr w:rsidR="00670408" w:rsidRPr="00237520" w14:paraId="71EBD664" w14:textId="77777777" w:rsidTr="00D22022">
        <w:trPr>
          <w:trHeight w:val="1560"/>
          <w:jc w:val="center"/>
        </w:trPr>
        <w:tc>
          <w:tcPr>
            <w:tcW w:w="1250" w:type="dxa"/>
            <w:vAlign w:val="center"/>
            <w:hideMark/>
          </w:tcPr>
          <w:p w14:paraId="3818658E"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DRC (Democratic Rep Congo)</w:t>
            </w:r>
          </w:p>
        </w:tc>
        <w:tc>
          <w:tcPr>
            <w:tcW w:w="882" w:type="dxa"/>
            <w:vAlign w:val="center"/>
            <w:hideMark/>
          </w:tcPr>
          <w:p w14:paraId="1AFCD31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703B501A"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Oct 3, 2024</w:t>
            </w:r>
          </w:p>
        </w:tc>
        <w:tc>
          <w:tcPr>
            <w:tcW w:w="1102" w:type="dxa"/>
            <w:vAlign w:val="center"/>
            <w:hideMark/>
          </w:tcPr>
          <w:p w14:paraId="2E7CF67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173,408.00</w:t>
            </w:r>
          </w:p>
        </w:tc>
        <w:tc>
          <w:tcPr>
            <w:tcW w:w="1056" w:type="dxa"/>
            <w:vAlign w:val="center"/>
            <w:hideMark/>
          </w:tcPr>
          <w:p w14:paraId="0B0851B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55.23%</w:t>
            </w:r>
          </w:p>
        </w:tc>
        <w:tc>
          <w:tcPr>
            <w:tcW w:w="1382" w:type="dxa"/>
            <w:vAlign w:val="center"/>
          </w:tcPr>
          <w:p w14:paraId="593346B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209,146.54</w:t>
            </w:r>
          </w:p>
        </w:tc>
        <w:tc>
          <w:tcPr>
            <w:tcW w:w="1136" w:type="dxa"/>
            <w:vAlign w:val="center"/>
          </w:tcPr>
          <w:p w14:paraId="1F2DFDD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66.61%</w:t>
            </w:r>
          </w:p>
        </w:tc>
        <w:tc>
          <w:tcPr>
            <w:tcW w:w="5409" w:type="dxa"/>
            <w:vAlign w:val="center"/>
            <w:hideMark/>
          </w:tcPr>
          <w:p w14:paraId="427086B0"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Despite having a capable technical team, progress has been extremely slow due to a lack of focus on BIOFIN activities. However, a significant positive development occurred in March 2026 with the signing of a decree to establish a steering committee, which is expected to create a new dynamic. Drafts for the Policy and Institutional Review (PIR), Subsidies Report, Biodiversity Expenditure Review (BER), and Finance Needs Assessment (FNA) are all in progress.</w:t>
            </w:r>
          </w:p>
        </w:tc>
      </w:tr>
      <w:tr w:rsidR="00670408" w:rsidRPr="00237520" w14:paraId="7D520E83" w14:textId="77777777" w:rsidTr="00D22022">
        <w:trPr>
          <w:trHeight w:val="1560"/>
          <w:jc w:val="center"/>
        </w:trPr>
        <w:tc>
          <w:tcPr>
            <w:tcW w:w="1250" w:type="dxa"/>
            <w:vAlign w:val="center"/>
            <w:hideMark/>
          </w:tcPr>
          <w:p w14:paraId="7F8CACF7"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El Salvador</w:t>
            </w:r>
          </w:p>
        </w:tc>
        <w:tc>
          <w:tcPr>
            <w:tcW w:w="882" w:type="dxa"/>
            <w:vAlign w:val="center"/>
            <w:hideMark/>
          </w:tcPr>
          <w:p w14:paraId="52D47CA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CBE4B43"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6B5A1F3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115,021.00</w:t>
            </w:r>
          </w:p>
        </w:tc>
        <w:tc>
          <w:tcPr>
            <w:tcW w:w="1056" w:type="dxa"/>
            <w:vAlign w:val="center"/>
            <w:hideMark/>
          </w:tcPr>
          <w:p w14:paraId="7B6C143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36.63%</w:t>
            </w:r>
          </w:p>
        </w:tc>
        <w:tc>
          <w:tcPr>
            <w:tcW w:w="1382" w:type="dxa"/>
            <w:vAlign w:val="center"/>
          </w:tcPr>
          <w:p w14:paraId="7C5135D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149,587.68</w:t>
            </w:r>
          </w:p>
        </w:tc>
        <w:tc>
          <w:tcPr>
            <w:tcW w:w="1136" w:type="dxa"/>
            <w:vAlign w:val="center"/>
          </w:tcPr>
          <w:p w14:paraId="528C20B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47.64%</w:t>
            </w:r>
          </w:p>
        </w:tc>
        <w:tc>
          <w:tcPr>
            <w:tcW w:w="5409" w:type="dxa"/>
            <w:vAlign w:val="center"/>
            <w:hideMark/>
          </w:tcPr>
          <w:p w14:paraId="64CF3C88"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making strong progress with high engagement from the finance sector, which is interested in developing green credit lines. The Policy and Institutional Review (PIR), Biodiversity Expenditure Review (BER), and Finance Needs Assessment (FNA) are advancing in parallel. A full team is in place, and a mission from the technical team provided training and supported the launch of the Steering Committee. The </w:t>
            </w:r>
            <w:r w:rsidRPr="00670408">
              <w:rPr>
                <w:rFonts w:cstheme="minorHAnsi"/>
                <w:sz w:val="18"/>
                <w:szCs w:val="18"/>
                <w:lang w:val="en-US"/>
              </w:rPr>
              <w:lastRenderedPageBreak/>
              <w:t>project is also being piloted with an interoperability instrument, showcasing its innovative approach.</w:t>
            </w:r>
          </w:p>
        </w:tc>
      </w:tr>
      <w:tr w:rsidR="00670408" w:rsidRPr="00237520" w14:paraId="290CD75E" w14:textId="77777777" w:rsidTr="00D22022">
        <w:trPr>
          <w:trHeight w:val="1560"/>
          <w:jc w:val="center"/>
        </w:trPr>
        <w:tc>
          <w:tcPr>
            <w:tcW w:w="1250" w:type="dxa"/>
            <w:vAlign w:val="center"/>
            <w:hideMark/>
          </w:tcPr>
          <w:p w14:paraId="5003A103"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 xml:space="preserve">Equatorial </w:t>
            </w:r>
            <w:proofErr w:type="spellStart"/>
            <w:r w:rsidRPr="00C67737">
              <w:rPr>
                <w:rFonts w:eastAsia="Times New Roman" w:cstheme="minorHAnsi"/>
                <w:sz w:val="18"/>
                <w:szCs w:val="18"/>
                <w:lang w:eastAsia="en-PH"/>
              </w:rPr>
              <w:t>Guinea</w:t>
            </w:r>
            <w:proofErr w:type="spellEnd"/>
          </w:p>
        </w:tc>
        <w:tc>
          <w:tcPr>
            <w:tcW w:w="882" w:type="dxa"/>
            <w:vAlign w:val="center"/>
            <w:hideMark/>
          </w:tcPr>
          <w:p w14:paraId="3644DFC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B4ADB60"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Mar 1, 2025</w:t>
            </w:r>
          </w:p>
        </w:tc>
        <w:tc>
          <w:tcPr>
            <w:tcW w:w="1102" w:type="dxa"/>
            <w:vAlign w:val="center"/>
            <w:hideMark/>
          </w:tcPr>
          <w:p w14:paraId="51CE96D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91,042.00</w:t>
            </w:r>
          </w:p>
        </w:tc>
        <w:tc>
          <w:tcPr>
            <w:tcW w:w="1056" w:type="dxa"/>
            <w:vAlign w:val="center"/>
            <w:hideMark/>
          </w:tcPr>
          <w:p w14:paraId="7D7C987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28.99%</w:t>
            </w:r>
          </w:p>
        </w:tc>
        <w:tc>
          <w:tcPr>
            <w:tcW w:w="1382" w:type="dxa"/>
            <w:vAlign w:val="center"/>
          </w:tcPr>
          <w:p w14:paraId="2FF193C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101,804.51</w:t>
            </w:r>
          </w:p>
        </w:tc>
        <w:tc>
          <w:tcPr>
            <w:tcW w:w="1136" w:type="dxa"/>
            <w:vAlign w:val="center"/>
          </w:tcPr>
          <w:p w14:paraId="61BDFF1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32.42%</w:t>
            </w:r>
          </w:p>
        </w:tc>
        <w:tc>
          <w:tcPr>
            <w:tcW w:w="5409" w:type="dxa"/>
            <w:vAlign w:val="center"/>
            <w:hideMark/>
          </w:tcPr>
          <w:p w14:paraId="50F02D76"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well-structured with an acting National Coordinator and consultants hired to develop the key technical reports. This has resulted in drafts for the Policy and Institutional Review (PIR), Subsidies Report, and Biodiversity Expenditure Review (BER), which are now awaiting final validation. A Project Associate from the Country Office is providing support, and the team is moving forward with the project's technical components.</w:t>
            </w:r>
          </w:p>
        </w:tc>
      </w:tr>
      <w:tr w:rsidR="00670408" w:rsidRPr="00D95ACA" w14:paraId="5ACD3757" w14:textId="77777777" w:rsidTr="00D22022">
        <w:trPr>
          <w:trHeight w:val="1248"/>
          <w:jc w:val="center"/>
        </w:trPr>
        <w:tc>
          <w:tcPr>
            <w:tcW w:w="1250" w:type="dxa"/>
            <w:vAlign w:val="center"/>
            <w:hideMark/>
          </w:tcPr>
          <w:p w14:paraId="6CAF0045"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Eswatini</w:t>
            </w:r>
          </w:p>
        </w:tc>
        <w:tc>
          <w:tcPr>
            <w:tcW w:w="882" w:type="dxa"/>
            <w:vAlign w:val="center"/>
            <w:hideMark/>
          </w:tcPr>
          <w:p w14:paraId="10AA501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70CED03A"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Mar 24, 2025</w:t>
            </w:r>
          </w:p>
        </w:tc>
        <w:tc>
          <w:tcPr>
            <w:tcW w:w="1102" w:type="dxa"/>
            <w:vAlign w:val="center"/>
            <w:hideMark/>
          </w:tcPr>
          <w:p w14:paraId="49172D6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81,481.00</w:t>
            </w:r>
          </w:p>
        </w:tc>
        <w:tc>
          <w:tcPr>
            <w:tcW w:w="1056" w:type="dxa"/>
            <w:vAlign w:val="center"/>
            <w:hideMark/>
          </w:tcPr>
          <w:p w14:paraId="19362E8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25.95%</w:t>
            </w:r>
          </w:p>
        </w:tc>
        <w:tc>
          <w:tcPr>
            <w:tcW w:w="1382" w:type="dxa"/>
            <w:vAlign w:val="center"/>
          </w:tcPr>
          <w:p w14:paraId="4EA39D8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98,165.74</w:t>
            </w:r>
          </w:p>
        </w:tc>
        <w:tc>
          <w:tcPr>
            <w:tcW w:w="1136" w:type="dxa"/>
            <w:vAlign w:val="center"/>
          </w:tcPr>
          <w:p w14:paraId="75E0000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31.26%</w:t>
            </w:r>
          </w:p>
        </w:tc>
        <w:tc>
          <w:tcPr>
            <w:tcW w:w="5409" w:type="dxa"/>
            <w:vAlign w:val="center"/>
            <w:hideMark/>
          </w:tcPr>
          <w:p w14:paraId="2D6D7278"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core team is in place and has initiated the Policy and Institutional Review (PIR) and the Biodiversity Expenditure Review (BER), with the latter's methodology currently under development. A key challenge arose with the resignation of the </w:t>
            </w:r>
            <w:proofErr w:type="gramStart"/>
            <w:r w:rsidRPr="00670408">
              <w:rPr>
                <w:rFonts w:cstheme="minorHAnsi"/>
                <w:sz w:val="18"/>
                <w:szCs w:val="18"/>
                <w:lang w:val="en-US"/>
              </w:rPr>
              <w:t>Coordinator</w:t>
            </w:r>
            <w:proofErr w:type="gramEnd"/>
            <w:r w:rsidRPr="00670408">
              <w:rPr>
                <w:rFonts w:cstheme="minorHAnsi"/>
                <w:sz w:val="18"/>
                <w:szCs w:val="18"/>
                <w:lang w:val="en-US"/>
              </w:rPr>
              <w:t>; however, the management team is prioritizing the recruitment of a replacement to ensure leadership continuity and maintain project momentum.</w:t>
            </w:r>
          </w:p>
        </w:tc>
      </w:tr>
      <w:tr w:rsidR="00670408" w:rsidRPr="00237520" w14:paraId="454AF29B" w14:textId="77777777" w:rsidTr="00D22022">
        <w:trPr>
          <w:trHeight w:val="1560"/>
          <w:jc w:val="center"/>
        </w:trPr>
        <w:tc>
          <w:tcPr>
            <w:tcW w:w="1250" w:type="dxa"/>
            <w:vAlign w:val="center"/>
            <w:hideMark/>
          </w:tcPr>
          <w:p w14:paraId="0DD0E4F7"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Ethiopia</w:t>
            </w:r>
            <w:proofErr w:type="spellEnd"/>
          </w:p>
        </w:tc>
        <w:tc>
          <w:tcPr>
            <w:tcW w:w="882" w:type="dxa"/>
            <w:vAlign w:val="center"/>
            <w:hideMark/>
          </w:tcPr>
          <w:p w14:paraId="21ECA1D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E095ADF"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Aug 1, 2025</w:t>
            </w:r>
          </w:p>
        </w:tc>
        <w:tc>
          <w:tcPr>
            <w:tcW w:w="1102" w:type="dxa"/>
            <w:vAlign w:val="center"/>
            <w:hideMark/>
          </w:tcPr>
          <w:p w14:paraId="17EFE57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42,843.00</w:t>
            </w:r>
          </w:p>
        </w:tc>
        <w:tc>
          <w:tcPr>
            <w:tcW w:w="1056" w:type="dxa"/>
            <w:vAlign w:val="center"/>
            <w:hideMark/>
          </w:tcPr>
          <w:p w14:paraId="6942F8D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13.64%</w:t>
            </w:r>
          </w:p>
        </w:tc>
        <w:tc>
          <w:tcPr>
            <w:tcW w:w="1382" w:type="dxa"/>
            <w:vAlign w:val="center"/>
          </w:tcPr>
          <w:p w14:paraId="4952596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82,354.67</w:t>
            </w:r>
          </w:p>
        </w:tc>
        <w:tc>
          <w:tcPr>
            <w:tcW w:w="1136" w:type="dxa"/>
            <w:vAlign w:val="center"/>
          </w:tcPr>
          <w:p w14:paraId="773CAED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26.23%</w:t>
            </w:r>
          </w:p>
        </w:tc>
        <w:tc>
          <w:tcPr>
            <w:tcW w:w="5409" w:type="dxa"/>
            <w:vAlign w:val="center"/>
            <w:hideMark/>
          </w:tcPr>
          <w:p w14:paraId="6E0B5F11"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well underway with the Project Coordinator, Environmental Policy Expert, and BER Expert on board. The inception workshop and first Steering Committee meeting have been held. Consequently, the Policy and Institutional Review (PIR) and the Subsidies Report have been completed. The Biodiversity Expenditure Review (BER) is in progress with a draft reviewed. The project is also set to benefit from complementary NORAD funding for producing a Green Bond, creating opportunities for innovative financing.</w:t>
            </w:r>
          </w:p>
        </w:tc>
      </w:tr>
      <w:tr w:rsidR="00670408" w:rsidRPr="00237520" w14:paraId="2E7B9E48" w14:textId="77777777" w:rsidTr="00D22022">
        <w:trPr>
          <w:trHeight w:val="1248"/>
          <w:jc w:val="center"/>
        </w:trPr>
        <w:tc>
          <w:tcPr>
            <w:tcW w:w="1250" w:type="dxa"/>
            <w:vAlign w:val="center"/>
            <w:hideMark/>
          </w:tcPr>
          <w:p w14:paraId="6749FFA5"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Gambia</w:t>
            </w:r>
            <w:proofErr w:type="spellEnd"/>
          </w:p>
        </w:tc>
        <w:tc>
          <w:tcPr>
            <w:tcW w:w="882" w:type="dxa"/>
            <w:vAlign w:val="center"/>
            <w:hideMark/>
          </w:tcPr>
          <w:p w14:paraId="1CE146E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9696C87"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May 1, 2025</w:t>
            </w:r>
          </w:p>
        </w:tc>
        <w:tc>
          <w:tcPr>
            <w:tcW w:w="1102" w:type="dxa"/>
            <w:vAlign w:val="center"/>
            <w:hideMark/>
          </w:tcPr>
          <w:p w14:paraId="2C75266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3,541.00</w:t>
            </w:r>
          </w:p>
        </w:tc>
        <w:tc>
          <w:tcPr>
            <w:tcW w:w="1056" w:type="dxa"/>
            <w:vAlign w:val="center"/>
            <w:hideMark/>
          </w:tcPr>
          <w:p w14:paraId="254EE91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1.13%</w:t>
            </w:r>
          </w:p>
        </w:tc>
        <w:tc>
          <w:tcPr>
            <w:tcW w:w="1382" w:type="dxa"/>
            <w:vAlign w:val="center"/>
          </w:tcPr>
          <w:p w14:paraId="5F51605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36,450.24</w:t>
            </w:r>
          </w:p>
        </w:tc>
        <w:tc>
          <w:tcPr>
            <w:tcW w:w="1136" w:type="dxa"/>
            <w:vAlign w:val="center"/>
          </w:tcPr>
          <w:p w14:paraId="4FE8BD0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11.61%</w:t>
            </w:r>
          </w:p>
        </w:tc>
        <w:tc>
          <w:tcPr>
            <w:tcW w:w="5409" w:type="dxa"/>
            <w:vAlign w:val="center"/>
            <w:hideMark/>
          </w:tcPr>
          <w:p w14:paraId="2EA942FD"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has recently gained momentum with the onboarding of a Project Associate in December and an Environmental Finance Analyst in January 2026. The inception workshop was successfully held in April 2026, accompanied by stakeholder raining conducted by the Technical Advisor. While the initial recruitment for a National Coordinator faced a setback, the focus is now on finalizing this key position to drive the project's technical work forward.</w:t>
            </w:r>
          </w:p>
        </w:tc>
      </w:tr>
      <w:tr w:rsidR="00670408" w:rsidRPr="00237520" w14:paraId="3BD883C1" w14:textId="77777777" w:rsidTr="00D22022">
        <w:trPr>
          <w:trHeight w:val="1560"/>
          <w:jc w:val="center"/>
        </w:trPr>
        <w:tc>
          <w:tcPr>
            <w:tcW w:w="1250" w:type="dxa"/>
            <w:vAlign w:val="center"/>
            <w:hideMark/>
          </w:tcPr>
          <w:p w14:paraId="5773F6BD"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Ghana</w:t>
            </w:r>
          </w:p>
        </w:tc>
        <w:tc>
          <w:tcPr>
            <w:tcW w:w="882" w:type="dxa"/>
            <w:vAlign w:val="center"/>
            <w:hideMark/>
          </w:tcPr>
          <w:p w14:paraId="16CD8E8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6E25B30" w14:textId="77777777" w:rsidR="00670408" w:rsidRPr="00C67737" w:rsidRDefault="00670408" w:rsidP="00D22022">
            <w:pPr>
              <w:spacing w:after="0"/>
              <w:jc w:val="center"/>
              <w:rPr>
                <w:rFonts w:eastAsia="Times New Roman" w:cstheme="minorHAnsi"/>
                <w:sz w:val="18"/>
                <w:szCs w:val="18"/>
              </w:rPr>
            </w:pPr>
            <w:proofErr w:type="spellStart"/>
            <w:r w:rsidRPr="00C67737">
              <w:rPr>
                <w:rFonts w:eastAsia="Times New Roman" w:cstheme="minorHAnsi"/>
                <w:sz w:val="18"/>
                <w:szCs w:val="18"/>
              </w:rPr>
              <w:t>Feb</w:t>
            </w:r>
            <w:proofErr w:type="spellEnd"/>
            <w:r w:rsidRPr="00C67737">
              <w:rPr>
                <w:rFonts w:eastAsia="Times New Roman" w:cstheme="minorHAnsi"/>
                <w:sz w:val="18"/>
                <w:szCs w:val="18"/>
              </w:rPr>
              <w:t xml:space="preserve"> 3, 2025</w:t>
            </w:r>
          </w:p>
        </w:tc>
        <w:tc>
          <w:tcPr>
            <w:tcW w:w="1102" w:type="dxa"/>
            <w:vAlign w:val="center"/>
            <w:hideMark/>
          </w:tcPr>
          <w:p w14:paraId="14D1217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111,773.00</w:t>
            </w:r>
          </w:p>
        </w:tc>
        <w:tc>
          <w:tcPr>
            <w:tcW w:w="1056" w:type="dxa"/>
            <w:vAlign w:val="center"/>
            <w:hideMark/>
          </w:tcPr>
          <w:p w14:paraId="35FDDB0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35.60%</w:t>
            </w:r>
          </w:p>
        </w:tc>
        <w:tc>
          <w:tcPr>
            <w:tcW w:w="1382" w:type="dxa"/>
            <w:vAlign w:val="center"/>
          </w:tcPr>
          <w:p w14:paraId="66C94F1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129,220.38</w:t>
            </w:r>
          </w:p>
        </w:tc>
        <w:tc>
          <w:tcPr>
            <w:tcW w:w="1136" w:type="dxa"/>
            <w:vAlign w:val="center"/>
          </w:tcPr>
          <w:p w14:paraId="53ED4A7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41.15%</w:t>
            </w:r>
          </w:p>
        </w:tc>
        <w:tc>
          <w:tcPr>
            <w:tcW w:w="5409" w:type="dxa"/>
            <w:vAlign w:val="center"/>
            <w:hideMark/>
          </w:tcPr>
          <w:p w14:paraId="514E1716"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inception workshop has been held, and technical work is ongoing, with initial drafts of the Policy and Institutional Review (PIR) chapters and an assessment of harmful subsidies completed. However, a significant challenge has emerged as the contract for a key team member was not renewed by the Country Office. The management team is addressing this to ensure project continuity.</w:t>
            </w:r>
          </w:p>
        </w:tc>
      </w:tr>
      <w:tr w:rsidR="00670408" w:rsidRPr="00237520" w14:paraId="7FB6DB38" w14:textId="77777777" w:rsidTr="00D22022">
        <w:trPr>
          <w:trHeight w:val="1560"/>
          <w:jc w:val="center"/>
        </w:trPr>
        <w:tc>
          <w:tcPr>
            <w:tcW w:w="1250" w:type="dxa"/>
            <w:vAlign w:val="center"/>
            <w:hideMark/>
          </w:tcPr>
          <w:p w14:paraId="7C435801"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Grenada</w:t>
            </w:r>
          </w:p>
        </w:tc>
        <w:tc>
          <w:tcPr>
            <w:tcW w:w="882" w:type="dxa"/>
            <w:vAlign w:val="center"/>
            <w:hideMark/>
          </w:tcPr>
          <w:p w14:paraId="3E9416D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23D5FAB"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178BFEF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32,025.93</w:t>
            </w:r>
          </w:p>
        </w:tc>
        <w:tc>
          <w:tcPr>
            <w:tcW w:w="1056" w:type="dxa"/>
            <w:vAlign w:val="center"/>
            <w:hideMark/>
          </w:tcPr>
          <w:p w14:paraId="70C1D78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10.20%</w:t>
            </w:r>
          </w:p>
        </w:tc>
        <w:tc>
          <w:tcPr>
            <w:tcW w:w="1382" w:type="dxa"/>
            <w:vAlign w:val="center"/>
          </w:tcPr>
          <w:p w14:paraId="5776F312"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48,170.41</w:t>
            </w:r>
          </w:p>
        </w:tc>
        <w:tc>
          <w:tcPr>
            <w:tcW w:w="1136" w:type="dxa"/>
            <w:vAlign w:val="center"/>
          </w:tcPr>
          <w:p w14:paraId="0957D1E2"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15.34%</w:t>
            </w:r>
          </w:p>
        </w:tc>
        <w:tc>
          <w:tcPr>
            <w:tcW w:w="5409" w:type="dxa"/>
            <w:vAlign w:val="center"/>
            <w:hideMark/>
          </w:tcPr>
          <w:p w14:paraId="091B8480"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A key milestone has been achieved with the completion of the first draft of the Policy and Institutional Review (PIR) using unallocated funds from the EAS project. However, the project faces critical implementation challenges, including friction between the </w:t>
            </w:r>
            <w:proofErr w:type="gramStart"/>
            <w:r w:rsidRPr="00670408">
              <w:rPr>
                <w:rFonts w:cstheme="minorHAnsi"/>
                <w:sz w:val="18"/>
                <w:szCs w:val="18"/>
                <w:lang w:val="en-US"/>
              </w:rPr>
              <w:t>Multi-Country Office</w:t>
            </w:r>
            <w:proofErr w:type="gramEnd"/>
            <w:r w:rsidRPr="00670408">
              <w:rPr>
                <w:rFonts w:cstheme="minorHAnsi"/>
                <w:sz w:val="18"/>
                <w:szCs w:val="18"/>
                <w:lang w:val="en-US"/>
              </w:rPr>
              <w:t xml:space="preserve"> and the government over financial reporting and discontent from the National Facilitator. The management team is addressing these relationship issues while preparing to advance work on the Biodiversity Finance Plan.</w:t>
            </w:r>
          </w:p>
        </w:tc>
      </w:tr>
      <w:tr w:rsidR="00670408" w:rsidRPr="00237520" w14:paraId="3EC92906" w14:textId="77777777" w:rsidTr="00D22022">
        <w:trPr>
          <w:trHeight w:val="1872"/>
          <w:jc w:val="center"/>
        </w:trPr>
        <w:tc>
          <w:tcPr>
            <w:tcW w:w="1250" w:type="dxa"/>
            <w:vAlign w:val="center"/>
            <w:hideMark/>
          </w:tcPr>
          <w:p w14:paraId="2504E071"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Guinea</w:t>
            </w:r>
            <w:proofErr w:type="spellEnd"/>
            <w:r w:rsidRPr="00C67737">
              <w:rPr>
                <w:rFonts w:eastAsia="Times New Roman" w:cstheme="minorHAnsi"/>
                <w:sz w:val="18"/>
                <w:szCs w:val="18"/>
                <w:lang w:eastAsia="en-PH"/>
              </w:rPr>
              <w:t xml:space="preserve"> Conakry</w:t>
            </w:r>
          </w:p>
        </w:tc>
        <w:tc>
          <w:tcPr>
            <w:tcW w:w="882" w:type="dxa"/>
            <w:vAlign w:val="center"/>
            <w:hideMark/>
          </w:tcPr>
          <w:p w14:paraId="4723148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7D6A7AE"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Mar 1, 2025</w:t>
            </w:r>
          </w:p>
        </w:tc>
        <w:tc>
          <w:tcPr>
            <w:tcW w:w="1102" w:type="dxa"/>
            <w:vAlign w:val="center"/>
            <w:hideMark/>
          </w:tcPr>
          <w:p w14:paraId="70EB79A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130,235.00</w:t>
            </w:r>
          </w:p>
        </w:tc>
        <w:tc>
          <w:tcPr>
            <w:tcW w:w="1056" w:type="dxa"/>
            <w:vAlign w:val="center"/>
            <w:hideMark/>
          </w:tcPr>
          <w:p w14:paraId="14A5F0E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41.48%</w:t>
            </w:r>
          </w:p>
        </w:tc>
        <w:tc>
          <w:tcPr>
            <w:tcW w:w="1382" w:type="dxa"/>
            <w:vAlign w:val="center"/>
          </w:tcPr>
          <w:p w14:paraId="3D17987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152,123.68</w:t>
            </w:r>
          </w:p>
        </w:tc>
        <w:tc>
          <w:tcPr>
            <w:tcW w:w="1136" w:type="dxa"/>
            <w:vAlign w:val="center"/>
          </w:tcPr>
          <w:p w14:paraId="4D41298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48.45%</w:t>
            </w:r>
          </w:p>
        </w:tc>
        <w:tc>
          <w:tcPr>
            <w:tcW w:w="5409" w:type="dxa"/>
            <w:vAlign w:val="center"/>
            <w:hideMark/>
          </w:tcPr>
          <w:p w14:paraId="57E31C7F"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held its official launch in October 2025 and is advancing its technical assessments. A draft of the Policy and Institutional Review (PIR) is in progress, and the Biodiversity Expenditure Review (BER) has been initiated. However, the project is navigating some challenges with institutional engagement due to government instability. The team is focused on continuing the development of these key reports while managing the external context.</w:t>
            </w:r>
          </w:p>
        </w:tc>
      </w:tr>
      <w:tr w:rsidR="00670408" w:rsidRPr="00237520" w14:paraId="06C7EF60" w14:textId="77777777" w:rsidTr="00D22022">
        <w:trPr>
          <w:trHeight w:val="936"/>
          <w:jc w:val="center"/>
        </w:trPr>
        <w:tc>
          <w:tcPr>
            <w:tcW w:w="1250" w:type="dxa"/>
            <w:vAlign w:val="center"/>
            <w:hideMark/>
          </w:tcPr>
          <w:p w14:paraId="4637B2CE"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Guinea</w:t>
            </w:r>
            <w:proofErr w:type="spellEnd"/>
            <w:r w:rsidRPr="00C67737">
              <w:rPr>
                <w:rFonts w:eastAsia="Times New Roman" w:cstheme="minorHAnsi"/>
                <w:sz w:val="18"/>
                <w:szCs w:val="18"/>
                <w:lang w:eastAsia="en-PH"/>
              </w:rPr>
              <w:t xml:space="preserve"> Bissau</w:t>
            </w:r>
          </w:p>
        </w:tc>
        <w:tc>
          <w:tcPr>
            <w:tcW w:w="882" w:type="dxa"/>
            <w:vAlign w:val="center"/>
            <w:hideMark/>
          </w:tcPr>
          <w:p w14:paraId="61D36AB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6B0EAAF"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Aug 1, 2025</w:t>
            </w:r>
          </w:p>
        </w:tc>
        <w:tc>
          <w:tcPr>
            <w:tcW w:w="1102" w:type="dxa"/>
            <w:vAlign w:val="center"/>
            <w:hideMark/>
          </w:tcPr>
          <w:p w14:paraId="4C28020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72,822.00</w:t>
            </w:r>
          </w:p>
        </w:tc>
        <w:tc>
          <w:tcPr>
            <w:tcW w:w="1056" w:type="dxa"/>
            <w:vAlign w:val="center"/>
            <w:hideMark/>
          </w:tcPr>
          <w:p w14:paraId="35E1D6A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23.19%</w:t>
            </w:r>
          </w:p>
        </w:tc>
        <w:tc>
          <w:tcPr>
            <w:tcW w:w="1382" w:type="dxa"/>
            <w:vAlign w:val="center"/>
          </w:tcPr>
          <w:p w14:paraId="33F57D6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95,649.50</w:t>
            </w:r>
          </w:p>
        </w:tc>
        <w:tc>
          <w:tcPr>
            <w:tcW w:w="1136" w:type="dxa"/>
            <w:vAlign w:val="center"/>
          </w:tcPr>
          <w:p w14:paraId="6BD9522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30.46%</w:t>
            </w:r>
          </w:p>
        </w:tc>
        <w:tc>
          <w:tcPr>
            <w:tcW w:w="5409" w:type="dxa"/>
            <w:vAlign w:val="center"/>
            <w:hideMark/>
          </w:tcPr>
          <w:p w14:paraId="0B318BAC"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making positive, albeit slow, progress with strong government involvement and an engaged coordinator. A key success has been establishing a cooperation framework with the national business organization. The project has faced challenges with the departure of both the PIR and BER/FNA experts, but the team has moved quickly to recruit replacements. As a result, the Policy and Institutional Review (PIR), Subsidies Report, and Biodiversity Expenditure Review (BER) are all now in progress.</w:t>
            </w:r>
          </w:p>
        </w:tc>
      </w:tr>
      <w:tr w:rsidR="00670408" w:rsidRPr="00237520" w14:paraId="719FC262" w14:textId="77777777" w:rsidTr="00D22022">
        <w:trPr>
          <w:trHeight w:val="1560"/>
          <w:jc w:val="center"/>
        </w:trPr>
        <w:tc>
          <w:tcPr>
            <w:tcW w:w="1250" w:type="dxa"/>
            <w:vAlign w:val="center"/>
            <w:hideMark/>
          </w:tcPr>
          <w:p w14:paraId="3F36D798"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Haiti</w:t>
            </w:r>
          </w:p>
        </w:tc>
        <w:tc>
          <w:tcPr>
            <w:tcW w:w="882" w:type="dxa"/>
            <w:vAlign w:val="center"/>
            <w:hideMark/>
          </w:tcPr>
          <w:p w14:paraId="35F9B20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72F2E73"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Mar 1, 2025</w:t>
            </w:r>
          </w:p>
        </w:tc>
        <w:tc>
          <w:tcPr>
            <w:tcW w:w="1102" w:type="dxa"/>
            <w:vAlign w:val="center"/>
            <w:hideMark/>
          </w:tcPr>
          <w:p w14:paraId="7815DA4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188,025.00</w:t>
            </w:r>
          </w:p>
        </w:tc>
        <w:tc>
          <w:tcPr>
            <w:tcW w:w="1056" w:type="dxa"/>
            <w:vAlign w:val="center"/>
            <w:hideMark/>
          </w:tcPr>
          <w:p w14:paraId="7964A4B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59.88%</w:t>
            </w:r>
          </w:p>
        </w:tc>
        <w:tc>
          <w:tcPr>
            <w:tcW w:w="1382" w:type="dxa"/>
            <w:vAlign w:val="center"/>
          </w:tcPr>
          <w:p w14:paraId="251024A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237,336.70</w:t>
            </w:r>
          </w:p>
        </w:tc>
        <w:tc>
          <w:tcPr>
            <w:tcW w:w="1136" w:type="dxa"/>
            <w:vAlign w:val="center"/>
          </w:tcPr>
          <w:p w14:paraId="775ACD3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75.58%</w:t>
            </w:r>
          </w:p>
        </w:tc>
        <w:tc>
          <w:tcPr>
            <w:tcW w:w="5409" w:type="dxa"/>
            <w:vAlign w:val="center"/>
            <w:hideMark/>
          </w:tcPr>
          <w:p w14:paraId="7180B4AA"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adapting to a challenging recruitment environment by leveraging staff from the existing NBSAP </w:t>
            </w:r>
            <w:proofErr w:type="spellStart"/>
            <w:r w:rsidRPr="00670408">
              <w:rPr>
                <w:rFonts w:cstheme="minorHAnsi"/>
                <w:sz w:val="18"/>
                <w:szCs w:val="18"/>
                <w:lang w:val="en-US"/>
              </w:rPr>
              <w:t>programme</w:t>
            </w:r>
            <w:proofErr w:type="spellEnd"/>
            <w:r w:rsidRPr="00670408">
              <w:rPr>
                <w:rFonts w:cstheme="minorHAnsi"/>
                <w:sz w:val="18"/>
                <w:szCs w:val="18"/>
                <w:lang w:val="en-US"/>
              </w:rPr>
              <w:t xml:space="preserve"> to conduct key assessments. This has allowed for significant progress, with the Policy and Institutional Review (PIR) and Subsidies Report now completed and drafts available for the Biodiversity Expenditure Review (BER) and Finance Needs Assessment (FNA). The project did face a setback with the resignation of the UNDP Country Office BIOFIN focal point in June, and management is working to ensure continued oversight.</w:t>
            </w:r>
          </w:p>
        </w:tc>
      </w:tr>
      <w:tr w:rsidR="00670408" w:rsidRPr="00237520" w14:paraId="454CEF60" w14:textId="77777777" w:rsidTr="00D22022">
        <w:trPr>
          <w:trHeight w:val="1560"/>
          <w:jc w:val="center"/>
        </w:trPr>
        <w:tc>
          <w:tcPr>
            <w:tcW w:w="1250" w:type="dxa"/>
            <w:vAlign w:val="center"/>
            <w:hideMark/>
          </w:tcPr>
          <w:p w14:paraId="18F127B5"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Honduras</w:t>
            </w:r>
          </w:p>
        </w:tc>
        <w:tc>
          <w:tcPr>
            <w:tcW w:w="882" w:type="dxa"/>
            <w:vAlign w:val="center"/>
            <w:hideMark/>
          </w:tcPr>
          <w:p w14:paraId="768D193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E0CC08D" w14:textId="77777777" w:rsidR="00670408" w:rsidRPr="00C67737" w:rsidRDefault="00670408" w:rsidP="00D22022">
            <w:pPr>
              <w:jc w:val="center"/>
              <w:rPr>
                <w:rFonts w:cstheme="minorHAnsi"/>
                <w:sz w:val="18"/>
                <w:szCs w:val="18"/>
              </w:rPr>
            </w:pPr>
            <w:r w:rsidRPr="00C67737">
              <w:rPr>
                <w:rFonts w:cstheme="minorHAnsi"/>
                <w:sz w:val="18"/>
                <w:szCs w:val="18"/>
              </w:rPr>
              <w:t>Jan 2, 2025</w:t>
            </w:r>
          </w:p>
        </w:tc>
        <w:tc>
          <w:tcPr>
            <w:tcW w:w="1102" w:type="dxa"/>
            <w:vAlign w:val="center"/>
            <w:hideMark/>
          </w:tcPr>
          <w:p w14:paraId="6A43A0F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88,406.00</w:t>
            </w:r>
          </w:p>
        </w:tc>
        <w:tc>
          <w:tcPr>
            <w:tcW w:w="1056" w:type="dxa"/>
            <w:vAlign w:val="center"/>
            <w:hideMark/>
          </w:tcPr>
          <w:p w14:paraId="3F83D37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28.15%</w:t>
            </w:r>
          </w:p>
        </w:tc>
        <w:tc>
          <w:tcPr>
            <w:tcW w:w="1382" w:type="dxa"/>
            <w:vAlign w:val="center"/>
          </w:tcPr>
          <w:p w14:paraId="3F554A7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90,224.01</w:t>
            </w:r>
          </w:p>
        </w:tc>
        <w:tc>
          <w:tcPr>
            <w:tcW w:w="1136" w:type="dxa"/>
            <w:vAlign w:val="center"/>
          </w:tcPr>
          <w:p w14:paraId="46175C5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28.73%</w:t>
            </w:r>
          </w:p>
        </w:tc>
        <w:tc>
          <w:tcPr>
            <w:tcW w:w="5409" w:type="dxa"/>
            <w:vAlign w:val="center"/>
            <w:hideMark/>
          </w:tcPr>
          <w:p w14:paraId="093EB25A"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Good progress is being made, with drafts of the Policy and Institutional Review (PIR) and Subsidies Report available. A key challenge arose when the National Coordinator left her position; however, the Country Office is managing the role on an interim basis while revising the strategy to re-hire. To improve efficiency, the team is now exploring contracting a firm to deliver the BER, FNA, and BFP, with a Request for Quotation currently under review.</w:t>
            </w:r>
          </w:p>
        </w:tc>
      </w:tr>
      <w:tr w:rsidR="00670408" w:rsidRPr="00237520" w14:paraId="08A0C0CC" w14:textId="77777777" w:rsidTr="00D22022">
        <w:trPr>
          <w:trHeight w:val="1560"/>
          <w:jc w:val="center"/>
        </w:trPr>
        <w:tc>
          <w:tcPr>
            <w:tcW w:w="1250" w:type="dxa"/>
            <w:vAlign w:val="center"/>
            <w:hideMark/>
          </w:tcPr>
          <w:p w14:paraId="3388170F"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Iraq</w:t>
            </w:r>
          </w:p>
        </w:tc>
        <w:tc>
          <w:tcPr>
            <w:tcW w:w="882" w:type="dxa"/>
            <w:vAlign w:val="center"/>
            <w:hideMark/>
          </w:tcPr>
          <w:p w14:paraId="06E9647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2C087D8" w14:textId="77777777" w:rsidR="00670408" w:rsidRPr="00C67737" w:rsidRDefault="00670408" w:rsidP="00D22022">
            <w:pPr>
              <w:jc w:val="center"/>
              <w:rPr>
                <w:rFonts w:cstheme="minorHAnsi"/>
                <w:sz w:val="18"/>
                <w:szCs w:val="18"/>
              </w:rPr>
            </w:pPr>
            <w:proofErr w:type="spellStart"/>
            <w:r w:rsidRPr="00C67737">
              <w:rPr>
                <w:rFonts w:cstheme="minorHAnsi"/>
                <w:sz w:val="18"/>
                <w:szCs w:val="18"/>
              </w:rPr>
              <w:t>Feb</w:t>
            </w:r>
            <w:proofErr w:type="spellEnd"/>
            <w:r w:rsidRPr="00C67737">
              <w:rPr>
                <w:rFonts w:cstheme="minorHAnsi"/>
                <w:sz w:val="18"/>
                <w:szCs w:val="18"/>
              </w:rPr>
              <w:t xml:space="preserve"> 1, 2025</w:t>
            </w:r>
          </w:p>
        </w:tc>
        <w:tc>
          <w:tcPr>
            <w:tcW w:w="1102" w:type="dxa"/>
            <w:vAlign w:val="center"/>
            <w:hideMark/>
          </w:tcPr>
          <w:p w14:paraId="6F28360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161,732.00</w:t>
            </w:r>
          </w:p>
        </w:tc>
        <w:tc>
          <w:tcPr>
            <w:tcW w:w="1056" w:type="dxa"/>
            <w:vAlign w:val="center"/>
            <w:hideMark/>
          </w:tcPr>
          <w:p w14:paraId="74AE364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51.51%</w:t>
            </w:r>
          </w:p>
        </w:tc>
        <w:tc>
          <w:tcPr>
            <w:tcW w:w="1382" w:type="dxa"/>
            <w:vAlign w:val="center"/>
          </w:tcPr>
          <w:p w14:paraId="5A64825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173,348.14</w:t>
            </w:r>
          </w:p>
        </w:tc>
        <w:tc>
          <w:tcPr>
            <w:tcW w:w="1136" w:type="dxa"/>
            <w:vAlign w:val="center"/>
          </w:tcPr>
          <w:p w14:paraId="5CE8B03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55.21%</w:t>
            </w:r>
          </w:p>
        </w:tc>
        <w:tc>
          <w:tcPr>
            <w:tcW w:w="5409" w:type="dxa"/>
            <w:vAlign w:val="center"/>
            <w:hideMark/>
          </w:tcPr>
          <w:p w14:paraId="65BC6CA4"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advancing exceptionally well with a full national and international team on board. The Steering Committee has been formed, and the country has also produced </w:t>
            </w:r>
            <w:proofErr w:type="gramStart"/>
            <w:r w:rsidRPr="00670408">
              <w:rPr>
                <w:rFonts w:cstheme="minorHAnsi"/>
                <w:sz w:val="18"/>
                <w:szCs w:val="18"/>
                <w:lang w:val="en-US"/>
              </w:rPr>
              <w:t>outputs</w:t>
            </w:r>
            <w:proofErr w:type="gramEnd"/>
            <w:r w:rsidRPr="00670408">
              <w:rPr>
                <w:rFonts w:cstheme="minorHAnsi"/>
                <w:sz w:val="18"/>
                <w:szCs w:val="18"/>
                <w:lang w:val="en-US"/>
              </w:rPr>
              <w:t xml:space="preserve"> from Component 4 of the EAS project. This strong start has resulted in drafts being in progress for all key BIOFIN deliverables: the Policy and Institutional Review (PIR), Biodiversity Expenditure Review (BER), Finance Needs Assessment (FNA), and the Biodiversity Finance Plan (BFP).</w:t>
            </w:r>
          </w:p>
        </w:tc>
      </w:tr>
      <w:tr w:rsidR="00670408" w:rsidRPr="00237520" w14:paraId="27E2CA54" w14:textId="77777777" w:rsidTr="00D22022">
        <w:trPr>
          <w:trHeight w:val="936"/>
          <w:jc w:val="center"/>
        </w:trPr>
        <w:tc>
          <w:tcPr>
            <w:tcW w:w="1250" w:type="dxa"/>
            <w:vAlign w:val="center"/>
            <w:hideMark/>
          </w:tcPr>
          <w:p w14:paraId="1A111732"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Jamaica</w:t>
            </w:r>
          </w:p>
        </w:tc>
        <w:tc>
          <w:tcPr>
            <w:tcW w:w="882" w:type="dxa"/>
            <w:vAlign w:val="center"/>
            <w:hideMark/>
          </w:tcPr>
          <w:p w14:paraId="1CB39EC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1DEE1F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Jan 1, 2025</w:t>
            </w:r>
          </w:p>
        </w:tc>
        <w:tc>
          <w:tcPr>
            <w:tcW w:w="1102" w:type="dxa"/>
            <w:vAlign w:val="center"/>
            <w:hideMark/>
          </w:tcPr>
          <w:p w14:paraId="4E8F272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10,068.00</w:t>
            </w:r>
          </w:p>
        </w:tc>
        <w:tc>
          <w:tcPr>
            <w:tcW w:w="1056" w:type="dxa"/>
            <w:vAlign w:val="center"/>
            <w:hideMark/>
          </w:tcPr>
          <w:p w14:paraId="64DEEBD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3.21%</w:t>
            </w:r>
          </w:p>
        </w:tc>
        <w:tc>
          <w:tcPr>
            <w:tcW w:w="1382" w:type="dxa"/>
            <w:vAlign w:val="center"/>
          </w:tcPr>
          <w:p w14:paraId="570BB3E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19,530.06</w:t>
            </w:r>
          </w:p>
        </w:tc>
        <w:tc>
          <w:tcPr>
            <w:tcW w:w="1136" w:type="dxa"/>
            <w:vAlign w:val="center"/>
          </w:tcPr>
          <w:p w14:paraId="7700D83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6.22%</w:t>
            </w:r>
          </w:p>
        </w:tc>
        <w:tc>
          <w:tcPr>
            <w:tcW w:w="5409" w:type="dxa"/>
            <w:vAlign w:val="center"/>
            <w:hideMark/>
          </w:tcPr>
          <w:p w14:paraId="7672A9A3"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now operational, with an acting National Coordinator in place and the first National Steering Committee meeting </w:t>
            </w:r>
            <w:proofErr w:type="gramStart"/>
            <w:r w:rsidRPr="00670408">
              <w:rPr>
                <w:rFonts w:cstheme="minorHAnsi"/>
                <w:sz w:val="18"/>
                <w:szCs w:val="18"/>
                <w:lang w:val="en-US"/>
              </w:rPr>
              <w:t>held</w:t>
            </w:r>
            <w:proofErr w:type="gramEnd"/>
            <w:r w:rsidRPr="00670408">
              <w:rPr>
                <w:rFonts w:cstheme="minorHAnsi"/>
                <w:sz w:val="18"/>
                <w:szCs w:val="18"/>
                <w:lang w:val="en-US"/>
              </w:rPr>
              <w:t xml:space="preserve"> in late February. The procurement process for the Biodiversity Policy Specialist (to lead the PIR) is in the final scoring stage, and the Finance Specialist has been selected from a roster. The immediate focus is on completing these recruitments to officially commence the technical work.</w:t>
            </w:r>
          </w:p>
        </w:tc>
      </w:tr>
      <w:tr w:rsidR="00670408" w:rsidRPr="00237520" w14:paraId="7A4A3D5F" w14:textId="77777777" w:rsidTr="00D22022">
        <w:trPr>
          <w:trHeight w:val="1560"/>
          <w:jc w:val="center"/>
        </w:trPr>
        <w:tc>
          <w:tcPr>
            <w:tcW w:w="1250" w:type="dxa"/>
            <w:vAlign w:val="center"/>
            <w:hideMark/>
          </w:tcPr>
          <w:p w14:paraId="4278B296"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Jordan</w:t>
            </w:r>
          </w:p>
        </w:tc>
        <w:tc>
          <w:tcPr>
            <w:tcW w:w="882" w:type="dxa"/>
            <w:vAlign w:val="center"/>
            <w:hideMark/>
          </w:tcPr>
          <w:p w14:paraId="2B67F59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E4483AE"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Aug 1, 2024</w:t>
            </w:r>
          </w:p>
        </w:tc>
        <w:tc>
          <w:tcPr>
            <w:tcW w:w="1102" w:type="dxa"/>
            <w:vAlign w:val="center"/>
            <w:hideMark/>
          </w:tcPr>
          <w:p w14:paraId="357C996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230,372.00</w:t>
            </w:r>
          </w:p>
        </w:tc>
        <w:tc>
          <w:tcPr>
            <w:tcW w:w="1056" w:type="dxa"/>
            <w:vAlign w:val="center"/>
            <w:hideMark/>
          </w:tcPr>
          <w:p w14:paraId="0815F38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73.37%</w:t>
            </w:r>
          </w:p>
        </w:tc>
        <w:tc>
          <w:tcPr>
            <w:tcW w:w="1382" w:type="dxa"/>
            <w:vAlign w:val="center"/>
          </w:tcPr>
          <w:p w14:paraId="4D2CB6E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252,521.69</w:t>
            </w:r>
          </w:p>
        </w:tc>
        <w:tc>
          <w:tcPr>
            <w:tcW w:w="1136" w:type="dxa"/>
            <w:vAlign w:val="center"/>
          </w:tcPr>
          <w:p w14:paraId="477241A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80.42%</w:t>
            </w:r>
          </w:p>
        </w:tc>
        <w:tc>
          <w:tcPr>
            <w:tcW w:w="5409" w:type="dxa"/>
            <w:vAlign w:val="center"/>
            <w:hideMark/>
          </w:tcPr>
          <w:p w14:paraId="054D1C7B"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making excellent progress with all key experts on board and the first Steering Committee meeting convened. Drafts of the Policy and Institutional Review (PIR), Subsidies Report, and Biodiversity Expenditure Review (BER) have been reviewed and are being amended. A private sector expert is being recruited to enhance data collection, and a technical mission took place in January 2026. The country has </w:t>
            </w:r>
            <w:r w:rsidRPr="00670408">
              <w:rPr>
                <w:rFonts w:cstheme="minorHAnsi"/>
                <w:sz w:val="18"/>
                <w:szCs w:val="18"/>
                <w:lang w:val="en-US"/>
              </w:rPr>
              <w:lastRenderedPageBreak/>
              <w:t>also offered to host a regional workshop, highlighting its strong commitment.</w:t>
            </w:r>
          </w:p>
        </w:tc>
      </w:tr>
      <w:tr w:rsidR="00670408" w:rsidRPr="00237520" w14:paraId="541E460C" w14:textId="77777777" w:rsidTr="00D22022">
        <w:trPr>
          <w:trHeight w:val="1248"/>
          <w:jc w:val="center"/>
        </w:trPr>
        <w:tc>
          <w:tcPr>
            <w:tcW w:w="1250" w:type="dxa"/>
            <w:vAlign w:val="center"/>
            <w:hideMark/>
          </w:tcPr>
          <w:p w14:paraId="0D21698A"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Kenya</w:t>
            </w:r>
          </w:p>
        </w:tc>
        <w:tc>
          <w:tcPr>
            <w:tcW w:w="882" w:type="dxa"/>
            <w:vAlign w:val="center"/>
            <w:hideMark/>
          </w:tcPr>
          <w:p w14:paraId="55DA88B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BBB5CB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Nov 1, 2024</w:t>
            </w:r>
          </w:p>
        </w:tc>
        <w:tc>
          <w:tcPr>
            <w:tcW w:w="1102" w:type="dxa"/>
            <w:vAlign w:val="center"/>
            <w:hideMark/>
          </w:tcPr>
          <w:p w14:paraId="1DE0FE4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157,865.00</w:t>
            </w:r>
          </w:p>
        </w:tc>
        <w:tc>
          <w:tcPr>
            <w:tcW w:w="1056" w:type="dxa"/>
            <w:vAlign w:val="center"/>
            <w:hideMark/>
          </w:tcPr>
          <w:p w14:paraId="5B88825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50.28%</w:t>
            </w:r>
          </w:p>
        </w:tc>
        <w:tc>
          <w:tcPr>
            <w:tcW w:w="1382" w:type="dxa"/>
            <w:vAlign w:val="center"/>
          </w:tcPr>
          <w:p w14:paraId="1EFC866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193,801.74</w:t>
            </w:r>
          </w:p>
        </w:tc>
        <w:tc>
          <w:tcPr>
            <w:tcW w:w="1136" w:type="dxa"/>
            <w:vAlign w:val="center"/>
          </w:tcPr>
          <w:p w14:paraId="58BC74C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61.72%</w:t>
            </w:r>
          </w:p>
        </w:tc>
        <w:tc>
          <w:tcPr>
            <w:tcW w:w="5409" w:type="dxa"/>
            <w:vAlign w:val="center"/>
            <w:hideMark/>
          </w:tcPr>
          <w:p w14:paraId="50D9F1CE"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Policy and Institutional Review (PIR) and the Subsidies Report are now in progress. However, project implementation is facing delays related to the ongoing recruitment of a Biodiversity Finance Analyst and the need to reconstitute the Project Steering Committee with the National Treasury. The management team is actively following up on these points to unblock progress and schedule the official project launch.</w:t>
            </w:r>
          </w:p>
        </w:tc>
      </w:tr>
      <w:tr w:rsidR="00670408" w:rsidRPr="00237520" w14:paraId="32C1F066" w14:textId="77777777" w:rsidTr="00D22022">
        <w:trPr>
          <w:trHeight w:val="936"/>
          <w:jc w:val="center"/>
        </w:trPr>
        <w:tc>
          <w:tcPr>
            <w:tcW w:w="1250" w:type="dxa"/>
            <w:vAlign w:val="center"/>
            <w:hideMark/>
          </w:tcPr>
          <w:p w14:paraId="28722EE0"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Kiribati</w:t>
            </w:r>
          </w:p>
        </w:tc>
        <w:tc>
          <w:tcPr>
            <w:tcW w:w="882" w:type="dxa"/>
            <w:vAlign w:val="center"/>
            <w:hideMark/>
          </w:tcPr>
          <w:p w14:paraId="3F7D0C2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B4850FE"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Jul 1, 2025</w:t>
            </w:r>
          </w:p>
        </w:tc>
        <w:tc>
          <w:tcPr>
            <w:tcW w:w="1102" w:type="dxa"/>
            <w:vAlign w:val="center"/>
            <w:hideMark/>
          </w:tcPr>
          <w:p w14:paraId="605800C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137,208.77</w:t>
            </w:r>
          </w:p>
        </w:tc>
        <w:tc>
          <w:tcPr>
            <w:tcW w:w="1056" w:type="dxa"/>
            <w:vAlign w:val="center"/>
            <w:hideMark/>
          </w:tcPr>
          <w:p w14:paraId="2B22D0B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43.70%</w:t>
            </w:r>
          </w:p>
        </w:tc>
        <w:tc>
          <w:tcPr>
            <w:tcW w:w="1382" w:type="dxa"/>
            <w:vAlign w:val="center"/>
          </w:tcPr>
          <w:p w14:paraId="71AD26E9"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154,114.63</w:t>
            </w:r>
          </w:p>
        </w:tc>
        <w:tc>
          <w:tcPr>
            <w:tcW w:w="1136" w:type="dxa"/>
            <w:vAlign w:val="center"/>
          </w:tcPr>
          <w:p w14:paraId="1ABAA837"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49.08 %</w:t>
            </w:r>
          </w:p>
        </w:tc>
        <w:tc>
          <w:tcPr>
            <w:tcW w:w="5409" w:type="dxa"/>
            <w:vAlign w:val="center"/>
            <w:hideMark/>
          </w:tcPr>
          <w:p w14:paraId="05D40B4B"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Operating under a centralized PMU in Fiji, the project has successfully contracted the firm Grant Thornton to deliver all key technical reports (PIR, BER, FNA, and BFP). An initial introductory meeting between the firm and the </w:t>
            </w:r>
            <w:proofErr w:type="gramStart"/>
            <w:r w:rsidRPr="00670408">
              <w:rPr>
                <w:rFonts w:cstheme="minorHAnsi"/>
                <w:sz w:val="18"/>
                <w:szCs w:val="18"/>
                <w:lang w:val="en-US"/>
              </w:rPr>
              <w:t>Multi-Country Office</w:t>
            </w:r>
            <w:proofErr w:type="gramEnd"/>
            <w:r w:rsidRPr="00670408">
              <w:rPr>
                <w:rFonts w:cstheme="minorHAnsi"/>
                <w:sz w:val="18"/>
                <w:szCs w:val="18"/>
                <w:lang w:val="en-US"/>
              </w:rPr>
              <w:t xml:space="preserve"> has taken place, and the PMU is conducting weekly meetings with the firm to monitor progress. The project is now positioned to move swiftly into the assessment phase.</w:t>
            </w:r>
          </w:p>
        </w:tc>
      </w:tr>
      <w:tr w:rsidR="00670408" w:rsidRPr="00237520" w14:paraId="2BE57A4F" w14:textId="77777777" w:rsidTr="00D22022">
        <w:trPr>
          <w:trHeight w:val="1248"/>
          <w:jc w:val="center"/>
        </w:trPr>
        <w:tc>
          <w:tcPr>
            <w:tcW w:w="1250" w:type="dxa"/>
            <w:vAlign w:val="center"/>
            <w:hideMark/>
          </w:tcPr>
          <w:p w14:paraId="55303CB7"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Lao PDR</w:t>
            </w:r>
          </w:p>
        </w:tc>
        <w:tc>
          <w:tcPr>
            <w:tcW w:w="882" w:type="dxa"/>
            <w:vAlign w:val="center"/>
            <w:hideMark/>
          </w:tcPr>
          <w:p w14:paraId="3696132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669440A"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Oct 1, 2024</w:t>
            </w:r>
          </w:p>
        </w:tc>
        <w:tc>
          <w:tcPr>
            <w:tcW w:w="1102" w:type="dxa"/>
            <w:vAlign w:val="center"/>
            <w:hideMark/>
          </w:tcPr>
          <w:p w14:paraId="7F64060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183,503.00</w:t>
            </w:r>
          </w:p>
        </w:tc>
        <w:tc>
          <w:tcPr>
            <w:tcW w:w="1056" w:type="dxa"/>
            <w:vAlign w:val="center"/>
            <w:hideMark/>
          </w:tcPr>
          <w:p w14:paraId="3B49196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58.44%</w:t>
            </w:r>
          </w:p>
        </w:tc>
        <w:tc>
          <w:tcPr>
            <w:tcW w:w="1382" w:type="dxa"/>
            <w:vAlign w:val="center"/>
          </w:tcPr>
          <w:p w14:paraId="7E6182C6"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198,043.24</w:t>
            </w:r>
          </w:p>
        </w:tc>
        <w:tc>
          <w:tcPr>
            <w:tcW w:w="1136" w:type="dxa"/>
            <w:vAlign w:val="center"/>
          </w:tcPr>
          <w:p w14:paraId="7DE2E2C2"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63.07%</w:t>
            </w:r>
          </w:p>
        </w:tc>
        <w:tc>
          <w:tcPr>
            <w:tcW w:w="5409" w:type="dxa"/>
            <w:vAlign w:val="center"/>
            <w:hideMark/>
          </w:tcPr>
          <w:p w14:paraId="04221DFF"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has achieved significant milestones, having completed the Policy and Institutional Review (PIR) and the Subsidies Report, with the latter needing further validation. Furthermore, the Biodiversity Expenditure Review (BER) and Finance Needs Assessment (FNA) are in progress with drafts available for technical review. The project is on a strong trajectory to complete its remaining assessments.</w:t>
            </w:r>
          </w:p>
        </w:tc>
      </w:tr>
      <w:tr w:rsidR="00670408" w:rsidRPr="00237520" w14:paraId="0F9B25E0" w14:textId="77777777" w:rsidTr="00D22022">
        <w:trPr>
          <w:trHeight w:val="1248"/>
          <w:jc w:val="center"/>
        </w:trPr>
        <w:tc>
          <w:tcPr>
            <w:tcW w:w="1250" w:type="dxa"/>
            <w:vAlign w:val="center"/>
            <w:hideMark/>
          </w:tcPr>
          <w:p w14:paraId="1D91E4CB"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Lesotho</w:t>
            </w:r>
          </w:p>
        </w:tc>
        <w:tc>
          <w:tcPr>
            <w:tcW w:w="882" w:type="dxa"/>
            <w:vAlign w:val="center"/>
            <w:hideMark/>
          </w:tcPr>
          <w:p w14:paraId="01030D2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D1C36A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Jun 10, 2025</w:t>
            </w:r>
          </w:p>
        </w:tc>
        <w:tc>
          <w:tcPr>
            <w:tcW w:w="1102" w:type="dxa"/>
            <w:vAlign w:val="center"/>
            <w:hideMark/>
          </w:tcPr>
          <w:p w14:paraId="6E68B7C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126,823.00</w:t>
            </w:r>
          </w:p>
        </w:tc>
        <w:tc>
          <w:tcPr>
            <w:tcW w:w="1056" w:type="dxa"/>
            <w:vAlign w:val="center"/>
            <w:hideMark/>
          </w:tcPr>
          <w:p w14:paraId="425FF57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40.39%</w:t>
            </w:r>
          </w:p>
        </w:tc>
        <w:tc>
          <w:tcPr>
            <w:tcW w:w="1382" w:type="dxa"/>
            <w:vAlign w:val="center"/>
          </w:tcPr>
          <w:p w14:paraId="765970EF"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158,299.27</w:t>
            </w:r>
          </w:p>
        </w:tc>
        <w:tc>
          <w:tcPr>
            <w:tcW w:w="1136" w:type="dxa"/>
            <w:vAlign w:val="center"/>
          </w:tcPr>
          <w:p w14:paraId="604E6753"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50.41%</w:t>
            </w:r>
          </w:p>
        </w:tc>
        <w:tc>
          <w:tcPr>
            <w:tcW w:w="5409" w:type="dxa"/>
            <w:vAlign w:val="center"/>
            <w:hideMark/>
          </w:tcPr>
          <w:p w14:paraId="3ADEC793"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Following the official launch and stakeholder training in December 2025, the project is advancing its technical work. A first draft of the Policy and Institutional Review (PIR) has been presented to the Technical Working Group, and work on the Subsidies Report and the Biodiversity Expenditure Review (BER) is in progress, with the team currently preparing data collection tools and refining the methodology for the latter.</w:t>
            </w:r>
          </w:p>
        </w:tc>
      </w:tr>
      <w:tr w:rsidR="00670408" w:rsidRPr="00237520" w14:paraId="6A56DA89" w14:textId="77777777" w:rsidTr="00D22022">
        <w:trPr>
          <w:trHeight w:val="1248"/>
          <w:jc w:val="center"/>
        </w:trPr>
        <w:tc>
          <w:tcPr>
            <w:tcW w:w="1250" w:type="dxa"/>
            <w:vAlign w:val="center"/>
            <w:hideMark/>
          </w:tcPr>
          <w:p w14:paraId="4E08C330"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Liberia</w:t>
            </w:r>
          </w:p>
        </w:tc>
        <w:tc>
          <w:tcPr>
            <w:tcW w:w="882" w:type="dxa"/>
            <w:vAlign w:val="center"/>
            <w:hideMark/>
          </w:tcPr>
          <w:p w14:paraId="4134E6D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588E794" w14:textId="77777777" w:rsidR="00670408" w:rsidRPr="00C67737" w:rsidRDefault="00670408" w:rsidP="00D22022">
            <w:pPr>
              <w:jc w:val="center"/>
              <w:rPr>
                <w:rFonts w:eastAsia="Aptos" w:cstheme="minorHAnsi"/>
                <w:sz w:val="18"/>
                <w:szCs w:val="18"/>
              </w:rPr>
            </w:pPr>
            <w:proofErr w:type="spellStart"/>
            <w:r w:rsidRPr="00C67737">
              <w:rPr>
                <w:rFonts w:eastAsia="Aptos" w:cstheme="minorHAnsi"/>
                <w:sz w:val="18"/>
                <w:szCs w:val="18"/>
              </w:rPr>
              <w:t>Dec</w:t>
            </w:r>
            <w:proofErr w:type="spellEnd"/>
            <w:r w:rsidRPr="00C67737">
              <w:rPr>
                <w:rFonts w:eastAsia="Aptos" w:cstheme="minorHAnsi"/>
                <w:sz w:val="18"/>
                <w:szCs w:val="18"/>
              </w:rPr>
              <w:t xml:space="preserve"> 30, 2024</w:t>
            </w:r>
          </w:p>
        </w:tc>
        <w:tc>
          <w:tcPr>
            <w:tcW w:w="1102" w:type="dxa"/>
            <w:vAlign w:val="center"/>
            <w:hideMark/>
          </w:tcPr>
          <w:p w14:paraId="1028DCF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119,863.00</w:t>
            </w:r>
          </w:p>
        </w:tc>
        <w:tc>
          <w:tcPr>
            <w:tcW w:w="1056" w:type="dxa"/>
            <w:vAlign w:val="center"/>
            <w:hideMark/>
          </w:tcPr>
          <w:p w14:paraId="0AB13B5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38.17%</w:t>
            </w:r>
          </w:p>
        </w:tc>
        <w:tc>
          <w:tcPr>
            <w:tcW w:w="1382" w:type="dxa"/>
            <w:vAlign w:val="center"/>
          </w:tcPr>
          <w:p w14:paraId="4C3EED2C"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182,810.67</w:t>
            </w:r>
          </w:p>
        </w:tc>
        <w:tc>
          <w:tcPr>
            <w:tcW w:w="1136" w:type="dxa"/>
            <w:vAlign w:val="center"/>
          </w:tcPr>
          <w:p w14:paraId="251D8608"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58.22%</w:t>
            </w:r>
          </w:p>
        </w:tc>
        <w:tc>
          <w:tcPr>
            <w:tcW w:w="5409" w:type="dxa"/>
            <w:vAlign w:val="center"/>
            <w:hideMark/>
          </w:tcPr>
          <w:p w14:paraId="78AB9A99"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Substantial progress has been achieved, with the completion and validation of the Policy and Institutional Review (PIR). The Subsidies Study and the Biodiversity Expenditure Review (BER) are also finalized and have been reviewed. The Finance Needs Assessment (FNA) is now in progress with a draft under review. The project benefits from strong day-to-day support from technical focal points across government and utilizes an existing steering committee, which has enabled efficient advancement.</w:t>
            </w:r>
          </w:p>
        </w:tc>
      </w:tr>
      <w:tr w:rsidR="00670408" w:rsidRPr="00237520" w14:paraId="2F0EEE7E" w14:textId="77777777" w:rsidTr="00D22022">
        <w:trPr>
          <w:trHeight w:val="1560"/>
          <w:jc w:val="center"/>
        </w:trPr>
        <w:tc>
          <w:tcPr>
            <w:tcW w:w="1250" w:type="dxa"/>
            <w:vAlign w:val="center"/>
            <w:hideMark/>
          </w:tcPr>
          <w:p w14:paraId="210ABCD2"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Libya</w:t>
            </w:r>
            <w:proofErr w:type="spellEnd"/>
          </w:p>
        </w:tc>
        <w:tc>
          <w:tcPr>
            <w:tcW w:w="882" w:type="dxa"/>
            <w:vAlign w:val="center"/>
            <w:hideMark/>
          </w:tcPr>
          <w:p w14:paraId="33FA923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EC81E39"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Jan 5, 2025</w:t>
            </w:r>
          </w:p>
        </w:tc>
        <w:tc>
          <w:tcPr>
            <w:tcW w:w="1102" w:type="dxa"/>
            <w:vAlign w:val="center"/>
            <w:hideMark/>
          </w:tcPr>
          <w:p w14:paraId="4E3C4D2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76,325.00</w:t>
            </w:r>
          </w:p>
        </w:tc>
        <w:tc>
          <w:tcPr>
            <w:tcW w:w="1056" w:type="dxa"/>
            <w:vAlign w:val="center"/>
            <w:hideMark/>
          </w:tcPr>
          <w:p w14:paraId="7A694A0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24.31%</w:t>
            </w:r>
          </w:p>
        </w:tc>
        <w:tc>
          <w:tcPr>
            <w:tcW w:w="1382" w:type="dxa"/>
            <w:vAlign w:val="center"/>
          </w:tcPr>
          <w:p w14:paraId="3448EAF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96,376.42</w:t>
            </w:r>
          </w:p>
        </w:tc>
        <w:tc>
          <w:tcPr>
            <w:tcW w:w="1136" w:type="dxa"/>
            <w:vAlign w:val="center"/>
          </w:tcPr>
          <w:p w14:paraId="6C6B076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30.69%</w:t>
            </w:r>
          </w:p>
        </w:tc>
        <w:tc>
          <w:tcPr>
            <w:tcW w:w="5409" w:type="dxa"/>
            <w:vAlign w:val="center"/>
            <w:hideMark/>
          </w:tcPr>
          <w:p w14:paraId="6108F0E8"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team is partially in place with the Project Coordinator, Project Support Associate, and Environmental Policy Specialist on board. A draft of the Policy and Institutional Review (PIR) and Subsidies report is currently under review. A key pending action is the final selection of a finance expert to prepare the BER and FNA. Management is also focused on formally establishing the Steering Committee and holding an inception event to engage stakeholders.</w:t>
            </w:r>
          </w:p>
        </w:tc>
      </w:tr>
      <w:tr w:rsidR="00670408" w:rsidRPr="00D95ACA" w14:paraId="4D9A7F9F" w14:textId="77777777" w:rsidTr="00D22022">
        <w:trPr>
          <w:trHeight w:val="1248"/>
          <w:jc w:val="center"/>
        </w:trPr>
        <w:tc>
          <w:tcPr>
            <w:tcW w:w="1250" w:type="dxa"/>
            <w:vAlign w:val="center"/>
            <w:hideMark/>
          </w:tcPr>
          <w:p w14:paraId="6AE01510"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Maldives</w:t>
            </w:r>
          </w:p>
        </w:tc>
        <w:tc>
          <w:tcPr>
            <w:tcW w:w="882" w:type="dxa"/>
            <w:vAlign w:val="center"/>
            <w:hideMark/>
          </w:tcPr>
          <w:p w14:paraId="3194F6F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AD3D1E0" w14:textId="77777777" w:rsidR="00670408" w:rsidRPr="00C67737" w:rsidRDefault="00670408" w:rsidP="00D22022">
            <w:pPr>
              <w:spacing w:after="0"/>
              <w:jc w:val="center"/>
              <w:rPr>
                <w:rFonts w:eastAsia="Times New Roman" w:cstheme="minorHAnsi"/>
                <w:sz w:val="18"/>
                <w:szCs w:val="18"/>
              </w:rPr>
            </w:pPr>
          </w:p>
        </w:tc>
        <w:tc>
          <w:tcPr>
            <w:tcW w:w="1102" w:type="dxa"/>
            <w:vAlign w:val="center"/>
            <w:hideMark/>
          </w:tcPr>
          <w:p w14:paraId="6B275E48" w14:textId="77777777" w:rsidR="00670408" w:rsidRPr="00C67737" w:rsidRDefault="00670408" w:rsidP="00D22022">
            <w:pPr>
              <w:spacing w:after="0"/>
              <w:jc w:val="center"/>
              <w:rPr>
                <w:rFonts w:eastAsia="Times New Roman" w:cstheme="minorHAnsi"/>
                <w:sz w:val="18"/>
                <w:szCs w:val="18"/>
                <w:lang w:eastAsia="en-PH"/>
              </w:rPr>
            </w:pPr>
          </w:p>
        </w:tc>
        <w:tc>
          <w:tcPr>
            <w:tcW w:w="1056" w:type="dxa"/>
            <w:vAlign w:val="center"/>
            <w:hideMark/>
          </w:tcPr>
          <w:p w14:paraId="6058DD2D" w14:textId="77777777" w:rsidR="00670408" w:rsidRPr="00C67737" w:rsidRDefault="00670408" w:rsidP="00D22022">
            <w:pPr>
              <w:spacing w:after="0"/>
              <w:jc w:val="center"/>
              <w:rPr>
                <w:rFonts w:eastAsia="Times New Roman" w:cstheme="minorHAnsi"/>
                <w:sz w:val="18"/>
                <w:szCs w:val="18"/>
                <w:lang w:eastAsia="en-PH"/>
              </w:rPr>
            </w:pPr>
            <w:r>
              <w:rPr>
                <w:rFonts w:eastAsia="Times New Roman" w:cstheme="minorHAnsi"/>
                <w:sz w:val="18"/>
                <w:szCs w:val="18"/>
                <w:lang w:eastAsia="en-PH"/>
              </w:rPr>
              <w:t>0%</w:t>
            </w:r>
          </w:p>
        </w:tc>
        <w:tc>
          <w:tcPr>
            <w:tcW w:w="1382" w:type="dxa"/>
            <w:vAlign w:val="center"/>
          </w:tcPr>
          <w:p w14:paraId="4C29EC47" w14:textId="77777777" w:rsidR="00670408" w:rsidRPr="00C67737" w:rsidRDefault="00670408" w:rsidP="00D22022">
            <w:pPr>
              <w:spacing w:after="0"/>
              <w:jc w:val="center"/>
              <w:rPr>
                <w:rFonts w:eastAsia="Times New Roman" w:cstheme="minorHAnsi"/>
                <w:sz w:val="18"/>
                <w:szCs w:val="18"/>
                <w:lang w:eastAsia="en-PH"/>
              </w:rPr>
            </w:pPr>
          </w:p>
        </w:tc>
        <w:tc>
          <w:tcPr>
            <w:tcW w:w="1136" w:type="dxa"/>
            <w:vAlign w:val="center"/>
          </w:tcPr>
          <w:p w14:paraId="7F5A2CF7" w14:textId="77777777" w:rsidR="00670408" w:rsidRPr="00C67737" w:rsidRDefault="00670408" w:rsidP="00D22022">
            <w:pPr>
              <w:spacing w:after="0"/>
              <w:jc w:val="center"/>
              <w:rPr>
                <w:rFonts w:eastAsia="Times New Roman" w:cstheme="minorHAnsi"/>
                <w:sz w:val="18"/>
                <w:szCs w:val="18"/>
                <w:lang w:eastAsia="en-PH"/>
              </w:rPr>
            </w:pPr>
            <w:r>
              <w:rPr>
                <w:rFonts w:eastAsia="Times New Roman" w:cstheme="minorHAnsi"/>
                <w:sz w:val="18"/>
                <w:szCs w:val="18"/>
              </w:rPr>
              <w:t>0%</w:t>
            </w:r>
          </w:p>
        </w:tc>
        <w:tc>
          <w:tcPr>
            <w:tcW w:w="5409" w:type="dxa"/>
            <w:vAlign w:val="center"/>
            <w:hideMark/>
          </w:tcPr>
          <w:p w14:paraId="417C0361" w14:textId="77777777" w:rsidR="00670408" w:rsidRPr="00670408" w:rsidRDefault="00670408" w:rsidP="00D22022">
            <w:pPr>
              <w:spacing w:after="0"/>
              <w:jc w:val="left"/>
              <w:rPr>
                <w:rFonts w:eastAsia="Times New Roman" w:cstheme="minorHAnsi"/>
                <w:sz w:val="18"/>
                <w:szCs w:val="18"/>
                <w:lang w:val="en-US" w:eastAsia="en-PH"/>
              </w:rPr>
            </w:pPr>
            <w:proofErr w:type="spellStart"/>
            <w:r w:rsidRPr="00670408">
              <w:rPr>
                <w:rFonts w:cstheme="minorHAnsi"/>
                <w:sz w:val="18"/>
                <w:szCs w:val="18"/>
                <w:lang w:val="en-US"/>
              </w:rPr>
              <w:t>MoCCEE</w:t>
            </w:r>
            <w:proofErr w:type="spellEnd"/>
            <w:r w:rsidRPr="00670408">
              <w:rPr>
                <w:rFonts w:cstheme="minorHAnsi"/>
                <w:sz w:val="18"/>
                <w:szCs w:val="18"/>
                <w:lang w:val="en-US"/>
              </w:rPr>
              <w:t xml:space="preserve"> is prioritizing completion of the NBSAP before advancing the Biodiversity Finance Plan (BFP). Further consultations with the Ministry will follow </w:t>
            </w:r>
            <w:proofErr w:type="gramStart"/>
            <w:r w:rsidRPr="00670408">
              <w:rPr>
                <w:rFonts w:cstheme="minorHAnsi"/>
                <w:sz w:val="18"/>
                <w:szCs w:val="18"/>
                <w:lang w:val="en-US"/>
              </w:rPr>
              <w:t>in order to</w:t>
            </w:r>
            <w:proofErr w:type="gramEnd"/>
            <w:r w:rsidRPr="00670408">
              <w:rPr>
                <w:rFonts w:cstheme="minorHAnsi"/>
                <w:sz w:val="18"/>
                <w:szCs w:val="18"/>
                <w:lang w:val="en-US"/>
              </w:rPr>
              <w:t xml:space="preserve"> finalize a workplan for GBFP project.</w:t>
            </w:r>
          </w:p>
        </w:tc>
      </w:tr>
      <w:tr w:rsidR="00670408" w:rsidRPr="00237520" w14:paraId="6A6CEB9F" w14:textId="77777777" w:rsidTr="00D22022">
        <w:trPr>
          <w:trHeight w:val="1248"/>
          <w:jc w:val="center"/>
        </w:trPr>
        <w:tc>
          <w:tcPr>
            <w:tcW w:w="1250" w:type="dxa"/>
            <w:vAlign w:val="center"/>
            <w:hideMark/>
          </w:tcPr>
          <w:p w14:paraId="3B1ED95E"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Mali</w:t>
            </w:r>
          </w:p>
        </w:tc>
        <w:tc>
          <w:tcPr>
            <w:tcW w:w="882" w:type="dxa"/>
            <w:vAlign w:val="center"/>
            <w:hideMark/>
          </w:tcPr>
          <w:p w14:paraId="2985C67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C1C6D00"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Jul 11, 2025</w:t>
            </w:r>
          </w:p>
        </w:tc>
        <w:tc>
          <w:tcPr>
            <w:tcW w:w="1102" w:type="dxa"/>
            <w:vAlign w:val="center"/>
            <w:hideMark/>
          </w:tcPr>
          <w:p w14:paraId="398E465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45,087.00</w:t>
            </w:r>
          </w:p>
        </w:tc>
        <w:tc>
          <w:tcPr>
            <w:tcW w:w="1056" w:type="dxa"/>
            <w:vAlign w:val="center"/>
            <w:hideMark/>
          </w:tcPr>
          <w:p w14:paraId="222D009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14.36%</w:t>
            </w:r>
          </w:p>
        </w:tc>
        <w:tc>
          <w:tcPr>
            <w:tcW w:w="1382" w:type="dxa"/>
            <w:vAlign w:val="center"/>
          </w:tcPr>
          <w:p w14:paraId="337CBFA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45,087.32</w:t>
            </w:r>
          </w:p>
        </w:tc>
        <w:tc>
          <w:tcPr>
            <w:tcW w:w="1136" w:type="dxa"/>
            <w:vAlign w:val="center"/>
          </w:tcPr>
          <w:p w14:paraId="53D0595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14.36%</w:t>
            </w:r>
          </w:p>
        </w:tc>
        <w:tc>
          <w:tcPr>
            <w:tcW w:w="5409" w:type="dxa"/>
            <w:vAlign w:val="center"/>
            <w:hideMark/>
          </w:tcPr>
          <w:p w14:paraId="7B00D80A"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Project activities are currently facing significant challenges. While Terms of Reference for key project staff have been developed and drafts of the Policy and Institutional Review (PIR) and Subsidies Report are in progress, the recruitment process has been suspended by the DRR pending formal engagement with the Ministry of Finance. The immediate priority is to secure this engagement to allow recruitments to proceed.</w:t>
            </w:r>
          </w:p>
        </w:tc>
      </w:tr>
      <w:tr w:rsidR="00670408" w:rsidRPr="00237520" w14:paraId="2662B6FD" w14:textId="77777777" w:rsidTr="00D22022">
        <w:trPr>
          <w:trHeight w:val="1248"/>
          <w:jc w:val="center"/>
        </w:trPr>
        <w:tc>
          <w:tcPr>
            <w:tcW w:w="1250" w:type="dxa"/>
            <w:vAlign w:val="center"/>
            <w:hideMark/>
          </w:tcPr>
          <w:p w14:paraId="6F98137E"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 xml:space="preserve">Marshall </w:t>
            </w:r>
            <w:proofErr w:type="spellStart"/>
            <w:r w:rsidRPr="00C67737">
              <w:rPr>
                <w:rFonts w:eastAsia="Times New Roman" w:cstheme="minorHAnsi"/>
                <w:sz w:val="18"/>
                <w:szCs w:val="18"/>
                <w:lang w:eastAsia="en-PH"/>
              </w:rPr>
              <w:t>Islands</w:t>
            </w:r>
            <w:proofErr w:type="spellEnd"/>
          </w:p>
        </w:tc>
        <w:tc>
          <w:tcPr>
            <w:tcW w:w="882" w:type="dxa"/>
            <w:vAlign w:val="center"/>
            <w:hideMark/>
          </w:tcPr>
          <w:p w14:paraId="3830B5B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FB831E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185E5D0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109,897.30</w:t>
            </w:r>
          </w:p>
        </w:tc>
        <w:tc>
          <w:tcPr>
            <w:tcW w:w="1056" w:type="dxa"/>
            <w:vAlign w:val="center"/>
            <w:hideMark/>
          </w:tcPr>
          <w:p w14:paraId="7722C82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35.00%</w:t>
            </w:r>
          </w:p>
        </w:tc>
        <w:tc>
          <w:tcPr>
            <w:tcW w:w="1382" w:type="dxa"/>
            <w:vAlign w:val="center"/>
          </w:tcPr>
          <w:p w14:paraId="0C656360"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114,643.37</w:t>
            </w:r>
          </w:p>
        </w:tc>
        <w:tc>
          <w:tcPr>
            <w:tcW w:w="1136" w:type="dxa"/>
            <w:vAlign w:val="center"/>
          </w:tcPr>
          <w:p w14:paraId="28A2203C"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36.51%</w:t>
            </w:r>
          </w:p>
        </w:tc>
        <w:tc>
          <w:tcPr>
            <w:tcW w:w="5409" w:type="dxa"/>
            <w:vAlign w:val="center"/>
            <w:hideMark/>
          </w:tcPr>
          <w:p w14:paraId="6EBB66C6"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Managed through a centralized PMU in Fiji, the project has successfully contracted the firm </w:t>
            </w:r>
            <w:proofErr w:type="spellStart"/>
            <w:r w:rsidRPr="00670408">
              <w:rPr>
                <w:rFonts w:cstheme="minorHAnsi"/>
                <w:sz w:val="18"/>
                <w:szCs w:val="18"/>
                <w:lang w:val="en-US"/>
              </w:rPr>
              <w:t>Setin</w:t>
            </w:r>
            <w:proofErr w:type="spellEnd"/>
            <w:r w:rsidRPr="00670408">
              <w:rPr>
                <w:rFonts w:cstheme="minorHAnsi"/>
                <w:sz w:val="18"/>
                <w:szCs w:val="18"/>
                <w:lang w:val="en-US"/>
              </w:rPr>
              <w:t xml:space="preserve"> to deliver the Policy and Institutional Review (PIR), Subsidies Report, and other key assessments. Initial introductory meetings between the firm and the MCO have taken place, and the PMU is conducting weekly meetings to track progress as the project moves into the implementation phase.</w:t>
            </w:r>
          </w:p>
        </w:tc>
      </w:tr>
      <w:tr w:rsidR="00670408" w:rsidRPr="00237520" w14:paraId="6C1AC11B" w14:textId="77777777" w:rsidTr="00D22022">
        <w:trPr>
          <w:trHeight w:val="1560"/>
          <w:jc w:val="center"/>
        </w:trPr>
        <w:tc>
          <w:tcPr>
            <w:tcW w:w="1250" w:type="dxa"/>
            <w:vAlign w:val="center"/>
            <w:hideMark/>
          </w:tcPr>
          <w:p w14:paraId="3412C188"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lastRenderedPageBreak/>
              <w:t>Mauritania</w:t>
            </w:r>
            <w:proofErr w:type="spellEnd"/>
          </w:p>
        </w:tc>
        <w:tc>
          <w:tcPr>
            <w:tcW w:w="882" w:type="dxa"/>
            <w:vAlign w:val="center"/>
            <w:hideMark/>
          </w:tcPr>
          <w:p w14:paraId="4E974C0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D4CAFA4" w14:textId="77777777" w:rsidR="00670408" w:rsidRPr="00C67737" w:rsidRDefault="00670408" w:rsidP="00D22022">
            <w:pPr>
              <w:jc w:val="center"/>
              <w:rPr>
                <w:rFonts w:cstheme="minorHAnsi"/>
                <w:sz w:val="18"/>
                <w:szCs w:val="18"/>
              </w:rPr>
            </w:pPr>
            <w:r w:rsidRPr="00C67737">
              <w:rPr>
                <w:rFonts w:cstheme="minorHAnsi"/>
                <w:sz w:val="18"/>
                <w:szCs w:val="18"/>
              </w:rPr>
              <w:t>Nov 1, 2024</w:t>
            </w:r>
          </w:p>
        </w:tc>
        <w:tc>
          <w:tcPr>
            <w:tcW w:w="1102" w:type="dxa"/>
            <w:vAlign w:val="center"/>
            <w:hideMark/>
          </w:tcPr>
          <w:p w14:paraId="21FAED2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12,277.00</w:t>
            </w:r>
          </w:p>
        </w:tc>
        <w:tc>
          <w:tcPr>
            <w:tcW w:w="1056" w:type="dxa"/>
            <w:vAlign w:val="center"/>
            <w:hideMark/>
          </w:tcPr>
          <w:p w14:paraId="32691BC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3.91%</w:t>
            </w:r>
          </w:p>
        </w:tc>
        <w:tc>
          <w:tcPr>
            <w:tcW w:w="1382" w:type="dxa"/>
            <w:vAlign w:val="center"/>
          </w:tcPr>
          <w:p w14:paraId="055B91F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122,005.52</w:t>
            </w:r>
          </w:p>
        </w:tc>
        <w:tc>
          <w:tcPr>
            <w:tcW w:w="1136" w:type="dxa"/>
            <w:vAlign w:val="center"/>
          </w:tcPr>
          <w:p w14:paraId="24FC519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38.86%</w:t>
            </w:r>
          </w:p>
        </w:tc>
        <w:tc>
          <w:tcPr>
            <w:tcW w:w="5409" w:type="dxa"/>
            <w:vAlign w:val="center"/>
            <w:hideMark/>
          </w:tcPr>
          <w:p w14:paraId="7ED27D38"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has faced challenges in recruiting individual consultants, and to overcome this, an international consultancy firm has been recruited to deliver the Biodiversity Expenditure Review (BER) and Finance Needs Assessment (FNA). Meanwhile, the Policy and Institutional Review (PIR) and Subsidies Report are in progress. An acting National Coordinator is in place, and the team is working to strengthen government engagement to address administrative delays and formalize a steering committee.</w:t>
            </w:r>
          </w:p>
        </w:tc>
      </w:tr>
      <w:tr w:rsidR="00670408" w:rsidRPr="00D95ACA" w14:paraId="1C7037BB" w14:textId="77777777" w:rsidTr="00D22022">
        <w:trPr>
          <w:trHeight w:val="1560"/>
          <w:jc w:val="center"/>
        </w:trPr>
        <w:tc>
          <w:tcPr>
            <w:tcW w:w="1250" w:type="dxa"/>
            <w:vAlign w:val="center"/>
            <w:hideMark/>
          </w:tcPr>
          <w:p w14:paraId="596F1B13"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Mauritius</w:t>
            </w:r>
          </w:p>
        </w:tc>
        <w:tc>
          <w:tcPr>
            <w:tcW w:w="882" w:type="dxa"/>
            <w:vAlign w:val="center"/>
            <w:hideMark/>
          </w:tcPr>
          <w:p w14:paraId="166E81E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879E77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w:t>
            </w:r>
          </w:p>
        </w:tc>
        <w:tc>
          <w:tcPr>
            <w:tcW w:w="1102" w:type="dxa"/>
            <w:vAlign w:val="center"/>
            <w:hideMark/>
          </w:tcPr>
          <w:p w14:paraId="67B084D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w:t>
            </w:r>
          </w:p>
        </w:tc>
        <w:tc>
          <w:tcPr>
            <w:tcW w:w="1056" w:type="dxa"/>
            <w:vAlign w:val="center"/>
            <w:hideMark/>
          </w:tcPr>
          <w:p w14:paraId="79E4D4B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0.00%</w:t>
            </w:r>
          </w:p>
        </w:tc>
        <w:tc>
          <w:tcPr>
            <w:tcW w:w="1382" w:type="dxa"/>
            <w:vAlign w:val="center"/>
          </w:tcPr>
          <w:p w14:paraId="5AC15B8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90,905.16</w:t>
            </w:r>
          </w:p>
        </w:tc>
        <w:tc>
          <w:tcPr>
            <w:tcW w:w="1136" w:type="dxa"/>
            <w:vAlign w:val="center"/>
          </w:tcPr>
          <w:p w14:paraId="46E21FC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28.95%</w:t>
            </w:r>
          </w:p>
        </w:tc>
        <w:tc>
          <w:tcPr>
            <w:tcW w:w="5409" w:type="dxa"/>
            <w:vAlign w:val="center"/>
            <w:hideMark/>
          </w:tcPr>
          <w:p w14:paraId="6BEA73FA"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faced initial delays at the government's request but received clearance to proceed in late 2025. While the recruitment for the Project Coordinator is being relaunched after an unsuccessful first attempt, the Finance and Policy Experts are on board and have submitted work plans. A Subsidies Report, delivered under the GBF-EAS project, is available as a draft. The immediate focus is on </w:t>
            </w:r>
            <w:proofErr w:type="gramStart"/>
            <w:r w:rsidRPr="00670408">
              <w:rPr>
                <w:rFonts w:cstheme="minorHAnsi"/>
                <w:sz w:val="18"/>
                <w:szCs w:val="18"/>
                <w:lang w:val="en-US"/>
              </w:rPr>
              <w:t>onboarding</w:t>
            </w:r>
            <w:proofErr w:type="gramEnd"/>
            <w:r w:rsidRPr="00670408">
              <w:rPr>
                <w:rFonts w:cstheme="minorHAnsi"/>
                <w:sz w:val="18"/>
                <w:szCs w:val="18"/>
                <w:lang w:val="en-US"/>
              </w:rPr>
              <w:t xml:space="preserve"> the Project Coordinator and scheduling the inception workshop for July 2026 to drive BIOFIN-specific activities.</w:t>
            </w:r>
          </w:p>
        </w:tc>
      </w:tr>
      <w:tr w:rsidR="00670408" w:rsidRPr="00237520" w14:paraId="0EBFFB79" w14:textId="77777777" w:rsidTr="00D22022">
        <w:trPr>
          <w:trHeight w:val="936"/>
          <w:jc w:val="center"/>
        </w:trPr>
        <w:tc>
          <w:tcPr>
            <w:tcW w:w="1250" w:type="dxa"/>
            <w:vAlign w:val="center"/>
            <w:hideMark/>
          </w:tcPr>
          <w:p w14:paraId="1816C8CB"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Micronesia</w:t>
            </w:r>
            <w:proofErr w:type="spellEnd"/>
          </w:p>
        </w:tc>
        <w:tc>
          <w:tcPr>
            <w:tcW w:w="882" w:type="dxa"/>
            <w:vAlign w:val="center"/>
            <w:hideMark/>
          </w:tcPr>
          <w:p w14:paraId="3D21CEA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5013A9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2B3100C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147,513.64</w:t>
            </w:r>
          </w:p>
        </w:tc>
        <w:tc>
          <w:tcPr>
            <w:tcW w:w="1056" w:type="dxa"/>
            <w:vAlign w:val="center"/>
            <w:hideMark/>
          </w:tcPr>
          <w:p w14:paraId="11F8ABC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46.98%</w:t>
            </w:r>
          </w:p>
        </w:tc>
        <w:tc>
          <w:tcPr>
            <w:tcW w:w="1382" w:type="dxa"/>
            <w:vAlign w:val="center"/>
          </w:tcPr>
          <w:p w14:paraId="0BE32CC4"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152,260.08</w:t>
            </w:r>
          </w:p>
        </w:tc>
        <w:tc>
          <w:tcPr>
            <w:tcW w:w="1136" w:type="dxa"/>
            <w:vAlign w:val="center"/>
          </w:tcPr>
          <w:p w14:paraId="25392084"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48.49%</w:t>
            </w:r>
          </w:p>
        </w:tc>
        <w:tc>
          <w:tcPr>
            <w:tcW w:w="5409" w:type="dxa"/>
            <w:vAlign w:val="center"/>
            <w:hideMark/>
          </w:tcPr>
          <w:p w14:paraId="1BA11C1B"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Managed via a centralized PMU in Fiji, the project has successfully contracted the firm </w:t>
            </w:r>
            <w:proofErr w:type="spellStart"/>
            <w:r w:rsidRPr="00670408">
              <w:rPr>
                <w:rFonts w:cstheme="minorHAnsi"/>
                <w:sz w:val="18"/>
                <w:szCs w:val="18"/>
                <w:lang w:val="en-US"/>
              </w:rPr>
              <w:t>Setin</w:t>
            </w:r>
            <w:proofErr w:type="spellEnd"/>
            <w:r w:rsidRPr="00670408">
              <w:rPr>
                <w:rFonts w:cstheme="minorHAnsi"/>
                <w:sz w:val="18"/>
                <w:szCs w:val="18"/>
                <w:lang w:val="en-US"/>
              </w:rPr>
              <w:t xml:space="preserve"> to conduct the Policy and Institutional Review (PIR), Subsidies Report, and other key assessments. Initial introductory meetings between the firm and the MCO have taken place, and the PMU is holding weekly update meetings with the firm to ensure the comprehensive technical work can commence smoothly.</w:t>
            </w:r>
          </w:p>
        </w:tc>
      </w:tr>
      <w:tr w:rsidR="00670408" w:rsidRPr="00237520" w14:paraId="4280AA18" w14:textId="77777777" w:rsidTr="00D22022">
        <w:trPr>
          <w:trHeight w:val="1248"/>
          <w:jc w:val="center"/>
        </w:trPr>
        <w:tc>
          <w:tcPr>
            <w:tcW w:w="1250" w:type="dxa"/>
            <w:vAlign w:val="center"/>
            <w:hideMark/>
          </w:tcPr>
          <w:p w14:paraId="761F0541"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Moldova</w:t>
            </w:r>
          </w:p>
        </w:tc>
        <w:tc>
          <w:tcPr>
            <w:tcW w:w="882" w:type="dxa"/>
            <w:vAlign w:val="center"/>
            <w:hideMark/>
          </w:tcPr>
          <w:p w14:paraId="1F19869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14C87E6"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Oct 1, 2024</w:t>
            </w:r>
          </w:p>
        </w:tc>
        <w:tc>
          <w:tcPr>
            <w:tcW w:w="1102" w:type="dxa"/>
            <w:vAlign w:val="center"/>
            <w:hideMark/>
          </w:tcPr>
          <w:p w14:paraId="60065BD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149,750.00</w:t>
            </w:r>
          </w:p>
        </w:tc>
        <w:tc>
          <w:tcPr>
            <w:tcW w:w="1056" w:type="dxa"/>
            <w:vAlign w:val="center"/>
            <w:hideMark/>
          </w:tcPr>
          <w:p w14:paraId="6EFF414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47.69%</w:t>
            </w:r>
          </w:p>
        </w:tc>
        <w:tc>
          <w:tcPr>
            <w:tcW w:w="1382" w:type="dxa"/>
            <w:vAlign w:val="center"/>
          </w:tcPr>
          <w:p w14:paraId="5177C3F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157,181.65</w:t>
            </w:r>
          </w:p>
        </w:tc>
        <w:tc>
          <w:tcPr>
            <w:tcW w:w="1136" w:type="dxa"/>
            <w:vAlign w:val="center"/>
          </w:tcPr>
          <w:p w14:paraId="7AA4C04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50.06%</w:t>
            </w:r>
          </w:p>
        </w:tc>
        <w:tc>
          <w:tcPr>
            <w:tcW w:w="5409" w:type="dxa"/>
            <w:vAlign w:val="center"/>
            <w:hideMark/>
          </w:tcPr>
          <w:p w14:paraId="1D723C51"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well-established, with a National Coordinator, Project Associate, and consultants for the Policy and Institutional Review (PIR) and Biodiversity Expenditure Review (BER) on board. The PIR has been completed, and a validation workshop was conducted. The Subsidies Report and the BER are in progress with drafts available, and a workshop has been held to discuss intermediate results. Strong engagement from the Ministries of Finance and Environment has been a key factor in the project's solid progress.</w:t>
            </w:r>
          </w:p>
        </w:tc>
      </w:tr>
      <w:tr w:rsidR="00670408" w:rsidRPr="00C67737" w14:paraId="796E6041" w14:textId="77777777" w:rsidTr="00D22022">
        <w:trPr>
          <w:trHeight w:val="1248"/>
          <w:jc w:val="center"/>
        </w:trPr>
        <w:tc>
          <w:tcPr>
            <w:tcW w:w="1250" w:type="dxa"/>
            <w:vAlign w:val="center"/>
            <w:hideMark/>
          </w:tcPr>
          <w:p w14:paraId="5D0A3D2C"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Montenegro</w:t>
            </w:r>
          </w:p>
        </w:tc>
        <w:tc>
          <w:tcPr>
            <w:tcW w:w="882" w:type="dxa"/>
            <w:vAlign w:val="center"/>
            <w:hideMark/>
          </w:tcPr>
          <w:p w14:paraId="6CD9B4B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76F7F593"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Aug 1, 2024</w:t>
            </w:r>
          </w:p>
        </w:tc>
        <w:tc>
          <w:tcPr>
            <w:tcW w:w="1102" w:type="dxa"/>
            <w:vAlign w:val="center"/>
            <w:hideMark/>
          </w:tcPr>
          <w:p w14:paraId="219501B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174,572.00</w:t>
            </w:r>
          </w:p>
        </w:tc>
        <w:tc>
          <w:tcPr>
            <w:tcW w:w="1056" w:type="dxa"/>
            <w:vAlign w:val="center"/>
            <w:hideMark/>
          </w:tcPr>
          <w:p w14:paraId="6C6F7FF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55.60%</w:t>
            </w:r>
          </w:p>
        </w:tc>
        <w:tc>
          <w:tcPr>
            <w:tcW w:w="1382" w:type="dxa"/>
            <w:vAlign w:val="center"/>
          </w:tcPr>
          <w:p w14:paraId="0C8C8F8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190,809.36</w:t>
            </w:r>
          </w:p>
        </w:tc>
        <w:tc>
          <w:tcPr>
            <w:tcW w:w="1136" w:type="dxa"/>
            <w:vAlign w:val="center"/>
          </w:tcPr>
          <w:p w14:paraId="076A160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60.77%</w:t>
            </w:r>
          </w:p>
        </w:tc>
        <w:tc>
          <w:tcPr>
            <w:tcW w:w="5409" w:type="dxa"/>
            <w:vAlign w:val="center"/>
            <w:hideMark/>
          </w:tcPr>
          <w:p w14:paraId="0BDB5C3E" w14:textId="77777777" w:rsidR="00670408" w:rsidRPr="00C67737" w:rsidRDefault="00670408" w:rsidP="00D22022">
            <w:pPr>
              <w:spacing w:after="0"/>
              <w:jc w:val="left"/>
              <w:rPr>
                <w:rFonts w:eastAsia="Times New Roman" w:cstheme="minorHAnsi"/>
                <w:sz w:val="18"/>
                <w:szCs w:val="18"/>
                <w:lang w:eastAsia="en-PH"/>
              </w:rPr>
            </w:pPr>
            <w:r w:rsidRPr="00670408">
              <w:rPr>
                <w:rFonts w:cstheme="minorHAnsi"/>
                <w:sz w:val="18"/>
                <w:szCs w:val="18"/>
                <w:lang w:val="en-US"/>
              </w:rPr>
              <w:t xml:space="preserve">Excellent progress is being made with the National Coordinator and Project Associate on board, alongside a company contracted to develop the Biodiversity Expenditure Review (BER), Finance Needs Assessment (FNA), and Biodiversity Finance Plan (BFP). The Steering Committee is </w:t>
            </w:r>
            <w:r w:rsidRPr="00670408">
              <w:rPr>
                <w:rFonts w:cstheme="minorHAnsi"/>
                <w:sz w:val="18"/>
                <w:szCs w:val="18"/>
                <w:lang w:val="en-US"/>
              </w:rPr>
              <w:lastRenderedPageBreak/>
              <w:t xml:space="preserve">operational, resulting in drafts for the Policy and Institutional Review (PIR), Subsidies Report, and BER. </w:t>
            </w:r>
            <w:r w:rsidRPr="00C67737">
              <w:rPr>
                <w:rFonts w:cstheme="minorHAnsi"/>
                <w:sz w:val="18"/>
                <w:szCs w:val="18"/>
              </w:rPr>
              <w:t xml:space="preserve">The FNA and BFP are </w:t>
            </w:r>
            <w:proofErr w:type="spellStart"/>
            <w:r w:rsidRPr="00C67737">
              <w:rPr>
                <w:rFonts w:cstheme="minorHAnsi"/>
                <w:sz w:val="18"/>
                <w:szCs w:val="18"/>
              </w:rPr>
              <w:t>also</w:t>
            </w:r>
            <w:proofErr w:type="spellEnd"/>
            <w:r w:rsidRPr="00C67737">
              <w:rPr>
                <w:rFonts w:cstheme="minorHAnsi"/>
                <w:sz w:val="18"/>
                <w:szCs w:val="18"/>
              </w:rPr>
              <w:t xml:space="preserve"> in </w:t>
            </w:r>
            <w:proofErr w:type="spellStart"/>
            <w:r w:rsidRPr="00C67737">
              <w:rPr>
                <w:rFonts w:cstheme="minorHAnsi"/>
                <w:sz w:val="18"/>
                <w:szCs w:val="18"/>
              </w:rPr>
              <w:t>progress</w:t>
            </w:r>
            <w:proofErr w:type="spellEnd"/>
            <w:r w:rsidRPr="00C67737">
              <w:rPr>
                <w:rFonts w:cstheme="minorHAnsi"/>
                <w:sz w:val="18"/>
                <w:szCs w:val="18"/>
              </w:rPr>
              <w:t>.</w:t>
            </w:r>
          </w:p>
        </w:tc>
      </w:tr>
      <w:tr w:rsidR="00670408" w:rsidRPr="00237520" w14:paraId="605A40DF" w14:textId="77777777" w:rsidTr="00D22022">
        <w:trPr>
          <w:trHeight w:val="936"/>
          <w:jc w:val="center"/>
        </w:trPr>
        <w:tc>
          <w:tcPr>
            <w:tcW w:w="1250" w:type="dxa"/>
            <w:vAlign w:val="center"/>
            <w:hideMark/>
          </w:tcPr>
          <w:p w14:paraId="1A6FA47D"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Morocco</w:t>
            </w:r>
          </w:p>
        </w:tc>
        <w:tc>
          <w:tcPr>
            <w:tcW w:w="882" w:type="dxa"/>
            <w:vAlign w:val="center"/>
            <w:hideMark/>
          </w:tcPr>
          <w:p w14:paraId="4806011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964933E"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Jan 1, 2025</w:t>
            </w:r>
          </w:p>
        </w:tc>
        <w:tc>
          <w:tcPr>
            <w:tcW w:w="1102" w:type="dxa"/>
            <w:vAlign w:val="center"/>
            <w:hideMark/>
          </w:tcPr>
          <w:p w14:paraId="12717AB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36,130.00</w:t>
            </w:r>
          </w:p>
        </w:tc>
        <w:tc>
          <w:tcPr>
            <w:tcW w:w="1056" w:type="dxa"/>
            <w:vAlign w:val="center"/>
            <w:hideMark/>
          </w:tcPr>
          <w:p w14:paraId="267E1D2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11.51%</w:t>
            </w:r>
          </w:p>
        </w:tc>
        <w:tc>
          <w:tcPr>
            <w:tcW w:w="1382" w:type="dxa"/>
            <w:vAlign w:val="center"/>
          </w:tcPr>
          <w:p w14:paraId="4F31CE2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43,752.24</w:t>
            </w:r>
          </w:p>
        </w:tc>
        <w:tc>
          <w:tcPr>
            <w:tcW w:w="1136" w:type="dxa"/>
            <w:vAlign w:val="center"/>
          </w:tcPr>
          <w:p w14:paraId="44BF0F6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13.93%</w:t>
            </w:r>
          </w:p>
        </w:tc>
        <w:tc>
          <w:tcPr>
            <w:tcW w:w="5409" w:type="dxa"/>
            <w:vAlign w:val="center"/>
            <w:hideMark/>
          </w:tcPr>
          <w:p w14:paraId="70BEBCB4"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fully staffed and making steady progress. The Policy and Institutional Review (PIR) and the Subsidies Report have been completed in partnership with the GBF EAS project. Building on this, the team is now advancing the Biodiversity Expenditure Review (BER) and the Finance Needs Assessment (FNA), both of which are in progress.</w:t>
            </w:r>
          </w:p>
        </w:tc>
      </w:tr>
      <w:tr w:rsidR="00670408" w:rsidRPr="00237520" w14:paraId="53B411FF" w14:textId="77777777" w:rsidTr="00D22022">
        <w:trPr>
          <w:trHeight w:val="1248"/>
          <w:jc w:val="center"/>
        </w:trPr>
        <w:tc>
          <w:tcPr>
            <w:tcW w:w="1250" w:type="dxa"/>
            <w:vAlign w:val="center"/>
            <w:hideMark/>
          </w:tcPr>
          <w:p w14:paraId="0177920B"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Namibia</w:t>
            </w:r>
          </w:p>
        </w:tc>
        <w:tc>
          <w:tcPr>
            <w:tcW w:w="882" w:type="dxa"/>
            <w:vAlign w:val="center"/>
            <w:hideMark/>
          </w:tcPr>
          <w:p w14:paraId="632A5A1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ACF9ACB"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Oct 9, 2024</w:t>
            </w:r>
          </w:p>
        </w:tc>
        <w:tc>
          <w:tcPr>
            <w:tcW w:w="1102" w:type="dxa"/>
            <w:vAlign w:val="center"/>
            <w:hideMark/>
          </w:tcPr>
          <w:p w14:paraId="3972530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133,833.00</w:t>
            </w:r>
          </w:p>
        </w:tc>
        <w:tc>
          <w:tcPr>
            <w:tcW w:w="1056" w:type="dxa"/>
            <w:vAlign w:val="center"/>
            <w:hideMark/>
          </w:tcPr>
          <w:p w14:paraId="71E757E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42.62%</w:t>
            </w:r>
          </w:p>
        </w:tc>
        <w:tc>
          <w:tcPr>
            <w:tcW w:w="1382" w:type="dxa"/>
            <w:vAlign w:val="center"/>
          </w:tcPr>
          <w:p w14:paraId="5324338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178,431.75</w:t>
            </w:r>
          </w:p>
        </w:tc>
        <w:tc>
          <w:tcPr>
            <w:tcW w:w="1136" w:type="dxa"/>
            <w:vAlign w:val="center"/>
          </w:tcPr>
          <w:p w14:paraId="2ED895A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56.83%</w:t>
            </w:r>
          </w:p>
        </w:tc>
        <w:tc>
          <w:tcPr>
            <w:tcW w:w="5409" w:type="dxa"/>
            <w:vAlign w:val="center"/>
            <w:hideMark/>
          </w:tcPr>
          <w:p w14:paraId="45F1436A"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Policy and Institutional Review (PIR) is well-advanced, with validation completed and only final editing remaining. A working group for the Biodiversity Expenditure Review (BER) has been </w:t>
            </w:r>
            <w:proofErr w:type="gramStart"/>
            <w:r w:rsidRPr="00670408">
              <w:rPr>
                <w:rFonts w:cstheme="minorHAnsi"/>
                <w:sz w:val="18"/>
                <w:szCs w:val="18"/>
                <w:lang w:val="en-US"/>
              </w:rPr>
              <w:t>established</w:t>
            </w:r>
            <w:proofErr w:type="gramEnd"/>
            <w:r w:rsidRPr="00670408">
              <w:rPr>
                <w:rFonts w:cstheme="minorHAnsi"/>
                <w:sz w:val="18"/>
                <w:szCs w:val="18"/>
                <w:lang w:val="en-US"/>
              </w:rPr>
              <w:t xml:space="preserve"> and data collection is underway. However, the project recently faced a setback with the resignation of the BER/FNA specialist. Management is actively addressing this by arranging a short-term replacement while seeking a long-term solution to ensure financial assessments continue without significant delay.</w:t>
            </w:r>
          </w:p>
        </w:tc>
      </w:tr>
      <w:tr w:rsidR="00670408" w:rsidRPr="00237520" w14:paraId="2C73C477" w14:textId="77777777" w:rsidTr="00D22022">
        <w:trPr>
          <w:trHeight w:val="936"/>
          <w:jc w:val="center"/>
        </w:trPr>
        <w:tc>
          <w:tcPr>
            <w:tcW w:w="1250" w:type="dxa"/>
            <w:vAlign w:val="center"/>
            <w:hideMark/>
          </w:tcPr>
          <w:p w14:paraId="3E235155"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Nauru</w:t>
            </w:r>
          </w:p>
        </w:tc>
        <w:tc>
          <w:tcPr>
            <w:tcW w:w="882" w:type="dxa"/>
            <w:vAlign w:val="center"/>
            <w:hideMark/>
          </w:tcPr>
          <w:p w14:paraId="6BF400B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ACC80B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6271C4D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131,803.40</w:t>
            </w:r>
          </w:p>
        </w:tc>
        <w:tc>
          <w:tcPr>
            <w:tcW w:w="1056" w:type="dxa"/>
            <w:vAlign w:val="center"/>
            <w:hideMark/>
          </w:tcPr>
          <w:p w14:paraId="419A45D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41.98%</w:t>
            </w:r>
          </w:p>
        </w:tc>
        <w:tc>
          <w:tcPr>
            <w:tcW w:w="1382" w:type="dxa"/>
            <w:vAlign w:val="center"/>
          </w:tcPr>
          <w:p w14:paraId="56758CF0"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131,799.47</w:t>
            </w:r>
          </w:p>
        </w:tc>
        <w:tc>
          <w:tcPr>
            <w:tcW w:w="1136" w:type="dxa"/>
            <w:vAlign w:val="center"/>
          </w:tcPr>
          <w:p w14:paraId="76ACB27E"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41.97%</w:t>
            </w:r>
          </w:p>
        </w:tc>
        <w:tc>
          <w:tcPr>
            <w:tcW w:w="5409" w:type="dxa"/>
            <w:vAlign w:val="center"/>
            <w:hideMark/>
          </w:tcPr>
          <w:p w14:paraId="5A488DC6"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Managed through a centralized PMU in Fiji, the project has successfully contracted the firm Grant Thornton to conduct the Policy and Institutional Review (PIR), Subsidies Report, and other key assessments. Initial introductory meetings have been held between the firm and the MCO, and weekly update meetings are underway to track progress. The project is now fully equipped to begin its core technical work.</w:t>
            </w:r>
          </w:p>
        </w:tc>
      </w:tr>
      <w:tr w:rsidR="00670408" w:rsidRPr="00237520" w14:paraId="5F73E727" w14:textId="77777777" w:rsidTr="00D22022">
        <w:trPr>
          <w:trHeight w:val="1560"/>
          <w:jc w:val="center"/>
        </w:trPr>
        <w:tc>
          <w:tcPr>
            <w:tcW w:w="1250" w:type="dxa"/>
            <w:vAlign w:val="center"/>
            <w:hideMark/>
          </w:tcPr>
          <w:p w14:paraId="7044D368"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Nigeria</w:t>
            </w:r>
          </w:p>
        </w:tc>
        <w:tc>
          <w:tcPr>
            <w:tcW w:w="882" w:type="dxa"/>
            <w:vAlign w:val="center"/>
            <w:hideMark/>
          </w:tcPr>
          <w:p w14:paraId="1B6F363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480ACF0"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Nov 28, 2025</w:t>
            </w:r>
          </w:p>
        </w:tc>
        <w:tc>
          <w:tcPr>
            <w:tcW w:w="1102" w:type="dxa"/>
            <w:vAlign w:val="center"/>
            <w:hideMark/>
          </w:tcPr>
          <w:p w14:paraId="2777207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19,500.00</w:t>
            </w:r>
          </w:p>
        </w:tc>
        <w:tc>
          <w:tcPr>
            <w:tcW w:w="1056" w:type="dxa"/>
            <w:vAlign w:val="center"/>
            <w:hideMark/>
          </w:tcPr>
          <w:p w14:paraId="2024842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6.21%</w:t>
            </w:r>
          </w:p>
        </w:tc>
        <w:tc>
          <w:tcPr>
            <w:tcW w:w="1382" w:type="dxa"/>
            <w:vAlign w:val="center"/>
          </w:tcPr>
          <w:p w14:paraId="33EF156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19,500.04</w:t>
            </w:r>
          </w:p>
        </w:tc>
        <w:tc>
          <w:tcPr>
            <w:tcW w:w="1136" w:type="dxa"/>
            <w:vAlign w:val="center"/>
          </w:tcPr>
          <w:p w14:paraId="7615CC1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6.21%</w:t>
            </w:r>
          </w:p>
        </w:tc>
        <w:tc>
          <w:tcPr>
            <w:tcW w:w="5409" w:type="dxa"/>
            <w:vAlign w:val="center"/>
            <w:hideMark/>
          </w:tcPr>
          <w:p w14:paraId="3D4371DC"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was launched in November 2025, and a Steering Committee has been convened with good government engagement. However, there have been delays in progress with the initial technical components. To address this, an in-country troubleshooting mission has been proposed with the BIOFIN global team. More clarity on the path forward is expected following the Regional Dialogue on Nature Finance, where two government representatives will participate.</w:t>
            </w:r>
          </w:p>
        </w:tc>
      </w:tr>
      <w:tr w:rsidR="00670408" w:rsidRPr="00237520" w14:paraId="50D5174A" w14:textId="77777777" w:rsidTr="00D22022">
        <w:trPr>
          <w:trHeight w:val="1560"/>
          <w:jc w:val="center"/>
        </w:trPr>
        <w:tc>
          <w:tcPr>
            <w:tcW w:w="1250" w:type="dxa"/>
            <w:vAlign w:val="center"/>
            <w:hideMark/>
          </w:tcPr>
          <w:p w14:paraId="7C77A206"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Niue</w:t>
            </w:r>
          </w:p>
        </w:tc>
        <w:tc>
          <w:tcPr>
            <w:tcW w:w="882" w:type="dxa"/>
            <w:vAlign w:val="center"/>
            <w:hideMark/>
          </w:tcPr>
          <w:p w14:paraId="148FBEB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995043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Oct 1, 2024</w:t>
            </w:r>
          </w:p>
        </w:tc>
        <w:tc>
          <w:tcPr>
            <w:tcW w:w="1102" w:type="dxa"/>
            <w:vAlign w:val="center"/>
            <w:hideMark/>
          </w:tcPr>
          <w:p w14:paraId="14CEBA1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44,187.00</w:t>
            </w:r>
          </w:p>
        </w:tc>
        <w:tc>
          <w:tcPr>
            <w:tcW w:w="1056" w:type="dxa"/>
            <w:vAlign w:val="center"/>
            <w:hideMark/>
          </w:tcPr>
          <w:p w14:paraId="59C612F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14.07%</w:t>
            </w:r>
          </w:p>
        </w:tc>
        <w:tc>
          <w:tcPr>
            <w:tcW w:w="1382" w:type="dxa"/>
            <w:vAlign w:val="center"/>
          </w:tcPr>
          <w:p w14:paraId="1ED19AC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166,506.84</w:t>
            </w:r>
          </w:p>
        </w:tc>
        <w:tc>
          <w:tcPr>
            <w:tcW w:w="1136" w:type="dxa"/>
            <w:vAlign w:val="center"/>
          </w:tcPr>
          <w:p w14:paraId="6A2C1F2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53.03%</w:t>
            </w:r>
          </w:p>
        </w:tc>
        <w:tc>
          <w:tcPr>
            <w:tcW w:w="5409" w:type="dxa"/>
            <w:vAlign w:val="center"/>
            <w:hideMark/>
          </w:tcPr>
          <w:p w14:paraId="39B43153"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As part of a centralized PMU, the project's Policy and Institutional Review (PIR) is underway, led by an in-house technical advisor. Procurement for a firm to conduct the BER, FNA, and BFP is now at the RFP stage. A key challenge has been the recruitment of a local in-country coordinator, for which there have been several attempts. The project benefited from a temporary regional coordinator, and efforts are underway to fill that role locally to provide sustained support.</w:t>
            </w:r>
          </w:p>
        </w:tc>
      </w:tr>
      <w:tr w:rsidR="00670408" w:rsidRPr="00237520" w14:paraId="72F3DA5C" w14:textId="77777777" w:rsidTr="00D22022">
        <w:trPr>
          <w:trHeight w:val="1248"/>
          <w:jc w:val="center"/>
        </w:trPr>
        <w:tc>
          <w:tcPr>
            <w:tcW w:w="1250" w:type="dxa"/>
            <w:vAlign w:val="center"/>
            <w:hideMark/>
          </w:tcPr>
          <w:p w14:paraId="19EB5F6E"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North Macedonia</w:t>
            </w:r>
          </w:p>
        </w:tc>
        <w:tc>
          <w:tcPr>
            <w:tcW w:w="882" w:type="dxa"/>
            <w:vAlign w:val="center"/>
            <w:hideMark/>
          </w:tcPr>
          <w:p w14:paraId="75B8C7D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CD85F5F"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Nov 10, 2025</w:t>
            </w:r>
          </w:p>
        </w:tc>
        <w:tc>
          <w:tcPr>
            <w:tcW w:w="1102" w:type="dxa"/>
            <w:vAlign w:val="center"/>
            <w:hideMark/>
          </w:tcPr>
          <w:p w14:paraId="23CFA38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77,350.00</w:t>
            </w:r>
          </w:p>
        </w:tc>
        <w:tc>
          <w:tcPr>
            <w:tcW w:w="1056" w:type="dxa"/>
            <w:vAlign w:val="center"/>
            <w:hideMark/>
          </w:tcPr>
          <w:p w14:paraId="6FC1D1C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24.63%</w:t>
            </w:r>
          </w:p>
        </w:tc>
        <w:tc>
          <w:tcPr>
            <w:tcW w:w="1382" w:type="dxa"/>
            <w:vAlign w:val="center"/>
          </w:tcPr>
          <w:p w14:paraId="7999A7A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95,701.71</w:t>
            </w:r>
          </w:p>
        </w:tc>
        <w:tc>
          <w:tcPr>
            <w:tcW w:w="1136" w:type="dxa"/>
            <w:vAlign w:val="center"/>
          </w:tcPr>
          <w:p w14:paraId="16C2260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30.48%</w:t>
            </w:r>
          </w:p>
        </w:tc>
        <w:tc>
          <w:tcPr>
            <w:tcW w:w="5409" w:type="dxa"/>
            <w:vAlign w:val="center"/>
            <w:hideMark/>
          </w:tcPr>
          <w:p w14:paraId="3139014E"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moving forward effectively with a National Coordinator and three individual consultants on board. Following a successful inception workshop, the Policy and Institutional Review (PIR), Subsidies Report, Biodiversity Expenditure Review (BER), and Finance Needs Assessment (FNA) are all progressing with drafts underway. The Biodiversity Finance Plan (BFP) is also in progress and is expected to be drafted by the end of 2026.</w:t>
            </w:r>
          </w:p>
        </w:tc>
      </w:tr>
      <w:tr w:rsidR="00670408" w:rsidRPr="00237520" w14:paraId="4D66055A" w14:textId="77777777" w:rsidTr="00D22022">
        <w:trPr>
          <w:trHeight w:val="936"/>
          <w:jc w:val="center"/>
        </w:trPr>
        <w:tc>
          <w:tcPr>
            <w:tcW w:w="1250" w:type="dxa"/>
            <w:vAlign w:val="center"/>
            <w:hideMark/>
          </w:tcPr>
          <w:p w14:paraId="100CF123"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Pakistan</w:t>
            </w:r>
          </w:p>
        </w:tc>
        <w:tc>
          <w:tcPr>
            <w:tcW w:w="882" w:type="dxa"/>
            <w:vAlign w:val="center"/>
            <w:hideMark/>
          </w:tcPr>
          <w:p w14:paraId="5B8B8CF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3AC34A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May 1, 2025</w:t>
            </w:r>
          </w:p>
        </w:tc>
        <w:tc>
          <w:tcPr>
            <w:tcW w:w="1102" w:type="dxa"/>
            <w:vAlign w:val="center"/>
            <w:hideMark/>
          </w:tcPr>
          <w:p w14:paraId="506DB33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137,187.00</w:t>
            </w:r>
          </w:p>
        </w:tc>
        <w:tc>
          <w:tcPr>
            <w:tcW w:w="1056" w:type="dxa"/>
            <w:vAlign w:val="center"/>
            <w:hideMark/>
          </w:tcPr>
          <w:p w14:paraId="1B81A4D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43.69%</w:t>
            </w:r>
          </w:p>
        </w:tc>
        <w:tc>
          <w:tcPr>
            <w:tcW w:w="1382" w:type="dxa"/>
            <w:vAlign w:val="center"/>
          </w:tcPr>
          <w:p w14:paraId="579EA89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159,681.42</w:t>
            </w:r>
          </w:p>
        </w:tc>
        <w:tc>
          <w:tcPr>
            <w:tcW w:w="1136" w:type="dxa"/>
            <w:vAlign w:val="center"/>
          </w:tcPr>
          <w:p w14:paraId="7CB6C82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50.85%</w:t>
            </w:r>
          </w:p>
        </w:tc>
        <w:tc>
          <w:tcPr>
            <w:tcW w:w="5409" w:type="dxa"/>
            <w:vAlign w:val="center"/>
            <w:hideMark/>
          </w:tcPr>
          <w:p w14:paraId="0B296074"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full team is in place and is making significant strides, with a section on subsidies already included in the Policy and Institutional Review (PIR). Drafts are now in progress and ready for technical review for all five key reports: the PIR, Subsidies Report, Biodiversity Expenditure Review (BER), Finance Needs Assessment (FNA), and the Biodiversity Finance Plan (BFP).</w:t>
            </w:r>
          </w:p>
        </w:tc>
      </w:tr>
      <w:tr w:rsidR="00670408" w:rsidRPr="00237520" w14:paraId="5F54CEA9" w14:textId="77777777" w:rsidTr="00D22022">
        <w:trPr>
          <w:trHeight w:val="1248"/>
          <w:jc w:val="center"/>
        </w:trPr>
        <w:tc>
          <w:tcPr>
            <w:tcW w:w="1250" w:type="dxa"/>
            <w:vAlign w:val="center"/>
            <w:hideMark/>
          </w:tcPr>
          <w:p w14:paraId="5DE824E9"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Palau</w:t>
            </w:r>
          </w:p>
        </w:tc>
        <w:tc>
          <w:tcPr>
            <w:tcW w:w="882" w:type="dxa"/>
            <w:vAlign w:val="center"/>
            <w:hideMark/>
          </w:tcPr>
          <w:p w14:paraId="2DDCE8F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EE24245"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Jul 1, 2025</w:t>
            </w:r>
          </w:p>
        </w:tc>
        <w:tc>
          <w:tcPr>
            <w:tcW w:w="1102" w:type="dxa"/>
            <w:vAlign w:val="center"/>
            <w:hideMark/>
          </w:tcPr>
          <w:p w14:paraId="1915122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145,036.55</w:t>
            </w:r>
          </w:p>
        </w:tc>
        <w:tc>
          <w:tcPr>
            <w:tcW w:w="1056" w:type="dxa"/>
            <w:vAlign w:val="center"/>
            <w:hideMark/>
          </w:tcPr>
          <w:p w14:paraId="586742A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46.19%</w:t>
            </w:r>
          </w:p>
        </w:tc>
        <w:tc>
          <w:tcPr>
            <w:tcW w:w="1382" w:type="dxa"/>
            <w:vAlign w:val="center"/>
          </w:tcPr>
          <w:p w14:paraId="0C74051D"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164,366.20</w:t>
            </w:r>
          </w:p>
        </w:tc>
        <w:tc>
          <w:tcPr>
            <w:tcW w:w="1136" w:type="dxa"/>
            <w:vAlign w:val="center"/>
          </w:tcPr>
          <w:p w14:paraId="59F4EF38"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52.35%</w:t>
            </w:r>
          </w:p>
        </w:tc>
        <w:tc>
          <w:tcPr>
            <w:tcW w:w="5409" w:type="dxa"/>
            <w:vAlign w:val="center"/>
            <w:hideMark/>
          </w:tcPr>
          <w:p w14:paraId="248A0E56"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Managed by the centralized PMU in Fiji, the project has successfully contracted the firm </w:t>
            </w:r>
            <w:proofErr w:type="spellStart"/>
            <w:r w:rsidRPr="00670408">
              <w:rPr>
                <w:rFonts w:cstheme="minorHAnsi"/>
                <w:sz w:val="18"/>
                <w:szCs w:val="18"/>
                <w:lang w:val="en-US"/>
              </w:rPr>
              <w:t>Setin</w:t>
            </w:r>
            <w:proofErr w:type="spellEnd"/>
            <w:r w:rsidRPr="00670408">
              <w:rPr>
                <w:rFonts w:cstheme="minorHAnsi"/>
                <w:sz w:val="18"/>
                <w:szCs w:val="18"/>
                <w:lang w:val="en-US"/>
              </w:rPr>
              <w:t xml:space="preserve"> to undertake the Policy and Institutional Review (PIR), Subsidies Report, and other key assessments. Initial meetings between the firm and the MCO have occurred, and weekly update meetings are ensuring the project's technical work commences effectively.</w:t>
            </w:r>
          </w:p>
        </w:tc>
      </w:tr>
      <w:tr w:rsidR="00670408" w:rsidRPr="00237520" w14:paraId="662ECDE6" w14:textId="77777777" w:rsidTr="00D22022">
        <w:trPr>
          <w:trHeight w:val="1248"/>
          <w:jc w:val="center"/>
        </w:trPr>
        <w:tc>
          <w:tcPr>
            <w:tcW w:w="1250" w:type="dxa"/>
            <w:vAlign w:val="center"/>
            <w:hideMark/>
          </w:tcPr>
          <w:p w14:paraId="538905EE"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Panama</w:t>
            </w:r>
          </w:p>
        </w:tc>
        <w:tc>
          <w:tcPr>
            <w:tcW w:w="882" w:type="dxa"/>
            <w:vAlign w:val="center"/>
            <w:hideMark/>
          </w:tcPr>
          <w:p w14:paraId="4AB561D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B76470C"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7390731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86,616.00</w:t>
            </w:r>
          </w:p>
        </w:tc>
        <w:tc>
          <w:tcPr>
            <w:tcW w:w="1056" w:type="dxa"/>
            <w:vAlign w:val="center"/>
            <w:hideMark/>
          </w:tcPr>
          <w:p w14:paraId="079B5FF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27.58%</w:t>
            </w:r>
          </w:p>
        </w:tc>
        <w:tc>
          <w:tcPr>
            <w:tcW w:w="1382" w:type="dxa"/>
            <w:vAlign w:val="center"/>
          </w:tcPr>
          <w:p w14:paraId="6EBD6C4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100,622.91</w:t>
            </w:r>
          </w:p>
        </w:tc>
        <w:tc>
          <w:tcPr>
            <w:tcW w:w="1136" w:type="dxa"/>
            <w:vAlign w:val="center"/>
          </w:tcPr>
          <w:p w14:paraId="73EEFE8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32.05%</w:t>
            </w:r>
          </w:p>
        </w:tc>
        <w:tc>
          <w:tcPr>
            <w:tcW w:w="5409" w:type="dxa"/>
            <w:vAlign w:val="center"/>
            <w:hideMark/>
          </w:tcPr>
          <w:p w14:paraId="32A7B09A"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well-staffed with a Coordinator and a Biodiversity Finance and Policy specialist. Following a successful inception event with broad participation, strong progress has been made. Final drafts of the Policy and Institutional Review (PIR) and Subsidies Report are now under government review, and the Biodiversity Expenditure Review (BER) process has started. The team is building on this momentum to advance its financial analysis.</w:t>
            </w:r>
          </w:p>
        </w:tc>
      </w:tr>
      <w:tr w:rsidR="00670408" w:rsidRPr="00D95ACA" w14:paraId="5AAE7A67" w14:textId="77777777" w:rsidTr="00D22022">
        <w:trPr>
          <w:trHeight w:val="1248"/>
          <w:jc w:val="center"/>
        </w:trPr>
        <w:tc>
          <w:tcPr>
            <w:tcW w:w="1250" w:type="dxa"/>
            <w:vAlign w:val="center"/>
            <w:hideMark/>
          </w:tcPr>
          <w:p w14:paraId="2C9DD51C"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 xml:space="preserve">Papua New </w:t>
            </w:r>
            <w:proofErr w:type="spellStart"/>
            <w:r w:rsidRPr="00C67737">
              <w:rPr>
                <w:rFonts w:eastAsia="Times New Roman" w:cstheme="minorHAnsi"/>
                <w:sz w:val="18"/>
                <w:szCs w:val="18"/>
                <w:lang w:eastAsia="en-PH"/>
              </w:rPr>
              <w:t>Guinea</w:t>
            </w:r>
            <w:proofErr w:type="spellEnd"/>
          </w:p>
        </w:tc>
        <w:tc>
          <w:tcPr>
            <w:tcW w:w="882" w:type="dxa"/>
            <w:vAlign w:val="center"/>
            <w:hideMark/>
          </w:tcPr>
          <w:p w14:paraId="3E0563D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FD52D8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9, 2025</w:t>
            </w:r>
          </w:p>
        </w:tc>
        <w:tc>
          <w:tcPr>
            <w:tcW w:w="1102" w:type="dxa"/>
            <w:vAlign w:val="center"/>
            <w:hideMark/>
          </w:tcPr>
          <w:p w14:paraId="6040E49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30,590.00</w:t>
            </w:r>
          </w:p>
        </w:tc>
        <w:tc>
          <w:tcPr>
            <w:tcW w:w="1056" w:type="dxa"/>
            <w:vAlign w:val="center"/>
            <w:hideMark/>
          </w:tcPr>
          <w:p w14:paraId="348D7BF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9.74%</w:t>
            </w:r>
          </w:p>
        </w:tc>
        <w:tc>
          <w:tcPr>
            <w:tcW w:w="1382" w:type="dxa"/>
            <w:vAlign w:val="center"/>
          </w:tcPr>
          <w:p w14:paraId="32DAC00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44,410.50</w:t>
            </w:r>
          </w:p>
        </w:tc>
        <w:tc>
          <w:tcPr>
            <w:tcW w:w="1136" w:type="dxa"/>
            <w:vAlign w:val="center"/>
          </w:tcPr>
          <w:p w14:paraId="0D049C1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14.14%</w:t>
            </w:r>
          </w:p>
        </w:tc>
        <w:tc>
          <w:tcPr>
            <w:tcW w:w="5409" w:type="dxa"/>
            <w:vAlign w:val="center"/>
            <w:hideMark/>
          </w:tcPr>
          <w:p w14:paraId="04E4DAE7"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After two unsuccessful recruitment rounds for the Project Management Unit, a new co-shared PMU model has been developed. The project inception workshop and first steering committee meeting were held in December 2025. A budget revision was recently </w:t>
            </w:r>
            <w:proofErr w:type="gramStart"/>
            <w:r w:rsidRPr="00670408">
              <w:rPr>
                <w:rFonts w:cstheme="minorHAnsi"/>
                <w:sz w:val="18"/>
                <w:szCs w:val="18"/>
                <w:lang w:val="en-US"/>
              </w:rPr>
              <w:t>cleared</w:t>
            </w:r>
            <w:proofErr w:type="gramEnd"/>
            <w:r w:rsidRPr="00670408">
              <w:rPr>
                <w:rFonts w:cstheme="minorHAnsi"/>
                <w:sz w:val="18"/>
                <w:szCs w:val="18"/>
                <w:lang w:val="en-US"/>
              </w:rPr>
              <w:t>, which will now allow the Country Office to proceed with advertising the procurement process to recruit a consultancy firm for the PIR-BFP.</w:t>
            </w:r>
          </w:p>
        </w:tc>
      </w:tr>
      <w:tr w:rsidR="00670408" w:rsidRPr="00237520" w14:paraId="4A092FE1" w14:textId="77777777" w:rsidTr="00D22022">
        <w:trPr>
          <w:trHeight w:val="1248"/>
          <w:jc w:val="center"/>
        </w:trPr>
        <w:tc>
          <w:tcPr>
            <w:tcW w:w="1250" w:type="dxa"/>
            <w:vAlign w:val="center"/>
            <w:hideMark/>
          </w:tcPr>
          <w:p w14:paraId="729A9AE1"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Paraguay</w:t>
            </w:r>
          </w:p>
        </w:tc>
        <w:tc>
          <w:tcPr>
            <w:tcW w:w="882" w:type="dxa"/>
            <w:vAlign w:val="center"/>
            <w:hideMark/>
          </w:tcPr>
          <w:p w14:paraId="3034A54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EB61C50" w14:textId="77777777" w:rsidR="00670408" w:rsidRPr="00C67737" w:rsidRDefault="00670408" w:rsidP="00D22022">
            <w:pPr>
              <w:jc w:val="center"/>
              <w:rPr>
                <w:rFonts w:eastAsia="Aptos" w:cstheme="minorHAnsi"/>
                <w:sz w:val="18"/>
                <w:szCs w:val="18"/>
              </w:rPr>
            </w:pPr>
            <w:r w:rsidRPr="00C67737">
              <w:rPr>
                <w:rFonts w:eastAsia="Helvetica" w:cstheme="minorHAnsi"/>
                <w:sz w:val="18"/>
                <w:szCs w:val="18"/>
              </w:rPr>
              <w:t>Oct 2, 2024</w:t>
            </w:r>
          </w:p>
        </w:tc>
        <w:tc>
          <w:tcPr>
            <w:tcW w:w="1102" w:type="dxa"/>
            <w:vAlign w:val="center"/>
            <w:hideMark/>
          </w:tcPr>
          <w:p w14:paraId="5B6922B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93,649.00</w:t>
            </w:r>
          </w:p>
        </w:tc>
        <w:tc>
          <w:tcPr>
            <w:tcW w:w="1056" w:type="dxa"/>
            <w:vAlign w:val="center"/>
            <w:hideMark/>
          </w:tcPr>
          <w:p w14:paraId="6B66D2A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29.82%</w:t>
            </w:r>
          </w:p>
        </w:tc>
        <w:tc>
          <w:tcPr>
            <w:tcW w:w="1382" w:type="dxa"/>
            <w:vAlign w:val="center"/>
          </w:tcPr>
          <w:p w14:paraId="62AB2AC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114,160.50</w:t>
            </w:r>
          </w:p>
        </w:tc>
        <w:tc>
          <w:tcPr>
            <w:tcW w:w="1136" w:type="dxa"/>
            <w:vAlign w:val="center"/>
          </w:tcPr>
          <w:p w14:paraId="5B94E87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36.36%</w:t>
            </w:r>
          </w:p>
        </w:tc>
        <w:tc>
          <w:tcPr>
            <w:tcW w:w="5409" w:type="dxa"/>
            <w:vAlign w:val="center"/>
            <w:hideMark/>
          </w:tcPr>
          <w:p w14:paraId="7AA5E9D9"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An effective team structure is in place, sharing personnel with other biodiversity processes for efficiency. The Policy and Institutional Review (PIR) has been delivered by a local consultant and reviewed, though it requires strengthening. The team is now working directly on the Biodiversity Expenditure Review (BER), and the TORs for the Finance Needs Assessment (FNA) are under development. A successful inception workshop was held in August 2025, demonstrating strong stakeholder engagement.</w:t>
            </w:r>
          </w:p>
        </w:tc>
      </w:tr>
      <w:tr w:rsidR="00670408" w:rsidRPr="00237520" w14:paraId="2E4714B1" w14:textId="77777777" w:rsidTr="00D22022">
        <w:trPr>
          <w:trHeight w:val="1248"/>
          <w:jc w:val="center"/>
        </w:trPr>
        <w:tc>
          <w:tcPr>
            <w:tcW w:w="1250" w:type="dxa"/>
            <w:vAlign w:val="center"/>
            <w:hideMark/>
          </w:tcPr>
          <w:p w14:paraId="5D7EA2ED"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Saint Kitts and Nevis</w:t>
            </w:r>
          </w:p>
        </w:tc>
        <w:tc>
          <w:tcPr>
            <w:tcW w:w="882" w:type="dxa"/>
            <w:vAlign w:val="center"/>
            <w:hideMark/>
          </w:tcPr>
          <w:p w14:paraId="5E3D564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7223EF7B" w14:textId="77777777" w:rsidR="00670408" w:rsidRPr="00C67737" w:rsidRDefault="00670408" w:rsidP="00D22022">
            <w:pPr>
              <w:jc w:val="center"/>
              <w:rPr>
                <w:rFonts w:cstheme="minorHAnsi"/>
                <w:sz w:val="18"/>
                <w:szCs w:val="18"/>
              </w:rPr>
            </w:pPr>
            <w:r w:rsidRPr="00C67737">
              <w:rPr>
                <w:rFonts w:cstheme="minorHAnsi"/>
                <w:sz w:val="18"/>
                <w:szCs w:val="18"/>
              </w:rPr>
              <w:t>Jan 1, 2025</w:t>
            </w:r>
          </w:p>
        </w:tc>
        <w:tc>
          <w:tcPr>
            <w:tcW w:w="1102" w:type="dxa"/>
            <w:vAlign w:val="center"/>
            <w:hideMark/>
          </w:tcPr>
          <w:p w14:paraId="67A72E0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31,980.71</w:t>
            </w:r>
          </w:p>
        </w:tc>
        <w:tc>
          <w:tcPr>
            <w:tcW w:w="1056" w:type="dxa"/>
            <w:vAlign w:val="center"/>
            <w:hideMark/>
          </w:tcPr>
          <w:p w14:paraId="139DB59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10.18%</w:t>
            </w:r>
          </w:p>
        </w:tc>
        <w:tc>
          <w:tcPr>
            <w:tcW w:w="1382" w:type="dxa"/>
            <w:vAlign w:val="center"/>
          </w:tcPr>
          <w:p w14:paraId="244B01D2"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48,243.26</w:t>
            </w:r>
          </w:p>
        </w:tc>
        <w:tc>
          <w:tcPr>
            <w:tcW w:w="1136" w:type="dxa"/>
            <w:vAlign w:val="center"/>
          </w:tcPr>
          <w:p w14:paraId="6C91AB14"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15.36%</w:t>
            </w:r>
          </w:p>
        </w:tc>
        <w:tc>
          <w:tcPr>
            <w:tcW w:w="5409" w:type="dxa"/>
            <w:vAlign w:val="center"/>
            <w:hideMark/>
          </w:tcPr>
          <w:p w14:paraId="2B5D1DA5"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As part of a regional structure managed by the Barbados MCO, a consultant has been hired for the Policy and Institutional Review (PIR), with a draft expected in June. A challenge arose as the government requested a dedicated national finance specialist instead of a shared regional one. To manage this, the hiring strategy has been shifted to an IC contract under a roster, and the budget is being revised to accommodate this request.</w:t>
            </w:r>
          </w:p>
        </w:tc>
      </w:tr>
      <w:tr w:rsidR="00670408" w:rsidRPr="00D95ACA" w14:paraId="78F66E49" w14:textId="77777777" w:rsidTr="00D22022">
        <w:trPr>
          <w:trHeight w:val="936"/>
          <w:jc w:val="center"/>
        </w:trPr>
        <w:tc>
          <w:tcPr>
            <w:tcW w:w="1250" w:type="dxa"/>
            <w:vAlign w:val="center"/>
            <w:hideMark/>
          </w:tcPr>
          <w:p w14:paraId="77F1844B"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Saint Lucia</w:t>
            </w:r>
          </w:p>
        </w:tc>
        <w:tc>
          <w:tcPr>
            <w:tcW w:w="882" w:type="dxa"/>
            <w:vAlign w:val="center"/>
            <w:hideMark/>
          </w:tcPr>
          <w:p w14:paraId="076D21B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0B335B0" w14:textId="77777777" w:rsidR="00670408" w:rsidRPr="00C67737" w:rsidRDefault="00670408" w:rsidP="00D22022">
            <w:pPr>
              <w:jc w:val="center"/>
              <w:rPr>
                <w:rFonts w:cstheme="minorHAnsi"/>
                <w:sz w:val="18"/>
                <w:szCs w:val="18"/>
              </w:rPr>
            </w:pPr>
            <w:r w:rsidRPr="00C67737">
              <w:rPr>
                <w:rFonts w:cstheme="minorHAnsi"/>
                <w:sz w:val="18"/>
                <w:szCs w:val="18"/>
              </w:rPr>
              <w:t>Jan 1, 2025</w:t>
            </w:r>
          </w:p>
          <w:p w14:paraId="761F49FF" w14:textId="77777777" w:rsidR="00670408" w:rsidRPr="00C67737" w:rsidRDefault="00670408" w:rsidP="00D22022">
            <w:pPr>
              <w:jc w:val="center"/>
              <w:rPr>
                <w:rFonts w:cstheme="minorHAnsi"/>
                <w:sz w:val="18"/>
                <w:szCs w:val="18"/>
              </w:rPr>
            </w:pPr>
          </w:p>
          <w:p w14:paraId="2966AA29" w14:textId="77777777" w:rsidR="00670408" w:rsidRPr="00C67737" w:rsidRDefault="00670408" w:rsidP="00D22022">
            <w:pPr>
              <w:spacing w:after="0"/>
              <w:jc w:val="center"/>
              <w:rPr>
                <w:rFonts w:eastAsia="Times New Roman" w:cstheme="minorHAnsi"/>
                <w:sz w:val="18"/>
                <w:szCs w:val="18"/>
                <w:lang w:eastAsia="en-PH"/>
              </w:rPr>
            </w:pPr>
          </w:p>
        </w:tc>
        <w:tc>
          <w:tcPr>
            <w:tcW w:w="1102" w:type="dxa"/>
            <w:vAlign w:val="center"/>
            <w:hideMark/>
          </w:tcPr>
          <w:p w14:paraId="629AA2E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31,596.33</w:t>
            </w:r>
          </w:p>
        </w:tc>
        <w:tc>
          <w:tcPr>
            <w:tcW w:w="1056" w:type="dxa"/>
            <w:vAlign w:val="center"/>
            <w:hideMark/>
          </w:tcPr>
          <w:p w14:paraId="6168B17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10.06%</w:t>
            </w:r>
          </w:p>
        </w:tc>
        <w:tc>
          <w:tcPr>
            <w:tcW w:w="1382" w:type="dxa"/>
            <w:vAlign w:val="center"/>
          </w:tcPr>
          <w:p w14:paraId="086C0C01"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47,433.22</w:t>
            </w:r>
          </w:p>
        </w:tc>
        <w:tc>
          <w:tcPr>
            <w:tcW w:w="1136" w:type="dxa"/>
            <w:vAlign w:val="center"/>
          </w:tcPr>
          <w:p w14:paraId="34152E92"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15.11%</w:t>
            </w:r>
          </w:p>
        </w:tc>
        <w:tc>
          <w:tcPr>
            <w:tcW w:w="5409" w:type="dxa"/>
            <w:vAlign w:val="center"/>
            <w:hideMark/>
          </w:tcPr>
          <w:p w14:paraId="2BA87753"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operational under the Barbados MCO, and Terms of Reference for the Policy and Institutional Review (PIR) have been drafted. The government has expressed interest in launching the project, indicating positive engagement. Key meetings have been delayed but the technical team has delivered an engagement strategy. The next steps will involve finalizing </w:t>
            </w:r>
            <w:proofErr w:type="gramStart"/>
            <w:r w:rsidRPr="00670408">
              <w:rPr>
                <w:rFonts w:cstheme="minorHAnsi"/>
                <w:sz w:val="18"/>
                <w:szCs w:val="18"/>
                <w:lang w:val="en-US"/>
              </w:rPr>
              <w:t>consultancies</w:t>
            </w:r>
            <w:proofErr w:type="gramEnd"/>
            <w:r w:rsidRPr="00670408">
              <w:rPr>
                <w:rFonts w:cstheme="minorHAnsi"/>
                <w:sz w:val="18"/>
                <w:szCs w:val="18"/>
                <w:lang w:val="en-US"/>
              </w:rPr>
              <w:t xml:space="preserve"> and scheduling the official launch.</w:t>
            </w:r>
          </w:p>
        </w:tc>
      </w:tr>
      <w:tr w:rsidR="00670408" w:rsidRPr="00237520" w14:paraId="0B934377" w14:textId="77777777" w:rsidTr="00D22022">
        <w:trPr>
          <w:trHeight w:val="1248"/>
          <w:jc w:val="center"/>
        </w:trPr>
        <w:tc>
          <w:tcPr>
            <w:tcW w:w="1250" w:type="dxa"/>
            <w:vAlign w:val="center"/>
            <w:hideMark/>
          </w:tcPr>
          <w:p w14:paraId="20F1DD22"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Samoa</w:t>
            </w:r>
          </w:p>
        </w:tc>
        <w:tc>
          <w:tcPr>
            <w:tcW w:w="882" w:type="dxa"/>
            <w:vAlign w:val="center"/>
            <w:hideMark/>
          </w:tcPr>
          <w:p w14:paraId="79BD298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8EE36F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Oct 1, 2024</w:t>
            </w:r>
          </w:p>
        </w:tc>
        <w:tc>
          <w:tcPr>
            <w:tcW w:w="1102" w:type="dxa"/>
            <w:vAlign w:val="center"/>
            <w:hideMark/>
          </w:tcPr>
          <w:p w14:paraId="15C0954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39,254.00</w:t>
            </w:r>
          </w:p>
        </w:tc>
        <w:tc>
          <w:tcPr>
            <w:tcW w:w="1056" w:type="dxa"/>
            <w:vAlign w:val="center"/>
            <w:hideMark/>
          </w:tcPr>
          <w:p w14:paraId="182C7B7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12.50%</w:t>
            </w:r>
          </w:p>
        </w:tc>
        <w:tc>
          <w:tcPr>
            <w:tcW w:w="1382" w:type="dxa"/>
            <w:vAlign w:val="center"/>
          </w:tcPr>
          <w:p w14:paraId="7D88A16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120,859.62</w:t>
            </w:r>
          </w:p>
        </w:tc>
        <w:tc>
          <w:tcPr>
            <w:tcW w:w="1136" w:type="dxa"/>
            <w:vAlign w:val="center"/>
          </w:tcPr>
          <w:p w14:paraId="7DA4AFD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38.49%</w:t>
            </w:r>
          </w:p>
        </w:tc>
        <w:tc>
          <w:tcPr>
            <w:tcW w:w="5409" w:type="dxa"/>
            <w:vAlign w:val="center"/>
            <w:hideMark/>
          </w:tcPr>
          <w:p w14:paraId="31FB2A51"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which serves as the hub for a multi-country operation, has executed its local inception and first national steering committee meeting. The Policy and Institutional Review (PIR) is underway, with a zero draft emerging. Procurement for a firm to conduct the BER, FNA, and BFP is in the final evaluation stages. The project is advancing steadily under the centralized PMU model.</w:t>
            </w:r>
          </w:p>
        </w:tc>
      </w:tr>
      <w:tr w:rsidR="00670408" w:rsidRPr="00237520" w14:paraId="69955380" w14:textId="77777777" w:rsidTr="00D22022">
        <w:trPr>
          <w:trHeight w:val="936"/>
          <w:jc w:val="center"/>
        </w:trPr>
        <w:tc>
          <w:tcPr>
            <w:tcW w:w="1250" w:type="dxa"/>
            <w:vAlign w:val="center"/>
            <w:hideMark/>
          </w:tcPr>
          <w:p w14:paraId="2B8FDE22"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Sao Tome and Principe</w:t>
            </w:r>
          </w:p>
        </w:tc>
        <w:tc>
          <w:tcPr>
            <w:tcW w:w="882" w:type="dxa"/>
            <w:vAlign w:val="center"/>
            <w:hideMark/>
          </w:tcPr>
          <w:p w14:paraId="4949972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7382349" w14:textId="77777777" w:rsidR="00670408" w:rsidRPr="00C67737" w:rsidRDefault="00670408" w:rsidP="00D22022">
            <w:pPr>
              <w:jc w:val="center"/>
              <w:rPr>
                <w:rFonts w:eastAsia="Aptos" w:cstheme="minorHAnsi"/>
                <w:sz w:val="18"/>
                <w:szCs w:val="18"/>
              </w:rPr>
            </w:pPr>
            <w:r w:rsidRPr="00C67737">
              <w:rPr>
                <w:rFonts w:eastAsia="Helvetica" w:cstheme="minorHAnsi"/>
                <w:sz w:val="18"/>
                <w:szCs w:val="18"/>
              </w:rPr>
              <w:t>Oct 6, 2024</w:t>
            </w:r>
          </w:p>
        </w:tc>
        <w:tc>
          <w:tcPr>
            <w:tcW w:w="1102" w:type="dxa"/>
            <w:vAlign w:val="center"/>
            <w:hideMark/>
          </w:tcPr>
          <w:p w14:paraId="2FAE6DE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137,703.00</w:t>
            </w:r>
          </w:p>
        </w:tc>
        <w:tc>
          <w:tcPr>
            <w:tcW w:w="1056" w:type="dxa"/>
            <w:vAlign w:val="center"/>
            <w:hideMark/>
          </w:tcPr>
          <w:p w14:paraId="51BA19B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43.85%</w:t>
            </w:r>
          </w:p>
        </w:tc>
        <w:tc>
          <w:tcPr>
            <w:tcW w:w="1382" w:type="dxa"/>
            <w:vAlign w:val="center"/>
          </w:tcPr>
          <w:p w14:paraId="6B797E8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178,271.97</w:t>
            </w:r>
          </w:p>
        </w:tc>
        <w:tc>
          <w:tcPr>
            <w:tcW w:w="1136" w:type="dxa"/>
            <w:vAlign w:val="center"/>
          </w:tcPr>
          <w:p w14:paraId="2EF82DA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56.77%</w:t>
            </w:r>
          </w:p>
        </w:tc>
        <w:tc>
          <w:tcPr>
            <w:tcW w:w="5409" w:type="dxa"/>
            <w:vAlign w:val="center"/>
            <w:hideMark/>
          </w:tcPr>
          <w:p w14:paraId="01FD32DF"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Following the inception workshop in December 2025, the project is making good progress on its technical work. The first draft of the Policy and Institutional Review (PIR) has been presented and commented on. The Biodiversity Expenditure Review (BER) has also been initiated, with the team currently developing the methodology and engaging stakeholders.</w:t>
            </w:r>
          </w:p>
        </w:tc>
      </w:tr>
      <w:tr w:rsidR="00670408" w:rsidRPr="00D95ACA" w14:paraId="4A2EBAFD" w14:textId="77777777" w:rsidTr="00D22022">
        <w:trPr>
          <w:trHeight w:val="1560"/>
          <w:jc w:val="center"/>
        </w:trPr>
        <w:tc>
          <w:tcPr>
            <w:tcW w:w="1250" w:type="dxa"/>
            <w:vAlign w:val="center"/>
            <w:hideMark/>
          </w:tcPr>
          <w:p w14:paraId="20B14213"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Senegal</w:t>
            </w:r>
          </w:p>
        </w:tc>
        <w:tc>
          <w:tcPr>
            <w:tcW w:w="882" w:type="dxa"/>
            <w:vAlign w:val="center"/>
            <w:hideMark/>
          </w:tcPr>
          <w:p w14:paraId="4B40A4F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A04D426"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Mar 6, 2025</w:t>
            </w:r>
          </w:p>
        </w:tc>
        <w:tc>
          <w:tcPr>
            <w:tcW w:w="1102" w:type="dxa"/>
            <w:vAlign w:val="center"/>
            <w:hideMark/>
          </w:tcPr>
          <w:p w14:paraId="764B6F6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103,723.00</w:t>
            </w:r>
          </w:p>
        </w:tc>
        <w:tc>
          <w:tcPr>
            <w:tcW w:w="1056" w:type="dxa"/>
            <w:vAlign w:val="center"/>
            <w:hideMark/>
          </w:tcPr>
          <w:p w14:paraId="46FE763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33.03%</w:t>
            </w:r>
          </w:p>
        </w:tc>
        <w:tc>
          <w:tcPr>
            <w:tcW w:w="1382" w:type="dxa"/>
            <w:vAlign w:val="center"/>
          </w:tcPr>
          <w:p w14:paraId="2B0A497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125,195.19</w:t>
            </w:r>
          </w:p>
        </w:tc>
        <w:tc>
          <w:tcPr>
            <w:tcW w:w="1136" w:type="dxa"/>
            <w:vAlign w:val="center"/>
          </w:tcPr>
          <w:p w14:paraId="44B03AA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39.87%</w:t>
            </w:r>
          </w:p>
        </w:tc>
        <w:tc>
          <w:tcPr>
            <w:tcW w:w="5409" w:type="dxa"/>
            <w:vAlign w:val="center"/>
            <w:hideMark/>
          </w:tcPr>
          <w:p w14:paraId="37C636BD"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A full team has been recruited, and activities are progressing smoothly under a dynamic national coordinator. The Policy and Institutional Review (PIR) is almost finalized, with drafts in progress for both it and the Subsidies Report. The Biodiversity Expenditure Review (BER) and Finance Needs Assessment (FNA) have also been initiated. A potential risk is that the BER/FNA consultant is engaged in multiple other assignments, which may cause delays and </w:t>
            </w:r>
            <w:proofErr w:type="gramStart"/>
            <w:r w:rsidRPr="00670408">
              <w:rPr>
                <w:rFonts w:cstheme="minorHAnsi"/>
                <w:sz w:val="18"/>
                <w:szCs w:val="18"/>
                <w:lang w:val="en-US"/>
              </w:rPr>
              <w:t>is</w:t>
            </w:r>
            <w:proofErr w:type="gramEnd"/>
            <w:r w:rsidRPr="00670408">
              <w:rPr>
                <w:rFonts w:cstheme="minorHAnsi"/>
                <w:sz w:val="18"/>
                <w:szCs w:val="18"/>
                <w:lang w:val="en-US"/>
              </w:rPr>
              <w:t xml:space="preserve"> being monitored.</w:t>
            </w:r>
          </w:p>
        </w:tc>
      </w:tr>
      <w:tr w:rsidR="00670408" w:rsidRPr="00237520" w14:paraId="3A225F3A" w14:textId="77777777" w:rsidTr="00D22022">
        <w:trPr>
          <w:trHeight w:val="1560"/>
          <w:jc w:val="center"/>
        </w:trPr>
        <w:tc>
          <w:tcPr>
            <w:tcW w:w="1250" w:type="dxa"/>
            <w:vAlign w:val="center"/>
            <w:hideMark/>
          </w:tcPr>
          <w:p w14:paraId="7DC85CF0"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Serbia</w:t>
            </w:r>
          </w:p>
        </w:tc>
        <w:tc>
          <w:tcPr>
            <w:tcW w:w="882" w:type="dxa"/>
            <w:vAlign w:val="center"/>
            <w:hideMark/>
          </w:tcPr>
          <w:p w14:paraId="0AA26C0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4165648"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37F8BB8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180,550.00</w:t>
            </w:r>
          </w:p>
        </w:tc>
        <w:tc>
          <w:tcPr>
            <w:tcW w:w="1056" w:type="dxa"/>
            <w:vAlign w:val="center"/>
            <w:hideMark/>
          </w:tcPr>
          <w:p w14:paraId="5C4027A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57.50%</w:t>
            </w:r>
          </w:p>
        </w:tc>
        <w:tc>
          <w:tcPr>
            <w:tcW w:w="1382" w:type="dxa"/>
            <w:vAlign w:val="center"/>
          </w:tcPr>
          <w:p w14:paraId="243E0F2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200,866.60</w:t>
            </w:r>
          </w:p>
        </w:tc>
        <w:tc>
          <w:tcPr>
            <w:tcW w:w="1136" w:type="dxa"/>
            <w:vAlign w:val="center"/>
          </w:tcPr>
          <w:p w14:paraId="7BD9258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63.97%</w:t>
            </w:r>
          </w:p>
        </w:tc>
        <w:tc>
          <w:tcPr>
            <w:tcW w:w="5409" w:type="dxa"/>
            <w:vAlign w:val="center"/>
            <w:hideMark/>
          </w:tcPr>
          <w:p w14:paraId="5482D496"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has demonstrated strong government ownership and has completed the Policy and Institutional Review (PIR), including the Subsidies section. The Biodiversity Expenditure Review (BER) is also complete. Work is now progressing on the Finance Needs Assessment (FNA) and the Biodiversity Finance Plan (BFP), with an initial 15 finance solutions under discussion. The UNDP portfolio manager is dedicating 50 percent of her time as National Coordinator, ensuring robust oversight.</w:t>
            </w:r>
          </w:p>
        </w:tc>
      </w:tr>
      <w:tr w:rsidR="00670408" w:rsidRPr="00237520" w14:paraId="57530A66" w14:textId="77777777" w:rsidTr="00D22022">
        <w:trPr>
          <w:trHeight w:val="1248"/>
          <w:jc w:val="center"/>
        </w:trPr>
        <w:tc>
          <w:tcPr>
            <w:tcW w:w="1250" w:type="dxa"/>
            <w:vAlign w:val="center"/>
            <w:hideMark/>
          </w:tcPr>
          <w:p w14:paraId="53ABFAA7"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Sierra Leone</w:t>
            </w:r>
          </w:p>
        </w:tc>
        <w:tc>
          <w:tcPr>
            <w:tcW w:w="882" w:type="dxa"/>
            <w:vAlign w:val="center"/>
            <w:hideMark/>
          </w:tcPr>
          <w:p w14:paraId="07BBB68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7572FEA" w14:textId="77777777" w:rsidR="00670408" w:rsidRPr="00C67737" w:rsidRDefault="00670408" w:rsidP="00D22022">
            <w:pPr>
              <w:jc w:val="center"/>
              <w:rPr>
                <w:rFonts w:eastAsia="Aptos" w:cstheme="minorHAnsi"/>
                <w:sz w:val="18"/>
                <w:szCs w:val="18"/>
              </w:rPr>
            </w:pPr>
            <w:r w:rsidRPr="00C67737">
              <w:rPr>
                <w:rFonts w:eastAsia="Helvetica" w:cstheme="minorHAnsi"/>
                <w:sz w:val="18"/>
                <w:szCs w:val="18"/>
              </w:rPr>
              <w:t>Jun 13, 2024</w:t>
            </w:r>
          </w:p>
        </w:tc>
        <w:tc>
          <w:tcPr>
            <w:tcW w:w="1102" w:type="dxa"/>
            <w:vAlign w:val="center"/>
            <w:hideMark/>
          </w:tcPr>
          <w:p w14:paraId="76D6050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81,009.00</w:t>
            </w:r>
          </w:p>
        </w:tc>
        <w:tc>
          <w:tcPr>
            <w:tcW w:w="1056" w:type="dxa"/>
            <w:vAlign w:val="center"/>
            <w:hideMark/>
          </w:tcPr>
          <w:p w14:paraId="0B8C331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25.80%</w:t>
            </w:r>
          </w:p>
        </w:tc>
        <w:tc>
          <w:tcPr>
            <w:tcW w:w="1382" w:type="dxa"/>
            <w:vAlign w:val="center"/>
          </w:tcPr>
          <w:p w14:paraId="1C90C6E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93,052.93</w:t>
            </w:r>
          </w:p>
        </w:tc>
        <w:tc>
          <w:tcPr>
            <w:tcW w:w="1136" w:type="dxa"/>
            <w:vAlign w:val="center"/>
          </w:tcPr>
          <w:p w14:paraId="792B8C0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29.63%</w:t>
            </w:r>
          </w:p>
        </w:tc>
        <w:tc>
          <w:tcPr>
            <w:tcW w:w="5409" w:type="dxa"/>
            <w:vAlign w:val="center"/>
            <w:hideMark/>
          </w:tcPr>
          <w:p w14:paraId="16A87311"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facing a significant challenge related to the performance and communication of the project lead, whose contract will not be renewed. To mitigate this, a new Environmental Finance Analyst was </w:t>
            </w:r>
            <w:proofErr w:type="gramStart"/>
            <w:r w:rsidRPr="00670408">
              <w:rPr>
                <w:rFonts w:cstheme="minorHAnsi"/>
                <w:sz w:val="18"/>
                <w:szCs w:val="18"/>
                <w:lang w:val="en-US"/>
              </w:rPr>
              <w:t>onboarded</w:t>
            </w:r>
            <w:proofErr w:type="gramEnd"/>
            <w:r w:rsidRPr="00670408">
              <w:rPr>
                <w:rFonts w:cstheme="minorHAnsi"/>
                <w:sz w:val="18"/>
                <w:szCs w:val="18"/>
                <w:lang w:val="en-US"/>
              </w:rPr>
              <w:t xml:space="preserve"> in February 2026 to help stabilize implementation. Despite these issues, a draft of the Policy and Institutional Review (PIR) is in progress, and the Biodiversity Expenditure Review (BER) has been initiated.</w:t>
            </w:r>
          </w:p>
        </w:tc>
      </w:tr>
      <w:tr w:rsidR="00670408" w:rsidRPr="00237520" w14:paraId="2B5BD236" w14:textId="77777777" w:rsidTr="00D22022">
        <w:trPr>
          <w:trHeight w:val="936"/>
          <w:jc w:val="center"/>
        </w:trPr>
        <w:tc>
          <w:tcPr>
            <w:tcW w:w="1250" w:type="dxa"/>
            <w:vAlign w:val="center"/>
            <w:hideMark/>
          </w:tcPr>
          <w:p w14:paraId="27C2BFE0"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Solomon Islands</w:t>
            </w:r>
          </w:p>
        </w:tc>
        <w:tc>
          <w:tcPr>
            <w:tcW w:w="882" w:type="dxa"/>
            <w:vAlign w:val="center"/>
            <w:hideMark/>
          </w:tcPr>
          <w:p w14:paraId="7547BF8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C8B7F0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6E93FEA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125,626.79</w:t>
            </w:r>
          </w:p>
        </w:tc>
        <w:tc>
          <w:tcPr>
            <w:tcW w:w="1056" w:type="dxa"/>
            <w:vAlign w:val="center"/>
            <w:hideMark/>
          </w:tcPr>
          <w:p w14:paraId="3E9C92A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40.01%</w:t>
            </w:r>
          </w:p>
        </w:tc>
        <w:tc>
          <w:tcPr>
            <w:tcW w:w="1382" w:type="dxa"/>
            <w:vAlign w:val="center"/>
          </w:tcPr>
          <w:p w14:paraId="17B3BA36"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144,400.61</w:t>
            </w:r>
          </w:p>
        </w:tc>
        <w:tc>
          <w:tcPr>
            <w:tcW w:w="1136" w:type="dxa"/>
            <w:vAlign w:val="center"/>
          </w:tcPr>
          <w:p w14:paraId="64FB6868"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45.99%</w:t>
            </w:r>
          </w:p>
        </w:tc>
        <w:tc>
          <w:tcPr>
            <w:tcW w:w="5409" w:type="dxa"/>
            <w:vAlign w:val="center"/>
            <w:hideMark/>
          </w:tcPr>
          <w:p w14:paraId="1BE13FDD"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Managed through the centralized PMU in Fiji, the project has successfully contracted the firm </w:t>
            </w:r>
            <w:proofErr w:type="spellStart"/>
            <w:r w:rsidRPr="00670408">
              <w:rPr>
                <w:rFonts w:cstheme="minorHAnsi"/>
                <w:sz w:val="18"/>
                <w:szCs w:val="18"/>
                <w:lang w:val="en-US"/>
              </w:rPr>
              <w:t>Setin</w:t>
            </w:r>
            <w:proofErr w:type="spellEnd"/>
            <w:r w:rsidRPr="00670408">
              <w:rPr>
                <w:rFonts w:cstheme="minorHAnsi"/>
                <w:sz w:val="18"/>
                <w:szCs w:val="18"/>
                <w:lang w:val="en-US"/>
              </w:rPr>
              <w:t xml:space="preserve"> to deliver the Policy and Institutional Review (PIR), Subsidies Report, and other key assessments. Initial meetings between the firm and the MCO have taken place, and weekly updates are ensuring a smooth start to the project's technical work.</w:t>
            </w:r>
          </w:p>
        </w:tc>
      </w:tr>
      <w:tr w:rsidR="00670408" w:rsidRPr="00237520" w14:paraId="1170C70A" w14:textId="77777777" w:rsidTr="00D22022">
        <w:trPr>
          <w:trHeight w:val="1248"/>
          <w:jc w:val="center"/>
        </w:trPr>
        <w:tc>
          <w:tcPr>
            <w:tcW w:w="1250" w:type="dxa"/>
            <w:vAlign w:val="center"/>
            <w:hideMark/>
          </w:tcPr>
          <w:p w14:paraId="7C9C1BAF"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Somalia</w:t>
            </w:r>
          </w:p>
        </w:tc>
        <w:tc>
          <w:tcPr>
            <w:tcW w:w="882" w:type="dxa"/>
            <w:vAlign w:val="center"/>
            <w:hideMark/>
          </w:tcPr>
          <w:p w14:paraId="0BDF000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5103B4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Nov 5, 2024</w:t>
            </w:r>
          </w:p>
        </w:tc>
        <w:tc>
          <w:tcPr>
            <w:tcW w:w="1102" w:type="dxa"/>
            <w:vAlign w:val="center"/>
            <w:hideMark/>
          </w:tcPr>
          <w:p w14:paraId="5ABDB6A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30,546.00</w:t>
            </w:r>
          </w:p>
        </w:tc>
        <w:tc>
          <w:tcPr>
            <w:tcW w:w="1056" w:type="dxa"/>
            <w:vAlign w:val="center"/>
            <w:hideMark/>
          </w:tcPr>
          <w:p w14:paraId="3B150B8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9.73%</w:t>
            </w:r>
          </w:p>
        </w:tc>
        <w:tc>
          <w:tcPr>
            <w:tcW w:w="1382" w:type="dxa"/>
            <w:vAlign w:val="center"/>
          </w:tcPr>
          <w:p w14:paraId="3168BC6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81,720.17</w:t>
            </w:r>
          </w:p>
        </w:tc>
        <w:tc>
          <w:tcPr>
            <w:tcW w:w="1136" w:type="dxa"/>
            <w:vAlign w:val="center"/>
          </w:tcPr>
          <w:p w14:paraId="1A1053E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26.03%</w:t>
            </w:r>
          </w:p>
        </w:tc>
        <w:tc>
          <w:tcPr>
            <w:tcW w:w="5409" w:type="dxa"/>
            <w:vAlign w:val="center"/>
            <w:hideMark/>
          </w:tcPr>
          <w:p w14:paraId="7F70476B"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Coordinator is on board, and the recruitment of technical experts is underway. The government has formally accepted the Direct Implementation Modality, ensuring UNDP technical and administrative support. Following a high-level meeting in March 2026, the team expressed strong commitment to advancing the project, with the immediate focus on finalizing the recruitment of technical experts.</w:t>
            </w:r>
          </w:p>
        </w:tc>
      </w:tr>
      <w:tr w:rsidR="00670408" w:rsidRPr="00237520" w14:paraId="179057F0" w14:textId="77777777" w:rsidTr="00D22022">
        <w:trPr>
          <w:trHeight w:val="1248"/>
          <w:jc w:val="center"/>
        </w:trPr>
        <w:tc>
          <w:tcPr>
            <w:tcW w:w="1250" w:type="dxa"/>
            <w:vAlign w:val="center"/>
            <w:hideMark/>
          </w:tcPr>
          <w:p w14:paraId="2E908527"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 xml:space="preserve">South </w:t>
            </w:r>
            <w:proofErr w:type="spellStart"/>
            <w:r w:rsidRPr="00C67737">
              <w:rPr>
                <w:rFonts w:eastAsia="Times New Roman" w:cstheme="minorHAnsi"/>
                <w:sz w:val="18"/>
                <w:szCs w:val="18"/>
                <w:lang w:eastAsia="en-PH"/>
              </w:rPr>
              <w:t>Sudan</w:t>
            </w:r>
            <w:proofErr w:type="spellEnd"/>
          </w:p>
        </w:tc>
        <w:tc>
          <w:tcPr>
            <w:tcW w:w="882" w:type="dxa"/>
            <w:vAlign w:val="center"/>
            <w:hideMark/>
          </w:tcPr>
          <w:p w14:paraId="7950FDA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3211E9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189F054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72,377.00</w:t>
            </w:r>
          </w:p>
        </w:tc>
        <w:tc>
          <w:tcPr>
            <w:tcW w:w="1056" w:type="dxa"/>
            <w:vAlign w:val="center"/>
            <w:hideMark/>
          </w:tcPr>
          <w:p w14:paraId="279A7C1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23.05%</w:t>
            </w:r>
          </w:p>
        </w:tc>
        <w:tc>
          <w:tcPr>
            <w:tcW w:w="1382" w:type="dxa"/>
            <w:vAlign w:val="center"/>
          </w:tcPr>
          <w:p w14:paraId="6C98400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126,573.49</w:t>
            </w:r>
          </w:p>
        </w:tc>
        <w:tc>
          <w:tcPr>
            <w:tcW w:w="1136" w:type="dxa"/>
            <w:vAlign w:val="center"/>
          </w:tcPr>
          <w:p w14:paraId="27DCF7B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40.31%</w:t>
            </w:r>
          </w:p>
        </w:tc>
        <w:tc>
          <w:tcPr>
            <w:tcW w:w="5409" w:type="dxa"/>
            <w:vAlign w:val="center"/>
            <w:hideMark/>
          </w:tcPr>
          <w:p w14:paraId="63177FD7"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team is partially formed, with the Project Coordinator and Biodiversity Finance Specialist on board. The Policy and Institutional Review (PIR) and Subsidies Report are now in progress with drafts available. A key challenge remains securing a national policy expert. A Letter of Agreement was signed with the Ministry of Environment to directly implement some activities, and the inception workshop is scheduled for June 2026.</w:t>
            </w:r>
          </w:p>
        </w:tc>
      </w:tr>
      <w:tr w:rsidR="00670408" w:rsidRPr="00237520" w14:paraId="24158F99" w14:textId="77777777" w:rsidTr="00D22022">
        <w:trPr>
          <w:trHeight w:val="1248"/>
          <w:jc w:val="center"/>
        </w:trPr>
        <w:tc>
          <w:tcPr>
            <w:tcW w:w="1250" w:type="dxa"/>
            <w:vAlign w:val="center"/>
            <w:hideMark/>
          </w:tcPr>
          <w:p w14:paraId="178A5D32"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Sudan</w:t>
            </w:r>
            <w:proofErr w:type="spellEnd"/>
          </w:p>
        </w:tc>
        <w:tc>
          <w:tcPr>
            <w:tcW w:w="882" w:type="dxa"/>
            <w:vAlign w:val="center"/>
            <w:hideMark/>
          </w:tcPr>
          <w:p w14:paraId="3225F3D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7507A30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20, 2025</w:t>
            </w:r>
          </w:p>
        </w:tc>
        <w:tc>
          <w:tcPr>
            <w:tcW w:w="1102" w:type="dxa"/>
            <w:vAlign w:val="center"/>
            <w:hideMark/>
          </w:tcPr>
          <w:p w14:paraId="4105C79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240,997.00</w:t>
            </w:r>
          </w:p>
        </w:tc>
        <w:tc>
          <w:tcPr>
            <w:tcW w:w="1056" w:type="dxa"/>
            <w:vAlign w:val="center"/>
            <w:hideMark/>
          </w:tcPr>
          <w:p w14:paraId="15C6BE8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76.75%</w:t>
            </w:r>
          </w:p>
        </w:tc>
        <w:tc>
          <w:tcPr>
            <w:tcW w:w="1382" w:type="dxa"/>
            <w:vAlign w:val="center"/>
          </w:tcPr>
          <w:p w14:paraId="04871BC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240,996.71</w:t>
            </w:r>
          </w:p>
        </w:tc>
        <w:tc>
          <w:tcPr>
            <w:tcW w:w="1136" w:type="dxa"/>
            <w:vAlign w:val="center"/>
          </w:tcPr>
          <w:p w14:paraId="4E407A21"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76.75%</w:t>
            </w:r>
          </w:p>
        </w:tc>
        <w:tc>
          <w:tcPr>
            <w:tcW w:w="5409" w:type="dxa"/>
            <w:vAlign w:val="center"/>
            <w:hideMark/>
          </w:tcPr>
          <w:p w14:paraId="1A9A149D"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fully operational and advancing well, with the Project Coordinator, Environment Policy Expert, and Biodiversity Finance Specialist on board. Following an inception workshop, the Policy and Institutional Review (PIR) and Subsidies Report have been completed and reviewed. The Biodiversity Expenditure Review (BER) and Finance Needs Assessment (FNA) have also been initiated.</w:t>
            </w:r>
          </w:p>
        </w:tc>
      </w:tr>
      <w:tr w:rsidR="00670408" w:rsidRPr="00C67737" w14:paraId="02F69F72" w14:textId="77777777" w:rsidTr="00D22022">
        <w:trPr>
          <w:trHeight w:val="1560"/>
          <w:jc w:val="center"/>
        </w:trPr>
        <w:tc>
          <w:tcPr>
            <w:tcW w:w="1250" w:type="dxa"/>
            <w:vAlign w:val="center"/>
            <w:hideMark/>
          </w:tcPr>
          <w:p w14:paraId="6A329BC6"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Suriname</w:t>
            </w:r>
          </w:p>
        </w:tc>
        <w:tc>
          <w:tcPr>
            <w:tcW w:w="882" w:type="dxa"/>
            <w:vAlign w:val="center"/>
            <w:hideMark/>
          </w:tcPr>
          <w:p w14:paraId="328EE7C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F5F7A64"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Oct 30, 2024</w:t>
            </w:r>
          </w:p>
        </w:tc>
        <w:tc>
          <w:tcPr>
            <w:tcW w:w="1102" w:type="dxa"/>
            <w:vAlign w:val="center"/>
            <w:hideMark/>
          </w:tcPr>
          <w:p w14:paraId="7CE71CC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104,646.00</w:t>
            </w:r>
          </w:p>
        </w:tc>
        <w:tc>
          <w:tcPr>
            <w:tcW w:w="1056" w:type="dxa"/>
            <w:vAlign w:val="center"/>
            <w:hideMark/>
          </w:tcPr>
          <w:p w14:paraId="4947DEF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33.33%</w:t>
            </w:r>
          </w:p>
        </w:tc>
        <w:tc>
          <w:tcPr>
            <w:tcW w:w="1382" w:type="dxa"/>
            <w:vAlign w:val="center"/>
          </w:tcPr>
          <w:p w14:paraId="6540F66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114,992.32</w:t>
            </w:r>
          </w:p>
        </w:tc>
        <w:tc>
          <w:tcPr>
            <w:tcW w:w="1136" w:type="dxa"/>
            <w:vAlign w:val="center"/>
          </w:tcPr>
          <w:p w14:paraId="0839BD5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36.62%</w:t>
            </w:r>
          </w:p>
        </w:tc>
        <w:tc>
          <w:tcPr>
            <w:tcW w:w="5409" w:type="dxa"/>
            <w:vAlign w:val="center"/>
            <w:hideMark/>
          </w:tcPr>
          <w:p w14:paraId="2A225A80" w14:textId="77777777" w:rsidR="00670408" w:rsidRPr="00C67737" w:rsidRDefault="00670408" w:rsidP="00D22022">
            <w:pPr>
              <w:spacing w:after="0"/>
              <w:jc w:val="left"/>
              <w:rPr>
                <w:rFonts w:eastAsia="Times New Roman" w:cstheme="minorHAnsi"/>
                <w:sz w:val="18"/>
                <w:szCs w:val="18"/>
                <w:lang w:eastAsia="en-PH"/>
              </w:rPr>
            </w:pPr>
            <w:r w:rsidRPr="00670408">
              <w:rPr>
                <w:rFonts w:cstheme="minorHAnsi"/>
                <w:sz w:val="18"/>
                <w:szCs w:val="18"/>
                <w:lang w:val="en-US"/>
              </w:rPr>
              <w:t xml:space="preserve">The project is leveraging consulting firms to advance its work, which has allowed for efficient progress. The Policy and Institutional Review (PIR), Biodiversity Expenditure Review (BER), and Finance Needs Assessment (FNA) have all been completed and validated. Work is now focused on the Biodiversity Finance Plan (BFP), which is in progress with a draft pending review. </w:t>
            </w:r>
            <w:r w:rsidRPr="00C67737">
              <w:rPr>
                <w:rFonts w:cstheme="minorHAnsi"/>
                <w:sz w:val="18"/>
                <w:szCs w:val="18"/>
              </w:rPr>
              <w:t xml:space="preserve">The </w:t>
            </w:r>
            <w:proofErr w:type="spellStart"/>
            <w:r w:rsidRPr="00C67737">
              <w:rPr>
                <w:rFonts w:cstheme="minorHAnsi"/>
                <w:sz w:val="18"/>
                <w:szCs w:val="18"/>
              </w:rPr>
              <w:t>project</w:t>
            </w:r>
            <w:proofErr w:type="spellEnd"/>
            <w:r w:rsidRPr="00C67737">
              <w:rPr>
                <w:rFonts w:cstheme="minorHAnsi"/>
                <w:sz w:val="18"/>
                <w:szCs w:val="18"/>
              </w:rPr>
              <w:t xml:space="preserve"> </w:t>
            </w:r>
            <w:proofErr w:type="spellStart"/>
            <w:r w:rsidRPr="00C67737">
              <w:rPr>
                <w:rFonts w:cstheme="minorHAnsi"/>
                <w:sz w:val="18"/>
                <w:szCs w:val="18"/>
              </w:rPr>
              <w:t>associate</w:t>
            </w:r>
            <w:proofErr w:type="spellEnd"/>
            <w:r w:rsidRPr="00C67737">
              <w:rPr>
                <w:rFonts w:cstheme="minorHAnsi"/>
                <w:sz w:val="18"/>
                <w:szCs w:val="18"/>
              </w:rPr>
              <w:t xml:space="preserve"> </w:t>
            </w:r>
            <w:proofErr w:type="spellStart"/>
            <w:r w:rsidRPr="00C67737">
              <w:rPr>
                <w:rFonts w:cstheme="minorHAnsi"/>
                <w:sz w:val="18"/>
                <w:szCs w:val="18"/>
              </w:rPr>
              <w:t>role</w:t>
            </w:r>
            <w:proofErr w:type="spellEnd"/>
            <w:r w:rsidRPr="00C67737">
              <w:rPr>
                <w:rFonts w:cstheme="minorHAnsi"/>
                <w:sz w:val="18"/>
                <w:szCs w:val="18"/>
              </w:rPr>
              <w:t xml:space="preserve"> </w:t>
            </w:r>
            <w:proofErr w:type="spellStart"/>
            <w:r w:rsidRPr="00C67737">
              <w:rPr>
                <w:rFonts w:cstheme="minorHAnsi"/>
                <w:sz w:val="18"/>
                <w:szCs w:val="18"/>
              </w:rPr>
              <w:t>is</w:t>
            </w:r>
            <w:proofErr w:type="spellEnd"/>
            <w:r w:rsidRPr="00C67737">
              <w:rPr>
                <w:rFonts w:cstheme="minorHAnsi"/>
                <w:sz w:val="18"/>
                <w:szCs w:val="18"/>
              </w:rPr>
              <w:t xml:space="preserve"> </w:t>
            </w:r>
            <w:proofErr w:type="spellStart"/>
            <w:r w:rsidRPr="00C67737">
              <w:rPr>
                <w:rFonts w:cstheme="minorHAnsi"/>
                <w:sz w:val="18"/>
                <w:szCs w:val="18"/>
              </w:rPr>
              <w:t>currently</w:t>
            </w:r>
            <w:proofErr w:type="spellEnd"/>
            <w:r w:rsidRPr="00C67737">
              <w:rPr>
                <w:rFonts w:cstheme="minorHAnsi"/>
                <w:sz w:val="18"/>
                <w:szCs w:val="18"/>
              </w:rPr>
              <w:t xml:space="preserve"> </w:t>
            </w:r>
            <w:proofErr w:type="spellStart"/>
            <w:r w:rsidRPr="00C67737">
              <w:rPr>
                <w:rFonts w:cstheme="minorHAnsi"/>
                <w:sz w:val="18"/>
                <w:szCs w:val="18"/>
              </w:rPr>
              <w:t>being</w:t>
            </w:r>
            <w:proofErr w:type="spellEnd"/>
            <w:r w:rsidRPr="00C67737">
              <w:rPr>
                <w:rFonts w:cstheme="minorHAnsi"/>
                <w:sz w:val="18"/>
                <w:szCs w:val="18"/>
              </w:rPr>
              <w:t xml:space="preserve"> </w:t>
            </w:r>
            <w:proofErr w:type="spellStart"/>
            <w:r w:rsidRPr="00C67737">
              <w:rPr>
                <w:rFonts w:cstheme="minorHAnsi"/>
                <w:sz w:val="18"/>
                <w:szCs w:val="18"/>
              </w:rPr>
              <w:t>procured</w:t>
            </w:r>
            <w:proofErr w:type="spellEnd"/>
            <w:r w:rsidRPr="00C67737">
              <w:rPr>
                <w:rFonts w:cstheme="minorHAnsi"/>
                <w:sz w:val="18"/>
                <w:szCs w:val="18"/>
              </w:rPr>
              <w:t>.</w:t>
            </w:r>
          </w:p>
        </w:tc>
      </w:tr>
      <w:tr w:rsidR="00670408" w:rsidRPr="00237520" w14:paraId="11DEA9E8" w14:textId="77777777" w:rsidTr="00D22022">
        <w:trPr>
          <w:trHeight w:val="1248"/>
          <w:jc w:val="center"/>
        </w:trPr>
        <w:tc>
          <w:tcPr>
            <w:tcW w:w="1250" w:type="dxa"/>
            <w:vAlign w:val="center"/>
            <w:hideMark/>
          </w:tcPr>
          <w:p w14:paraId="4A4F7BB4"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Tajikistan</w:t>
            </w:r>
            <w:proofErr w:type="spellEnd"/>
          </w:p>
        </w:tc>
        <w:tc>
          <w:tcPr>
            <w:tcW w:w="882" w:type="dxa"/>
            <w:vAlign w:val="center"/>
            <w:hideMark/>
          </w:tcPr>
          <w:p w14:paraId="6649976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0437583" w14:textId="77777777" w:rsidR="00670408" w:rsidRPr="00C67737" w:rsidRDefault="00670408" w:rsidP="00D22022">
            <w:pPr>
              <w:spacing w:after="0"/>
              <w:jc w:val="center"/>
              <w:rPr>
                <w:rFonts w:eastAsia="Times New Roman" w:cstheme="minorHAnsi"/>
                <w:sz w:val="18"/>
                <w:szCs w:val="18"/>
              </w:rPr>
            </w:pPr>
            <w:proofErr w:type="spellStart"/>
            <w:r w:rsidRPr="00C67737">
              <w:rPr>
                <w:rFonts w:eastAsia="Times New Roman" w:cstheme="minorHAnsi"/>
                <w:sz w:val="18"/>
                <w:szCs w:val="18"/>
              </w:rPr>
              <w:t>Dec</w:t>
            </w:r>
            <w:proofErr w:type="spellEnd"/>
            <w:r w:rsidRPr="00C67737">
              <w:rPr>
                <w:rFonts w:eastAsia="Times New Roman" w:cstheme="minorHAnsi"/>
                <w:sz w:val="18"/>
                <w:szCs w:val="18"/>
              </w:rPr>
              <w:t xml:space="preserve"> 31, 2024</w:t>
            </w:r>
          </w:p>
        </w:tc>
        <w:tc>
          <w:tcPr>
            <w:tcW w:w="1102" w:type="dxa"/>
            <w:vAlign w:val="center"/>
            <w:hideMark/>
          </w:tcPr>
          <w:p w14:paraId="26FFE38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105,240.00</w:t>
            </w:r>
          </w:p>
        </w:tc>
        <w:tc>
          <w:tcPr>
            <w:tcW w:w="1056" w:type="dxa"/>
            <w:vAlign w:val="center"/>
            <w:hideMark/>
          </w:tcPr>
          <w:p w14:paraId="41C9849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33.52%</w:t>
            </w:r>
          </w:p>
        </w:tc>
        <w:tc>
          <w:tcPr>
            <w:tcW w:w="1382" w:type="dxa"/>
            <w:vAlign w:val="center"/>
          </w:tcPr>
          <w:p w14:paraId="6AEFA18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146,287.71</w:t>
            </w:r>
          </w:p>
        </w:tc>
        <w:tc>
          <w:tcPr>
            <w:tcW w:w="1136" w:type="dxa"/>
            <w:vAlign w:val="center"/>
          </w:tcPr>
          <w:p w14:paraId="0615166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46.59%</w:t>
            </w:r>
          </w:p>
        </w:tc>
        <w:tc>
          <w:tcPr>
            <w:tcW w:w="5409" w:type="dxa"/>
            <w:vAlign w:val="center"/>
            <w:hideMark/>
          </w:tcPr>
          <w:p w14:paraId="720A57FE"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A full team is in place and has successfully conducted its Steering Committee and inception meetings, with high interest from the Ministry of Finance. This has enabled excellent progress, with drafts for the Policy and Institutional Review (PIR), Subsidies Report, and Biodiversity Expenditure Review (BER) developed and reviewed. The Finance Needs Assessment (FNA) and the Biodiversity Finance Plan (BFP) are also in progress.</w:t>
            </w:r>
          </w:p>
        </w:tc>
      </w:tr>
      <w:tr w:rsidR="00670408" w:rsidRPr="00237520" w14:paraId="011884DD" w14:textId="77777777" w:rsidTr="00D22022">
        <w:trPr>
          <w:trHeight w:val="936"/>
          <w:jc w:val="center"/>
        </w:trPr>
        <w:tc>
          <w:tcPr>
            <w:tcW w:w="1250" w:type="dxa"/>
            <w:vAlign w:val="center"/>
            <w:hideMark/>
          </w:tcPr>
          <w:p w14:paraId="2628DBDC"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Timor Leste</w:t>
            </w:r>
          </w:p>
        </w:tc>
        <w:tc>
          <w:tcPr>
            <w:tcW w:w="882" w:type="dxa"/>
            <w:vAlign w:val="center"/>
            <w:hideMark/>
          </w:tcPr>
          <w:p w14:paraId="088751B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A56248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Jan 1, 2025</w:t>
            </w:r>
          </w:p>
        </w:tc>
        <w:tc>
          <w:tcPr>
            <w:tcW w:w="1102" w:type="dxa"/>
            <w:vAlign w:val="center"/>
            <w:hideMark/>
          </w:tcPr>
          <w:p w14:paraId="65C358F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81,980.00</w:t>
            </w:r>
          </w:p>
        </w:tc>
        <w:tc>
          <w:tcPr>
            <w:tcW w:w="1056" w:type="dxa"/>
            <w:vAlign w:val="center"/>
            <w:hideMark/>
          </w:tcPr>
          <w:p w14:paraId="12387EA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26.11%</w:t>
            </w:r>
          </w:p>
        </w:tc>
        <w:tc>
          <w:tcPr>
            <w:tcW w:w="1382" w:type="dxa"/>
            <w:vAlign w:val="center"/>
          </w:tcPr>
          <w:p w14:paraId="1C5FA9B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88,931.62</w:t>
            </w:r>
          </w:p>
        </w:tc>
        <w:tc>
          <w:tcPr>
            <w:tcW w:w="1136" w:type="dxa"/>
            <w:vAlign w:val="center"/>
          </w:tcPr>
          <w:p w14:paraId="1CFF3557"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28.32%</w:t>
            </w:r>
          </w:p>
        </w:tc>
        <w:tc>
          <w:tcPr>
            <w:tcW w:w="5409" w:type="dxa"/>
            <w:vAlign w:val="center"/>
            <w:hideMark/>
          </w:tcPr>
          <w:p w14:paraId="05AE0C3F"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team is in place, and procurement for technical expertise is underway. The Policy and Institutional Review (PIR), Subsidies Report, Biodiversity Expenditure Review (BER), and Finance Needs Assessment (FNA) are all in their initial stages of progress. The team is focused on completing the procurement process to accelerate the development of these reports.</w:t>
            </w:r>
          </w:p>
        </w:tc>
      </w:tr>
      <w:tr w:rsidR="00670408" w:rsidRPr="00237520" w14:paraId="5F8EEB9A" w14:textId="77777777" w:rsidTr="00D22022">
        <w:trPr>
          <w:trHeight w:val="1248"/>
          <w:jc w:val="center"/>
        </w:trPr>
        <w:tc>
          <w:tcPr>
            <w:tcW w:w="1250" w:type="dxa"/>
            <w:vAlign w:val="center"/>
            <w:hideMark/>
          </w:tcPr>
          <w:p w14:paraId="24ADB9B3"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Togo</w:t>
            </w:r>
          </w:p>
        </w:tc>
        <w:tc>
          <w:tcPr>
            <w:tcW w:w="882" w:type="dxa"/>
            <w:vAlign w:val="center"/>
            <w:hideMark/>
          </w:tcPr>
          <w:p w14:paraId="37B9D05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E7A3D1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Oct 3, 2025</w:t>
            </w:r>
          </w:p>
        </w:tc>
        <w:tc>
          <w:tcPr>
            <w:tcW w:w="1102" w:type="dxa"/>
            <w:vAlign w:val="center"/>
            <w:hideMark/>
          </w:tcPr>
          <w:p w14:paraId="62863BD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88,683.00</w:t>
            </w:r>
          </w:p>
        </w:tc>
        <w:tc>
          <w:tcPr>
            <w:tcW w:w="1056" w:type="dxa"/>
            <w:vAlign w:val="center"/>
            <w:hideMark/>
          </w:tcPr>
          <w:p w14:paraId="52B3D3E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28.24%</w:t>
            </w:r>
          </w:p>
        </w:tc>
        <w:tc>
          <w:tcPr>
            <w:tcW w:w="1382" w:type="dxa"/>
            <w:vAlign w:val="center"/>
          </w:tcPr>
          <w:p w14:paraId="57D5CC8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108,868.90</w:t>
            </w:r>
          </w:p>
        </w:tc>
        <w:tc>
          <w:tcPr>
            <w:tcW w:w="1136" w:type="dxa"/>
            <w:vAlign w:val="center"/>
          </w:tcPr>
          <w:p w14:paraId="4013BE3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34.67%</w:t>
            </w:r>
          </w:p>
        </w:tc>
        <w:tc>
          <w:tcPr>
            <w:tcW w:w="5409" w:type="dxa"/>
            <w:vAlign w:val="center"/>
            <w:hideMark/>
          </w:tcPr>
          <w:p w14:paraId="507625A4"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Excellent progress is being made with a full team on board and a dynamic coordinator. An advanced version of the Policy and Institutional Review (PIR) has been produced, and drafts are in progress for both it and the Subsidies Report. The Biodiversity Expenditure Review (BER) and Finance Needs Assessment (FNA) have also been initiated, putting the project on a strong trajectory.</w:t>
            </w:r>
          </w:p>
        </w:tc>
      </w:tr>
      <w:tr w:rsidR="00670408" w:rsidRPr="00237520" w14:paraId="0A86E1F7" w14:textId="77777777" w:rsidTr="00D22022">
        <w:trPr>
          <w:trHeight w:val="1248"/>
          <w:jc w:val="center"/>
        </w:trPr>
        <w:tc>
          <w:tcPr>
            <w:tcW w:w="1250" w:type="dxa"/>
            <w:vAlign w:val="center"/>
            <w:hideMark/>
          </w:tcPr>
          <w:p w14:paraId="08F169C9"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Tonga</w:t>
            </w:r>
          </w:p>
        </w:tc>
        <w:tc>
          <w:tcPr>
            <w:tcW w:w="882" w:type="dxa"/>
            <w:vAlign w:val="center"/>
            <w:hideMark/>
          </w:tcPr>
          <w:p w14:paraId="3073FAA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C634F6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38E901F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119,430.42</w:t>
            </w:r>
          </w:p>
        </w:tc>
        <w:tc>
          <w:tcPr>
            <w:tcW w:w="1056" w:type="dxa"/>
            <w:vAlign w:val="center"/>
            <w:hideMark/>
          </w:tcPr>
          <w:p w14:paraId="5DFE71A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38.04%</w:t>
            </w:r>
          </w:p>
        </w:tc>
        <w:tc>
          <w:tcPr>
            <w:tcW w:w="1382" w:type="dxa"/>
            <w:vAlign w:val="center"/>
          </w:tcPr>
          <w:p w14:paraId="055BABC1"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135,812.50</w:t>
            </w:r>
          </w:p>
        </w:tc>
        <w:tc>
          <w:tcPr>
            <w:tcW w:w="1136" w:type="dxa"/>
            <w:vAlign w:val="center"/>
          </w:tcPr>
          <w:p w14:paraId="28D8BD8B"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43.25%</w:t>
            </w:r>
          </w:p>
        </w:tc>
        <w:tc>
          <w:tcPr>
            <w:tcW w:w="5409" w:type="dxa"/>
            <w:vAlign w:val="center"/>
            <w:hideMark/>
          </w:tcPr>
          <w:p w14:paraId="1DEC3A57"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Managed through the centralized PMU in Fiji, the project has successfully contracted the firm </w:t>
            </w:r>
            <w:proofErr w:type="spellStart"/>
            <w:r w:rsidRPr="00670408">
              <w:rPr>
                <w:rFonts w:cstheme="minorHAnsi"/>
                <w:sz w:val="18"/>
                <w:szCs w:val="18"/>
                <w:lang w:val="en-US"/>
              </w:rPr>
              <w:t>Setin</w:t>
            </w:r>
            <w:proofErr w:type="spellEnd"/>
            <w:r w:rsidRPr="00670408">
              <w:rPr>
                <w:rFonts w:cstheme="minorHAnsi"/>
                <w:sz w:val="18"/>
                <w:szCs w:val="18"/>
                <w:lang w:val="en-US"/>
              </w:rPr>
              <w:t xml:space="preserve"> to deliver all key technical reports. Initial meetings between the firm and the MCO have taken place, and weekly meetings are being held to track progress. With the contract finalized, the project is moving into the full implementation of its technical assessments.</w:t>
            </w:r>
          </w:p>
        </w:tc>
      </w:tr>
      <w:tr w:rsidR="00670408" w:rsidRPr="00237520" w14:paraId="06FEF1E4" w14:textId="77777777" w:rsidTr="00D22022">
        <w:trPr>
          <w:trHeight w:val="1248"/>
          <w:jc w:val="center"/>
        </w:trPr>
        <w:tc>
          <w:tcPr>
            <w:tcW w:w="1250" w:type="dxa"/>
            <w:vAlign w:val="center"/>
            <w:hideMark/>
          </w:tcPr>
          <w:p w14:paraId="739789B5"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Trinidad and Tobago</w:t>
            </w:r>
          </w:p>
        </w:tc>
        <w:tc>
          <w:tcPr>
            <w:tcW w:w="882" w:type="dxa"/>
            <w:vAlign w:val="center"/>
            <w:hideMark/>
          </w:tcPr>
          <w:p w14:paraId="178AE1D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605A22F" w14:textId="77777777" w:rsidR="00670408" w:rsidRPr="00C67737" w:rsidRDefault="00670408" w:rsidP="00D22022">
            <w:pPr>
              <w:jc w:val="center"/>
              <w:rPr>
                <w:rFonts w:eastAsia="Aptos" w:cstheme="minorHAnsi"/>
                <w:sz w:val="18"/>
                <w:szCs w:val="18"/>
              </w:rPr>
            </w:pPr>
            <w:proofErr w:type="spellStart"/>
            <w:r w:rsidRPr="00C67737">
              <w:rPr>
                <w:rFonts w:eastAsia="Helvetica" w:cstheme="minorHAnsi"/>
                <w:sz w:val="18"/>
                <w:szCs w:val="18"/>
              </w:rPr>
              <w:t>Feb</w:t>
            </w:r>
            <w:proofErr w:type="spellEnd"/>
            <w:r w:rsidRPr="00C67737">
              <w:rPr>
                <w:rFonts w:eastAsia="Helvetica" w:cstheme="minorHAnsi"/>
                <w:sz w:val="18"/>
                <w:szCs w:val="18"/>
              </w:rPr>
              <w:t xml:space="preserve"> 1, 2026</w:t>
            </w:r>
          </w:p>
        </w:tc>
        <w:tc>
          <w:tcPr>
            <w:tcW w:w="1102" w:type="dxa"/>
            <w:vAlign w:val="center"/>
            <w:hideMark/>
          </w:tcPr>
          <w:p w14:paraId="612BB2B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1,355.00</w:t>
            </w:r>
          </w:p>
        </w:tc>
        <w:tc>
          <w:tcPr>
            <w:tcW w:w="1056" w:type="dxa"/>
            <w:vAlign w:val="center"/>
            <w:hideMark/>
          </w:tcPr>
          <w:p w14:paraId="64735DC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0.43%</w:t>
            </w:r>
          </w:p>
        </w:tc>
        <w:tc>
          <w:tcPr>
            <w:tcW w:w="1382" w:type="dxa"/>
            <w:vAlign w:val="center"/>
          </w:tcPr>
          <w:p w14:paraId="38E0C86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6,768.56</w:t>
            </w:r>
          </w:p>
        </w:tc>
        <w:tc>
          <w:tcPr>
            <w:tcW w:w="1136" w:type="dxa"/>
            <w:vAlign w:val="center"/>
          </w:tcPr>
          <w:p w14:paraId="2275B51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2.16%</w:t>
            </w:r>
          </w:p>
        </w:tc>
        <w:tc>
          <w:tcPr>
            <w:tcW w:w="5409" w:type="dxa"/>
            <w:vAlign w:val="center"/>
            <w:hideMark/>
          </w:tcPr>
          <w:p w14:paraId="18B23098"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Approval of the new Multi-Year Work Plan has unblocked a zero-execution situation, allowing the recruitment of a consultancy firm to deliver all BIOFIN outputs; this process is now in the evaluation stage. In the interim, initial work on the Policy and Institutional Review (PIR) and Biodiversity Expenditure Review (BER) has commenced with support from the EAS project and an allocated Project Associate. A key remaining challenge is the Ministry of Environment's unwillingness to hire a National Coordinator.</w:t>
            </w:r>
          </w:p>
        </w:tc>
      </w:tr>
      <w:tr w:rsidR="00670408" w:rsidRPr="00D95ACA" w14:paraId="66FE4E4A" w14:textId="77777777" w:rsidTr="00D22022">
        <w:trPr>
          <w:trHeight w:val="1560"/>
          <w:jc w:val="center"/>
        </w:trPr>
        <w:tc>
          <w:tcPr>
            <w:tcW w:w="1250" w:type="dxa"/>
            <w:vAlign w:val="center"/>
            <w:hideMark/>
          </w:tcPr>
          <w:p w14:paraId="7D9273EB"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Tunisia</w:t>
            </w:r>
          </w:p>
        </w:tc>
        <w:tc>
          <w:tcPr>
            <w:tcW w:w="882" w:type="dxa"/>
            <w:vAlign w:val="center"/>
            <w:hideMark/>
          </w:tcPr>
          <w:p w14:paraId="7675F22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5D6F49E"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Mar 10, 2025</w:t>
            </w:r>
          </w:p>
        </w:tc>
        <w:tc>
          <w:tcPr>
            <w:tcW w:w="1102" w:type="dxa"/>
            <w:vAlign w:val="center"/>
            <w:hideMark/>
          </w:tcPr>
          <w:p w14:paraId="42732B6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167,092.00</w:t>
            </w:r>
          </w:p>
        </w:tc>
        <w:tc>
          <w:tcPr>
            <w:tcW w:w="1056" w:type="dxa"/>
            <w:vAlign w:val="center"/>
            <w:hideMark/>
          </w:tcPr>
          <w:p w14:paraId="5754549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53.21%</w:t>
            </w:r>
          </w:p>
        </w:tc>
        <w:tc>
          <w:tcPr>
            <w:tcW w:w="1382" w:type="dxa"/>
            <w:vAlign w:val="center"/>
          </w:tcPr>
          <w:p w14:paraId="593D5C8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175,901.51</w:t>
            </w:r>
          </w:p>
        </w:tc>
        <w:tc>
          <w:tcPr>
            <w:tcW w:w="1136" w:type="dxa"/>
            <w:vAlign w:val="center"/>
          </w:tcPr>
          <w:p w14:paraId="22145C3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56.02%</w:t>
            </w:r>
          </w:p>
        </w:tc>
        <w:tc>
          <w:tcPr>
            <w:tcW w:w="5409" w:type="dxa"/>
            <w:vAlign w:val="center"/>
            <w:hideMark/>
          </w:tcPr>
          <w:p w14:paraId="0221D53E"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The project is advancing well with a strong and active national coordinator and a full team on board. The Policy and Institutional Review (PIR) is nearly finalized, with drafts in progress for it and the Subsidies Report. The Biodiversity Expenditure Review (BER), Finance Needs Assessment (FNA), and Biodiversity Finance Plan (BFP) have also been initiated. A strong potential </w:t>
            </w:r>
            <w:proofErr w:type="gramStart"/>
            <w:r w:rsidRPr="00670408">
              <w:rPr>
                <w:rFonts w:cstheme="minorHAnsi"/>
                <w:sz w:val="18"/>
                <w:szCs w:val="18"/>
                <w:lang w:val="en-US"/>
              </w:rPr>
              <w:t>to</w:t>
            </w:r>
            <w:proofErr w:type="gramEnd"/>
            <w:r w:rsidRPr="00670408">
              <w:rPr>
                <w:rFonts w:cstheme="minorHAnsi"/>
                <w:sz w:val="18"/>
                <w:szCs w:val="18"/>
                <w:lang w:val="en-US"/>
              </w:rPr>
              <w:t xml:space="preserve"> mainstream gender into the BFP has been identified as an opportunity for added value.</w:t>
            </w:r>
          </w:p>
        </w:tc>
      </w:tr>
      <w:tr w:rsidR="00670408" w:rsidRPr="00237520" w14:paraId="0B5942D1" w14:textId="77777777" w:rsidTr="00D22022">
        <w:trPr>
          <w:trHeight w:val="1248"/>
          <w:jc w:val="center"/>
        </w:trPr>
        <w:tc>
          <w:tcPr>
            <w:tcW w:w="1250" w:type="dxa"/>
            <w:vAlign w:val="center"/>
            <w:hideMark/>
          </w:tcPr>
          <w:p w14:paraId="450E5184"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Türkiye</w:t>
            </w:r>
          </w:p>
        </w:tc>
        <w:tc>
          <w:tcPr>
            <w:tcW w:w="882" w:type="dxa"/>
            <w:vAlign w:val="center"/>
            <w:hideMark/>
          </w:tcPr>
          <w:p w14:paraId="5159FD4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455B1AF" w14:textId="77777777" w:rsidR="00670408" w:rsidRPr="00C67737" w:rsidRDefault="00670408" w:rsidP="00D22022">
            <w:pPr>
              <w:jc w:val="center"/>
              <w:rPr>
                <w:rFonts w:eastAsia="Aptos" w:cstheme="minorHAnsi"/>
                <w:sz w:val="18"/>
                <w:szCs w:val="18"/>
              </w:rPr>
            </w:pPr>
            <w:r w:rsidRPr="00C67737">
              <w:rPr>
                <w:rFonts w:eastAsia="Helvetica" w:cstheme="minorHAnsi"/>
                <w:sz w:val="18"/>
                <w:szCs w:val="18"/>
              </w:rPr>
              <w:t>Sep 1, 2024</w:t>
            </w:r>
          </w:p>
        </w:tc>
        <w:tc>
          <w:tcPr>
            <w:tcW w:w="1102" w:type="dxa"/>
            <w:vAlign w:val="center"/>
            <w:hideMark/>
          </w:tcPr>
          <w:p w14:paraId="668E3ED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157,596.00</w:t>
            </w:r>
          </w:p>
        </w:tc>
        <w:tc>
          <w:tcPr>
            <w:tcW w:w="1056" w:type="dxa"/>
            <w:vAlign w:val="center"/>
            <w:hideMark/>
          </w:tcPr>
          <w:p w14:paraId="7A0DCE1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50.19%</w:t>
            </w:r>
          </w:p>
        </w:tc>
        <w:tc>
          <w:tcPr>
            <w:tcW w:w="1382" w:type="dxa"/>
            <w:vAlign w:val="center"/>
          </w:tcPr>
          <w:p w14:paraId="7EA9331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183,529.22</w:t>
            </w:r>
          </w:p>
        </w:tc>
        <w:tc>
          <w:tcPr>
            <w:tcW w:w="1136" w:type="dxa"/>
            <w:vAlign w:val="center"/>
          </w:tcPr>
          <w:p w14:paraId="3C1992E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58.45%</w:t>
            </w:r>
          </w:p>
        </w:tc>
        <w:tc>
          <w:tcPr>
            <w:tcW w:w="5409" w:type="dxa"/>
            <w:vAlign w:val="center"/>
            <w:hideMark/>
          </w:tcPr>
          <w:p w14:paraId="3C25A5DF"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demonstrating very strong government ownership, with a National Coordinator on board and a successful inception workshop held in November. This has laid a solid foundation for the technical work to begin. The Policy and Institutional Review (PIR), Biodiversity Expenditure Review (BER), and Finance Needs Assessment (FNA) are all now in progress, with the PIR draft currently under review by the Country Office.</w:t>
            </w:r>
          </w:p>
        </w:tc>
      </w:tr>
      <w:tr w:rsidR="00670408" w:rsidRPr="00237520" w14:paraId="2037BED4" w14:textId="77777777" w:rsidTr="00D22022">
        <w:trPr>
          <w:trHeight w:val="1248"/>
          <w:jc w:val="center"/>
        </w:trPr>
        <w:tc>
          <w:tcPr>
            <w:tcW w:w="1250" w:type="dxa"/>
            <w:vAlign w:val="center"/>
            <w:hideMark/>
          </w:tcPr>
          <w:p w14:paraId="7A65077E"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Turkmenistan</w:t>
            </w:r>
            <w:proofErr w:type="spellEnd"/>
          </w:p>
        </w:tc>
        <w:tc>
          <w:tcPr>
            <w:tcW w:w="882" w:type="dxa"/>
            <w:vAlign w:val="center"/>
            <w:hideMark/>
          </w:tcPr>
          <w:p w14:paraId="10DD562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63DCC17" w14:textId="77777777" w:rsidR="00670408" w:rsidRPr="00C67737" w:rsidRDefault="00670408" w:rsidP="00D22022">
            <w:pPr>
              <w:jc w:val="center"/>
              <w:rPr>
                <w:rFonts w:eastAsia="Aptos" w:cstheme="minorHAnsi"/>
                <w:sz w:val="18"/>
                <w:szCs w:val="18"/>
              </w:rPr>
            </w:pPr>
            <w:r w:rsidRPr="00C67737">
              <w:rPr>
                <w:rFonts w:eastAsia="Helvetica" w:cstheme="minorHAnsi"/>
                <w:sz w:val="18"/>
                <w:szCs w:val="18"/>
              </w:rPr>
              <w:t>May 14, 2025</w:t>
            </w:r>
          </w:p>
        </w:tc>
        <w:tc>
          <w:tcPr>
            <w:tcW w:w="1102" w:type="dxa"/>
            <w:vAlign w:val="center"/>
            <w:hideMark/>
          </w:tcPr>
          <w:p w14:paraId="5BCB464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74,075.00</w:t>
            </w:r>
          </w:p>
        </w:tc>
        <w:tc>
          <w:tcPr>
            <w:tcW w:w="1056" w:type="dxa"/>
            <w:vAlign w:val="center"/>
            <w:hideMark/>
          </w:tcPr>
          <w:p w14:paraId="2052F26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23.59%</w:t>
            </w:r>
          </w:p>
        </w:tc>
        <w:tc>
          <w:tcPr>
            <w:tcW w:w="1382" w:type="dxa"/>
            <w:vAlign w:val="center"/>
          </w:tcPr>
          <w:p w14:paraId="292AE5A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84,454.83</w:t>
            </w:r>
          </w:p>
        </w:tc>
        <w:tc>
          <w:tcPr>
            <w:tcW w:w="1136" w:type="dxa"/>
            <w:vAlign w:val="center"/>
          </w:tcPr>
          <w:p w14:paraId="6DB968B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26.90%</w:t>
            </w:r>
          </w:p>
        </w:tc>
        <w:tc>
          <w:tcPr>
            <w:tcW w:w="5409" w:type="dxa"/>
            <w:vAlign w:val="center"/>
            <w:hideMark/>
          </w:tcPr>
          <w:p w14:paraId="7CF3635C"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The project is fully operational with a National Coordinator and Project Associate on board, and the inception meeting was held in October. Work has begun on the Policy and Institutional Review (PIR), Subsidies Report, Biodiversity Expenditure Review (BER), and Finance Needs Assessment (FNA). A challenge to note is the upcoming maternity leave of the National Coordinator, for which an interim replacement will be hired to ensure continuity.</w:t>
            </w:r>
          </w:p>
        </w:tc>
      </w:tr>
      <w:tr w:rsidR="00670408" w:rsidRPr="00237520" w14:paraId="7AE7D0D6" w14:textId="77777777" w:rsidTr="00D22022">
        <w:trPr>
          <w:trHeight w:val="936"/>
          <w:jc w:val="center"/>
        </w:trPr>
        <w:tc>
          <w:tcPr>
            <w:tcW w:w="1250" w:type="dxa"/>
            <w:vAlign w:val="center"/>
            <w:hideMark/>
          </w:tcPr>
          <w:p w14:paraId="15A08EFA"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Tuvalu</w:t>
            </w:r>
          </w:p>
        </w:tc>
        <w:tc>
          <w:tcPr>
            <w:tcW w:w="882" w:type="dxa"/>
            <w:vAlign w:val="center"/>
            <w:hideMark/>
          </w:tcPr>
          <w:p w14:paraId="4B99DCF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8BFE3BF"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249110A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113,048.53</w:t>
            </w:r>
          </w:p>
        </w:tc>
        <w:tc>
          <w:tcPr>
            <w:tcW w:w="1056" w:type="dxa"/>
            <w:vAlign w:val="center"/>
            <w:hideMark/>
          </w:tcPr>
          <w:p w14:paraId="6C395AB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36.00%</w:t>
            </w:r>
          </w:p>
        </w:tc>
        <w:tc>
          <w:tcPr>
            <w:tcW w:w="1382" w:type="dxa"/>
            <w:vAlign w:val="center"/>
          </w:tcPr>
          <w:p w14:paraId="6F5B1711"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124,438.63</w:t>
            </w:r>
          </w:p>
        </w:tc>
        <w:tc>
          <w:tcPr>
            <w:tcW w:w="1136" w:type="dxa"/>
            <w:vAlign w:val="center"/>
          </w:tcPr>
          <w:p w14:paraId="1490E4AF"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39.63%</w:t>
            </w:r>
          </w:p>
        </w:tc>
        <w:tc>
          <w:tcPr>
            <w:tcW w:w="5409" w:type="dxa"/>
            <w:vAlign w:val="center"/>
            <w:hideMark/>
          </w:tcPr>
          <w:p w14:paraId="15A1CAA5"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Managed through the centralized PMU in Fiji, the project has successfully contracted the firm Grant Thornton to conduct the PIR, BER, FNA, and BFP. Initial introductory meetings between the firm and the MCO have taken place. With the technical expertise now secured, the project is ready to commence its core assessment phase.</w:t>
            </w:r>
          </w:p>
        </w:tc>
      </w:tr>
      <w:tr w:rsidR="00670408" w:rsidRPr="00237520" w14:paraId="4D79F8EB" w14:textId="77777777" w:rsidTr="00D22022">
        <w:trPr>
          <w:trHeight w:val="431"/>
          <w:jc w:val="center"/>
        </w:trPr>
        <w:tc>
          <w:tcPr>
            <w:tcW w:w="1250" w:type="dxa"/>
            <w:vAlign w:val="center"/>
            <w:hideMark/>
          </w:tcPr>
          <w:p w14:paraId="2A43AB16"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Uruguay</w:t>
            </w:r>
          </w:p>
        </w:tc>
        <w:tc>
          <w:tcPr>
            <w:tcW w:w="882" w:type="dxa"/>
            <w:vAlign w:val="center"/>
            <w:hideMark/>
          </w:tcPr>
          <w:p w14:paraId="010742E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E9DB46B" w14:textId="77777777" w:rsidR="00670408" w:rsidRPr="00C67737" w:rsidRDefault="00670408" w:rsidP="00D22022">
            <w:pPr>
              <w:jc w:val="center"/>
              <w:rPr>
                <w:rFonts w:eastAsia="Aptos" w:cstheme="minorHAnsi"/>
                <w:sz w:val="18"/>
                <w:szCs w:val="18"/>
              </w:rPr>
            </w:pPr>
            <w:r w:rsidRPr="00C67737">
              <w:rPr>
                <w:rFonts w:eastAsia="Aptos" w:cstheme="minorHAnsi"/>
                <w:sz w:val="18"/>
                <w:szCs w:val="18"/>
              </w:rPr>
              <w:t>May 1, 2025</w:t>
            </w:r>
          </w:p>
        </w:tc>
        <w:tc>
          <w:tcPr>
            <w:tcW w:w="1102" w:type="dxa"/>
            <w:vAlign w:val="center"/>
            <w:hideMark/>
          </w:tcPr>
          <w:p w14:paraId="531F17F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81,017.00</w:t>
            </w:r>
          </w:p>
        </w:tc>
        <w:tc>
          <w:tcPr>
            <w:tcW w:w="1056" w:type="dxa"/>
            <w:vAlign w:val="center"/>
            <w:hideMark/>
          </w:tcPr>
          <w:p w14:paraId="6AE6E1F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25.80%</w:t>
            </w:r>
          </w:p>
        </w:tc>
        <w:tc>
          <w:tcPr>
            <w:tcW w:w="1382" w:type="dxa"/>
            <w:vAlign w:val="center"/>
          </w:tcPr>
          <w:p w14:paraId="3678901C"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116,522.95</w:t>
            </w:r>
          </w:p>
        </w:tc>
        <w:tc>
          <w:tcPr>
            <w:tcW w:w="1136" w:type="dxa"/>
            <w:vAlign w:val="center"/>
          </w:tcPr>
          <w:p w14:paraId="4A3D5CE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37.11%</w:t>
            </w:r>
          </w:p>
        </w:tc>
        <w:tc>
          <w:tcPr>
            <w:tcW w:w="5409" w:type="dxa"/>
            <w:vAlign w:val="center"/>
            <w:hideMark/>
          </w:tcPr>
          <w:p w14:paraId="2F222F36"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A well-established team is in place, and the Policy and Institutional Review (PIR) has been completed, validated, and publicly presented. Current efforts are focused on strengthening the Biodiversity Expenditure Review (BER) by updating it and reinforcing the private sector dimension with a dedicated consultant. The TORs for negative subsidies and the FNA are under government review. A key upcoming challenge is the National Coordinator's planned maternity leave, but the Finance Specialist is prepared to ensure continuity.</w:t>
            </w:r>
          </w:p>
        </w:tc>
      </w:tr>
      <w:tr w:rsidR="00670408" w:rsidRPr="00237520" w14:paraId="78E5F897" w14:textId="77777777" w:rsidTr="00D22022">
        <w:trPr>
          <w:trHeight w:val="936"/>
          <w:jc w:val="center"/>
        </w:trPr>
        <w:tc>
          <w:tcPr>
            <w:tcW w:w="1250" w:type="dxa"/>
            <w:vAlign w:val="center"/>
            <w:hideMark/>
          </w:tcPr>
          <w:p w14:paraId="5B4F2217"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Vanuatu</w:t>
            </w:r>
          </w:p>
        </w:tc>
        <w:tc>
          <w:tcPr>
            <w:tcW w:w="882" w:type="dxa"/>
            <w:vAlign w:val="center"/>
            <w:hideMark/>
          </w:tcPr>
          <w:p w14:paraId="05DBBA9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9917AA8" w14:textId="77777777" w:rsidR="00670408" w:rsidRPr="00C67737" w:rsidRDefault="00670408" w:rsidP="00D22022">
            <w:pPr>
              <w:spacing w:after="0"/>
              <w:jc w:val="center"/>
              <w:rPr>
                <w:rFonts w:eastAsia="Times New Roman" w:cstheme="minorHAnsi"/>
                <w:sz w:val="18"/>
                <w:szCs w:val="18"/>
              </w:rPr>
            </w:pPr>
            <w:r w:rsidRPr="00C67737">
              <w:rPr>
                <w:rFonts w:eastAsia="Times New Roman" w:cstheme="minorHAnsi"/>
                <w:sz w:val="18"/>
                <w:szCs w:val="18"/>
              </w:rPr>
              <w:t>Jul 1, 2025</w:t>
            </w:r>
          </w:p>
        </w:tc>
        <w:tc>
          <w:tcPr>
            <w:tcW w:w="1102" w:type="dxa"/>
            <w:vAlign w:val="center"/>
            <w:hideMark/>
          </w:tcPr>
          <w:p w14:paraId="3D1B7664"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116,169.61</w:t>
            </w:r>
          </w:p>
        </w:tc>
        <w:tc>
          <w:tcPr>
            <w:tcW w:w="1056" w:type="dxa"/>
            <w:vAlign w:val="center"/>
            <w:hideMark/>
          </w:tcPr>
          <w:p w14:paraId="6199C1B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37.00%</w:t>
            </w:r>
          </w:p>
        </w:tc>
        <w:tc>
          <w:tcPr>
            <w:tcW w:w="1382" w:type="dxa"/>
            <w:vAlign w:val="center"/>
          </w:tcPr>
          <w:p w14:paraId="62A9EFE2"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130,552.37</w:t>
            </w:r>
          </w:p>
        </w:tc>
        <w:tc>
          <w:tcPr>
            <w:tcW w:w="1136" w:type="dxa"/>
            <w:vAlign w:val="center"/>
          </w:tcPr>
          <w:p w14:paraId="2C649FD9" w14:textId="77777777" w:rsidR="00670408" w:rsidRPr="00C67737" w:rsidRDefault="00670408" w:rsidP="00D22022">
            <w:pPr>
              <w:jc w:val="center"/>
              <w:rPr>
                <w:rFonts w:eastAsia="Times New Roman" w:cstheme="minorHAnsi"/>
                <w:sz w:val="18"/>
                <w:szCs w:val="18"/>
                <w:lang w:eastAsia="en-PH"/>
              </w:rPr>
            </w:pPr>
            <w:r w:rsidRPr="00C67737">
              <w:rPr>
                <w:rFonts w:eastAsia="Times New Roman" w:cstheme="minorHAnsi"/>
                <w:sz w:val="18"/>
                <w:szCs w:val="18"/>
              </w:rPr>
              <w:t>41.58%</w:t>
            </w:r>
          </w:p>
        </w:tc>
        <w:tc>
          <w:tcPr>
            <w:tcW w:w="5409" w:type="dxa"/>
            <w:vAlign w:val="center"/>
            <w:hideMark/>
          </w:tcPr>
          <w:p w14:paraId="2B550D24"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 xml:space="preserve">Part of the centralized PMU in Fiji, the project has successfully contracted the firm </w:t>
            </w:r>
            <w:proofErr w:type="spellStart"/>
            <w:r w:rsidRPr="00670408">
              <w:rPr>
                <w:rFonts w:cstheme="minorHAnsi"/>
                <w:sz w:val="18"/>
                <w:szCs w:val="18"/>
                <w:lang w:val="en-US"/>
              </w:rPr>
              <w:t>Setin</w:t>
            </w:r>
            <w:proofErr w:type="spellEnd"/>
            <w:r w:rsidRPr="00670408">
              <w:rPr>
                <w:rFonts w:cstheme="minorHAnsi"/>
                <w:sz w:val="18"/>
                <w:szCs w:val="18"/>
                <w:lang w:val="en-US"/>
              </w:rPr>
              <w:t xml:space="preserve"> to deliver the Policy and Institutional Review (PIR), Subsidies Report, and other key technical work. Initial meetings between the firm and the MCO have taken place, and weekly progress meetings are underway, triggering the start of the project's technical assessments.</w:t>
            </w:r>
          </w:p>
        </w:tc>
      </w:tr>
      <w:tr w:rsidR="00670408" w:rsidRPr="00237520" w14:paraId="5123EDD7" w14:textId="77777777" w:rsidTr="00D22022">
        <w:trPr>
          <w:trHeight w:val="1248"/>
          <w:jc w:val="center"/>
        </w:trPr>
        <w:tc>
          <w:tcPr>
            <w:tcW w:w="1250" w:type="dxa"/>
            <w:vAlign w:val="center"/>
            <w:hideMark/>
          </w:tcPr>
          <w:p w14:paraId="297EA2E1"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Venezuela</w:t>
            </w:r>
          </w:p>
        </w:tc>
        <w:tc>
          <w:tcPr>
            <w:tcW w:w="882" w:type="dxa"/>
            <w:vAlign w:val="center"/>
            <w:hideMark/>
          </w:tcPr>
          <w:p w14:paraId="7A3B6C7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4BD5CE2"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Mar 19, 2026</w:t>
            </w:r>
          </w:p>
        </w:tc>
        <w:tc>
          <w:tcPr>
            <w:tcW w:w="1102" w:type="dxa"/>
            <w:vAlign w:val="center"/>
            <w:hideMark/>
          </w:tcPr>
          <w:p w14:paraId="7FA13EE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33,300.00</w:t>
            </w:r>
          </w:p>
        </w:tc>
        <w:tc>
          <w:tcPr>
            <w:tcW w:w="1056" w:type="dxa"/>
            <w:vAlign w:val="center"/>
            <w:hideMark/>
          </w:tcPr>
          <w:p w14:paraId="67F777A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10.61%</w:t>
            </w:r>
          </w:p>
        </w:tc>
        <w:tc>
          <w:tcPr>
            <w:tcW w:w="1382" w:type="dxa"/>
            <w:vAlign w:val="center"/>
          </w:tcPr>
          <w:p w14:paraId="1BB69AE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43,638.69</w:t>
            </w:r>
          </w:p>
        </w:tc>
        <w:tc>
          <w:tcPr>
            <w:tcW w:w="1136" w:type="dxa"/>
            <w:vAlign w:val="center"/>
          </w:tcPr>
          <w:p w14:paraId="4760C00B"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13.90%</w:t>
            </w:r>
          </w:p>
        </w:tc>
        <w:tc>
          <w:tcPr>
            <w:tcW w:w="5409" w:type="dxa"/>
            <w:vAlign w:val="center"/>
            <w:hideMark/>
          </w:tcPr>
          <w:p w14:paraId="65B44E12"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Despite a complex political context, the project team is being consolidated. The National Coordinator started in May, and an international consultant has begun work on the Policy and Institutional Review (PIR). To ensure local ownership and feasibility, a senior national consultant will be recruited to complement the international expertise. Procurement for this role and the Finance Specialist is ongoing.</w:t>
            </w:r>
          </w:p>
        </w:tc>
      </w:tr>
      <w:tr w:rsidR="00670408" w:rsidRPr="00237520" w14:paraId="2555AAC7" w14:textId="77777777" w:rsidTr="00D22022">
        <w:trPr>
          <w:trHeight w:val="1248"/>
          <w:jc w:val="center"/>
        </w:trPr>
        <w:tc>
          <w:tcPr>
            <w:tcW w:w="1250" w:type="dxa"/>
            <w:vAlign w:val="center"/>
            <w:hideMark/>
          </w:tcPr>
          <w:p w14:paraId="6A68411F" w14:textId="77777777" w:rsidR="00670408" w:rsidRPr="00C67737" w:rsidRDefault="00670408" w:rsidP="00D22022">
            <w:pPr>
              <w:spacing w:after="0"/>
              <w:ind w:left="98"/>
              <w:jc w:val="center"/>
              <w:rPr>
                <w:rFonts w:eastAsia="Times New Roman" w:cstheme="minorHAnsi"/>
                <w:sz w:val="18"/>
                <w:szCs w:val="18"/>
                <w:lang w:eastAsia="en-PH"/>
              </w:rPr>
            </w:pPr>
            <w:proofErr w:type="spellStart"/>
            <w:r w:rsidRPr="00C67737">
              <w:rPr>
                <w:rFonts w:eastAsia="Times New Roman" w:cstheme="minorHAnsi"/>
                <w:sz w:val="18"/>
                <w:szCs w:val="18"/>
                <w:lang w:eastAsia="en-PH"/>
              </w:rPr>
              <w:t>Yemen</w:t>
            </w:r>
            <w:proofErr w:type="spellEnd"/>
          </w:p>
        </w:tc>
        <w:tc>
          <w:tcPr>
            <w:tcW w:w="882" w:type="dxa"/>
            <w:vAlign w:val="center"/>
            <w:hideMark/>
          </w:tcPr>
          <w:p w14:paraId="3C97314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F4B5E85" w14:textId="77777777" w:rsidR="00670408" w:rsidRPr="00C67737" w:rsidRDefault="00670408" w:rsidP="00D22022">
            <w:pPr>
              <w:jc w:val="center"/>
              <w:rPr>
                <w:rFonts w:eastAsia="Aptos" w:cstheme="minorHAnsi"/>
                <w:sz w:val="18"/>
                <w:szCs w:val="18"/>
              </w:rPr>
            </w:pPr>
            <w:proofErr w:type="spellStart"/>
            <w:r w:rsidRPr="00C67737">
              <w:rPr>
                <w:rFonts w:eastAsia="Aptos" w:cstheme="minorHAnsi"/>
                <w:sz w:val="18"/>
                <w:szCs w:val="18"/>
              </w:rPr>
              <w:t>Feb</w:t>
            </w:r>
            <w:proofErr w:type="spellEnd"/>
            <w:r w:rsidRPr="00C67737">
              <w:rPr>
                <w:rFonts w:eastAsia="Aptos" w:cstheme="minorHAnsi"/>
                <w:sz w:val="18"/>
                <w:szCs w:val="18"/>
              </w:rPr>
              <w:t xml:space="preserve"> 1, 2025</w:t>
            </w:r>
          </w:p>
        </w:tc>
        <w:tc>
          <w:tcPr>
            <w:tcW w:w="1102" w:type="dxa"/>
            <w:vAlign w:val="center"/>
            <w:hideMark/>
          </w:tcPr>
          <w:p w14:paraId="5975DE58"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107,266.00</w:t>
            </w:r>
          </w:p>
        </w:tc>
        <w:tc>
          <w:tcPr>
            <w:tcW w:w="1056" w:type="dxa"/>
            <w:vAlign w:val="center"/>
            <w:hideMark/>
          </w:tcPr>
          <w:p w14:paraId="19DFC17E"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34.16%</w:t>
            </w:r>
          </w:p>
        </w:tc>
        <w:tc>
          <w:tcPr>
            <w:tcW w:w="1382" w:type="dxa"/>
            <w:vAlign w:val="center"/>
          </w:tcPr>
          <w:p w14:paraId="380ECB5A" w14:textId="77777777" w:rsidR="00670408" w:rsidRPr="00C67737" w:rsidRDefault="00670408" w:rsidP="00D22022">
            <w:pPr>
              <w:jc w:val="center"/>
              <w:rPr>
                <w:rFonts w:eastAsia="Times New Roman" w:cstheme="minorHAnsi"/>
                <w:sz w:val="18"/>
                <w:szCs w:val="18"/>
                <w:lang w:eastAsia="en-PH"/>
              </w:rPr>
            </w:pPr>
            <w:r w:rsidRPr="00C67737">
              <w:rPr>
                <w:rFonts w:eastAsia="Aptos" w:cstheme="minorHAnsi"/>
                <w:sz w:val="18"/>
                <w:szCs w:val="18"/>
              </w:rPr>
              <w:t>96,427.66</w:t>
            </w:r>
          </w:p>
        </w:tc>
        <w:tc>
          <w:tcPr>
            <w:tcW w:w="1136" w:type="dxa"/>
            <w:vAlign w:val="center"/>
          </w:tcPr>
          <w:p w14:paraId="2A9C0799"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30.71%</w:t>
            </w:r>
          </w:p>
        </w:tc>
        <w:tc>
          <w:tcPr>
            <w:tcW w:w="5409" w:type="dxa"/>
            <w:vAlign w:val="center"/>
            <w:hideMark/>
          </w:tcPr>
          <w:p w14:paraId="3EDC527F" w14:textId="77777777" w:rsidR="00670408" w:rsidRPr="00670408" w:rsidRDefault="00670408" w:rsidP="00D22022">
            <w:pPr>
              <w:spacing w:after="0"/>
              <w:jc w:val="left"/>
              <w:rPr>
                <w:rFonts w:eastAsia="Times New Roman" w:cstheme="minorHAnsi"/>
                <w:sz w:val="18"/>
                <w:szCs w:val="18"/>
                <w:lang w:val="en-US" w:eastAsia="en-PH"/>
              </w:rPr>
            </w:pPr>
            <w:r w:rsidRPr="00670408">
              <w:rPr>
                <w:rFonts w:cstheme="minorHAnsi"/>
                <w:sz w:val="18"/>
                <w:szCs w:val="18"/>
                <w:lang w:val="en-US"/>
              </w:rPr>
              <w:t>Strong progress is being made with a full team in place, including a Project Coordinator, an international expert, and national policy and finance experts. The project shares a strengthened Steering Committee with related initiatives, including participation from the Ministry of Finance and the Chamber of Commerce. This robust structure has enabled the Policy and Institutional Review (PIR) and the Subsidies Report to get underway.</w:t>
            </w:r>
          </w:p>
        </w:tc>
      </w:tr>
      <w:tr w:rsidR="00670408" w:rsidRPr="00237520" w14:paraId="1290F625" w14:textId="77777777" w:rsidTr="00D22022">
        <w:trPr>
          <w:trHeight w:val="936"/>
          <w:jc w:val="center"/>
        </w:trPr>
        <w:tc>
          <w:tcPr>
            <w:tcW w:w="1250" w:type="dxa"/>
            <w:vAlign w:val="center"/>
            <w:hideMark/>
          </w:tcPr>
          <w:p w14:paraId="6285698F" w14:textId="77777777" w:rsidR="00670408" w:rsidRPr="00C67737" w:rsidRDefault="00670408" w:rsidP="00D22022">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Zimbabwe</w:t>
            </w:r>
          </w:p>
        </w:tc>
        <w:tc>
          <w:tcPr>
            <w:tcW w:w="882" w:type="dxa"/>
            <w:vAlign w:val="center"/>
            <w:hideMark/>
          </w:tcPr>
          <w:p w14:paraId="332F87EA"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17DE43D"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Oct 1, 2025</w:t>
            </w:r>
          </w:p>
        </w:tc>
        <w:tc>
          <w:tcPr>
            <w:tcW w:w="1102" w:type="dxa"/>
            <w:vAlign w:val="center"/>
            <w:hideMark/>
          </w:tcPr>
          <w:p w14:paraId="15A9D5E6"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105,702.00</w:t>
            </w:r>
          </w:p>
        </w:tc>
        <w:tc>
          <w:tcPr>
            <w:tcW w:w="1056" w:type="dxa"/>
            <w:vAlign w:val="center"/>
            <w:hideMark/>
          </w:tcPr>
          <w:p w14:paraId="2F7F94F3"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lang w:eastAsia="en-PH"/>
              </w:rPr>
              <w:t>33.66%</w:t>
            </w:r>
          </w:p>
        </w:tc>
        <w:tc>
          <w:tcPr>
            <w:tcW w:w="1382" w:type="dxa"/>
            <w:vAlign w:val="center"/>
          </w:tcPr>
          <w:p w14:paraId="4C81F130"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118,646.07</w:t>
            </w:r>
          </w:p>
        </w:tc>
        <w:tc>
          <w:tcPr>
            <w:tcW w:w="1136" w:type="dxa"/>
            <w:vAlign w:val="center"/>
          </w:tcPr>
          <w:p w14:paraId="300EA025" w14:textId="77777777" w:rsidR="00670408" w:rsidRPr="00C67737" w:rsidRDefault="00670408" w:rsidP="00D22022">
            <w:pPr>
              <w:spacing w:after="0"/>
              <w:jc w:val="center"/>
              <w:rPr>
                <w:rFonts w:eastAsia="Times New Roman" w:cstheme="minorHAnsi"/>
                <w:sz w:val="18"/>
                <w:szCs w:val="18"/>
                <w:lang w:eastAsia="en-PH"/>
              </w:rPr>
            </w:pPr>
            <w:r w:rsidRPr="00C67737">
              <w:rPr>
                <w:rFonts w:eastAsia="Times New Roman" w:cstheme="minorHAnsi"/>
                <w:sz w:val="18"/>
                <w:szCs w:val="18"/>
              </w:rPr>
              <w:t>37.79%</w:t>
            </w:r>
          </w:p>
        </w:tc>
        <w:tc>
          <w:tcPr>
            <w:tcW w:w="5409" w:type="dxa"/>
            <w:vAlign w:val="center"/>
            <w:hideMark/>
          </w:tcPr>
          <w:p w14:paraId="3C227FE3" w14:textId="77777777" w:rsidR="00670408" w:rsidRPr="00670408" w:rsidRDefault="00670408" w:rsidP="00D22022">
            <w:pPr>
              <w:spacing w:after="0"/>
              <w:jc w:val="left"/>
              <w:rPr>
                <w:rFonts w:eastAsia="Calibri" w:cstheme="minorHAnsi"/>
                <w:sz w:val="18"/>
                <w:szCs w:val="18"/>
                <w:lang w:val="en-US"/>
              </w:rPr>
            </w:pPr>
            <w:r w:rsidRPr="00670408">
              <w:rPr>
                <w:rFonts w:cstheme="minorHAnsi"/>
                <w:sz w:val="18"/>
                <w:szCs w:val="18"/>
                <w:lang w:val="en-US"/>
              </w:rPr>
              <w:t>The project is moving forward with the recruitment of the PIR consultant finalized and the development process commenced. A draft inception report is under review by the Country Office, and the Biodiversity Finance Specialist reported on April 1st, 2026. With focal points from the Ministries of Finance and Environment in place, the project is well-positioned for its next steps.</w:t>
            </w:r>
          </w:p>
        </w:tc>
      </w:tr>
    </w:tbl>
    <w:p w14:paraId="1D424725" w14:textId="77777777" w:rsidR="005576FA" w:rsidRPr="00750129" w:rsidRDefault="005576FA" w:rsidP="005576FA">
      <w:pPr>
        <w:rPr>
          <w:lang w:val="en-US"/>
        </w:rPr>
      </w:pPr>
    </w:p>
    <w:p w14:paraId="12B01502" w14:textId="77777777" w:rsidR="005576FA" w:rsidRPr="00750129" w:rsidRDefault="005576FA" w:rsidP="005576FA">
      <w:pPr>
        <w:rPr>
          <w:lang w:val="en-US"/>
        </w:rPr>
      </w:pPr>
      <w:r w:rsidRPr="00750129">
        <w:rPr>
          <w:lang w:val="en-US"/>
        </w:rPr>
        <w:br w:type="page"/>
      </w:r>
    </w:p>
    <w:p w14:paraId="5B4FF93D" w14:textId="4D91771A" w:rsidR="00E055EA" w:rsidRPr="00C67737" w:rsidRDefault="00E055EA" w:rsidP="00640F63">
      <w:pPr>
        <w:pStyle w:val="Heading1"/>
        <w:numPr>
          <w:ilvl w:val="0"/>
          <w:numId w:val="0"/>
        </w:numPr>
        <w:ind w:left="720"/>
        <w:rPr>
          <w:lang w:val="en-US"/>
        </w:rPr>
      </w:pPr>
      <w:bookmarkStart w:id="239" w:name="_Toc239237111"/>
      <w:bookmarkStart w:id="240" w:name="_Toc242184744"/>
      <w:bookmarkStart w:id="241" w:name="_Toc242185304"/>
      <w:r w:rsidRPr="00C67737">
        <w:rPr>
          <w:lang w:val="en-US"/>
        </w:rPr>
        <w:lastRenderedPageBreak/>
        <w:t>Annex 8 - Status of Resources Approved for the Preparation of Fifth National Reports on the Implementation of the Cartagena Protocol</w:t>
      </w:r>
      <w:bookmarkEnd w:id="239"/>
      <w:bookmarkEnd w:id="240"/>
      <w:bookmarkEnd w:id="241"/>
      <w:r w:rsidRPr="00C67737">
        <w:rPr>
          <w:lang w:val="en-US"/>
        </w:rPr>
        <w:t xml:space="preserve"> </w:t>
      </w:r>
    </w:p>
    <w:p w14:paraId="37690D34" w14:textId="677724BE" w:rsidR="005576FA" w:rsidRPr="00750129" w:rsidRDefault="005576FA" w:rsidP="005576FA">
      <w:pPr>
        <w:rPr>
          <w:lang w:val="en-US"/>
        </w:rPr>
      </w:pPr>
      <w:r w:rsidRPr="00750129">
        <w:rPr>
          <w:lang w:val="en-US"/>
        </w:rPr>
        <w:t xml:space="preserve">This annex presents information on the GEF grant for Support to Preparation of the Fifth National Reports on the Implementation of the Cartagena Protocol on Biosafety (GEF ID 11907) compiled by the UNEP, the Implementing Agency, as of June 15, 2026. </w:t>
      </w:r>
    </w:p>
    <w:p w14:paraId="542C6333" w14:textId="77777777" w:rsidR="005576FA" w:rsidRPr="00750129" w:rsidRDefault="005576FA" w:rsidP="005576FA">
      <w:pPr>
        <w:rPr>
          <w:lang w:val="en-US"/>
        </w:rPr>
      </w:pPr>
      <w:r w:rsidRPr="00750129">
        <w:rPr>
          <w:lang w:val="en-US"/>
        </w:rPr>
        <w:t>The project was endorsed by the CEO on April 21, 2025, and subsequently amended on October 3, 2025, to include 14 additional countries that had not submitted a letter of endorsement from their GEF Operational Focal Point at the time of initial approval.</w:t>
      </w:r>
    </w:p>
    <w:p w14:paraId="45E6772A" w14:textId="77777777" w:rsidR="005576FA" w:rsidRPr="00750129" w:rsidRDefault="005576FA" w:rsidP="005576FA">
      <w:pPr>
        <w:rPr>
          <w:lang w:val="en-US"/>
        </w:rPr>
      </w:pPr>
      <w:r w:rsidRPr="00750129">
        <w:rPr>
          <w:lang w:val="en-US"/>
        </w:rPr>
        <w:t>The table below covers 105 countries receiving financial support under the project. It provides a grant of $30,000 per country, alongside $869,825 for global and regional technical assistance, exclusive of agency fees. Two countries (Belize and Libya) received an increased grant of $50,000 to produce both their fourth and fifth national reports in parallel, as additional support extended to Parties that had not previously benefited from GEF funding for their fourth national report and had been identified by the compliance committee as having outstanding reporting obligations. All financial amounts are presented in US dollars, and dates follow the DD/MM/YYYY format.</w:t>
      </w:r>
    </w:p>
    <w:tbl>
      <w:tblPr>
        <w:tblStyle w:val="TableGrid"/>
        <w:tblW w:w="0" w:type="auto"/>
        <w:tblLook w:val="04A0" w:firstRow="1" w:lastRow="0" w:firstColumn="1" w:lastColumn="0" w:noHBand="0" w:noVBand="1"/>
      </w:tblPr>
      <w:tblGrid>
        <w:gridCol w:w="2258"/>
        <w:gridCol w:w="1418"/>
        <w:gridCol w:w="1701"/>
        <w:gridCol w:w="1417"/>
        <w:gridCol w:w="1560"/>
        <w:gridCol w:w="1417"/>
        <w:gridCol w:w="3169"/>
      </w:tblGrid>
      <w:tr w:rsidR="00AE2BDB" w:rsidRPr="00C67737" w14:paraId="1FA6A421" w14:textId="77777777" w:rsidTr="00D22022">
        <w:trPr>
          <w:trHeight w:val="300"/>
          <w:tblHeader/>
        </w:trPr>
        <w:tc>
          <w:tcPr>
            <w:tcW w:w="2258"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C360B04" w14:textId="77777777" w:rsidR="00AE2BDB" w:rsidRPr="00C67737" w:rsidRDefault="00AE2BDB" w:rsidP="00D22022">
            <w:pPr>
              <w:jc w:val="center"/>
              <w:rPr>
                <w:rFonts w:cstheme="minorHAnsi"/>
                <w:b/>
                <w:bCs/>
                <w:color w:val="000000" w:themeColor="text1"/>
                <w:sz w:val="18"/>
                <w:szCs w:val="18"/>
              </w:rPr>
            </w:pPr>
            <w:r w:rsidRPr="00C67737">
              <w:rPr>
                <w:rFonts w:cstheme="minorHAnsi"/>
                <w:b/>
                <w:bCs/>
                <w:color w:val="000000" w:themeColor="text1"/>
                <w:sz w:val="18"/>
                <w:szCs w:val="18"/>
              </w:rPr>
              <w:t>Country</w:t>
            </w:r>
          </w:p>
        </w:tc>
        <w:tc>
          <w:tcPr>
            <w:tcW w:w="1418"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70517F07" w14:textId="77777777" w:rsidR="00AE2BDB" w:rsidRPr="00AE2BDB" w:rsidRDefault="00AE2BDB" w:rsidP="00D22022">
            <w:pPr>
              <w:jc w:val="center"/>
              <w:rPr>
                <w:rFonts w:cstheme="minorHAnsi"/>
                <w:b/>
                <w:bCs/>
                <w:color w:val="000000" w:themeColor="text1"/>
                <w:sz w:val="18"/>
                <w:szCs w:val="18"/>
                <w:lang w:val="en-US"/>
              </w:rPr>
            </w:pPr>
            <w:r w:rsidRPr="00AE2BDB">
              <w:rPr>
                <w:rFonts w:cstheme="minorHAnsi"/>
                <w:b/>
                <w:bCs/>
                <w:color w:val="000000" w:themeColor="text1"/>
                <w:sz w:val="18"/>
                <w:szCs w:val="18"/>
                <w:lang w:val="en-US"/>
              </w:rPr>
              <w:t>Amount approved (excluding agency fees)</w:t>
            </w:r>
          </w:p>
        </w:tc>
        <w:tc>
          <w:tcPr>
            <w:tcW w:w="1701"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01832303" w14:textId="77777777" w:rsidR="00AE2BDB" w:rsidRPr="00AE2BDB" w:rsidRDefault="00AE2BDB" w:rsidP="00D22022">
            <w:pPr>
              <w:jc w:val="center"/>
              <w:rPr>
                <w:rFonts w:cstheme="minorHAnsi"/>
                <w:b/>
                <w:bCs/>
                <w:color w:val="000000" w:themeColor="text1"/>
                <w:sz w:val="18"/>
                <w:szCs w:val="18"/>
                <w:lang w:val="en-US"/>
              </w:rPr>
            </w:pPr>
            <w:r w:rsidRPr="00AE2BDB">
              <w:rPr>
                <w:rFonts w:cstheme="minorHAnsi"/>
                <w:b/>
                <w:bCs/>
                <w:color w:val="000000" w:themeColor="text1"/>
                <w:sz w:val="18"/>
                <w:szCs w:val="18"/>
                <w:lang w:val="en-US"/>
              </w:rPr>
              <w:t>Dates of initial disbursements of GEF funds by UNEP</w:t>
            </w:r>
          </w:p>
        </w:tc>
        <w:tc>
          <w:tcPr>
            <w:tcW w:w="141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EE2DA1F" w14:textId="77777777" w:rsidR="00AE2BDB" w:rsidRPr="00AE2BDB" w:rsidRDefault="00AE2BDB" w:rsidP="00D22022">
            <w:pPr>
              <w:jc w:val="center"/>
              <w:rPr>
                <w:rFonts w:cstheme="minorHAnsi"/>
                <w:b/>
                <w:bCs/>
                <w:color w:val="000000" w:themeColor="text1"/>
                <w:sz w:val="18"/>
                <w:szCs w:val="18"/>
                <w:lang w:val="en-US"/>
              </w:rPr>
            </w:pPr>
            <w:r w:rsidRPr="00AE2BDB">
              <w:rPr>
                <w:rFonts w:cstheme="minorHAnsi"/>
                <w:b/>
                <w:bCs/>
                <w:color w:val="000000" w:themeColor="text1"/>
                <w:sz w:val="18"/>
                <w:szCs w:val="18"/>
                <w:lang w:val="en-US"/>
              </w:rPr>
              <w:t>Amount of GEF funding disbursed</w:t>
            </w:r>
          </w:p>
        </w:tc>
        <w:tc>
          <w:tcPr>
            <w:tcW w:w="1560"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7FD69B4B" w14:textId="77777777" w:rsidR="00AE2BDB" w:rsidRPr="00AE2BDB" w:rsidRDefault="00AE2BDB" w:rsidP="00D22022">
            <w:pPr>
              <w:jc w:val="center"/>
              <w:rPr>
                <w:rFonts w:cstheme="minorHAnsi"/>
                <w:b/>
                <w:bCs/>
                <w:color w:val="000000" w:themeColor="text1"/>
                <w:sz w:val="18"/>
                <w:szCs w:val="18"/>
                <w:lang w:val="en-US"/>
              </w:rPr>
            </w:pPr>
            <w:r w:rsidRPr="00AE2BDB">
              <w:rPr>
                <w:rFonts w:cstheme="minorHAnsi"/>
                <w:b/>
                <w:bCs/>
                <w:color w:val="000000" w:themeColor="text1"/>
                <w:sz w:val="18"/>
                <w:szCs w:val="18"/>
                <w:lang w:val="en-US"/>
              </w:rPr>
              <w:t>Expenditure rate reported by countries to UNEP as of 31 March 2026 (%)</w:t>
            </w:r>
          </w:p>
        </w:tc>
        <w:tc>
          <w:tcPr>
            <w:tcW w:w="141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7109540" w14:textId="77777777" w:rsidR="00AE2BDB" w:rsidRPr="00AE2BDB" w:rsidRDefault="00AE2BDB" w:rsidP="00D22022">
            <w:pPr>
              <w:jc w:val="center"/>
              <w:rPr>
                <w:rFonts w:cstheme="minorHAnsi"/>
                <w:b/>
                <w:bCs/>
                <w:color w:val="000000" w:themeColor="text1"/>
                <w:sz w:val="18"/>
                <w:szCs w:val="18"/>
                <w:lang w:val="en-US"/>
              </w:rPr>
            </w:pPr>
            <w:r w:rsidRPr="00AE2BDB">
              <w:rPr>
                <w:rFonts w:cstheme="minorHAnsi"/>
                <w:b/>
                <w:bCs/>
                <w:color w:val="000000" w:themeColor="text1"/>
                <w:sz w:val="18"/>
                <w:szCs w:val="18"/>
                <w:lang w:val="en-US"/>
              </w:rPr>
              <w:t>Date of submission of the 5th National Report</w:t>
            </w:r>
          </w:p>
        </w:tc>
        <w:tc>
          <w:tcPr>
            <w:tcW w:w="3169"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023AAA5F" w14:textId="77777777" w:rsidR="00AE2BDB" w:rsidRPr="00C67737" w:rsidRDefault="00AE2BDB" w:rsidP="00D22022">
            <w:pPr>
              <w:jc w:val="center"/>
              <w:rPr>
                <w:rFonts w:cstheme="minorHAnsi"/>
                <w:b/>
                <w:bCs/>
                <w:color w:val="000000" w:themeColor="text1"/>
                <w:sz w:val="18"/>
                <w:szCs w:val="18"/>
              </w:rPr>
            </w:pPr>
            <w:proofErr w:type="spellStart"/>
            <w:r w:rsidRPr="00C67737">
              <w:rPr>
                <w:rFonts w:cstheme="minorHAnsi"/>
                <w:b/>
                <w:bCs/>
                <w:color w:val="000000" w:themeColor="text1"/>
                <w:sz w:val="18"/>
                <w:szCs w:val="18"/>
              </w:rPr>
              <w:t>Status</w:t>
            </w:r>
            <w:proofErr w:type="spellEnd"/>
            <w:r w:rsidRPr="00C67737">
              <w:rPr>
                <w:rFonts w:cstheme="minorHAnsi"/>
                <w:b/>
                <w:bCs/>
                <w:color w:val="000000" w:themeColor="text1"/>
                <w:sz w:val="18"/>
                <w:szCs w:val="18"/>
              </w:rPr>
              <w:t xml:space="preserve"> of </w:t>
            </w:r>
            <w:proofErr w:type="spellStart"/>
            <w:r w:rsidRPr="00C67737">
              <w:rPr>
                <w:rFonts w:cstheme="minorHAnsi"/>
                <w:b/>
                <w:bCs/>
                <w:color w:val="000000" w:themeColor="text1"/>
                <w:sz w:val="18"/>
                <w:szCs w:val="18"/>
              </w:rPr>
              <w:t>project</w:t>
            </w:r>
            <w:proofErr w:type="spellEnd"/>
            <w:r w:rsidRPr="00C67737">
              <w:rPr>
                <w:rFonts w:cstheme="minorHAnsi"/>
                <w:b/>
                <w:bCs/>
                <w:color w:val="000000" w:themeColor="text1"/>
                <w:sz w:val="18"/>
                <w:szCs w:val="18"/>
              </w:rPr>
              <w:t xml:space="preserve"> </w:t>
            </w:r>
            <w:proofErr w:type="spellStart"/>
            <w:r w:rsidRPr="00C67737">
              <w:rPr>
                <w:rFonts w:cstheme="minorHAnsi"/>
                <w:b/>
                <w:bCs/>
                <w:color w:val="000000" w:themeColor="text1"/>
                <w:sz w:val="18"/>
                <w:szCs w:val="18"/>
              </w:rPr>
              <w:t>activities</w:t>
            </w:r>
            <w:proofErr w:type="spellEnd"/>
          </w:p>
        </w:tc>
      </w:tr>
      <w:tr w:rsidR="00AE2BDB" w:rsidRPr="00237520" w14:paraId="1D0C7AB2"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F34082"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Albania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FEA6C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FE05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23/09/2025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DC26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F85CC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0C63A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02/03/2026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581FBC"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7EC66B3A"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4471FDE1"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CBC46D"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Angola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3B413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40EC7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C5EC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CF86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2311F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37401B2" w14:textId="77777777" w:rsidR="00AE2BDB" w:rsidRPr="00AE2BDB" w:rsidRDefault="00AE2BDB" w:rsidP="00D22022">
            <w:pPr>
              <w:rPr>
                <w:rFonts w:cstheme="minorHAnsi"/>
                <w:color w:val="000000" w:themeColor="text1"/>
                <w:sz w:val="18"/>
                <w:szCs w:val="18"/>
                <w:lang w:val="en-US"/>
              </w:rPr>
            </w:pPr>
            <w:r w:rsidRPr="00AE2BDB">
              <w:rPr>
                <w:rFonts w:cstheme="minorHAnsi"/>
                <w:color w:val="000000" w:themeColor="text1"/>
                <w:sz w:val="18"/>
                <w:szCs w:val="18"/>
                <w:lang w:val="en-US"/>
              </w:rPr>
              <w:t>Ongoing project implementation. Report preparation in progress</w:t>
            </w:r>
          </w:p>
        </w:tc>
      </w:tr>
      <w:tr w:rsidR="00AE2BDB" w:rsidRPr="00237520" w14:paraId="6BFF4C8C"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58703"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Armenia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97BF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5B8E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4422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A94E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00423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F9AE1F"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299A943"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Small-scale funding agreement (SSFA) project documentation from the country</w:t>
            </w:r>
          </w:p>
        </w:tc>
      </w:tr>
      <w:tr w:rsidR="00AE2BDB" w:rsidRPr="00237520" w14:paraId="4F5F2F6A"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289590"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Azerbaijan</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E952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C927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15/01/2026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CD4E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004F6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F2DFB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D1312"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6517E18"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0F177B2D"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AAE767"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Bahamas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C117D"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B7D5A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12/05/2026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8C616D" w14:textId="77777777" w:rsidR="00AE2BDB" w:rsidRPr="00C67737" w:rsidRDefault="00AE2BDB" w:rsidP="00D22022">
            <w:pPr>
              <w:jc w:val="center"/>
              <w:rPr>
                <w:rFonts w:cstheme="minorHAnsi"/>
                <w:sz w:val="18"/>
                <w:szCs w:val="18"/>
              </w:rPr>
            </w:pPr>
            <w:r w:rsidRPr="00C67737">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8272CF" w14:textId="77777777" w:rsidR="00AE2BDB" w:rsidRPr="00C67737" w:rsidRDefault="00AE2BDB" w:rsidP="00D22022">
            <w:pPr>
              <w:jc w:val="center"/>
              <w:rPr>
                <w:rFonts w:cstheme="minorHAnsi"/>
                <w:sz w:val="18"/>
                <w:szCs w:val="18"/>
              </w:rPr>
            </w:pPr>
            <w:r w:rsidRPr="00C67737">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7B2B5D" w14:textId="77777777" w:rsidR="00AE2BDB" w:rsidRPr="00C67737" w:rsidRDefault="00AE2BDB" w:rsidP="00D22022">
            <w:pPr>
              <w:jc w:val="center"/>
              <w:rPr>
                <w:rFonts w:cstheme="minorHAnsi"/>
                <w:sz w:val="18"/>
                <w:szCs w:val="18"/>
              </w:rPr>
            </w:pPr>
            <w:r w:rsidRPr="00C67737">
              <w:rPr>
                <w:rFonts w:cstheme="minorHAnsi"/>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3B8985"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preparation in progress.</w:t>
            </w:r>
          </w:p>
        </w:tc>
      </w:tr>
      <w:tr w:rsidR="00AE2BDB" w:rsidRPr="00237520" w14:paraId="41164F2F"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D283F"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Bahrain</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5DA38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570CB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8FBBC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24497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42C1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BFC24"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EC4DB1A" w14:textId="77777777" w:rsidR="00AE2BDB" w:rsidRPr="00AE2BDB" w:rsidRDefault="00AE2BDB" w:rsidP="00D22022">
            <w:pPr>
              <w:rPr>
                <w:rFonts w:cstheme="minorHAnsi"/>
                <w:sz w:val="18"/>
                <w:szCs w:val="18"/>
                <w:lang w:val="en-US"/>
              </w:rPr>
            </w:pPr>
            <w:r w:rsidRPr="00AE2BDB">
              <w:rPr>
                <w:rFonts w:cstheme="minorHAnsi"/>
                <w:sz w:val="18"/>
                <w:szCs w:val="18"/>
                <w:lang w:val="en-US"/>
              </w:rPr>
              <w:lastRenderedPageBreak/>
              <w:t>Awaiting final project narrative and expenditure reports submission</w:t>
            </w:r>
          </w:p>
        </w:tc>
      </w:tr>
      <w:tr w:rsidR="00AE2BDB" w:rsidRPr="00237520" w14:paraId="37AE7C1A"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E896A5"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lastRenderedPageBreak/>
              <w:t>Bangladesh</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7DFE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848D7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3AFB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E92D7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1FF3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93B78"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61DB5DE8"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507DBBED"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DBBDB9"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Barbados</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0A389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2A2FF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7F875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775E8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71758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6566B"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A1E1E50"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451CAB2A"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9F5D46"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Belize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CA08A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50,000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B517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319F7E"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C08D73"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FF4519" w14:textId="77777777" w:rsidR="00AE2BDB" w:rsidRPr="00C67737" w:rsidRDefault="00AE2BDB" w:rsidP="00D22022">
            <w:pPr>
              <w:jc w:val="center"/>
              <w:rPr>
                <w:rFonts w:cstheme="minorHAnsi"/>
                <w:sz w:val="18"/>
                <w:szCs w:val="18"/>
              </w:rPr>
            </w:pPr>
            <w:r w:rsidRPr="00C67737">
              <w:rPr>
                <w:rFonts w:cstheme="minorHAnsi"/>
                <w:sz w:val="18"/>
                <w:szCs w:val="18"/>
              </w:rPr>
              <w:t>26/08/2025</w:t>
            </w:r>
          </w:p>
          <w:p w14:paraId="470AC57F" w14:textId="77777777" w:rsidR="00AE2BDB" w:rsidRPr="00C67737" w:rsidRDefault="00AE2BDB" w:rsidP="00D22022">
            <w:pPr>
              <w:jc w:val="center"/>
              <w:rPr>
                <w:rFonts w:cstheme="minorHAnsi"/>
                <w:sz w:val="18"/>
                <w:szCs w:val="18"/>
              </w:rPr>
            </w:pPr>
            <w:r w:rsidRPr="00C67737">
              <w:rPr>
                <w:rFonts w:cstheme="minorHAnsi"/>
                <w:sz w:val="18"/>
                <w:szCs w:val="18"/>
              </w:rPr>
              <w:t>(4</w:t>
            </w:r>
            <w:r w:rsidRPr="00C67737">
              <w:rPr>
                <w:rFonts w:cstheme="minorHAnsi"/>
                <w:sz w:val="18"/>
                <w:szCs w:val="18"/>
                <w:vertAlign w:val="superscript"/>
              </w:rPr>
              <w:t>th</w:t>
            </w:r>
            <w:r w:rsidRPr="00C67737">
              <w:rPr>
                <w:rFonts w:cstheme="minorHAnsi"/>
                <w:sz w:val="18"/>
                <w:szCs w:val="18"/>
              </w:rPr>
              <w:t xml:space="preserve"> NR)</w:t>
            </w:r>
          </w:p>
          <w:p w14:paraId="034764D1" w14:textId="77777777" w:rsidR="00AE2BDB" w:rsidRPr="00C67737" w:rsidRDefault="00AE2BDB" w:rsidP="00D22022">
            <w:pPr>
              <w:jc w:val="center"/>
              <w:rPr>
                <w:rFonts w:cstheme="minorHAnsi"/>
                <w:sz w:val="18"/>
                <w:szCs w:val="18"/>
              </w:rPr>
            </w:pPr>
            <w:r w:rsidRPr="00C67737">
              <w:rPr>
                <w:rFonts w:cstheme="minorHAnsi"/>
                <w:sz w:val="18"/>
                <w:szCs w:val="18"/>
              </w:rPr>
              <w:t>26/02/2026 (5</w:t>
            </w:r>
            <w:r w:rsidRPr="00C67737">
              <w:rPr>
                <w:rFonts w:cstheme="minorHAnsi"/>
                <w:sz w:val="18"/>
                <w:szCs w:val="18"/>
                <w:vertAlign w:val="superscript"/>
              </w:rPr>
              <w:t>th</w:t>
            </w:r>
            <w:r w:rsidRPr="00C67737">
              <w:rPr>
                <w:rFonts w:cstheme="minorHAnsi"/>
                <w:sz w:val="18"/>
                <w:szCs w:val="18"/>
              </w:rPr>
              <w:t xml:space="preserve"> NR)</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F36AEF" w14:textId="77777777" w:rsidR="00AE2BDB" w:rsidRPr="00AE2BDB" w:rsidRDefault="00AE2BDB" w:rsidP="00D22022">
            <w:pPr>
              <w:rPr>
                <w:rFonts w:cstheme="minorHAnsi"/>
                <w:sz w:val="18"/>
                <w:szCs w:val="18"/>
                <w:lang w:val="en-US"/>
              </w:rPr>
            </w:pPr>
            <w:r w:rsidRPr="00AE2BDB">
              <w:rPr>
                <w:rFonts w:cstheme="minorHAnsi"/>
                <w:sz w:val="18"/>
                <w:szCs w:val="18"/>
                <w:lang w:val="en-US"/>
              </w:rPr>
              <w:t>4</w:t>
            </w:r>
            <w:r w:rsidRPr="00AE2BDB">
              <w:rPr>
                <w:rFonts w:cstheme="minorHAnsi"/>
                <w:sz w:val="18"/>
                <w:szCs w:val="18"/>
                <w:vertAlign w:val="superscript"/>
                <w:lang w:val="en-US"/>
              </w:rPr>
              <w:t>th</w:t>
            </w:r>
            <w:r w:rsidRPr="00AE2BDB">
              <w:rPr>
                <w:rFonts w:cstheme="minorHAnsi"/>
                <w:sz w:val="18"/>
                <w:szCs w:val="18"/>
                <w:lang w:val="en-US"/>
              </w:rPr>
              <w:t xml:space="preserve"> and 5th national report submitted.</w:t>
            </w:r>
          </w:p>
          <w:p w14:paraId="695A37D4"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076DFE6F"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DF3A5A"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Benin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CE959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4CB3B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21/01/2026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975DB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F3982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20625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86A9C"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4CEAA75"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3DD02B16"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C69715"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Bhutan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9EC14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6A2AB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F5B1D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3FBD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046B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48588"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2BF3AA11"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480D7E6E"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11CDD2"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Bolivia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11E18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5FC2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A6D3D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197BA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A9976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21125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4CC8A277"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357D46B3"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B81B93"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 xml:space="preserve">Bosnia and </w:t>
            </w:r>
            <w:proofErr w:type="spellStart"/>
            <w:r w:rsidRPr="00C67737">
              <w:rPr>
                <w:rFonts w:cstheme="minorHAnsi"/>
                <w:color w:val="000000" w:themeColor="text1"/>
                <w:sz w:val="18"/>
                <w:szCs w:val="18"/>
              </w:rPr>
              <w:t>Herzegovina</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06B98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087C2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8FFE0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0FF5F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5B751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A70ECD"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7BEFB199"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750852EF"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0E0E48"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Botswana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469E0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2A0D8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26/01/2026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568FD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DA39F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EE02A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7D526"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6EE8D38A"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0FCC98FE"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629A20"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Burkina Faso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FAED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3598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17/12/2025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AF625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5CA7E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326C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12BD63"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6CF861CB" w14:textId="77777777" w:rsidR="00AE2BDB" w:rsidRPr="00AE2BDB" w:rsidRDefault="00AE2BDB" w:rsidP="00D22022">
            <w:pPr>
              <w:rPr>
                <w:rFonts w:cstheme="minorHAnsi"/>
                <w:sz w:val="18"/>
                <w:szCs w:val="18"/>
                <w:lang w:val="en-US"/>
              </w:rPr>
            </w:pPr>
            <w:r w:rsidRPr="00AE2BDB">
              <w:rPr>
                <w:rFonts w:cstheme="minorHAnsi"/>
                <w:sz w:val="18"/>
                <w:szCs w:val="18"/>
                <w:lang w:val="en-US"/>
              </w:rPr>
              <w:lastRenderedPageBreak/>
              <w:t>Awaiting final project narrative and expenditure reports submission</w:t>
            </w:r>
          </w:p>
        </w:tc>
      </w:tr>
      <w:tr w:rsidR="00AE2BDB" w:rsidRPr="00237520" w14:paraId="57E6C5A9"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5FFA5"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lastRenderedPageBreak/>
              <w:t>Burundi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D3FB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8178F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18/12/2025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970E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CD5A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C9CE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7BA607"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69D3429"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7151E82A"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9CA26" w14:textId="77777777" w:rsidR="00AE2BDB" w:rsidRPr="00C67737" w:rsidRDefault="00AE2BDB" w:rsidP="00D22022">
            <w:pPr>
              <w:ind w:left="87"/>
              <w:rPr>
                <w:rFonts w:cstheme="minorHAnsi"/>
                <w:sz w:val="18"/>
                <w:szCs w:val="18"/>
              </w:rPr>
            </w:pPr>
            <w:proofErr w:type="spellStart"/>
            <w:r w:rsidRPr="00C67737">
              <w:rPr>
                <w:rFonts w:cstheme="minorHAnsi"/>
                <w:sz w:val="18"/>
                <w:szCs w:val="18"/>
              </w:rPr>
              <w:t>Cambodia</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0CE0E9"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1CFA9A" w14:textId="77777777" w:rsidR="00AE2BDB" w:rsidRPr="00C67737" w:rsidRDefault="00AE2BDB" w:rsidP="00D22022">
            <w:pPr>
              <w:jc w:val="center"/>
              <w:rPr>
                <w:rFonts w:cstheme="minorHAnsi"/>
                <w:sz w:val="18"/>
                <w:szCs w:val="18"/>
              </w:rPr>
            </w:pPr>
            <w:r w:rsidRPr="00C67737">
              <w:rPr>
                <w:rFonts w:cstheme="minorHAnsi"/>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C6A304" w14:textId="77777777" w:rsidR="00AE2BDB" w:rsidRPr="00C67737" w:rsidRDefault="00AE2BDB" w:rsidP="00D22022">
            <w:pPr>
              <w:jc w:val="center"/>
              <w:rPr>
                <w:rFonts w:cstheme="minorHAnsi"/>
                <w:sz w:val="18"/>
                <w:szCs w:val="18"/>
              </w:rPr>
            </w:pPr>
            <w:r w:rsidRPr="00C67737">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89C5A" w14:textId="77777777" w:rsidR="00AE2BDB" w:rsidRPr="00C67737" w:rsidRDefault="00AE2BDB" w:rsidP="00D22022">
            <w:pPr>
              <w:jc w:val="center"/>
              <w:rPr>
                <w:rFonts w:cstheme="minorHAnsi"/>
                <w:sz w:val="18"/>
                <w:szCs w:val="18"/>
              </w:rPr>
            </w:pPr>
            <w:r w:rsidRPr="00C67737">
              <w:rPr>
                <w:rFonts w:cstheme="minorHAnsi"/>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4328F8" w14:textId="77777777" w:rsidR="00AE2BDB" w:rsidRPr="00C67737" w:rsidRDefault="00AE2BDB" w:rsidP="00D22022">
            <w:pPr>
              <w:jc w:val="center"/>
              <w:rPr>
                <w:rFonts w:cstheme="minorHAnsi"/>
                <w:sz w:val="18"/>
                <w:szCs w:val="18"/>
              </w:rPr>
            </w:pPr>
            <w:r w:rsidRPr="00C67737">
              <w:rPr>
                <w:rFonts w:cstheme="minorHAnsi"/>
                <w:sz w:val="18"/>
                <w:szCs w:val="18"/>
              </w:rPr>
              <w:t>03/04/2026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87B119"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24A1E16D"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5E852D57"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47DBA"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Cameroon</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984D1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D35E2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13/10/2025</w:t>
            </w:r>
            <w:r w:rsidRPr="00C67737">
              <w:rPr>
                <w:rFonts w:cstheme="minorHAnsi"/>
              </w:rPr>
              <w:br/>
            </w:r>
            <w:r w:rsidRPr="00C67737">
              <w:rPr>
                <w:rFonts w:cstheme="minorHAnsi"/>
                <w:color w:val="000000" w:themeColor="text1"/>
                <w:sz w:val="18"/>
                <w:szCs w:val="18"/>
              </w:rPr>
              <w:t>25/03/2026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0BBD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3ED1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C7DF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15/01/2026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8BC4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6BCACF72" w14:textId="77777777" w:rsidR="00AE2BDB" w:rsidRPr="00AE2BDB" w:rsidRDefault="00AE2BDB" w:rsidP="00D22022">
            <w:pPr>
              <w:rPr>
                <w:rFonts w:cstheme="minorHAnsi"/>
                <w:color w:val="000000" w:themeColor="text1"/>
                <w:sz w:val="18"/>
                <w:szCs w:val="18"/>
                <w:lang w:val="en-US"/>
              </w:rPr>
            </w:pPr>
            <w:r w:rsidRPr="00AE2BDB">
              <w:rPr>
                <w:rFonts w:cstheme="minorHAnsi"/>
                <w:color w:val="000000" w:themeColor="text1"/>
                <w:sz w:val="18"/>
                <w:szCs w:val="18"/>
                <w:lang w:val="en-US"/>
              </w:rPr>
              <w:t>Project implementation finalized and closed</w:t>
            </w:r>
          </w:p>
        </w:tc>
      </w:tr>
      <w:tr w:rsidR="00AE2BDB" w:rsidRPr="00C67737" w14:paraId="63AA85AC"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295639"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Cabo Verde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DD869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8176C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13/10/2025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B63FA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4CC9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8F44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F14B8" w14:textId="77777777" w:rsidR="00AE2BDB" w:rsidRPr="00C67737" w:rsidRDefault="00AE2BDB" w:rsidP="00D22022">
            <w:pPr>
              <w:rPr>
                <w:rFonts w:cstheme="minorHAnsi"/>
                <w:color w:val="000000" w:themeColor="text1"/>
                <w:sz w:val="18"/>
                <w:szCs w:val="18"/>
              </w:rPr>
            </w:pPr>
            <w:r w:rsidRPr="00AE2BDB">
              <w:rPr>
                <w:rFonts w:cstheme="minorHAnsi"/>
                <w:color w:val="000000" w:themeColor="text1"/>
                <w:sz w:val="18"/>
                <w:szCs w:val="18"/>
                <w:lang w:val="en-US"/>
              </w:rPr>
              <w:t>5th national report finalized and uploaded in the BCH</w:t>
            </w:r>
            <w:r w:rsidRPr="00AE2BDB">
              <w:rPr>
                <w:rFonts w:cstheme="minorHAnsi"/>
                <w:color w:val="000000" w:themeColor="text1"/>
                <w:sz w:val="18"/>
                <w:szCs w:val="18"/>
                <w:highlight w:val="yellow"/>
                <w:lang w:val="en-US"/>
              </w:rPr>
              <w:t>.</w:t>
            </w:r>
            <w:r w:rsidRPr="00AE2BDB">
              <w:rPr>
                <w:rFonts w:cstheme="minorHAnsi"/>
                <w:color w:val="000000" w:themeColor="text1"/>
                <w:sz w:val="18"/>
                <w:szCs w:val="18"/>
                <w:lang w:val="en-US"/>
              </w:rPr>
              <w:t xml:space="preserve"> </w:t>
            </w:r>
            <w:proofErr w:type="spellStart"/>
            <w:r w:rsidRPr="00C67737">
              <w:rPr>
                <w:rFonts w:cstheme="minorHAnsi"/>
                <w:color w:val="000000" w:themeColor="text1"/>
                <w:sz w:val="18"/>
                <w:szCs w:val="18"/>
              </w:rPr>
              <w:t>Awaiting</w:t>
            </w:r>
            <w:proofErr w:type="spellEnd"/>
            <w:r w:rsidRPr="00C67737">
              <w:rPr>
                <w:rFonts w:cstheme="minorHAnsi"/>
                <w:color w:val="000000" w:themeColor="text1"/>
                <w:sz w:val="18"/>
                <w:szCs w:val="18"/>
              </w:rPr>
              <w:t xml:space="preserve"> publication. </w:t>
            </w:r>
          </w:p>
        </w:tc>
      </w:tr>
      <w:tr w:rsidR="00AE2BDB" w:rsidRPr="00237520" w14:paraId="5C4F093D"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D7057B"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 xml:space="preserve">Central </w:t>
            </w:r>
            <w:proofErr w:type="spellStart"/>
            <w:r w:rsidRPr="00C67737">
              <w:rPr>
                <w:rFonts w:cstheme="minorHAnsi"/>
                <w:color w:val="000000" w:themeColor="text1"/>
                <w:sz w:val="18"/>
                <w:szCs w:val="18"/>
              </w:rPr>
              <w:t>African</w:t>
            </w:r>
            <w:proofErr w:type="spellEnd"/>
            <w:r w:rsidRPr="00C67737">
              <w:rPr>
                <w:rFonts w:cstheme="minorHAnsi"/>
                <w:color w:val="000000" w:themeColor="text1"/>
                <w:sz w:val="18"/>
                <w:szCs w:val="18"/>
              </w:rPr>
              <w:t xml:space="preserve"> Republic</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FA0C0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AC92A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8210C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CA06B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70A0A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0F2E6"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F034A88"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0BD6A161"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224E16"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Chad</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1A958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E75FB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4EE89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3E844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6AA2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AAA1B"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F7CA51A"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19A4CDB7"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F9ABED"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China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58AF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F05CA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202ED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B2C23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130A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43BEB3"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34F79891"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6205F924"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74B38E"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Colombia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932C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BD5D6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B5D85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A69B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643C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23EBE"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37DF3FD"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C67737" w14:paraId="7CEEE0B3"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3B7D1" w14:textId="77777777" w:rsidR="00AE2BDB" w:rsidRPr="00C67737" w:rsidRDefault="00AE2BDB" w:rsidP="00D22022">
            <w:pPr>
              <w:ind w:left="87"/>
              <w:rPr>
                <w:rFonts w:cstheme="minorHAnsi"/>
                <w:color w:val="000000" w:themeColor="text1"/>
                <w:sz w:val="18"/>
                <w:szCs w:val="18"/>
              </w:rPr>
            </w:pPr>
            <w:r w:rsidRPr="00C67737">
              <w:rPr>
                <w:rFonts w:cstheme="minorHAnsi"/>
                <w:sz w:val="18"/>
                <w:szCs w:val="18"/>
              </w:rPr>
              <w:t xml:space="preserve">Côte </w:t>
            </w:r>
            <w:r w:rsidRPr="00C67737">
              <w:rPr>
                <w:rFonts w:cstheme="minorHAnsi"/>
                <w:color w:val="000000" w:themeColor="text1"/>
                <w:sz w:val="18"/>
                <w:szCs w:val="18"/>
              </w:rPr>
              <w:t>d’Ivoire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1F895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3D1B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F0A1BC" w14:textId="77777777" w:rsidR="00AE2BDB" w:rsidRPr="00C67737" w:rsidRDefault="00AE2BDB" w:rsidP="00D22022">
            <w:pPr>
              <w:jc w:val="center"/>
              <w:rPr>
                <w:rFonts w:cstheme="minorHAnsi"/>
                <w:color w:val="000000" w:themeColor="text1"/>
                <w:sz w:val="18"/>
                <w:szCs w:val="18"/>
              </w:rPr>
            </w:pPr>
            <w:r w:rsidRPr="00C67737">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97DBE" w14:textId="77777777" w:rsidR="00AE2BDB" w:rsidRPr="00C67737" w:rsidRDefault="00AE2BDB" w:rsidP="00D22022">
            <w:pPr>
              <w:jc w:val="center"/>
              <w:rPr>
                <w:rFonts w:cstheme="minorHAnsi"/>
                <w:color w:val="000000" w:themeColor="text1"/>
                <w:sz w:val="18"/>
                <w:szCs w:val="18"/>
              </w:rPr>
            </w:pPr>
            <w:r w:rsidRPr="00C67737">
              <w:rPr>
                <w:rFonts w:cstheme="minorHAnsi"/>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9B0B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C9239"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4C6294AF" w14:textId="77777777" w:rsidR="00AE2BDB" w:rsidRPr="00C67737" w:rsidRDefault="00AE2BDB" w:rsidP="00D22022">
            <w:pPr>
              <w:rPr>
                <w:rFonts w:cstheme="minorHAnsi"/>
                <w:sz w:val="18"/>
                <w:szCs w:val="18"/>
              </w:rPr>
            </w:pPr>
            <w:r w:rsidRPr="00AE2BDB">
              <w:rPr>
                <w:rFonts w:cstheme="minorHAnsi"/>
                <w:color w:val="000000" w:themeColor="text1"/>
                <w:sz w:val="18"/>
                <w:szCs w:val="18"/>
                <w:lang w:val="en-US"/>
              </w:rPr>
              <w:lastRenderedPageBreak/>
              <w:t>Project activities are finalized</w:t>
            </w:r>
            <w:r w:rsidRPr="00AE2BDB">
              <w:rPr>
                <w:rFonts w:cstheme="minorHAnsi"/>
                <w:sz w:val="18"/>
                <w:szCs w:val="18"/>
                <w:lang w:val="en-US"/>
              </w:rPr>
              <w:t xml:space="preserve">. Final reports submitted by Partner. </w:t>
            </w:r>
            <w:r w:rsidRPr="00C67737">
              <w:rPr>
                <w:rFonts w:cstheme="minorHAnsi"/>
                <w:sz w:val="18"/>
                <w:szCs w:val="18"/>
              </w:rPr>
              <w:t xml:space="preserve">UNEP in the process of final </w:t>
            </w:r>
            <w:proofErr w:type="spellStart"/>
            <w:r w:rsidRPr="00C67737">
              <w:rPr>
                <w:rFonts w:cstheme="minorHAnsi"/>
                <w:sz w:val="18"/>
                <w:szCs w:val="18"/>
              </w:rPr>
              <w:t>disbursement</w:t>
            </w:r>
            <w:proofErr w:type="spellEnd"/>
            <w:r w:rsidRPr="00C67737">
              <w:rPr>
                <w:rFonts w:cstheme="minorHAnsi"/>
                <w:sz w:val="18"/>
                <w:szCs w:val="18"/>
              </w:rPr>
              <w:t xml:space="preserve"> (3,000 USD).</w:t>
            </w:r>
          </w:p>
        </w:tc>
      </w:tr>
      <w:tr w:rsidR="00AE2BDB" w:rsidRPr="00237520" w14:paraId="28679288"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2F3F24"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lastRenderedPageBreak/>
              <w:t>Comoros</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963BB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7CD9A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08/01/2026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5D7B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218CC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28D7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9968D7"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557E7E1"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3A882E84"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D458C"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Congo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11D30C"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DA15E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70EA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49A49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CD841" w14:textId="77777777" w:rsidR="00AE2BDB" w:rsidRPr="00C67737" w:rsidRDefault="00AE2BDB" w:rsidP="00D22022">
            <w:pPr>
              <w:jc w:val="center"/>
              <w:rPr>
                <w:rFonts w:cstheme="minorHAnsi"/>
                <w:sz w:val="18"/>
                <w:szCs w:val="18"/>
              </w:rPr>
            </w:pPr>
            <w:r w:rsidRPr="00C67737">
              <w:rPr>
                <w:rFonts w:cstheme="minorHAnsi"/>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40F873"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264A0088"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6D5685"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Costa Rica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9CFA9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47522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6371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1D5B2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3EDE8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BC872"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46758A5E"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3565675E"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0326B8"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Cuba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114F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F3E4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09/03/2026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C5D21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9DB2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F9C6C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4C2487"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0220D50"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1D965483"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3B488F" w14:textId="77777777" w:rsidR="00AE2BDB" w:rsidRPr="00AE2BDB" w:rsidRDefault="00AE2BDB" w:rsidP="00D22022">
            <w:pPr>
              <w:ind w:left="87"/>
              <w:rPr>
                <w:rFonts w:cstheme="minorHAnsi"/>
                <w:color w:val="000000" w:themeColor="text1"/>
                <w:sz w:val="18"/>
                <w:szCs w:val="18"/>
                <w:lang w:val="en-US"/>
              </w:rPr>
            </w:pPr>
            <w:r w:rsidRPr="00AE2BDB">
              <w:rPr>
                <w:rFonts w:cstheme="minorHAnsi"/>
                <w:color w:val="000000" w:themeColor="text1"/>
                <w:sz w:val="18"/>
                <w:szCs w:val="18"/>
                <w:lang w:val="en-US"/>
              </w:rPr>
              <w:t>Democratic Republic of the Congo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5B5BC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DCEC9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6D03A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2946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74391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BF02FE"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7E2A9BC"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35E9E6B2"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34D672"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Djibouti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3976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A30E0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EC9D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71EAB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71FE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09F2F64" w14:textId="77777777" w:rsidR="00AE2BDB" w:rsidRPr="00AE2BDB" w:rsidRDefault="00AE2BDB" w:rsidP="00D22022">
            <w:pPr>
              <w:rPr>
                <w:rFonts w:cstheme="minorHAnsi"/>
                <w:color w:val="000000" w:themeColor="text1"/>
                <w:sz w:val="18"/>
                <w:szCs w:val="18"/>
                <w:lang w:val="en-US"/>
              </w:rPr>
            </w:pPr>
            <w:r w:rsidRPr="00AE2BDB">
              <w:rPr>
                <w:rFonts w:cstheme="minorHAnsi"/>
                <w:color w:val="000000" w:themeColor="text1"/>
                <w:sz w:val="18"/>
                <w:szCs w:val="18"/>
                <w:lang w:val="en-US"/>
              </w:rPr>
              <w:t>Ongoing project implementation. National Report preparation in progress.</w:t>
            </w:r>
          </w:p>
        </w:tc>
      </w:tr>
      <w:tr w:rsidR="00AE2BDB" w:rsidRPr="00237520" w14:paraId="5A7CE882"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40C8F"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Egypt</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A2B83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30AB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034B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32A5C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0E623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3DB98AC" w14:textId="77777777" w:rsidR="00AE2BDB" w:rsidRPr="00AE2BDB" w:rsidRDefault="00AE2BDB" w:rsidP="00D22022">
            <w:pPr>
              <w:rPr>
                <w:rFonts w:cstheme="minorHAnsi"/>
                <w:color w:val="000000" w:themeColor="text1"/>
                <w:sz w:val="18"/>
                <w:szCs w:val="18"/>
                <w:lang w:val="en-US"/>
              </w:rPr>
            </w:pPr>
            <w:r w:rsidRPr="00AE2BDB">
              <w:rPr>
                <w:rFonts w:cstheme="minorHAnsi"/>
                <w:color w:val="000000" w:themeColor="text1"/>
                <w:sz w:val="18"/>
                <w:szCs w:val="18"/>
                <w:lang w:val="en-US"/>
              </w:rPr>
              <w:t>5th national report finalized and uploaded in the BCH.  Awaiting approval of the Competent National Authority for publication.</w:t>
            </w:r>
          </w:p>
        </w:tc>
      </w:tr>
      <w:tr w:rsidR="00AE2BDB" w:rsidRPr="00237520" w14:paraId="43CAC3E4"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F09DE5"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El Salvador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E6056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6AF90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00729"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7FA1A4"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68B9B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A9709C"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7D51BCF3"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0184C3A3"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9E75B"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Eritrea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BD6C9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FCCC1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22/10/2025</w:t>
            </w:r>
          </w:p>
          <w:p w14:paraId="462DFD9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65AFDD"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8ABB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80843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04/03/2026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C1742"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AF4EF14" w14:textId="77777777" w:rsidR="00AE2BDB" w:rsidRPr="00AE2BDB" w:rsidRDefault="00AE2BDB" w:rsidP="00D22022">
            <w:pPr>
              <w:rPr>
                <w:rFonts w:cstheme="minorHAnsi"/>
                <w:color w:val="000000" w:themeColor="text1"/>
                <w:sz w:val="18"/>
                <w:szCs w:val="18"/>
                <w:lang w:val="en-US"/>
              </w:rPr>
            </w:pPr>
            <w:r w:rsidRPr="00AE2BDB">
              <w:rPr>
                <w:rFonts w:cstheme="minorHAnsi"/>
                <w:color w:val="000000" w:themeColor="text1"/>
                <w:sz w:val="18"/>
                <w:szCs w:val="18"/>
                <w:lang w:val="en-US"/>
              </w:rPr>
              <w:lastRenderedPageBreak/>
              <w:t xml:space="preserve">Project implementation finalized and closed. </w:t>
            </w:r>
          </w:p>
        </w:tc>
      </w:tr>
      <w:tr w:rsidR="00AE2BDB" w:rsidRPr="00237520" w14:paraId="3CCB5AF9"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1F0DF"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lastRenderedPageBreak/>
              <w:t>Eswatini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927EB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51B4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22/10/2025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C3A3D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7077E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B4667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CC51CD"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36B0C81"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4558D087"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6DDF71"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Ethiopia</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21DBD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FBFFF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9711A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DF21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E1B5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BB226F"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324C9A6"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058EB032"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44A21B"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Fiji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0BE89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E58E7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08/02/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964C6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FD227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1F36E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17/06/2026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89D3F7"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3795B6B3" w14:textId="77777777" w:rsidR="00AE2BDB" w:rsidRPr="00AE2BDB" w:rsidRDefault="00AE2BDB" w:rsidP="00D22022">
            <w:pPr>
              <w:rPr>
                <w:rFonts w:cstheme="minorHAnsi"/>
                <w:color w:val="000000" w:themeColor="text1"/>
                <w:sz w:val="18"/>
                <w:szCs w:val="18"/>
                <w:lang w:val="en-US"/>
              </w:rPr>
            </w:pPr>
            <w:r w:rsidRPr="00AE2BDB">
              <w:rPr>
                <w:rFonts w:cstheme="minorHAnsi"/>
                <w:sz w:val="18"/>
                <w:szCs w:val="18"/>
                <w:lang w:val="en-US"/>
              </w:rPr>
              <w:t>Awaiting final project narrative and expenditure reports submission</w:t>
            </w:r>
            <w:r w:rsidRPr="00AE2BDB">
              <w:rPr>
                <w:rFonts w:cstheme="minorHAnsi"/>
                <w:color w:val="000000" w:themeColor="text1"/>
                <w:sz w:val="18"/>
                <w:szCs w:val="18"/>
                <w:lang w:val="en-US"/>
              </w:rPr>
              <w:t xml:space="preserve"> </w:t>
            </w:r>
          </w:p>
        </w:tc>
      </w:tr>
      <w:tr w:rsidR="00AE2BDB" w:rsidRPr="00237520" w14:paraId="604EF707"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0A265C"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Gabon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E7A1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4F19C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06/02/2026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9BC09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7C1D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1400F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74E69A"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71BFA5F7"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2BAC45FF"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67C2F3"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Georgia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AEC456"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AEEBD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9A4D5B" w14:textId="77777777" w:rsidR="00AE2BDB" w:rsidRPr="00C67737" w:rsidRDefault="00AE2BDB" w:rsidP="00D22022">
            <w:pPr>
              <w:jc w:val="center"/>
              <w:rPr>
                <w:rFonts w:cstheme="minorHAnsi"/>
                <w:sz w:val="18"/>
                <w:szCs w:val="18"/>
              </w:rPr>
            </w:pPr>
            <w:r w:rsidRPr="00C67737">
              <w:rPr>
                <w:rFonts w:cstheme="minorHAns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66305" w14:textId="77777777" w:rsidR="00AE2BDB" w:rsidRPr="00C67737" w:rsidRDefault="00AE2BDB" w:rsidP="00D22022">
            <w:pPr>
              <w:jc w:val="center"/>
              <w:rPr>
                <w:rFonts w:cstheme="minorHAnsi"/>
                <w:sz w:val="18"/>
                <w:szCs w:val="18"/>
              </w:rPr>
            </w:pPr>
            <w:r w:rsidRPr="00C67737">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616AD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 xml:space="preserve"> </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4BB004" w14:textId="77777777" w:rsidR="00AE2BDB" w:rsidRPr="00AE2BDB" w:rsidRDefault="00AE2BDB" w:rsidP="00D22022">
            <w:pPr>
              <w:rPr>
                <w:rFonts w:cstheme="minorHAnsi"/>
                <w:sz w:val="18"/>
                <w:szCs w:val="18"/>
                <w:lang w:val="en-US"/>
              </w:rPr>
            </w:pPr>
            <w:r w:rsidRPr="00AE2BDB">
              <w:rPr>
                <w:rFonts w:cstheme="minorHAnsi"/>
                <w:sz w:val="18"/>
                <w:szCs w:val="18"/>
                <w:lang w:val="en-US"/>
              </w:rPr>
              <w:t>Country used alternative funds and will not utilize GEF Funds at this time</w:t>
            </w:r>
          </w:p>
        </w:tc>
      </w:tr>
      <w:tr w:rsidR="00AE2BDB" w:rsidRPr="00237520" w14:paraId="07030A6A"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06187D"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Ghana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E6268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6044C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B9AA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A8C50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9B2E2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475AA0"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3D6C83A4"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74588B5B"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B34433"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Grenada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4C1B23"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9F9E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B54492" w14:textId="77777777" w:rsidR="00AE2BDB" w:rsidRPr="00C67737" w:rsidRDefault="00AE2BDB" w:rsidP="00D22022">
            <w:pPr>
              <w:jc w:val="center"/>
              <w:rPr>
                <w:rFonts w:cstheme="minorHAnsi"/>
                <w:i/>
                <w:iCs/>
                <w:sz w:val="18"/>
                <w:szCs w:val="18"/>
              </w:rPr>
            </w:pPr>
            <w:r w:rsidRPr="00C67737">
              <w:rPr>
                <w:rFonts w:cstheme="minorHAnsi"/>
                <w:i/>
                <w:iCs/>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148894" w14:textId="77777777" w:rsidR="00AE2BDB" w:rsidRPr="00C67737" w:rsidRDefault="00AE2BDB" w:rsidP="00D22022">
            <w:pPr>
              <w:jc w:val="center"/>
              <w:rPr>
                <w:rFonts w:cstheme="minorHAnsi"/>
                <w:i/>
                <w:iCs/>
                <w:sz w:val="18"/>
                <w:szCs w:val="18"/>
              </w:rPr>
            </w:pPr>
            <w:r w:rsidRPr="00C67737">
              <w:rPr>
                <w:rFonts w:cstheme="minorHAnsi"/>
                <w:i/>
                <w:iCs/>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8733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21/02/2026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F858C6"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A727753" w14:textId="77777777" w:rsidR="00AE2BDB" w:rsidRPr="00AE2BDB" w:rsidRDefault="00AE2BDB" w:rsidP="00D22022">
            <w:pPr>
              <w:rPr>
                <w:rFonts w:cstheme="minorHAnsi"/>
                <w:sz w:val="18"/>
                <w:szCs w:val="18"/>
                <w:lang w:val="en-US"/>
              </w:rPr>
            </w:pPr>
            <w:r w:rsidRPr="00AE2BDB">
              <w:rPr>
                <w:rFonts w:cstheme="minorHAnsi"/>
                <w:sz w:val="18"/>
                <w:szCs w:val="18"/>
                <w:lang w:val="en-US"/>
              </w:rPr>
              <w:t>UNEP reviewing SSFA project documentation for processing of payment</w:t>
            </w:r>
          </w:p>
        </w:tc>
      </w:tr>
      <w:tr w:rsidR="00AE2BDB" w:rsidRPr="00237520" w14:paraId="42C2A608"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E72AF5"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Guatemala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67A71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1C5A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03/06/2026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89005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DE2368"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01098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D8259D"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A27C523"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C67737" w14:paraId="5B77DDC0"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686456"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Guinea</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DE128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8C1D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09/03/2026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1535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7CCB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D619B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6A678E0" w14:textId="77777777" w:rsidR="00AE2BDB" w:rsidRPr="00C67737" w:rsidRDefault="00AE2BDB" w:rsidP="00D22022">
            <w:pPr>
              <w:rPr>
                <w:rFonts w:cstheme="minorHAnsi"/>
                <w:color w:val="000000" w:themeColor="text1"/>
                <w:sz w:val="18"/>
                <w:szCs w:val="18"/>
              </w:rPr>
            </w:pPr>
            <w:r w:rsidRPr="00C67737">
              <w:rPr>
                <w:rFonts w:cstheme="minorHAnsi"/>
                <w:color w:val="000000" w:themeColor="text1"/>
                <w:sz w:val="18"/>
                <w:szCs w:val="18"/>
              </w:rPr>
              <w:t xml:space="preserve">Report compilation in </w:t>
            </w:r>
            <w:proofErr w:type="spellStart"/>
            <w:r w:rsidRPr="00C67737">
              <w:rPr>
                <w:rFonts w:cstheme="minorHAnsi"/>
                <w:color w:val="000000" w:themeColor="text1"/>
                <w:sz w:val="18"/>
                <w:szCs w:val="18"/>
              </w:rPr>
              <w:t>progress</w:t>
            </w:r>
            <w:proofErr w:type="spellEnd"/>
          </w:p>
        </w:tc>
      </w:tr>
      <w:tr w:rsidR="00AE2BDB" w:rsidRPr="00237520" w14:paraId="4A389AB7"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82E751"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Guinea-Bissau</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F0DCB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09E4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07/11/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D56B1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7AA5B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33BB6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A8AC7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68EC3EF8" w14:textId="77777777" w:rsidR="00AE2BDB" w:rsidRPr="00AE2BDB" w:rsidRDefault="00AE2BDB" w:rsidP="00D22022">
            <w:pPr>
              <w:rPr>
                <w:rFonts w:cstheme="minorHAnsi"/>
                <w:sz w:val="18"/>
                <w:szCs w:val="18"/>
                <w:lang w:val="en-US"/>
              </w:rPr>
            </w:pPr>
            <w:r w:rsidRPr="00AE2BDB">
              <w:rPr>
                <w:rFonts w:cstheme="minorHAnsi"/>
                <w:sz w:val="18"/>
                <w:szCs w:val="18"/>
                <w:lang w:val="en-US"/>
              </w:rPr>
              <w:lastRenderedPageBreak/>
              <w:t>Awaiting final project narrative and expenditure reports submission</w:t>
            </w:r>
          </w:p>
        </w:tc>
      </w:tr>
      <w:tr w:rsidR="00AE2BDB" w:rsidRPr="00237520" w14:paraId="38F283EE"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944A86"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lastRenderedPageBreak/>
              <w:t>Guyana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BF408"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DD2C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1B666B" w14:textId="77777777" w:rsidR="00AE2BDB" w:rsidRPr="00C67737" w:rsidRDefault="00AE2BDB" w:rsidP="00D22022">
            <w:pPr>
              <w:jc w:val="center"/>
              <w:rPr>
                <w:rFonts w:cstheme="minorHAnsi"/>
                <w:sz w:val="18"/>
                <w:szCs w:val="18"/>
              </w:rPr>
            </w:pPr>
            <w:r w:rsidRPr="00C67737">
              <w:rPr>
                <w:rFonts w:cstheme="minorHAns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350012" w14:textId="77777777" w:rsidR="00AE2BDB" w:rsidRPr="00C67737" w:rsidRDefault="00AE2BDB" w:rsidP="00D22022">
            <w:pPr>
              <w:jc w:val="center"/>
              <w:rPr>
                <w:rFonts w:cstheme="minorHAnsi"/>
                <w:sz w:val="18"/>
                <w:szCs w:val="18"/>
              </w:rPr>
            </w:pPr>
            <w:r w:rsidRPr="00C67737">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08D4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48B55B"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56258B9" w14:textId="77777777" w:rsidR="00AE2BDB" w:rsidRPr="00AE2BDB" w:rsidRDefault="00AE2BDB" w:rsidP="00D22022">
            <w:pPr>
              <w:rPr>
                <w:rFonts w:cstheme="minorHAnsi"/>
                <w:sz w:val="18"/>
                <w:szCs w:val="18"/>
                <w:lang w:val="en-US"/>
              </w:rPr>
            </w:pPr>
            <w:r w:rsidRPr="00AE2BDB">
              <w:rPr>
                <w:rFonts w:cstheme="minorHAnsi"/>
                <w:sz w:val="18"/>
                <w:szCs w:val="18"/>
                <w:lang w:val="en-US"/>
              </w:rPr>
              <w:t>Country used alternative funds and will not utilize GEF Funds at this time</w:t>
            </w:r>
          </w:p>
        </w:tc>
      </w:tr>
      <w:tr w:rsidR="00AE2BDB" w:rsidRPr="00237520" w14:paraId="1F115852"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BC0951"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Honduras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E49A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D8F9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19BB7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8AB0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050DB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D1DB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24991041"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3BAF004F"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75F8EF"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India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DBDD0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B97F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C25FB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DF8A2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C51393" w14:textId="77777777" w:rsidR="00AE2BDB" w:rsidRPr="00C67737" w:rsidRDefault="00AE2BDB" w:rsidP="00D22022">
            <w:pPr>
              <w:jc w:val="center"/>
              <w:rPr>
                <w:rFonts w:cstheme="minorHAnsi"/>
                <w:sz w:val="18"/>
                <w:szCs w:val="18"/>
              </w:rPr>
            </w:pPr>
            <w:r w:rsidRPr="00C67737">
              <w:rPr>
                <w:rFonts w:cstheme="minorHAnsi"/>
                <w:sz w:val="18"/>
                <w:szCs w:val="18"/>
              </w:rPr>
              <w:t>02/04/2026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CDAD2"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39B3A433"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02209E01"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BB0FD"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Indonesia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B1AF08"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4869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B5F83" w14:textId="77777777" w:rsidR="00AE2BDB" w:rsidRPr="00C67737" w:rsidRDefault="00AE2BDB" w:rsidP="00D22022">
            <w:pPr>
              <w:jc w:val="center"/>
              <w:rPr>
                <w:rFonts w:cstheme="minorHAnsi"/>
                <w:i/>
                <w:iCs/>
                <w:sz w:val="18"/>
                <w:szCs w:val="18"/>
              </w:rPr>
            </w:pPr>
            <w:r w:rsidRPr="00C67737">
              <w:rPr>
                <w:rFonts w:cstheme="minorHAnsi"/>
                <w:i/>
                <w:iCs/>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C0193" w14:textId="77777777" w:rsidR="00AE2BDB" w:rsidRPr="00C67737" w:rsidRDefault="00AE2BDB" w:rsidP="00D22022">
            <w:pPr>
              <w:jc w:val="center"/>
              <w:rPr>
                <w:rFonts w:cstheme="minorHAnsi"/>
                <w:i/>
                <w:iCs/>
                <w:sz w:val="18"/>
                <w:szCs w:val="18"/>
              </w:rPr>
            </w:pPr>
            <w:r w:rsidRPr="00C67737">
              <w:rPr>
                <w:rFonts w:cstheme="minorHAnsi"/>
                <w:i/>
                <w:iCs/>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254E3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35E6A6"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3DE4C45" w14:textId="77777777" w:rsidR="00AE2BDB" w:rsidRPr="00AE2BDB" w:rsidRDefault="00AE2BDB" w:rsidP="00D22022">
            <w:pPr>
              <w:rPr>
                <w:rFonts w:cstheme="minorHAnsi"/>
                <w:sz w:val="18"/>
                <w:szCs w:val="18"/>
                <w:lang w:val="en-US"/>
              </w:rPr>
            </w:pPr>
            <w:r w:rsidRPr="00AE2BDB">
              <w:rPr>
                <w:rFonts w:cstheme="minorHAnsi"/>
                <w:sz w:val="18"/>
                <w:szCs w:val="18"/>
                <w:lang w:val="en-US"/>
              </w:rPr>
              <w:t>Country used alternative funds and will not utilize GEF Funds at this time</w:t>
            </w:r>
          </w:p>
        </w:tc>
      </w:tr>
      <w:tr w:rsidR="00AE2BDB" w:rsidRPr="00237520" w14:paraId="0892D2AE"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5A42E9"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Iraq</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5C77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2743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B0C37C"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848A8"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18425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B6510F"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C50888A"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04A9D0F9"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907B3"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Jamaica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91122"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32F42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E76B4" w14:textId="77777777" w:rsidR="00AE2BDB" w:rsidRPr="00C67737" w:rsidRDefault="00AE2BDB" w:rsidP="00D22022">
            <w:pPr>
              <w:jc w:val="center"/>
              <w:rPr>
                <w:rFonts w:cstheme="minorHAnsi"/>
                <w:sz w:val="18"/>
                <w:szCs w:val="18"/>
              </w:rPr>
            </w:pPr>
            <w:r w:rsidRPr="00C67737">
              <w:rPr>
                <w:rFonts w:cstheme="minorHAns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ACCA1A" w14:textId="77777777" w:rsidR="00AE2BDB" w:rsidRPr="00C67737" w:rsidRDefault="00AE2BDB" w:rsidP="00D22022">
            <w:pPr>
              <w:jc w:val="center"/>
              <w:rPr>
                <w:rFonts w:cstheme="minorHAnsi"/>
                <w:sz w:val="18"/>
                <w:szCs w:val="18"/>
              </w:rPr>
            </w:pPr>
            <w:r w:rsidRPr="00C67737">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24B4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9D76D9"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9E516D6" w14:textId="77777777" w:rsidR="00AE2BDB" w:rsidRPr="00AE2BDB" w:rsidRDefault="00AE2BDB" w:rsidP="00D22022">
            <w:pPr>
              <w:rPr>
                <w:rFonts w:cstheme="minorHAnsi"/>
                <w:sz w:val="18"/>
                <w:szCs w:val="18"/>
                <w:lang w:val="en-US"/>
              </w:rPr>
            </w:pPr>
            <w:r w:rsidRPr="00AE2BDB">
              <w:rPr>
                <w:rFonts w:cstheme="minorHAnsi"/>
                <w:sz w:val="18"/>
                <w:szCs w:val="18"/>
                <w:lang w:val="en-US"/>
              </w:rPr>
              <w:t>Country used alternative funds and will not utilize GEF Funds at this time</w:t>
            </w:r>
          </w:p>
        </w:tc>
      </w:tr>
      <w:tr w:rsidR="00AE2BDB" w:rsidRPr="00237520" w14:paraId="6099FDC5"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2854A"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Jordan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8012C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5D48E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08/01/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C2AEA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23D7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ED518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5D8A93" w14:textId="77777777" w:rsidR="00AE2BDB" w:rsidRPr="00AE2BDB" w:rsidRDefault="00AE2BDB" w:rsidP="00D22022">
            <w:pPr>
              <w:rPr>
                <w:rFonts w:cstheme="minorHAnsi"/>
                <w:color w:val="000000" w:themeColor="text1"/>
                <w:sz w:val="18"/>
                <w:szCs w:val="18"/>
                <w:lang w:val="en-US"/>
              </w:rPr>
            </w:pPr>
            <w:r w:rsidRPr="00AE2BDB">
              <w:rPr>
                <w:rFonts w:cstheme="minorHAnsi"/>
                <w:sz w:val="18"/>
                <w:szCs w:val="18"/>
                <w:lang w:val="en-US"/>
              </w:rPr>
              <w:t xml:space="preserve">5th national </w:t>
            </w:r>
            <w:r w:rsidRPr="00AE2BDB">
              <w:rPr>
                <w:rFonts w:cstheme="minorHAnsi"/>
                <w:color w:val="000000" w:themeColor="text1"/>
                <w:sz w:val="18"/>
                <w:szCs w:val="18"/>
                <w:lang w:val="en-US"/>
              </w:rPr>
              <w:t>report preparation in progress.</w:t>
            </w:r>
          </w:p>
        </w:tc>
      </w:tr>
      <w:tr w:rsidR="00AE2BDB" w:rsidRPr="00D95ACA" w14:paraId="3E13D78F"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A95CA4"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Kenya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53AC8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0EDD0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22/09/2025</w:t>
            </w:r>
          </w:p>
          <w:p w14:paraId="68417C6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11/06/2026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4D693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AEE0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 xml:space="preserve">100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1A441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24/02/2026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3972D"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71BB6B64" w14:textId="77777777" w:rsidR="00AE2BDB" w:rsidRPr="00AE2BDB" w:rsidRDefault="00AE2BDB" w:rsidP="00D22022">
            <w:pPr>
              <w:rPr>
                <w:rFonts w:cstheme="minorHAnsi"/>
                <w:color w:val="000000" w:themeColor="text1"/>
                <w:sz w:val="18"/>
                <w:szCs w:val="18"/>
                <w:lang w:val="en-US"/>
              </w:rPr>
            </w:pPr>
            <w:r w:rsidRPr="00AE2BDB">
              <w:rPr>
                <w:rFonts w:cstheme="minorHAnsi"/>
                <w:color w:val="000000" w:themeColor="text1"/>
                <w:sz w:val="18"/>
                <w:szCs w:val="18"/>
                <w:lang w:val="en-US"/>
              </w:rPr>
              <w:t xml:space="preserve">Project implementation </w:t>
            </w:r>
            <w:proofErr w:type="gramStart"/>
            <w:r w:rsidRPr="00AE2BDB">
              <w:rPr>
                <w:rFonts w:cstheme="minorHAnsi"/>
                <w:color w:val="000000" w:themeColor="text1"/>
                <w:sz w:val="18"/>
                <w:szCs w:val="18"/>
                <w:lang w:val="en-US"/>
              </w:rPr>
              <w:t>finalized</w:t>
            </w:r>
            <w:proofErr w:type="gramEnd"/>
            <w:r w:rsidRPr="00AE2BDB">
              <w:rPr>
                <w:rFonts w:cstheme="minorHAnsi"/>
                <w:color w:val="000000" w:themeColor="text1"/>
                <w:sz w:val="18"/>
                <w:szCs w:val="18"/>
                <w:lang w:val="en-US"/>
              </w:rPr>
              <w:t xml:space="preserve"> and closed.</w:t>
            </w:r>
          </w:p>
        </w:tc>
      </w:tr>
      <w:tr w:rsidR="00AE2BDB" w:rsidRPr="00237520" w14:paraId="6939BC7B"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416916"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Kiribati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69263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AFE4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13/04/2026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2A4A9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7BE69C"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AB627" w14:textId="77777777" w:rsidR="00AE2BDB" w:rsidRPr="00C67737" w:rsidRDefault="00AE2BDB" w:rsidP="00D22022">
            <w:pPr>
              <w:jc w:val="center"/>
              <w:rPr>
                <w:rFonts w:cstheme="minorHAnsi"/>
                <w:sz w:val="18"/>
                <w:szCs w:val="18"/>
              </w:rPr>
            </w:pPr>
            <w:r w:rsidRPr="00C67737">
              <w:rPr>
                <w:rFonts w:cstheme="minorHAnsi"/>
                <w:sz w:val="18"/>
                <w:szCs w:val="18"/>
              </w:rPr>
              <w:t>01/03/2026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3ADAF3"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EEE5B85"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32855606"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00993E"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lastRenderedPageBreak/>
              <w:t>Lao PDR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03C23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3E273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25/11/2025</w:t>
            </w:r>
          </w:p>
          <w:p w14:paraId="4F728EF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15/04/2026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E47A57"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36542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7B32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15/01/2026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B02480"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7C7513CB" w14:textId="77777777" w:rsidR="00AE2BDB" w:rsidRPr="00AE2BDB" w:rsidRDefault="00AE2BDB" w:rsidP="00D22022">
            <w:pPr>
              <w:rPr>
                <w:rFonts w:cstheme="minorHAnsi"/>
                <w:color w:val="000000" w:themeColor="text1"/>
                <w:sz w:val="18"/>
                <w:szCs w:val="18"/>
                <w:lang w:val="en-US"/>
              </w:rPr>
            </w:pPr>
            <w:r w:rsidRPr="00AE2BDB">
              <w:rPr>
                <w:rFonts w:cstheme="minorHAnsi"/>
                <w:color w:val="000000" w:themeColor="text1"/>
                <w:sz w:val="18"/>
                <w:szCs w:val="18"/>
                <w:lang w:val="en-US"/>
              </w:rPr>
              <w:t xml:space="preserve">Project implementation finalized and closed </w:t>
            </w:r>
          </w:p>
        </w:tc>
      </w:tr>
      <w:tr w:rsidR="00AE2BDB" w:rsidRPr="00237520" w14:paraId="225CDCD2"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1E0A6"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Lebanon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40A2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78AA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2F4A3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3EEB2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F584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7BAA3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C3CC4F5"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6F7FF56C"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03AC1"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Lesotho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2AEF7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3214B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03/11/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1212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70731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FCD2A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298C90"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F021F84"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7256E254" w14:textId="77777777" w:rsidTr="00D22022">
        <w:trPr>
          <w:trHeight w:val="7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734B6"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Liberia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DE2F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E9D89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13/10/2025</w:t>
            </w:r>
          </w:p>
          <w:p w14:paraId="6326895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15/05/2026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6FDE2B"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AF25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208BF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73736"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47FDE56A" w14:textId="77777777" w:rsidR="00AE2BDB" w:rsidRPr="00AE2BDB" w:rsidRDefault="00AE2BDB" w:rsidP="00D22022">
            <w:pPr>
              <w:rPr>
                <w:rFonts w:cstheme="minorHAnsi"/>
                <w:color w:val="000000" w:themeColor="text1"/>
                <w:sz w:val="18"/>
                <w:szCs w:val="18"/>
                <w:lang w:val="en-US"/>
              </w:rPr>
            </w:pPr>
            <w:r w:rsidRPr="00AE2BDB">
              <w:rPr>
                <w:rFonts w:cstheme="minorHAnsi"/>
                <w:color w:val="000000" w:themeColor="text1"/>
                <w:sz w:val="18"/>
                <w:szCs w:val="18"/>
                <w:lang w:val="en-US"/>
              </w:rPr>
              <w:t>Project implementation finalized and closed</w:t>
            </w:r>
          </w:p>
        </w:tc>
      </w:tr>
      <w:tr w:rsidR="00AE2BDB" w:rsidRPr="00237520" w14:paraId="674EE93C"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35B405"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Libya</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47CEE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50,000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D9386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5A202"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34F15A"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C069B" w14:textId="77777777" w:rsidR="00AE2BDB" w:rsidRPr="00C67737" w:rsidRDefault="00AE2BDB" w:rsidP="00D22022">
            <w:pPr>
              <w:jc w:val="center"/>
              <w:rPr>
                <w:rFonts w:cstheme="minorHAnsi"/>
                <w:sz w:val="18"/>
                <w:szCs w:val="18"/>
              </w:rPr>
            </w:pPr>
            <w:r w:rsidRPr="00C67737">
              <w:rPr>
                <w:rFonts w:cstheme="minorHAnsi"/>
                <w:sz w:val="18"/>
                <w:szCs w:val="18"/>
              </w:rPr>
              <w:t>26/02/2026 (4</w:t>
            </w:r>
            <w:r w:rsidRPr="00C67737">
              <w:rPr>
                <w:rFonts w:cstheme="minorHAnsi"/>
                <w:sz w:val="18"/>
                <w:szCs w:val="18"/>
                <w:vertAlign w:val="superscript"/>
              </w:rPr>
              <w:t xml:space="preserve">th </w:t>
            </w:r>
            <w:r w:rsidRPr="00C67737">
              <w:rPr>
                <w:rFonts w:cstheme="minorHAnsi"/>
                <w:sz w:val="18"/>
                <w:szCs w:val="18"/>
              </w:rPr>
              <w:t>NR)</w:t>
            </w:r>
          </w:p>
          <w:p w14:paraId="2A3613EB" w14:textId="77777777" w:rsidR="00AE2BDB" w:rsidRPr="00C67737" w:rsidRDefault="00AE2BDB" w:rsidP="00D22022">
            <w:pPr>
              <w:jc w:val="center"/>
              <w:rPr>
                <w:rFonts w:cstheme="minorHAnsi"/>
                <w:sz w:val="18"/>
                <w:szCs w:val="18"/>
              </w:rPr>
            </w:pPr>
            <w:r w:rsidRPr="00C67737">
              <w:rPr>
                <w:rFonts w:cstheme="minorHAnsi"/>
                <w:sz w:val="18"/>
                <w:szCs w:val="18"/>
              </w:rPr>
              <w:t>27/02/2026 (5</w:t>
            </w:r>
            <w:r w:rsidRPr="00C67737">
              <w:rPr>
                <w:rFonts w:cstheme="minorHAnsi"/>
                <w:sz w:val="18"/>
                <w:szCs w:val="18"/>
                <w:vertAlign w:val="superscript"/>
              </w:rPr>
              <w:t>th</w:t>
            </w:r>
            <w:r w:rsidRPr="00C67737">
              <w:rPr>
                <w:rFonts w:cstheme="minorHAnsi"/>
                <w:sz w:val="18"/>
                <w:szCs w:val="18"/>
              </w:rPr>
              <w:t xml:space="preserve"> NR)</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A6ED44" w14:textId="77777777" w:rsidR="00AE2BDB" w:rsidRPr="00AE2BDB" w:rsidRDefault="00AE2BDB" w:rsidP="00D22022">
            <w:pPr>
              <w:rPr>
                <w:rFonts w:cstheme="minorHAnsi"/>
                <w:sz w:val="18"/>
                <w:szCs w:val="18"/>
                <w:lang w:val="en-US"/>
              </w:rPr>
            </w:pPr>
            <w:r w:rsidRPr="00AE2BDB">
              <w:rPr>
                <w:rFonts w:cstheme="minorHAnsi"/>
                <w:sz w:val="18"/>
                <w:szCs w:val="18"/>
                <w:lang w:val="en-US"/>
              </w:rPr>
              <w:t>4</w:t>
            </w:r>
            <w:r w:rsidRPr="00AE2BDB">
              <w:rPr>
                <w:rFonts w:cstheme="minorHAnsi"/>
                <w:sz w:val="18"/>
                <w:szCs w:val="18"/>
                <w:vertAlign w:val="superscript"/>
                <w:lang w:val="en-US"/>
              </w:rPr>
              <w:t>th</w:t>
            </w:r>
            <w:r w:rsidRPr="00AE2BDB">
              <w:rPr>
                <w:rFonts w:cstheme="minorHAnsi"/>
                <w:sz w:val="18"/>
                <w:szCs w:val="18"/>
                <w:lang w:val="en-US"/>
              </w:rPr>
              <w:t xml:space="preserve"> and 5</w:t>
            </w:r>
            <w:r w:rsidRPr="00AE2BDB">
              <w:rPr>
                <w:rFonts w:cstheme="minorHAnsi"/>
                <w:sz w:val="18"/>
                <w:szCs w:val="18"/>
                <w:vertAlign w:val="superscript"/>
                <w:lang w:val="en-US"/>
              </w:rPr>
              <w:t>th</w:t>
            </w:r>
            <w:r w:rsidRPr="00AE2BDB">
              <w:rPr>
                <w:rFonts w:cstheme="minorHAnsi"/>
                <w:sz w:val="18"/>
                <w:szCs w:val="18"/>
                <w:lang w:val="en-US"/>
              </w:rPr>
              <w:t xml:space="preserve"> national report submitted.</w:t>
            </w:r>
          </w:p>
          <w:p w14:paraId="59E9542B"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62B474D5"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56870D"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Madagascar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7D8E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993EA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04/02/2026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058EF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A951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55FE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7CF9A3"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C819817"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5AA8623D"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F2FE59"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Malawi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14768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14A70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13/10/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7E2D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A77B9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3E713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9CE0E"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8B2B3CB"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7BD89F4F"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DA2CB"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Malaysia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EAF70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14752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E50C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E8BD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D74F8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12F67D"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3D86EA55"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C67737" w14:paraId="55703D66"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649123"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Maldives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0B3D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148C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71E15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DDD74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8025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E13F4" w14:textId="77777777" w:rsidR="00AE2BDB" w:rsidRPr="00C67737" w:rsidRDefault="00AE2BDB" w:rsidP="00D22022">
            <w:pPr>
              <w:rPr>
                <w:rFonts w:cstheme="minorHAnsi"/>
                <w:color w:val="000000" w:themeColor="text1"/>
                <w:sz w:val="18"/>
                <w:szCs w:val="18"/>
              </w:rPr>
            </w:pPr>
            <w:r w:rsidRPr="00AE2BDB">
              <w:rPr>
                <w:rFonts w:cstheme="minorHAnsi"/>
                <w:sz w:val="18"/>
                <w:szCs w:val="18"/>
                <w:lang w:val="en-US"/>
              </w:rPr>
              <w:t xml:space="preserve">5th national </w:t>
            </w:r>
            <w:r w:rsidRPr="00AE2BDB">
              <w:rPr>
                <w:rFonts w:cstheme="minorHAnsi"/>
                <w:color w:val="000000" w:themeColor="text1"/>
                <w:sz w:val="18"/>
                <w:szCs w:val="18"/>
                <w:lang w:val="en-US"/>
              </w:rPr>
              <w:t xml:space="preserve">report preparation in progress. </w:t>
            </w:r>
            <w:r w:rsidRPr="00C67737">
              <w:rPr>
                <w:rFonts w:cstheme="minorHAnsi"/>
                <w:color w:val="000000" w:themeColor="text1"/>
                <w:sz w:val="18"/>
                <w:szCs w:val="18"/>
              </w:rPr>
              <w:t xml:space="preserve">Draft report </w:t>
            </w:r>
            <w:proofErr w:type="spellStart"/>
            <w:r w:rsidRPr="00C67737">
              <w:rPr>
                <w:rFonts w:cstheme="minorHAnsi"/>
                <w:color w:val="000000" w:themeColor="text1"/>
                <w:sz w:val="18"/>
                <w:szCs w:val="18"/>
              </w:rPr>
              <w:t>available</w:t>
            </w:r>
            <w:proofErr w:type="spellEnd"/>
            <w:r w:rsidRPr="00C67737">
              <w:rPr>
                <w:rFonts w:cstheme="minorHAnsi"/>
                <w:color w:val="000000" w:themeColor="text1"/>
                <w:sz w:val="18"/>
                <w:szCs w:val="18"/>
              </w:rPr>
              <w:t xml:space="preserve">. </w:t>
            </w:r>
          </w:p>
        </w:tc>
      </w:tr>
      <w:tr w:rsidR="00AE2BDB" w:rsidRPr="00237520" w14:paraId="25F038F7"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05004"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lastRenderedPageBreak/>
              <w:t>Mali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A7AC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3F4A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4DDA3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B9ACF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2CC3D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62CA1A" w14:textId="77777777" w:rsidR="00AE2BDB" w:rsidRPr="00AE2BDB" w:rsidRDefault="00AE2BDB" w:rsidP="00D22022">
            <w:pPr>
              <w:rPr>
                <w:rFonts w:cstheme="minorHAnsi"/>
                <w:color w:val="000000" w:themeColor="text1"/>
                <w:sz w:val="18"/>
                <w:szCs w:val="18"/>
                <w:lang w:val="en-US"/>
              </w:rPr>
            </w:pPr>
            <w:r w:rsidRPr="00AE2BDB">
              <w:rPr>
                <w:rFonts w:cstheme="minorHAnsi"/>
                <w:sz w:val="18"/>
                <w:szCs w:val="18"/>
                <w:lang w:val="en-US"/>
              </w:rPr>
              <w:t xml:space="preserve">5th national </w:t>
            </w:r>
            <w:r w:rsidRPr="00AE2BDB">
              <w:rPr>
                <w:rFonts w:cstheme="minorHAnsi"/>
                <w:color w:val="000000" w:themeColor="text1"/>
                <w:sz w:val="18"/>
                <w:szCs w:val="18"/>
                <w:lang w:val="en-US"/>
              </w:rPr>
              <w:t>report preparation in progress</w:t>
            </w:r>
          </w:p>
        </w:tc>
      </w:tr>
      <w:tr w:rsidR="00AE2BDB" w:rsidRPr="00237520" w14:paraId="3155538D"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C61654"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Mauritania</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5349A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CEA1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05/12/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EDB2E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F4F80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DBC92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1E319"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6231F372" w14:textId="77777777" w:rsidR="00AE2BDB" w:rsidRPr="00AE2BDB" w:rsidRDefault="00AE2BDB" w:rsidP="00D22022">
            <w:pPr>
              <w:rPr>
                <w:rFonts w:cstheme="minorHAnsi"/>
                <w:sz w:val="18"/>
                <w:szCs w:val="18"/>
                <w:lang w:val="en-US"/>
              </w:rPr>
            </w:pPr>
            <w:r w:rsidRPr="00AE2BDB">
              <w:rPr>
                <w:rFonts w:cstheme="minorHAnsi"/>
                <w:sz w:val="18"/>
                <w:szCs w:val="18"/>
                <w:lang w:val="en-US"/>
              </w:rPr>
              <w:t>UNEP in the process of final disbursement (3,000 USD).</w:t>
            </w:r>
          </w:p>
        </w:tc>
      </w:tr>
      <w:tr w:rsidR="00AE2BDB" w:rsidRPr="00237520" w14:paraId="2030B84D"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731AB8"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Mexico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D4DE2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5B922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02B20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51B9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B0A0F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24/02/ 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1CCCAB"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4BE4B641"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53DC178E"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B2FE7"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Moldova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0960C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34E9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23/09/2025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A166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BB0FD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5B91E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F95336"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6CFA27F7"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2F7FD8D9"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8080EC"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Mongolia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EAB8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688E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9E9DE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C38D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BCE04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5C828"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4F0C8CBC"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0C1E7CD1"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EBA6C"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Montenegro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2A6E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A252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06/11/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FB08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139B0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2E7A8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EC4D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42713581"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5996D6F7"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A7276F"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Morocco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A0881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0DD9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92263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14B4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18BE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1F896"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72CA6523"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2971B394"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C1A743"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Mozambique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3A6D8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89037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56351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3F4C7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4F89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A0F19A"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63615E76"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5BB205F4"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02FF06"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Namibia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E3CE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726A5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5727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49B7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DF1F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A8454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4175B51E"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3D3217D2"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9B5B79"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Nauru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11182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D7AEC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8439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2595C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EED2C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9B319"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7F8C1DE" w14:textId="77777777" w:rsidR="00AE2BDB" w:rsidRPr="00AE2BDB" w:rsidRDefault="00AE2BDB" w:rsidP="00D22022">
            <w:pPr>
              <w:rPr>
                <w:rFonts w:cstheme="minorHAnsi"/>
                <w:sz w:val="18"/>
                <w:szCs w:val="18"/>
                <w:lang w:val="en-US"/>
              </w:rPr>
            </w:pPr>
            <w:r w:rsidRPr="00AE2BDB">
              <w:rPr>
                <w:rFonts w:cstheme="minorHAnsi"/>
                <w:sz w:val="18"/>
                <w:szCs w:val="18"/>
                <w:lang w:val="en-US"/>
              </w:rPr>
              <w:lastRenderedPageBreak/>
              <w:t>Awaiting final project narrative and expenditure reports submission</w:t>
            </w:r>
          </w:p>
        </w:tc>
      </w:tr>
      <w:tr w:rsidR="00AE2BDB" w:rsidRPr="00237520" w14:paraId="25ACD04F"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C8B9A4"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lastRenderedPageBreak/>
              <w:t>Niger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6A71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3EC8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12/01/2026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55B71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5E6C4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C1DE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C51A57"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1903E24"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2FBB6ED2"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C02962"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Nigeria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0087C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654B1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15/12/2025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FE5F9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A5DA1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AD04C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9CAD90"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6BB6FC4"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25B898CD"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97461B"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North Macedonia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694F2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0E60B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10/04/2026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1F6E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8,120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8A816A" w14:textId="77777777" w:rsidR="00AE2BDB" w:rsidRPr="00C67737" w:rsidRDefault="00AE2BDB" w:rsidP="000B33CF">
            <w:pPr>
              <w:pStyle w:val="ListParagraph"/>
              <w:numPr>
                <w:ilvl w:val="0"/>
                <w:numId w:val="48"/>
              </w:numPr>
            </w:pPr>
            <w:r w:rsidRPr="00C67737">
              <w:t xml:space="preserve">27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93BCD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C13FC8" w14:textId="77777777" w:rsidR="00AE2BDB" w:rsidRPr="00AE2BDB" w:rsidRDefault="00AE2BDB" w:rsidP="00D22022">
            <w:pPr>
              <w:rPr>
                <w:rFonts w:cstheme="minorHAnsi"/>
                <w:color w:val="000000" w:themeColor="text1"/>
                <w:sz w:val="18"/>
                <w:szCs w:val="18"/>
                <w:lang w:val="en-US"/>
              </w:rPr>
            </w:pPr>
            <w:r w:rsidRPr="00AE2BDB">
              <w:rPr>
                <w:rFonts w:cstheme="minorHAnsi"/>
                <w:sz w:val="18"/>
                <w:szCs w:val="18"/>
                <w:lang w:val="en-US"/>
              </w:rPr>
              <w:t xml:space="preserve">5th national </w:t>
            </w:r>
            <w:r w:rsidRPr="00AE2BDB">
              <w:rPr>
                <w:rFonts w:cstheme="minorHAnsi"/>
                <w:color w:val="000000" w:themeColor="text1"/>
                <w:sz w:val="18"/>
                <w:szCs w:val="18"/>
                <w:lang w:val="en-US"/>
              </w:rPr>
              <w:t>report preparation in progress.</w:t>
            </w:r>
          </w:p>
        </w:tc>
      </w:tr>
      <w:tr w:rsidR="00AE2BDB" w:rsidRPr="00237520" w14:paraId="51F0719B"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CAAC57"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Pakistan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2647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15016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15/04/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E45E0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F9266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43767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258C47"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78344BB"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737033B6"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431F94"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Palau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1F233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95F20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17/02/2026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71FD1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06FDF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4A104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02175"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43F04412"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7DA0AD05"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7CD0C4"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Panama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61CE9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3F331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8216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46EFD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6B1F2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963F0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20FBF988"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02F3F74B"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1A981F"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Peru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4AA81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204BF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14/05/2026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0FC82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7E76A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99DF0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01/03/2026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CB4AE" w14:textId="77777777" w:rsidR="00AE2BDB" w:rsidRPr="00AE2BDB" w:rsidRDefault="00AE2BDB" w:rsidP="00D22022">
            <w:pPr>
              <w:rPr>
                <w:rFonts w:cstheme="minorHAnsi"/>
                <w:sz w:val="18"/>
                <w:szCs w:val="18"/>
                <w:lang w:val="en-US"/>
              </w:rPr>
            </w:pPr>
            <w:r w:rsidRPr="00AE2BDB">
              <w:rPr>
                <w:rFonts w:cstheme="minorHAnsi"/>
                <w:sz w:val="18"/>
                <w:szCs w:val="18"/>
                <w:lang w:val="en-US"/>
              </w:rPr>
              <w:t xml:space="preserve">5th national report submitted. </w:t>
            </w:r>
          </w:p>
          <w:p w14:paraId="527C3B18"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596570C9"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62971D"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Rwanda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C2D7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84D3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20 /11/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66EC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4391B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91A4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B0F91F"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3751D502"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C67737" w14:paraId="0E1FB898"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4BEAA"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Saint Kitts and Nevis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334BF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F5EBC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23/01/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392E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0795A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0602B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A3CDED" w14:textId="77777777" w:rsidR="00AE2BDB" w:rsidRPr="00C67737" w:rsidRDefault="00AE2BDB" w:rsidP="00D22022">
            <w:pPr>
              <w:rPr>
                <w:rFonts w:cstheme="minorHAnsi"/>
                <w:color w:val="000000" w:themeColor="text1"/>
                <w:sz w:val="18"/>
                <w:szCs w:val="18"/>
              </w:rPr>
            </w:pPr>
            <w:r w:rsidRPr="00C67737">
              <w:rPr>
                <w:rFonts w:cstheme="minorHAnsi"/>
                <w:color w:val="000000" w:themeColor="text1"/>
                <w:sz w:val="18"/>
                <w:szCs w:val="18"/>
              </w:rPr>
              <w:t xml:space="preserve">Draft report </w:t>
            </w:r>
            <w:proofErr w:type="spellStart"/>
            <w:r w:rsidRPr="00C67737">
              <w:rPr>
                <w:rFonts w:cstheme="minorHAnsi"/>
                <w:color w:val="000000" w:themeColor="text1"/>
                <w:sz w:val="18"/>
                <w:szCs w:val="18"/>
              </w:rPr>
              <w:t>available</w:t>
            </w:r>
            <w:proofErr w:type="spellEnd"/>
            <w:r w:rsidRPr="00C67737">
              <w:rPr>
                <w:rFonts w:cstheme="minorHAnsi"/>
                <w:color w:val="000000" w:themeColor="text1"/>
                <w:sz w:val="18"/>
                <w:szCs w:val="18"/>
              </w:rPr>
              <w:t xml:space="preserve"> </w:t>
            </w:r>
          </w:p>
        </w:tc>
      </w:tr>
      <w:tr w:rsidR="00AE2BDB" w:rsidRPr="00237520" w14:paraId="6BE3E53D"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F95B3C"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Saint Lucia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DF99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CD0C2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8A03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06581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E072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144D3C"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6403F2E4"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DE4B79"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lastRenderedPageBreak/>
              <w:t>Samoa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02339B"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82823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12/05/2026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99D8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ADAE3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007FB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C2F86BD" w14:textId="77777777" w:rsidR="00AE2BDB" w:rsidRPr="00AE2BDB" w:rsidRDefault="00AE2BDB" w:rsidP="00D22022">
            <w:pPr>
              <w:rPr>
                <w:rFonts w:cstheme="minorHAnsi"/>
                <w:color w:val="000000" w:themeColor="text1"/>
                <w:sz w:val="18"/>
                <w:szCs w:val="18"/>
                <w:lang w:val="en-US"/>
              </w:rPr>
            </w:pPr>
            <w:r w:rsidRPr="00AE2BDB">
              <w:rPr>
                <w:rFonts w:cstheme="minorHAnsi"/>
                <w:sz w:val="18"/>
                <w:szCs w:val="18"/>
                <w:lang w:val="en-US"/>
              </w:rPr>
              <w:t xml:space="preserve"> </w:t>
            </w:r>
            <w:r w:rsidRPr="00AE2BDB">
              <w:rPr>
                <w:rFonts w:cstheme="minorHAnsi"/>
                <w:color w:val="000000" w:themeColor="text1"/>
                <w:sz w:val="18"/>
                <w:szCs w:val="18"/>
                <w:lang w:val="en-US"/>
              </w:rPr>
              <w:t>Report compilation in process</w:t>
            </w:r>
          </w:p>
          <w:p w14:paraId="0650C78C" w14:textId="77777777" w:rsidR="00AE2BDB" w:rsidRPr="00AE2BDB" w:rsidRDefault="00AE2BDB" w:rsidP="00D22022">
            <w:pPr>
              <w:spacing w:line="257" w:lineRule="auto"/>
              <w:rPr>
                <w:rFonts w:cstheme="minorHAnsi"/>
                <w:color w:val="000000" w:themeColor="text1"/>
                <w:sz w:val="18"/>
                <w:szCs w:val="18"/>
                <w:lang w:val="en-US"/>
              </w:rPr>
            </w:pPr>
            <w:r w:rsidRPr="00AE2BDB">
              <w:rPr>
                <w:rFonts w:cstheme="minorHAnsi"/>
                <w:color w:val="000000" w:themeColor="text1"/>
                <w:sz w:val="18"/>
                <w:szCs w:val="18"/>
                <w:lang w:val="en-US"/>
              </w:rPr>
              <w:t>Awaiting SSFA project documentation from country</w:t>
            </w:r>
          </w:p>
        </w:tc>
      </w:tr>
      <w:tr w:rsidR="00AE2BDB" w:rsidRPr="00237520" w14:paraId="4241F899"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9F50A"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Senegal</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A3CC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4B58D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C1E5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4376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E882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89B47C"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25DD9FA3"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C67737" w14:paraId="565FC055"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EACAE3"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Seychelles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6675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675EA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04/05/2026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A6212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52A6C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D47FA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30EF79" w14:textId="77777777" w:rsidR="00AE2BDB" w:rsidRPr="00C67737" w:rsidRDefault="00AE2BDB" w:rsidP="00D22022">
            <w:pPr>
              <w:rPr>
                <w:rFonts w:cstheme="minorHAnsi"/>
                <w:sz w:val="18"/>
                <w:szCs w:val="18"/>
              </w:rPr>
            </w:pPr>
            <w:r w:rsidRPr="00C67737">
              <w:rPr>
                <w:rFonts w:cstheme="minorHAnsi"/>
                <w:color w:val="000000" w:themeColor="text1"/>
                <w:sz w:val="18"/>
                <w:szCs w:val="18"/>
              </w:rPr>
              <w:t xml:space="preserve">Report compilation in </w:t>
            </w:r>
            <w:proofErr w:type="spellStart"/>
            <w:r w:rsidRPr="00C67737">
              <w:rPr>
                <w:rFonts w:cstheme="minorHAnsi"/>
                <w:color w:val="000000" w:themeColor="text1"/>
                <w:sz w:val="18"/>
                <w:szCs w:val="18"/>
              </w:rPr>
              <w:t>progress</w:t>
            </w:r>
            <w:proofErr w:type="spellEnd"/>
            <w:r w:rsidRPr="00C67737">
              <w:rPr>
                <w:rFonts w:cstheme="minorHAnsi"/>
                <w:sz w:val="18"/>
                <w:szCs w:val="18"/>
              </w:rPr>
              <w:t xml:space="preserve"> </w:t>
            </w:r>
          </w:p>
        </w:tc>
      </w:tr>
      <w:tr w:rsidR="00AE2BDB" w:rsidRPr="00237520" w14:paraId="1CBE46AF"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272BE"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Sierra Leone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8B22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72E7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08/102025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FDD90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7BC6E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B1C5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CBB9FA"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51AAB3BD"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1E0FC7F4"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A6610"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Solomon Islands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1A6063"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F0710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2C38A8"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68A8F" w14:textId="77777777" w:rsidR="00AE2BDB" w:rsidRPr="00C67737" w:rsidRDefault="00AE2BDB" w:rsidP="00D22022">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E376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192F6"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421A703C"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769449"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Somalia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39AA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F09BE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99152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CE44A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2C845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24/02/2026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D2CE9"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4810A86E"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187556BA"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507355"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 xml:space="preserve">South </w:t>
            </w:r>
            <w:proofErr w:type="spellStart"/>
            <w:r w:rsidRPr="00C67737">
              <w:rPr>
                <w:rFonts w:cstheme="minorHAnsi"/>
                <w:color w:val="000000" w:themeColor="text1"/>
                <w:sz w:val="18"/>
                <w:szCs w:val="18"/>
              </w:rPr>
              <w:t>Africa</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54CF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454A7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4752D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41A2C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0E674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9C4D4E"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84E8C9E"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6B054ADD"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CE26D"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Sudan</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D76D0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7E81E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06/11/2025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4B5FF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CDAF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59594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C3A688"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60D874CA"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6FCDD52E"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5E630"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Suriname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2C9A7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2F086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1EF0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B750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662C3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BB3888"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3874B198"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3D0165C0"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8320F"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Tajikistan</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5361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9565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26/11/2025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1373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00385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7EF32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4398FB"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71509F6F"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37FF03D5" w14:textId="77777777" w:rsidTr="00D22022">
        <w:trPr>
          <w:trHeight w:val="785"/>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95D79"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lastRenderedPageBreak/>
              <w:t>Tanzania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73EC4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3C73C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08/02/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32693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C421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80730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C8B08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527EEC0"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7480EBAE"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42D22D"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 xml:space="preserve">The </w:t>
            </w:r>
            <w:proofErr w:type="spellStart"/>
            <w:r w:rsidRPr="00C67737">
              <w:rPr>
                <w:rFonts w:cstheme="minorHAnsi"/>
                <w:color w:val="000000" w:themeColor="text1"/>
                <w:sz w:val="18"/>
                <w:szCs w:val="18"/>
              </w:rPr>
              <w:t>Gambia</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85F35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D55F7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13/10/2025</w:t>
            </w:r>
          </w:p>
          <w:p w14:paraId="7CBD4D8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18/06/2026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53E4F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 xml:space="preserve"> 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3EF7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8654E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36C33"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90A8AF1" w14:textId="77777777" w:rsidR="00AE2BDB" w:rsidRPr="00AE2BDB" w:rsidRDefault="00AE2BDB" w:rsidP="00D22022">
            <w:pPr>
              <w:rPr>
                <w:rFonts w:cstheme="minorHAnsi"/>
                <w:sz w:val="18"/>
                <w:szCs w:val="18"/>
                <w:lang w:val="en-US"/>
              </w:rPr>
            </w:pPr>
            <w:r w:rsidRPr="00AE2BDB">
              <w:rPr>
                <w:rFonts w:cstheme="minorHAnsi"/>
                <w:color w:val="000000" w:themeColor="text1"/>
                <w:sz w:val="18"/>
                <w:szCs w:val="18"/>
                <w:lang w:val="en-US"/>
              </w:rPr>
              <w:t>Project implementation finalized and closed</w:t>
            </w:r>
            <w:r w:rsidRPr="00AE2BDB">
              <w:rPr>
                <w:rFonts w:cstheme="minorHAnsi"/>
                <w:sz w:val="18"/>
                <w:szCs w:val="18"/>
                <w:lang w:val="en-US"/>
              </w:rPr>
              <w:t xml:space="preserve"> </w:t>
            </w:r>
          </w:p>
        </w:tc>
      </w:tr>
      <w:tr w:rsidR="00AE2BDB" w:rsidRPr="00237520" w14:paraId="2CC9E081"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DE71E4"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Togo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C3FF1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1DBED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12/01/2026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0164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279A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1E4C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02/03/2026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31385"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3108BA5"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697E169D"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B68B1B"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Tonga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037E4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019B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13/04/2026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B897D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A5082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37FC6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DB6CC3"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6E85128"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6B893367"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366FE3"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Trinidad and Tobago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6F0BB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204FE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A73401"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2DC5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4B9E2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FEAF2E"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D936B54"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733FDBB4"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85F7F9"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Tunisia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6C12E"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ADE49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04/03/2026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28524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E8145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6195E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C01376"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1B76239"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3EF5F809"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C6EAB"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Turkey</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8E84A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835E6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A1CB7"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BC7D68"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23F25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14113A"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2E5A4F5"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6EB45A65"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39517A"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Turkmenistan</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7AEDB" w14:textId="77777777" w:rsidR="00AE2BDB" w:rsidRPr="00C67737" w:rsidRDefault="00AE2BDB" w:rsidP="00D22022">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BD30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11/05/2026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AF08F" w14:textId="77777777" w:rsidR="00AE2BDB" w:rsidRPr="00C67737" w:rsidRDefault="00AE2BDB" w:rsidP="00D22022">
            <w:pPr>
              <w:jc w:val="center"/>
              <w:rPr>
                <w:rFonts w:cstheme="minorHAnsi"/>
                <w:sz w:val="18"/>
                <w:szCs w:val="18"/>
              </w:rPr>
            </w:pPr>
            <w:r w:rsidRPr="00C67737">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B68F3" w14:textId="77777777" w:rsidR="00AE2BDB" w:rsidRPr="00C67737" w:rsidRDefault="00AE2BDB" w:rsidP="00D22022">
            <w:pPr>
              <w:jc w:val="center"/>
              <w:rPr>
                <w:rFonts w:cstheme="minorHAnsi"/>
                <w:sz w:val="18"/>
                <w:szCs w:val="18"/>
              </w:rPr>
            </w:pPr>
            <w:r w:rsidRPr="00C67737">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062BA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22/02/2026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C5D62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 Awaiting final project narrative and expenditure reports submission</w:t>
            </w:r>
          </w:p>
        </w:tc>
      </w:tr>
      <w:tr w:rsidR="00AE2BDB" w:rsidRPr="00C67737" w14:paraId="70F84054"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FCCD8E"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Uganda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66739C"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6E1C4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08/09/2025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3F0218" w14:textId="77777777" w:rsidR="00AE2BDB" w:rsidRPr="00C67737" w:rsidRDefault="00AE2BDB" w:rsidP="00D22022">
            <w:pPr>
              <w:jc w:val="center"/>
              <w:rPr>
                <w:rFonts w:cstheme="minorHAnsi"/>
                <w:sz w:val="18"/>
                <w:szCs w:val="18"/>
              </w:rPr>
            </w:pPr>
            <w:r w:rsidRPr="00C67737">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401EC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E9536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32006C"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3946ECD3" w14:textId="77777777" w:rsidR="00AE2BDB" w:rsidRPr="00C67737" w:rsidRDefault="00AE2BDB" w:rsidP="00D22022">
            <w:pPr>
              <w:rPr>
                <w:rFonts w:cstheme="minorHAnsi"/>
                <w:sz w:val="18"/>
                <w:szCs w:val="18"/>
              </w:rPr>
            </w:pPr>
            <w:r w:rsidRPr="00AE2BDB">
              <w:rPr>
                <w:rFonts w:cstheme="minorHAnsi"/>
                <w:color w:val="000000" w:themeColor="text1"/>
                <w:sz w:val="18"/>
                <w:szCs w:val="18"/>
                <w:lang w:val="en-US"/>
              </w:rPr>
              <w:t xml:space="preserve">Project activities are finalized. </w:t>
            </w:r>
            <w:r w:rsidRPr="00AE2BDB">
              <w:rPr>
                <w:rFonts w:cstheme="minorHAnsi"/>
                <w:sz w:val="18"/>
                <w:szCs w:val="18"/>
                <w:lang w:val="en-US"/>
              </w:rPr>
              <w:t xml:space="preserve">Final reports submitted by Partner. </w:t>
            </w:r>
            <w:r w:rsidRPr="00C67737">
              <w:rPr>
                <w:rFonts w:cstheme="minorHAnsi"/>
                <w:sz w:val="18"/>
                <w:szCs w:val="18"/>
              </w:rPr>
              <w:t xml:space="preserve">UNEP in </w:t>
            </w:r>
            <w:r w:rsidRPr="00C67737">
              <w:rPr>
                <w:rFonts w:cstheme="minorHAnsi"/>
                <w:sz w:val="18"/>
                <w:szCs w:val="18"/>
              </w:rPr>
              <w:lastRenderedPageBreak/>
              <w:t xml:space="preserve">the process of final </w:t>
            </w:r>
            <w:proofErr w:type="spellStart"/>
            <w:r w:rsidRPr="00C67737">
              <w:rPr>
                <w:rFonts w:cstheme="minorHAnsi"/>
                <w:sz w:val="18"/>
                <w:szCs w:val="18"/>
              </w:rPr>
              <w:t>disbursement</w:t>
            </w:r>
            <w:proofErr w:type="spellEnd"/>
            <w:r w:rsidRPr="00C67737">
              <w:rPr>
                <w:rFonts w:cstheme="minorHAnsi"/>
                <w:sz w:val="18"/>
                <w:szCs w:val="18"/>
              </w:rPr>
              <w:t xml:space="preserve"> (3,000 USD).</w:t>
            </w:r>
          </w:p>
        </w:tc>
      </w:tr>
      <w:tr w:rsidR="00AE2BDB" w:rsidRPr="00237520" w14:paraId="5395F4F3"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C8C302"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lastRenderedPageBreak/>
              <w:t>Uruguay</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EE2486"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FC322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08/02/2026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1DA7C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BAAA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8DDB32"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EFEE9"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D25F0DC"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4A00D7CE"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E2E921"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Venezuela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666D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74F7E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56A3D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964C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FBD3B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556DC"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04123827"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SSFA project documentation from the country</w:t>
            </w:r>
          </w:p>
        </w:tc>
      </w:tr>
      <w:tr w:rsidR="00AE2BDB" w:rsidRPr="00237520" w14:paraId="652CAB04"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3D70D"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Yemen</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DBFB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015C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13/01/2026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09F1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4958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C9BAF4"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160B2B"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4EB73302"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75887143"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9A9BE" w14:textId="77777777" w:rsidR="00AE2BDB" w:rsidRPr="00C67737" w:rsidRDefault="00AE2BDB" w:rsidP="00D22022">
            <w:pPr>
              <w:ind w:left="87"/>
              <w:rPr>
                <w:rFonts w:cstheme="minorHAnsi"/>
                <w:color w:val="000000" w:themeColor="text1"/>
                <w:sz w:val="18"/>
                <w:szCs w:val="18"/>
              </w:rPr>
            </w:pPr>
            <w:proofErr w:type="spellStart"/>
            <w:r w:rsidRPr="00C67737">
              <w:rPr>
                <w:rFonts w:cstheme="minorHAnsi"/>
                <w:color w:val="000000" w:themeColor="text1"/>
                <w:sz w:val="18"/>
                <w:szCs w:val="18"/>
              </w:rPr>
              <w:t>Zambia</w:t>
            </w:r>
            <w:proofErr w:type="spellEnd"/>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E1D07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06409D"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E99E7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71872F"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C0040"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01/03/ 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2599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3AB2B9A3"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r w:rsidR="00AE2BDB" w:rsidRPr="00237520" w14:paraId="03074CA5" w14:textId="77777777" w:rsidTr="00D22022">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6E0962" w14:textId="77777777" w:rsidR="00AE2BDB" w:rsidRPr="00C67737" w:rsidRDefault="00AE2BDB" w:rsidP="00D22022">
            <w:pPr>
              <w:ind w:left="87"/>
              <w:rPr>
                <w:rFonts w:cstheme="minorHAnsi"/>
                <w:color w:val="000000" w:themeColor="text1"/>
                <w:sz w:val="18"/>
                <w:szCs w:val="18"/>
              </w:rPr>
            </w:pPr>
            <w:r w:rsidRPr="00C67737">
              <w:rPr>
                <w:rFonts w:cstheme="minorHAnsi"/>
                <w:color w:val="000000" w:themeColor="text1"/>
                <w:sz w:val="18"/>
                <w:szCs w:val="18"/>
              </w:rPr>
              <w:t>Zimbabwe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AB9C3"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653A6A"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05/12/2025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EE6C5"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813D9"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E1E1B" w14:textId="77777777" w:rsidR="00AE2BDB" w:rsidRPr="00C67737" w:rsidRDefault="00AE2BDB" w:rsidP="00D22022">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5ED71" w14:textId="77777777" w:rsidR="00AE2BDB" w:rsidRPr="00AE2BDB" w:rsidRDefault="00AE2BDB" w:rsidP="00D22022">
            <w:pPr>
              <w:rPr>
                <w:rFonts w:cstheme="minorHAnsi"/>
                <w:sz w:val="18"/>
                <w:szCs w:val="18"/>
                <w:lang w:val="en-US"/>
              </w:rPr>
            </w:pPr>
            <w:r w:rsidRPr="00AE2BDB">
              <w:rPr>
                <w:rFonts w:cstheme="minorHAnsi"/>
                <w:sz w:val="18"/>
                <w:szCs w:val="18"/>
                <w:lang w:val="en-US"/>
              </w:rPr>
              <w:t>5th national report submitted.</w:t>
            </w:r>
          </w:p>
          <w:p w14:paraId="1652D6CE" w14:textId="77777777" w:rsidR="00AE2BDB" w:rsidRPr="00AE2BDB" w:rsidRDefault="00AE2BDB" w:rsidP="00D22022">
            <w:pPr>
              <w:rPr>
                <w:rFonts w:cstheme="minorHAnsi"/>
                <w:sz w:val="18"/>
                <w:szCs w:val="18"/>
                <w:lang w:val="en-US"/>
              </w:rPr>
            </w:pPr>
            <w:r w:rsidRPr="00AE2BDB">
              <w:rPr>
                <w:rFonts w:cstheme="minorHAnsi"/>
                <w:sz w:val="18"/>
                <w:szCs w:val="18"/>
                <w:lang w:val="en-US"/>
              </w:rPr>
              <w:t>Awaiting final project narrative and expenditure reports submission</w:t>
            </w:r>
          </w:p>
        </w:tc>
      </w:tr>
    </w:tbl>
    <w:p w14:paraId="08DD61BB" w14:textId="77777777" w:rsidR="005576FA" w:rsidRPr="00750129" w:rsidRDefault="005576FA" w:rsidP="005576FA">
      <w:pPr>
        <w:rPr>
          <w:lang w:val="en-US"/>
        </w:rPr>
      </w:pPr>
    </w:p>
    <w:p w14:paraId="2FFB02C6" w14:textId="77777777" w:rsidR="005576FA" w:rsidRPr="00750129" w:rsidRDefault="005576FA" w:rsidP="005576FA">
      <w:pPr>
        <w:rPr>
          <w:lang w:val="en-US"/>
        </w:rPr>
      </w:pPr>
      <w:r w:rsidRPr="00750129">
        <w:rPr>
          <w:lang w:val="en-US"/>
        </w:rPr>
        <w:br w:type="page"/>
      </w:r>
    </w:p>
    <w:p w14:paraId="71C6E7A1" w14:textId="77777777" w:rsidR="00F10803" w:rsidRPr="00C67737" w:rsidRDefault="00F10803" w:rsidP="00640F63">
      <w:pPr>
        <w:pStyle w:val="Heading1"/>
        <w:numPr>
          <w:ilvl w:val="0"/>
          <w:numId w:val="0"/>
        </w:numPr>
        <w:ind w:left="720"/>
        <w:rPr>
          <w:lang w:val="en-US"/>
        </w:rPr>
      </w:pPr>
      <w:bookmarkStart w:id="242" w:name="_Toc239237112"/>
      <w:bookmarkStart w:id="243" w:name="_Toc242184745"/>
      <w:bookmarkStart w:id="244" w:name="_Toc242185305"/>
      <w:r w:rsidRPr="00C67737">
        <w:rPr>
          <w:lang w:val="en-US"/>
        </w:rPr>
        <w:lastRenderedPageBreak/>
        <w:t>Annex 9 - Status of Resources Approved for the Preparation of the First National Reports on the Implementation of the Nagoya Protocol</w:t>
      </w:r>
      <w:bookmarkEnd w:id="242"/>
      <w:bookmarkEnd w:id="243"/>
      <w:bookmarkEnd w:id="244"/>
    </w:p>
    <w:p w14:paraId="4284CA46" w14:textId="77777777" w:rsidR="005576FA" w:rsidRPr="00750129" w:rsidRDefault="005576FA" w:rsidP="005576FA">
      <w:pPr>
        <w:rPr>
          <w:lang w:val="en-US"/>
        </w:rPr>
      </w:pPr>
      <w:r w:rsidRPr="00750129">
        <w:rPr>
          <w:lang w:val="en-US"/>
        </w:rPr>
        <w:t xml:space="preserve">This annex presents information compiled by the UNEP, the Implementing Agency for the GEF grant to Support to Preparation of the First National Report on Implementation of the Nagoya Protocol on Access to Genetic Resources and the Fair and Equitable Sharing of Benefits Arising from their Utilization (GEF ID 11908), as of June 15, 2026. </w:t>
      </w:r>
    </w:p>
    <w:p w14:paraId="7B50C51B" w14:textId="77777777" w:rsidR="005576FA" w:rsidRPr="00750129" w:rsidRDefault="005576FA" w:rsidP="005576FA">
      <w:pPr>
        <w:rPr>
          <w:lang w:val="en-US"/>
        </w:rPr>
      </w:pPr>
      <w:r w:rsidRPr="00750129">
        <w:rPr>
          <w:lang w:val="en-US"/>
        </w:rPr>
        <w:t xml:space="preserve">The table below covers 96 countries receiving financial support under the project which was endorsed by the CEO on April 4, 2025. The project was subsequently amended on September 2, 2025, to include 19 additional countries that had not submitted a letter of endorsement from their GEF Operational Focal Point at the time of initial approval. The project provides a grant of $30,000 per country, alongside $821,250 for global and regional technical assistance, exclusive of agency fees. </w:t>
      </w:r>
    </w:p>
    <w:p w14:paraId="64A6894E" w14:textId="77777777" w:rsidR="005576FA" w:rsidRPr="00750129" w:rsidRDefault="005576FA" w:rsidP="005576FA">
      <w:pPr>
        <w:rPr>
          <w:lang w:val="en-US"/>
        </w:rPr>
      </w:pPr>
      <w:r w:rsidRPr="00750129">
        <w:rPr>
          <w:lang w:val="en-US"/>
        </w:rPr>
        <w:t>All financial amounts are presented in US dollars, and dates follow the DD/MM/YYYY format.</w:t>
      </w:r>
    </w:p>
    <w:tbl>
      <w:tblPr>
        <w:tblStyle w:val="TableGrid"/>
        <w:tblW w:w="0" w:type="auto"/>
        <w:tblInd w:w="90" w:type="dxa"/>
        <w:tblLook w:val="04A0" w:firstRow="1" w:lastRow="0" w:firstColumn="1" w:lastColumn="0" w:noHBand="0" w:noVBand="1"/>
      </w:tblPr>
      <w:tblGrid>
        <w:gridCol w:w="1485"/>
        <w:gridCol w:w="1350"/>
        <w:gridCol w:w="1582"/>
        <w:gridCol w:w="1350"/>
        <w:gridCol w:w="1602"/>
        <w:gridCol w:w="1443"/>
        <w:gridCol w:w="4038"/>
      </w:tblGrid>
      <w:tr w:rsidR="007978C3" w:rsidRPr="00C67737" w14:paraId="6312E8D5"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358852AE" w14:textId="77777777" w:rsidR="007978C3" w:rsidRPr="00C67737" w:rsidRDefault="007978C3" w:rsidP="00D22022">
            <w:pPr>
              <w:jc w:val="center"/>
              <w:rPr>
                <w:rFonts w:cstheme="minorHAnsi"/>
                <w:b/>
                <w:bCs/>
                <w:color w:val="000000" w:themeColor="text1"/>
                <w:sz w:val="18"/>
                <w:szCs w:val="18"/>
              </w:rPr>
            </w:pPr>
            <w:r w:rsidRPr="00C67737">
              <w:rPr>
                <w:rFonts w:cstheme="minorHAnsi"/>
                <w:b/>
                <w:bCs/>
                <w:color w:val="000000" w:themeColor="text1"/>
                <w:sz w:val="18"/>
                <w:szCs w:val="18"/>
              </w:rPr>
              <w:t>Country</w:t>
            </w:r>
          </w:p>
        </w:tc>
        <w:tc>
          <w:tcPr>
            <w:tcW w:w="1352"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49D8BEFE" w14:textId="77777777" w:rsidR="007978C3" w:rsidRPr="007978C3" w:rsidRDefault="007978C3" w:rsidP="00D22022">
            <w:pPr>
              <w:jc w:val="center"/>
              <w:rPr>
                <w:rFonts w:cstheme="minorHAnsi"/>
                <w:b/>
                <w:bCs/>
                <w:color w:val="000000" w:themeColor="text1"/>
                <w:sz w:val="18"/>
                <w:szCs w:val="18"/>
                <w:lang w:val="en-US"/>
              </w:rPr>
            </w:pPr>
            <w:r w:rsidRPr="007978C3">
              <w:rPr>
                <w:rFonts w:cstheme="minorHAnsi"/>
                <w:b/>
                <w:bCs/>
                <w:color w:val="000000" w:themeColor="text1"/>
                <w:sz w:val="18"/>
                <w:szCs w:val="18"/>
                <w:lang w:val="en-US"/>
              </w:rPr>
              <w:t>Amount approved (exclusive of agency fees)</w:t>
            </w:r>
          </w:p>
        </w:tc>
        <w:tc>
          <w:tcPr>
            <w:tcW w:w="1583"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B23F1B0" w14:textId="77777777" w:rsidR="007978C3" w:rsidRPr="007978C3" w:rsidRDefault="007978C3" w:rsidP="00D22022">
            <w:pPr>
              <w:jc w:val="center"/>
              <w:rPr>
                <w:rFonts w:cstheme="minorHAnsi"/>
                <w:b/>
                <w:bCs/>
                <w:color w:val="000000" w:themeColor="text1"/>
                <w:sz w:val="18"/>
                <w:szCs w:val="18"/>
                <w:lang w:val="en-US"/>
              </w:rPr>
            </w:pPr>
            <w:r w:rsidRPr="007978C3">
              <w:rPr>
                <w:rFonts w:cstheme="minorHAnsi"/>
                <w:b/>
                <w:bCs/>
                <w:color w:val="000000" w:themeColor="text1"/>
                <w:sz w:val="18"/>
                <w:szCs w:val="18"/>
                <w:lang w:val="en-US"/>
              </w:rPr>
              <w:t>Dates of initial disbursements of GEF funds by UNEP</w:t>
            </w:r>
          </w:p>
        </w:tc>
        <w:tc>
          <w:tcPr>
            <w:tcW w:w="1352"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4CFBB77E" w14:textId="77777777" w:rsidR="007978C3" w:rsidRPr="007978C3" w:rsidRDefault="007978C3" w:rsidP="00D22022">
            <w:pPr>
              <w:jc w:val="center"/>
              <w:rPr>
                <w:rFonts w:cstheme="minorHAnsi"/>
                <w:b/>
                <w:bCs/>
                <w:color w:val="000000" w:themeColor="text1"/>
                <w:sz w:val="18"/>
                <w:szCs w:val="18"/>
                <w:lang w:val="en-US"/>
              </w:rPr>
            </w:pPr>
            <w:r w:rsidRPr="007978C3">
              <w:rPr>
                <w:rFonts w:cstheme="minorHAnsi"/>
                <w:b/>
                <w:bCs/>
                <w:color w:val="000000" w:themeColor="text1"/>
                <w:sz w:val="18"/>
                <w:szCs w:val="18"/>
                <w:lang w:val="en-US"/>
              </w:rPr>
              <w:t>Amount of GEF funding disbursed</w:t>
            </w:r>
          </w:p>
        </w:tc>
        <w:tc>
          <w:tcPr>
            <w:tcW w:w="1604"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BB2C58" w14:textId="77777777" w:rsidR="007978C3" w:rsidRPr="007978C3" w:rsidRDefault="007978C3" w:rsidP="00D22022">
            <w:pPr>
              <w:jc w:val="center"/>
              <w:rPr>
                <w:rFonts w:cstheme="minorHAnsi"/>
                <w:b/>
                <w:bCs/>
                <w:color w:val="000000" w:themeColor="text1"/>
                <w:sz w:val="18"/>
                <w:szCs w:val="18"/>
                <w:lang w:val="en-US"/>
              </w:rPr>
            </w:pPr>
            <w:r w:rsidRPr="007978C3">
              <w:rPr>
                <w:rFonts w:cstheme="minorHAnsi"/>
                <w:b/>
                <w:bCs/>
                <w:color w:val="000000" w:themeColor="text1"/>
                <w:sz w:val="18"/>
                <w:szCs w:val="18"/>
                <w:lang w:val="en-US"/>
              </w:rPr>
              <w:t>Expenditure rate reported by countries to UNEP as of 31 March 2026 (%)</w:t>
            </w:r>
          </w:p>
        </w:tc>
        <w:tc>
          <w:tcPr>
            <w:tcW w:w="144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7AA1286C" w14:textId="77777777" w:rsidR="007978C3" w:rsidRPr="007978C3" w:rsidRDefault="007978C3" w:rsidP="00D22022">
            <w:pPr>
              <w:jc w:val="center"/>
              <w:rPr>
                <w:rFonts w:cstheme="minorHAnsi"/>
                <w:b/>
                <w:bCs/>
                <w:color w:val="000000" w:themeColor="text1"/>
                <w:sz w:val="18"/>
                <w:szCs w:val="18"/>
                <w:lang w:val="en-US"/>
              </w:rPr>
            </w:pPr>
            <w:r w:rsidRPr="007978C3">
              <w:rPr>
                <w:rFonts w:cstheme="minorHAnsi"/>
                <w:b/>
                <w:bCs/>
                <w:color w:val="000000" w:themeColor="text1"/>
                <w:sz w:val="18"/>
                <w:szCs w:val="18"/>
                <w:lang w:val="en-US"/>
              </w:rPr>
              <w:t>Date of submission of the 1</w:t>
            </w:r>
            <w:r w:rsidRPr="007978C3">
              <w:rPr>
                <w:rFonts w:cstheme="minorHAnsi"/>
                <w:b/>
                <w:bCs/>
                <w:color w:val="000000" w:themeColor="text1"/>
                <w:sz w:val="18"/>
                <w:szCs w:val="18"/>
                <w:vertAlign w:val="superscript"/>
                <w:lang w:val="en-US"/>
              </w:rPr>
              <w:t>st</w:t>
            </w:r>
            <w:r w:rsidRPr="007978C3">
              <w:rPr>
                <w:rFonts w:cstheme="minorHAnsi"/>
                <w:b/>
                <w:bCs/>
                <w:color w:val="000000" w:themeColor="text1"/>
                <w:sz w:val="18"/>
                <w:szCs w:val="18"/>
                <w:lang w:val="en-US"/>
              </w:rPr>
              <w:t xml:space="preserve"> National Report</w:t>
            </w:r>
          </w:p>
        </w:tc>
        <w:tc>
          <w:tcPr>
            <w:tcW w:w="4050"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398AC33" w14:textId="77777777" w:rsidR="007978C3" w:rsidRPr="00C67737" w:rsidRDefault="007978C3" w:rsidP="00D22022">
            <w:pPr>
              <w:jc w:val="center"/>
              <w:rPr>
                <w:rFonts w:cstheme="minorHAnsi"/>
                <w:b/>
                <w:bCs/>
                <w:color w:val="000000" w:themeColor="text1"/>
                <w:sz w:val="18"/>
                <w:szCs w:val="18"/>
              </w:rPr>
            </w:pPr>
            <w:proofErr w:type="spellStart"/>
            <w:r w:rsidRPr="00C67737">
              <w:rPr>
                <w:rFonts w:cstheme="minorHAnsi"/>
                <w:b/>
                <w:bCs/>
                <w:color w:val="000000" w:themeColor="text1"/>
                <w:sz w:val="18"/>
                <w:szCs w:val="18"/>
              </w:rPr>
              <w:t>Status</w:t>
            </w:r>
            <w:proofErr w:type="spellEnd"/>
            <w:r w:rsidRPr="00C67737">
              <w:rPr>
                <w:rFonts w:cstheme="minorHAnsi"/>
                <w:b/>
                <w:bCs/>
                <w:color w:val="000000" w:themeColor="text1"/>
                <w:sz w:val="18"/>
                <w:szCs w:val="18"/>
              </w:rPr>
              <w:t xml:space="preserve"> of </w:t>
            </w:r>
            <w:proofErr w:type="spellStart"/>
            <w:r w:rsidRPr="00C67737">
              <w:rPr>
                <w:rFonts w:cstheme="minorHAnsi"/>
                <w:b/>
                <w:bCs/>
                <w:color w:val="000000" w:themeColor="text1"/>
                <w:sz w:val="18"/>
                <w:szCs w:val="18"/>
              </w:rPr>
              <w:t>project</w:t>
            </w:r>
            <w:proofErr w:type="spellEnd"/>
            <w:r w:rsidRPr="00C67737">
              <w:rPr>
                <w:rFonts w:cstheme="minorHAnsi"/>
                <w:b/>
                <w:bCs/>
                <w:color w:val="000000" w:themeColor="text1"/>
                <w:sz w:val="18"/>
                <w:szCs w:val="18"/>
              </w:rPr>
              <w:t xml:space="preserve"> </w:t>
            </w:r>
            <w:proofErr w:type="spellStart"/>
            <w:r w:rsidRPr="00C67737">
              <w:rPr>
                <w:rFonts w:cstheme="minorHAnsi"/>
                <w:b/>
                <w:bCs/>
                <w:color w:val="000000" w:themeColor="text1"/>
                <w:sz w:val="18"/>
                <w:szCs w:val="18"/>
              </w:rPr>
              <w:t>activities</w:t>
            </w:r>
            <w:proofErr w:type="spellEnd"/>
          </w:p>
        </w:tc>
      </w:tr>
      <w:tr w:rsidR="007978C3" w:rsidRPr="00237520" w14:paraId="13780338"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B1815" w14:textId="77777777" w:rsidR="007978C3" w:rsidRPr="00C67737" w:rsidRDefault="007978C3" w:rsidP="00D22022">
            <w:pPr>
              <w:rPr>
                <w:rFonts w:cstheme="minorHAnsi"/>
                <w:sz w:val="18"/>
                <w:szCs w:val="18"/>
              </w:rPr>
            </w:pPr>
            <w:r w:rsidRPr="00C67737">
              <w:rPr>
                <w:rFonts w:cstheme="minorHAnsi"/>
                <w:sz w:val="18"/>
                <w:szCs w:val="18"/>
              </w:rPr>
              <w:t>Albania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57BC43"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DE3FFD" w14:textId="77777777" w:rsidR="007978C3" w:rsidRPr="00C67737" w:rsidRDefault="007978C3" w:rsidP="00D22022">
            <w:pPr>
              <w:jc w:val="center"/>
              <w:rPr>
                <w:rFonts w:cstheme="minorHAnsi"/>
                <w:sz w:val="18"/>
                <w:szCs w:val="18"/>
              </w:rPr>
            </w:pPr>
            <w:r w:rsidRPr="00C67737">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9AB3E"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3B5DA9"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850B11" w14:textId="77777777" w:rsidR="007978C3" w:rsidRPr="00C67737" w:rsidRDefault="007978C3" w:rsidP="00D22022">
            <w:pPr>
              <w:jc w:val="center"/>
              <w:rPr>
                <w:rFonts w:cstheme="minorHAnsi"/>
                <w:sz w:val="18"/>
                <w:szCs w:val="18"/>
              </w:rPr>
            </w:pPr>
            <w:r w:rsidRPr="00C67737">
              <w:rPr>
                <w:rFonts w:cstheme="minorHAnsi"/>
                <w:sz w:val="18"/>
                <w:szCs w:val="18"/>
              </w:rPr>
              <w:t>7/03/2026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064983"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53F2B96"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0A203806"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203A35" w14:textId="77777777" w:rsidR="007978C3" w:rsidRPr="00C67737" w:rsidRDefault="007978C3" w:rsidP="00D22022">
            <w:pPr>
              <w:rPr>
                <w:rFonts w:cstheme="minorHAnsi"/>
                <w:sz w:val="18"/>
                <w:szCs w:val="18"/>
              </w:rPr>
            </w:pPr>
            <w:r w:rsidRPr="00C67737">
              <w:rPr>
                <w:rFonts w:cstheme="minorHAnsi"/>
                <w:sz w:val="18"/>
                <w:szCs w:val="18"/>
              </w:rPr>
              <w:t>Angola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5EC4E"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27394A" w14:textId="77777777" w:rsidR="007978C3" w:rsidRPr="00C67737" w:rsidRDefault="007978C3" w:rsidP="00D22022">
            <w:pPr>
              <w:jc w:val="center"/>
              <w:rPr>
                <w:rFonts w:cstheme="minorHAnsi"/>
                <w:sz w:val="18"/>
                <w:szCs w:val="18"/>
              </w:rPr>
            </w:pPr>
            <w:r w:rsidRPr="00C67737">
              <w:rPr>
                <w:rFonts w:cstheme="minorHAnsi"/>
                <w:sz w:val="18"/>
                <w:szCs w:val="18"/>
              </w:rPr>
              <w:t>13/02/2026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CD9443"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BDBA03"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5DF9A" w14:textId="77777777" w:rsidR="007978C3" w:rsidRPr="00C67737" w:rsidRDefault="007978C3" w:rsidP="00D22022">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B000F7"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4E2204D5"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C67737" w14:paraId="7FCF5787"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11ED17" w14:textId="77777777" w:rsidR="007978C3" w:rsidRPr="00C67737" w:rsidRDefault="007978C3" w:rsidP="00D22022">
            <w:pPr>
              <w:rPr>
                <w:rFonts w:cstheme="minorHAnsi"/>
                <w:sz w:val="18"/>
                <w:szCs w:val="18"/>
              </w:rPr>
            </w:pPr>
            <w:r w:rsidRPr="00C67737">
              <w:rPr>
                <w:rFonts w:cstheme="minorHAnsi"/>
                <w:sz w:val="18"/>
                <w:szCs w:val="18"/>
              </w:rPr>
              <w:t>Argentina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13397"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E51673" w14:textId="77777777" w:rsidR="007978C3" w:rsidRPr="00C67737" w:rsidRDefault="007978C3" w:rsidP="00D22022">
            <w:pPr>
              <w:jc w:val="center"/>
              <w:rPr>
                <w:rFonts w:cstheme="minorHAnsi"/>
                <w:sz w:val="18"/>
                <w:szCs w:val="18"/>
              </w:rPr>
            </w:pPr>
            <w:r w:rsidRPr="00C67737">
              <w:rPr>
                <w:rFonts w:cstheme="minorHAnsi"/>
                <w:sz w:val="18"/>
                <w:szCs w:val="18"/>
              </w:rPr>
              <w:t>13/11/2025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9B1782"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15,000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E1DF58" w14:textId="77777777" w:rsidR="007978C3" w:rsidRPr="00C67737" w:rsidRDefault="007978C3" w:rsidP="00D22022">
            <w:pPr>
              <w:jc w:val="center"/>
              <w:rPr>
                <w:rFonts w:cstheme="minorHAnsi"/>
                <w:sz w:val="18"/>
                <w:szCs w:val="18"/>
              </w:rPr>
            </w:pPr>
            <w:r w:rsidRPr="00C67737">
              <w:rPr>
                <w:rFonts w:cstheme="minorHAnsi"/>
                <w:sz w:val="18"/>
                <w:szCs w:val="18"/>
              </w:rPr>
              <w:t>45</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421C66" w14:textId="77777777" w:rsidR="007978C3" w:rsidRPr="00C67737" w:rsidRDefault="007978C3" w:rsidP="00D22022">
            <w:pPr>
              <w:jc w:val="center"/>
              <w:rPr>
                <w:rFonts w:cstheme="minorHAnsi"/>
                <w:sz w:val="18"/>
                <w:szCs w:val="18"/>
              </w:rPr>
            </w:pPr>
            <w:r w:rsidRPr="00C67737">
              <w:rPr>
                <w:rFonts w:cstheme="minorHAnsi"/>
                <w:sz w:val="18"/>
                <w:szCs w:val="18"/>
              </w:rPr>
              <w:t>6/05/2026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48180D" w14:textId="77777777" w:rsidR="007978C3" w:rsidRPr="00C67737" w:rsidRDefault="007978C3" w:rsidP="00D22022">
            <w:pPr>
              <w:spacing w:line="257" w:lineRule="auto"/>
              <w:rPr>
                <w:rFonts w:cstheme="minorHAnsi"/>
                <w:sz w:val="18"/>
                <w:szCs w:val="18"/>
              </w:rPr>
            </w:pPr>
            <w:r w:rsidRPr="00C67737">
              <w:rPr>
                <w:rFonts w:cstheme="minorHAnsi"/>
                <w:sz w:val="18"/>
                <w:szCs w:val="18"/>
              </w:rPr>
              <w:t>1</w:t>
            </w:r>
            <w:r w:rsidRPr="00C67737">
              <w:rPr>
                <w:rFonts w:cstheme="minorHAnsi"/>
                <w:sz w:val="18"/>
                <w:szCs w:val="18"/>
                <w:vertAlign w:val="superscript"/>
              </w:rPr>
              <w:t>st</w:t>
            </w:r>
            <w:r w:rsidRPr="00C67737">
              <w:rPr>
                <w:rFonts w:cstheme="minorHAnsi"/>
                <w:sz w:val="18"/>
                <w:szCs w:val="18"/>
              </w:rPr>
              <w:t xml:space="preserve"> National report </w:t>
            </w:r>
            <w:proofErr w:type="spellStart"/>
            <w:r w:rsidRPr="00C67737">
              <w:rPr>
                <w:rFonts w:cstheme="minorHAnsi"/>
                <w:sz w:val="18"/>
                <w:szCs w:val="18"/>
              </w:rPr>
              <w:t>submitted</w:t>
            </w:r>
            <w:proofErr w:type="spellEnd"/>
            <w:r w:rsidRPr="00C67737">
              <w:rPr>
                <w:rFonts w:cstheme="minorHAnsi"/>
                <w:sz w:val="18"/>
                <w:szCs w:val="18"/>
              </w:rPr>
              <w:t>.</w:t>
            </w:r>
          </w:p>
        </w:tc>
      </w:tr>
      <w:tr w:rsidR="007978C3" w:rsidRPr="00237520" w14:paraId="1749E67E"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5DD615" w14:textId="77777777" w:rsidR="007978C3" w:rsidRPr="00C67737" w:rsidRDefault="007978C3" w:rsidP="00D22022">
            <w:pPr>
              <w:rPr>
                <w:rFonts w:cstheme="minorHAnsi"/>
                <w:sz w:val="18"/>
                <w:szCs w:val="18"/>
              </w:rPr>
            </w:pPr>
            <w:proofErr w:type="spellStart"/>
            <w:r w:rsidRPr="00C67737">
              <w:rPr>
                <w:rFonts w:cstheme="minorHAnsi"/>
                <w:sz w:val="18"/>
                <w:szCs w:val="18"/>
              </w:rPr>
              <w:t>Bahrain</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EACDF4"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EBD9D0" w14:textId="77777777" w:rsidR="007978C3" w:rsidRPr="00C67737" w:rsidRDefault="007978C3" w:rsidP="00D22022">
            <w:pPr>
              <w:jc w:val="center"/>
              <w:rPr>
                <w:rFonts w:cstheme="minorHAnsi"/>
                <w:sz w:val="18"/>
                <w:szCs w:val="18"/>
              </w:rPr>
            </w:pPr>
            <w:r w:rsidRPr="00C67737">
              <w:rPr>
                <w:rFonts w:cstheme="minorHAns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0FE809"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459B8F"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6D5AD9" w14:textId="77777777" w:rsidR="007978C3" w:rsidRPr="00C67737" w:rsidRDefault="007978C3" w:rsidP="00D22022">
            <w:pPr>
              <w:jc w:val="center"/>
              <w:rPr>
                <w:rFonts w:cstheme="minorHAnsi"/>
                <w:sz w:val="18"/>
                <w:szCs w:val="18"/>
              </w:rPr>
            </w:pPr>
            <w:r w:rsidRPr="00C67737">
              <w:rPr>
                <w:rFonts w:cstheme="minorHAns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2FC84"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BDE3952"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704E773D"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C323D" w14:textId="77777777" w:rsidR="007978C3" w:rsidRPr="00C67737" w:rsidRDefault="007978C3" w:rsidP="00D22022">
            <w:pPr>
              <w:rPr>
                <w:rFonts w:cstheme="minorHAnsi"/>
                <w:sz w:val="18"/>
                <w:szCs w:val="18"/>
              </w:rPr>
            </w:pPr>
            <w:r w:rsidRPr="00C67737">
              <w:rPr>
                <w:rFonts w:cstheme="minorHAnsi"/>
                <w:sz w:val="18"/>
                <w:szCs w:val="18"/>
              </w:rPr>
              <w:t>Bangladesh</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C0060F"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B53441" w14:textId="77777777" w:rsidR="007978C3" w:rsidRPr="00C67737" w:rsidRDefault="007978C3" w:rsidP="00D22022">
            <w:pPr>
              <w:jc w:val="center"/>
              <w:rPr>
                <w:rFonts w:cstheme="minorHAnsi"/>
                <w:sz w:val="18"/>
                <w:szCs w:val="18"/>
              </w:rPr>
            </w:pPr>
            <w:r w:rsidRPr="00C67737">
              <w:rPr>
                <w:rFonts w:cstheme="minorHAnsi"/>
                <w:sz w:val="18"/>
                <w:szCs w:val="18"/>
              </w:rPr>
              <w:t>02/02/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29468"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2417C0"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AFDC8B" w14:textId="77777777" w:rsidR="007978C3" w:rsidRPr="00C67737" w:rsidRDefault="007978C3" w:rsidP="00D22022">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AC9863"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4C5EEA47"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4DA6BB61"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414A03" w14:textId="77777777" w:rsidR="007978C3" w:rsidRPr="00C67737" w:rsidRDefault="007978C3" w:rsidP="00D22022">
            <w:pPr>
              <w:rPr>
                <w:rFonts w:cstheme="minorHAnsi"/>
                <w:sz w:val="18"/>
                <w:szCs w:val="18"/>
              </w:rPr>
            </w:pPr>
            <w:r w:rsidRPr="00C67737">
              <w:rPr>
                <w:rFonts w:cstheme="minorHAnsi"/>
                <w:sz w:val="18"/>
                <w:szCs w:val="18"/>
              </w:rPr>
              <w:t>Benin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10978"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4F2CC" w14:textId="77777777" w:rsidR="007978C3" w:rsidRPr="00C67737" w:rsidRDefault="007978C3" w:rsidP="00D22022">
            <w:pPr>
              <w:jc w:val="center"/>
              <w:rPr>
                <w:rFonts w:cstheme="minorHAnsi"/>
                <w:sz w:val="18"/>
                <w:szCs w:val="18"/>
              </w:rPr>
            </w:pPr>
            <w:r w:rsidRPr="00C67737">
              <w:rPr>
                <w:rFonts w:cstheme="minorHAnsi"/>
                <w:sz w:val="18"/>
                <w:szCs w:val="18"/>
              </w:rPr>
              <w:t>26/09/2025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34A69"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BA70DE"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8BC82" w14:textId="77777777" w:rsidR="007978C3" w:rsidRPr="00C67737" w:rsidRDefault="007978C3" w:rsidP="00D22022">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4821F"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15F0B043"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C67737" w14:paraId="4B242DFA"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6F4531" w14:textId="77777777" w:rsidR="007978C3" w:rsidRPr="00C67737" w:rsidRDefault="007978C3" w:rsidP="00D22022">
            <w:pPr>
              <w:rPr>
                <w:rFonts w:cstheme="minorHAnsi"/>
                <w:sz w:val="18"/>
                <w:szCs w:val="18"/>
              </w:rPr>
            </w:pPr>
            <w:r w:rsidRPr="00C67737">
              <w:rPr>
                <w:rFonts w:cstheme="minorHAnsi"/>
                <w:sz w:val="18"/>
                <w:szCs w:val="18"/>
              </w:rPr>
              <w:lastRenderedPageBreak/>
              <w:t>Bhutan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BE312F"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719D61" w14:textId="77777777" w:rsidR="007978C3" w:rsidRPr="00C67737" w:rsidRDefault="007978C3" w:rsidP="00D22022">
            <w:pPr>
              <w:jc w:val="center"/>
              <w:rPr>
                <w:rFonts w:cstheme="minorHAnsi"/>
                <w:sz w:val="18"/>
                <w:szCs w:val="18"/>
              </w:rPr>
            </w:pPr>
            <w:r w:rsidRPr="00C67737">
              <w:rPr>
                <w:rFonts w:cstheme="minorHAnsi"/>
                <w:sz w:val="18"/>
                <w:szCs w:val="18"/>
              </w:rPr>
              <w:t>04/09/2025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AF931D" w14:textId="77777777" w:rsidR="007978C3" w:rsidRPr="00C67737" w:rsidRDefault="007978C3" w:rsidP="00D22022">
            <w:pPr>
              <w:jc w:val="center"/>
              <w:rPr>
                <w:rFonts w:eastAsia="Calibri Light" w:cstheme="minorHAnsi"/>
                <w:sz w:val="18"/>
                <w:szCs w:val="18"/>
              </w:rPr>
            </w:pPr>
            <w:r w:rsidRPr="00C67737">
              <w:rPr>
                <w:rFonts w:eastAsia="Calibri Light"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ABA990" w14:textId="77777777" w:rsidR="007978C3" w:rsidRPr="00C67737" w:rsidRDefault="007978C3" w:rsidP="00D22022">
            <w:pPr>
              <w:jc w:val="center"/>
              <w:rPr>
                <w:rFonts w:cstheme="minorHAnsi"/>
                <w:sz w:val="18"/>
                <w:szCs w:val="18"/>
              </w:rPr>
            </w:pPr>
            <w:r w:rsidRPr="00C67737">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94ADB1" w14:textId="77777777" w:rsidR="007978C3" w:rsidRPr="00C67737" w:rsidRDefault="007978C3" w:rsidP="00D22022">
            <w:pPr>
              <w:jc w:val="center"/>
              <w:rPr>
                <w:rFonts w:cstheme="minorHAnsi"/>
                <w:sz w:val="18"/>
                <w:szCs w:val="18"/>
              </w:rPr>
            </w:pPr>
            <w:r w:rsidRPr="00C67737">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81181"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4B24502A" w14:textId="77777777" w:rsidR="007978C3" w:rsidRPr="00C67737" w:rsidRDefault="007978C3" w:rsidP="00D22022">
            <w:pPr>
              <w:rPr>
                <w:rFonts w:cstheme="minorHAnsi"/>
                <w:sz w:val="18"/>
                <w:szCs w:val="18"/>
              </w:rPr>
            </w:pPr>
            <w:r w:rsidRPr="007978C3">
              <w:rPr>
                <w:rFonts w:eastAsia="Aptos" w:cstheme="minorHAnsi"/>
                <w:color w:val="000000" w:themeColor="text1"/>
                <w:sz w:val="18"/>
                <w:szCs w:val="18"/>
                <w:lang w:val="en-US"/>
              </w:rPr>
              <w:t>Project activities are finalized.</w:t>
            </w:r>
            <w:r w:rsidRPr="007978C3">
              <w:rPr>
                <w:rFonts w:eastAsia="Aptos" w:cstheme="minorHAnsi"/>
                <w:sz w:val="18"/>
                <w:szCs w:val="18"/>
                <w:lang w:val="en-US"/>
              </w:rPr>
              <w:t xml:space="preserve"> </w:t>
            </w:r>
            <w:r w:rsidRPr="007978C3">
              <w:rPr>
                <w:rFonts w:cstheme="minorHAnsi"/>
                <w:sz w:val="18"/>
                <w:szCs w:val="18"/>
                <w:lang w:val="en-US"/>
              </w:rPr>
              <w:t xml:space="preserve">Final reports submitted by Partner. </w:t>
            </w:r>
            <w:r w:rsidRPr="00C67737">
              <w:rPr>
                <w:rFonts w:cstheme="minorHAnsi"/>
                <w:sz w:val="18"/>
                <w:szCs w:val="18"/>
              </w:rPr>
              <w:t xml:space="preserve">UNEP in the process of final </w:t>
            </w:r>
            <w:proofErr w:type="spellStart"/>
            <w:r w:rsidRPr="00C67737">
              <w:rPr>
                <w:rFonts w:cstheme="minorHAnsi"/>
                <w:sz w:val="18"/>
                <w:szCs w:val="18"/>
              </w:rPr>
              <w:t>disbursement</w:t>
            </w:r>
            <w:proofErr w:type="spellEnd"/>
            <w:r w:rsidRPr="00C67737">
              <w:rPr>
                <w:rFonts w:cstheme="minorHAnsi"/>
                <w:sz w:val="18"/>
                <w:szCs w:val="18"/>
              </w:rPr>
              <w:t xml:space="preserve"> (3,000 USD).</w:t>
            </w:r>
          </w:p>
        </w:tc>
      </w:tr>
      <w:tr w:rsidR="007978C3" w:rsidRPr="00237520" w14:paraId="3B9538B8"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4BE0A" w14:textId="77777777" w:rsidR="007978C3" w:rsidRPr="00C67737" w:rsidRDefault="007978C3" w:rsidP="00D22022">
            <w:pPr>
              <w:rPr>
                <w:rFonts w:cstheme="minorHAnsi"/>
                <w:sz w:val="18"/>
                <w:szCs w:val="18"/>
              </w:rPr>
            </w:pPr>
            <w:r w:rsidRPr="00C67737">
              <w:rPr>
                <w:rFonts w:cstheme="minorHAnsi"/>
                <w:sz w:val="18"/>
                <w:szCs w:val="18"/>
              </w:rPr>
              <w:t>Bolivia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FB66E4"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A709D3" w14:textId="77777777" w:rsidR="007978C3" w:rsidRPr="00C67737" w:rsidRDefault="007978C3" w:rsidP="00D22022">
            <w:pPr>
              <w:jc w:val="center"/>
              <w:rPr>
                <w:rFonts w:cstheme="minorHAnsi"/>
                <w:sz w:val="18"/>
                <w:szCs w:val="18"/>
              </w:rPr>
            </w:pPr>
            <w:r w:rsidRPr="00C67737">
              <w:rPr>
                <w:rFonts w:cstheme="minorHAnsi"/>
                <w:sz w:val="18"/>
                <w:szCs w:val="18"/>
              </w:rPr>
              <w:t>27/01/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30CB0E"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EAA50A"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A3904" w14:textId="77777777" w:rsidR="007978C3" w:rsidRPr="00C67737" w:rsidRDefault="007978C3" w:rsidP="00D22022">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A13C3"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2ED4FA5B"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2B626827"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ADC581" w14:textId="77777777" w:rsidR="007978C3" w:rsidRPr="00C67737" w:rsidRDefault="007978C3" w:rsidP="00D22022">
            <w:pPr>
              <w:rPr>
                <w:rFonts w:cstheme="minorHAnsi"/>
                <w:sz w:val="18"/>
                <w:szCs w:val="18"/>
              </w:rPr>
            </w:pPr>
            <w:r w:rsidRPr="00C67737">
              <w:rPr>
                <w:rFonts w:cstheme="minorHAnsi"/>
                <w:sz w:val="18"/>
                <w:szCs w:val="18"/>
              </w:rPr>
              <w:t>Botswana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7EDDD3"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0BA13" w14:textId="77777777" w:rsidR="007978C3" w:rsidRPr="00C67737" w:rsidRDefault="007978C3" w:rsidP="00D22022">
            <w:pPr>
              <w:jc w:val="center"/>
              <w:rPr>
                <w:rFonts w:cstheme="minorHAnsi"/>
                <w:sz w:val="18"/>
                <w:szCs w:val="18"/>
              </w:rPr>
            </w:pPr>
            <w:r w:rsidRPr="00C67737">
              <w:rPr>
                <w:rFonts w:cstheme="minorHAnsi"/>
                <w:sz w:val="18"/>
                <w:szCs w:val="18"/>
              </w:rPr>
              <w:t>19 /11/2025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BF3D40"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9D8BA0"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26EFD" w14:textId="77777777" w:rsidR="007978C3" w:rsidRPr="00C67737" w:rsidRDefault="007978C3" w:rsidP="00D22022">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68AF1C"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E129EC8"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59CCFD70"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425FA1" w14:textId="77777777" w:rsidR="007978C3" w:rsidRPr="00C67737" w:rsidRDefault="007978C3" w:rsidP="00D22022">
            <w:pPr>
              <w:rPr>
                <w:rFonts w:cstheme="minorHAnsi"/>
                <w:sz w:val="18"/>
                <w:szCs w:val="18"/>
              </w:rPr>
            </w:pPr>
            <w:r w:rsidRPr="00C67737">
              <w:rPr>
                <w:rFonts w:cstheme="minorHAnsi"/>
                <w:sz w:val="18"/>
                <w:szCs w:val="18"/>
              </w:rPr>
              <w:t>Burkina Faso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5B9DED"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C63915" w14:textId="77777777" w:rsidR="007978C3" w:rsidRPr="00C67737" w:rsidRDefault="007978C3" w:rsidP="00D22022">
            <w:pPr>
              <w:jc w:val="center"/>
              <w:rPr>
                <w:rFonts w:cstheme="minorHAnsi"/>
                <w:sz w:val="18"/>
                <w:szCs w:val="18"/>
              </w:rPr>
            </w:pPr>
            <w:r w:rsidRPr="00C67737">
              <w:rPr>
                <w:rFonts w:cstheme="minorHAnsi"/>
                <w:sz w:val="18"/>
                <w:szCs w:val="18"/>
              </w:rPr>
              <w:t>17/11/2025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88A602"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5813B"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B7A7D" w14:textId="77777777" w:rsidR="007978C3" w:rsidRPr="00C67737" w:rsidRDefault="007978C3" w:rsidP="00D22022">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A7073F"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2CDBCB2"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54CD64B9"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23866F" w14:textId="77777777" w:rsidR="007978C3" w:rsidRPr="00C67737" w:rsidRDefault="007978C3" w:rsidP="00D22022">
            <w:pPr>
              <w:rPr>
                <w:rFonts w:cstheme="minorHAnsi"/>
                <w:sz w:val="18"/>
                <w:szCs w:val="18"/>
              </w:rPr>
            </w:pPr>
            <w:r w:rsidRPr="00C67737">
              <w:rPr>
                <w:rFonts w:cstheme="minorHAnsi"/>
                <w:sz w:val="18"/>
                <w:szCs w:val="18"/>
              </w:rPr>
              <w:t>Burundi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91482"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4A44F" w14:textId="77777777" w:rsidR="007978C3" w:rsidRPr="00C67737" w:rsidRDefault="007978C3" w:rsidP="00D22022">
            <w:pPr>
              <w:jc w:val="center"/>
              <w:rPr>
                <w:rFonts w:cstheme="minorHAnsi"/>
                <w:sz w:val="18"/>
                <w:szCs w:val="18"/>
              </w:rPr>
            </w:pPr>
            <w:r w:rsidRPr="00C67737">
              <w:rPr>
                <w:rFonts w:cstheme="minorHAns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E01F86"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633B1"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9E93C" w14:textId="77777777" w:rsidR="007978C3" w:rsidRPr="00C67737" w:rsidRDefault="007978C3" w:rsidP="00D22022">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59E21"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15E0313B"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76F7B168"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DE133" w14:textId="77777777" w:rsidR="007978C3" w:rsidRPr="00C67737" w:rsidRDefault="007978C3" w:rsidP="00D22022">
            <w:pPr>
              <w:rPr>
                <w:rFonts w:cstheme="minorHAnsi"/>
                <w:sz w:val="18"/>
                <w:szCs w:val="18"/>
              </w:rPr>
            </w:pPr>
            <w:proofErr w:type="spellStart"/>
            <w:r w:rsidRPr="00C67737">
              <w:rPr>
                <w:rFonts w:cstheme="minorHAnsi"/>
                <w:sz w:val="18"/>
                <w:szCs w:val="18"/>
              </w:rPr>
              <w:t>Cambodia</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D5531E"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E28DD2" w14:textId="77777777" w:rsidR="007978C3" w:rsidRPr="00C67737" w:rsidRDefault="007978C3" w:rsidP="00D22022">
            <w:pPr>
              <w:jc w:val="center"/>
              <w:rPr>
                <w:rFonts w:cstheme="minorHAnsi"/>
                <w:sz w:val="18"/>
                <w:szCs w:val="18"/>
              </w:rPr>
            </w:pPr>
            <w:r w:rsidRPr="00C67737">
              <w:rPr>
                <w:rFonts w:cstheme="minorHAnsi"/>
                <w:sz w:val="18"/>
                <w:szCs w:val="18"/>
              </w:rPr>
              <w:t>27/10/ 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7AF05"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B224DC"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D0827" w14:textId="77777777" w:rsidR="007978C3" w:rsidRPr="00C67737" w:rsidRDefault="007978C3" w:rsidP="00D22022">
            <w:pPr>
              <w:jc w:val="center"/>
              <w:rPr>
                <w:rFonts w:cstheme="minorHAnsi"/>
                <w:sz w:val="18"/>
                <w:szCs w:val="18"/>
              </w:rPr>
            </w:pPr>
            <w:r w:rsidRPr="00C67737">
              <w:rPr>
                <w:rFonts w:cstheme="minorHAnsi"/>
                <w:sz w:val="18"/>
                <w:szCs w:val="18"/>
              </w:rPr>
              <w:t>30/03/2026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EA04C"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1908858A"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13D4AB76"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DDE6A" w14:textId="77777777" w:rsidR="007978C3" w:rsidRPr="00C67737" w:rsidRDefault="007978C3" w:rsidP="00D22022">
            <w:pPr>
              <w:rPr>
                <w:rFonts w:cstheme="minorHAnsi"/>
                <w:sz w:val="18"/>
                <w:szCs w:val="18"/>
              </w:rPr>
            </w:pPr>
            <w:proofErr w:type="spellStart"/>
            <w:r w:rsidRPr="00C67737">
              <w:rPr>
                <w:rFonts w:cstheme="minorHAnsi"/>
                <w:sz w:val="18"/>
                <w:szCs w:val="18"/>
              </w:rPr>
              <w:t>Cameroon</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2A5743"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25524" w14:textId="77777777" w:rsidR="007978C3" w:rsidRPr="00C67737" w:rsidRDefault="007978C3" w:rsidP="00D22022">
            <w:pPr>
              <w:jc w:val="center"/>
              <w:rPr>
                <w:rFonts w:cstheme="minorHAnsi"/>
                <w:sz w:val="18"/>
                <w:szCs w:val="18"/>
              </w:rPr>
            </w:pPr>
            <w:r w:rsidRPr="00C67737">
              <w:rPr>
                <w:rFonts w:cstheme="minorHAnsi"/>
                <w:sz w:val="18"/>
                <w:szCs w:val="18"/>
              </w:rPr>
              <w:t>15/09/2025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941F0"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135167"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6C59F" w14:textId="77777777" w:rsidR="007978C3" w:rsidRPr="00C67737" w:rsidRDefault="007978C3" w:rsidP="00D22022">
            <w:pPr>
              <w:jc w:val="center"/>
              <w:rPr>
                <w:rFonts w:cstheme="minorHAnsi"/>
                <w:sz w:val="18"/>
                <w:szCs w:val="18"/>
              </w:rPr>
            </w:pPr>
            <w:r w:rsidRPr="00C67737">
              <w:rPr>
                <w:rFonts w:cstheme="minorHAnsi"/>
                <w:sz w:val="18"/>
                <w:szCs w:val="18"/>
              </w:rPr>
              <w:t>2/03/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781923"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2E692C49"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308210ED"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29785" w14:textId="77777777" w:rsidR="007978C3" w:rsidRPr="00C67737" w:rsidRDefault="007978C3" w:rsidP="00D22022">
            <w:pPr>
              <w:rPr>
                <w:rFonts w:cstheme="minorHAnsi"/>
                <w:sz w:val="18"/>
                <w:szCs w:val="18"/>
              </w:rPr>
            </w:pPr>
            <w:r w:rsidRPr="00C67737">
              <w:rPr>
                <w:rFonts w:cstheme="minorHAnsi"/>
                <w:sz w:val="18"/>
                <w:szCs w:val="18"/>
              </w:rPr>
              <w:t xml:space="preserve">Central </w:t>
            </w:r>
            <w:proofErr w:type="spellStart"/>
            <w:r w:rsidRPr="00C67737">
              <w:rPr>
                <w:rFonts w:cstheme="minorHAnsi"/>
                <w:sz w:val="18"/>
                <w:szCs w:val="18"/>
              </w:rPr>
              <w:t>African</w:t>
            </w:r>
            <w:proofErr w:type="spellEnd"/>
            <w:r w:rsidRPr="00C67737">
              <w:rPr>
                <w:rFonts w:cstheme="minorHAnsi"/>
                <w:sz w:val="18"/>
                <w:szCs w:val="18"/>
              </w:rPr>
              <w:t xml:space="preserve"> Republic</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3BB85D"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1C829B" w14:textId="77777777" w:rsidR="007978C3" w:rsidRPr="00C67737" w:rsidRDefault="007978C3" w:rsidP="00D22022">
            <w:pPr>
              <w:jc w:val="center"/>
              <w:rPr>
                <w:rFonts w:cstheme="minorHAnsi"/>
                <w:sz w:val="18"/>
                <w:szCs w:val="18"/>
              </w:rPr>
            </w:pPr>
            <w:r w:rsidRPr="00C67737">
              <w:rPr>
                <w:rFonts w:cstheme="minorHAnsi"/>
                <w:sz w:val="18"/>
                <w:szCs w:val="18"/>
              </w:rPr>
              <w:t>25/09/2025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CB3E57"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2354C4"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7AFC8" w14:textId="77777777" w:rsidR="007978C3" w:rsidRPr="00C67737" w:rsidRDefault="007978C3" w:rsidP="00D22022">
            <w:pPr>
              <w:jc w:val="center"/>
              <w:rPr>
                <w:rFonts w:cstheme="minorHAnsi"/>
                <w:sz w:val="18"/>
                <w:szCs w:val="18"/>
              </w:rPr>
            </w:pPr>
            <w:r w:rsidRPr="00C67737">
              <w:rPr>
                <w:rFonts w:cstheme="minorHAns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F578F"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5DEEE2DD"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60A0072C"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D0295F" w14:textId="77777777" w:rsidR="007978C3" w:rsidRPr="00C67737" w:rsidRDefault="007978C3" w:rsidP="00D22022">
            <w:pPr>
              <w:rPr>
                <w:rFonts w:cstheme="minorHAnsi"/>
                <w:sz w:val="18"/>
                <w:szCs w:val="18"/>
              </w:rPr>
            </w:pPr>
            <w:r w:rsidRPr="00C67737">
              <w:rPr>
                <w:rFonts w:cstheme="minorHAnsi"/>
                <w:sz w:val="18"/>
                <w:szCs w:val="18"/>
              </w:rPr>
              <w:t>Chad</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FC9C0"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7B92FC" w14:textId="77777777" w:rsidR="007978C3" w:rsidRPr="00C67737" w:rsidRDefault="007978C3" w:rsidP="00D22022">
            <w:pPr>
              <w:jc w:val="center"/>
              <w:rPr>
                <w:rFonts w:cstheme="minorHAnsi"/>
                <w:sz w:val="18"/>
                <w:szCs w:val="18"/>
              </w:rPr>
            </w:pPr>
            <w:r w:rsidRPr="00C67737">
              <w:rPr>
                <w:rFonts w:cstheme="minorHAns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284EA"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720E21"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94CB0C" w14:textId="77777777" w:rsidR="007978C3" w:rsidRPr="00C67737" w:rsidRDefault="007978C3" w:rsidP="00D22022">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3E7B00"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3301A191"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54F1C8AD"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401878" w14:textId="77777777" w:rsidR="007978C3" w:rsidRPr="00C67737" w:rsidRDefault="007978C3" w:rsidP="00D22022">
            <w:pPr>
              <w:rPr>
                <w:rFonts w:cstheme="minorHAnsi"/>
                <w:sz w:val="18"/>
                <w:szCs w:val="18"/>
              </w:rPr>
            </w:pPr>
            <w:r w:rsidRPr="00C67737">
              <w:rPr>
                <w:rFonts w:cstheme="minorHAnsi"/>
                <w:sz w:val="18"/>
                <w:szCs w:val="18"/>
              </w:rPr>
              <w:t>China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7AC9B"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57746" w14:textId="77777777" w:rsidR="007978C3" w:rsidRPr="00C67737" w:rsidRDefault="007978C3" w:rsidP="00D22022">
            <w:pPr>
              <w:jc w:val="center"/>
              <w:rPr>
                <w:rFonts w:cstheme="minorHAnsi"/>
                <w:sz w:val="18"/>
                <w:szCs w:val="18"/>
              </w:rPr>
            </w:pPr>
            <w:r w:rsidRPr="00C67737">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D7E6A"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77503"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0B907"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A6F938"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AB38B3E"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2C5F95AE"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AC7820" w14:textId="77777777" w:rsidR="007978C3" w:rsidRPr="00C67737" w:rsidRDefault="007978C3" w:rsidP="00D22022">
            <w:pPr>
              <w:rPr>
                <w:rFonts w:cstheme="minorHAnsi"/>
                <w:sz w:val="18"/>
                <w:szCs w:val="18"/>
              </w:rPr>
            </w:pPr>
            <w:proofErr w:type="spellStart"/>
            <w:r w:rsidRPr="00C67737">
              <w:rPr>
                <w:rFonts w:cstheme="minorHAnsi"/>
                <w:sz w:val="18"/>
                <w:szCs w:val="18"/>
              </w:rPr>
              <w:t>Comoros</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95751"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E78349" w14:textId="77777777" w:rsidR="007978C3" w:rsidRPr="00C67737" w:rsidRDefault="007978C3" w:rsidP="00D22022">
            <w:pPr>
              <w:jc w:val="center"/>
              <w:rPr>
                <w:rFonts w:cstheme="minorHAnsi"/>
                <w:sz w:val="18"/>
                <w:szCs w:val="18"/>
              </w:rPr>
            </w:pPr>
            <w:r w:rsidRPr="00C67737">
              <w:rPr>
                <w:rFonts w:cstheme="minorHAnsi"/>
                <w:sz w:val="18"/>
                <w:szCs w:val="18"/>
              </w:rPr>
              <w:t>26/09/2025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45E95"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CD7CE0"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3C9C3A"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424AD6"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83DF7FD" w14:textId="77777777" w:rsidR="007978C3" w:rsidRPr="007978C3" w:rsidRDefault="007978C3" w:rsidP="00D22022">
            <w:pPr>
              <w:rPr>
                <w:rFonts w:cstheme="minorHAnsi"/>
                <w:sz w:val="18"/>
                <w:szCs w:val="18"/>
                <w:lang w:val="en-US"/>
              </w:rPr>
            </w:pPr>
            <w:r w:rsidRPr="007978C3">
              <w:rPr>
                <w:rFonts w:cstheme="minorHAnsi"/>
                <w:sz w:val="18"/>
                <w:szCs w:val="18"/>
                <w:lang w:val="en-US"/>
              </w:rPr>
              <w:lastRenderedPageBreak/>
              <w:t>Awaiting final project narrative and expenditure reports submission</w:t>
            </w:r>
          </w:p>
        </w:tc>
      </w:tr>
      <w:tr w:rsidR="007978C3" w:rsidRPr="00237520" w14:paraId="58D6294F"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DF5D9" w14:textId="77777777" w:rsidR="007978C3" w:rsidRPr="00C67737" w:rsidRDefault="007978C3" w:rsidP="00D22022">
            <w:pPr>
              <w:rPr>
                <w:rFonts w:cstheme="minorHAnsi"/>
                <w:sz w:val="18"/>
                <w:szCs w:val="18"/>
              </w:rPr>
            </w:pPr>
            <w:r w:rsidRPr="00C67737">
              <w:rPr>
                <w:rFonts w:cstheme="minorHAnsi"/>
                <w:sz w:val="18"/>
                <w:szCs w:val="18"/>
              </w:rPr>
              <w:lastRenderedPageBreak/>
              <w:t>Congo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CD642B"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89366"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8B785C"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54621"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B01843"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F85A0"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SSFA project documentation from the country</w:t>
            </w:r>
          </w:p>
        </w:tc>
      </w:tr>
      <w:tr w:rsidR="007978C3" w:rsidRPr="00237520" w14:paraId="234A5CDB"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BA1E7" w14:textId="77777777" w:rsidR="007978C3" w:rsidRPr="00C67737" w:rsidRDefault="007978C3" w:rsidP="00D22022">
            <w:pPr>
              <w:rPr>
                <w:rFonts w:cstheme="minorHAnsi"/>
                <w:sz w:val="18"/>
                <w:szCs w:val="18"/>
              </w:rPr>
            </w:pPr>
            <w:r w:rsidRPr="00C67737">
              <w:rPr>
                <w:rFonts w:cstheme="minorHAnsi"/>
                <w:sz w:val="18"/>
                <w:szCs w:val="18"/>
              </w:rPr>
              <w:t>Congo DR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EEB78"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1C1830" w14:textId="77777777" w:rsidR="007978C3" w:rsidRPr="00C67737" w:rsidRDefault="007978C3" w:rsidP="00D22022">
            <w:pPr>
              <w:jc w:val="center"/>
              <w:rPr>
                <w:rFonts w:cstheme="minorHAnsi"/>
                <w:sz w:val="18"/>
                <w:szCs w:val="18"/>
              </w:rPr>
            </w:pPr>
            <w:r w:rsidRPr="00C67737">
              <w:rPr>
                <w:rFonts w:cstheme="minorHAnsi"/>
                <w:sz w:val="18"/>
                <w:szCs w:val="18"/>
              </w:rPr>
              <w:t>08/01/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8A8C1"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EBA40"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CBDD53" w14:textId="77777777" w:rsidR="007978C3" w:rsidRPr="00C67737" w:rsidRDefault="007978C3" w:rsidP="00D22022">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69C35"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43D37C0A"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54D5CD2A"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91380" w14:textId="77777777" w:rsidR="007978C3" w:rsidRPr="00C67737" w:rsidRDefault="007978C3" w:rsidP="00D22022">
            <w:pPr>
              <w:rPr>
                <w:rFonts w:cstheme="minorHAnsi"/>
                <w:sz w:val="18"/>
                <w:szCs w:val="18"/>
              </w:rPr>
            </w:pPr>
            <w:r w:rsidRPr="00C67737">
              <w:rPr>
                <w:rFonts w:cstheme="minorHAnsi"/>
                <w:sz w:val="18"/>
                <w:szCs w:val="18"/>
              </w:rPr>
              <w:t>Costa Rica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CDFC75"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5AB7CB" w14:textId="77777777" w:rsidR="007978C3" w:rsidRPr="00C67737" w:rsidRDefault="007978C3" w:rsidP="00D22022">
            <w:pPr>
              <w:jc w:val="center"/>
              <w:rPr>
                <w:rFonts w:cstheme="minorHAnsi"/>
                <w:sz w:val="18"/>
                <w:szCs w:val="18"/>
              </w:rPr>
            </w:pPr>
            <w:r w:rsidRPr="00C67737">
              <w:rPr>
                <w:rFonts w:cstheme="minorHAnsi"/>
                <w:sz w:val="18"/>
                <w:szCs w:val="18"/>
              </w:rPr>
              <w:t>13/02/2026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49D5CB"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9B931B"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73BC9"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6D8B12"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E7D37E2"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29AF40B2"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2CAC09" w14:textId="77777777" w:rsidR="007978C3" w:rsidRPr="00C67737" w:rsidRDefault="007978C3" w:rsidP="00D22022">
            <w:pPr>
              <w:rPr>
                <w:rFonts w:cstheme="minorHAnsi"/>
                <w:sz w:val="18"/>
                <w:szCs w:val="18"/>
              </w:rPr>
            </w:pPr>
            <w:r w:rsidRPr="00C67737">
              <w:rPr>
                <w:rFonts w:cstheme="minorHAnsi"/>
                <w:sz w:val="18"/>
                <w:szCs w:val="18"/>
              </w:rPr>
              <w:t>Côte d’Ivoire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D09EB3"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65132B" w14:textId="77777777" w:rsidR="007978C3" w:rsidRPr="00C67737" w:rsidRDefault="007978C3" w:rsidP="00D22022">
            <w:pPr>
              <w:jc w:val="center"/>
              <w:rPr>
                <w:rFonts w:cstheme="minorHAnsi"/>
                <w:sz w:val="18"/>
                <w:szCs w:val="18"/>
              </w:rPr>
            </w:pPr>
            <w:r w:rsidRPr="00C67737">
              <w:rPr>
                <w:rFonts w:cstheme="minorHAnsi"/>
                <w:sz w:val="18"/>
                <w:szCs w:val="18"/>
              </w:rPr>
              <w:t>18/02/2026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D1FCD"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9EABE"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0F4AC0"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B3656A"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16468028"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1C397CD6"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51AF0D" w14:textId="77777777" w:rsidR="007978C3" w:rsidRPr="00C67737" w:rsidRDefault="007978C3" w:rsidP="00D22022">
            <w:pPr>
              <w:rPr>
                <w:rFonts w:cstheme="minorHAnsi"/>
                <w:sz w:val="18"/>
                <w:szCs w:val="18"/>
              </w:rPr>
            </w:pPr>
            <w:r w:rsidRPr="00C67737">
              <w:rPr>
                <w:rFonts w:cstheme="minorHAnsi"/>
                <w:sz w:val="18"/>
                <w:szCs w:val="18"/>
              </w:rPr>
              <w:t>Cuba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55D04"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BE2D61" w14:textId="77777777" w:rsidR="007978C3" w:rsidRPr="00C67737" w:rsidRDefault="007978C3" w:rsidP="00D22022">
            <w:pPr>
              <w:jc w:val="center"/>
              <w:rPr>
                <w:rFonts w:cstheme="minorHAnsi"/>
                <w:sz w:val="18"/>
                <w:szCs w:val="18"/>
              </w:rPr>
            </w:pPr>
            <w:r w:rsidRPr="00C67737">
              <w:rPr>
                <w:rFonts w:cstheme="minorHAnsi"/>
                <w:sz w:val="18"/>
                <w:szCs w:val="18"/>
              </w:rPr>
              <w:t>26/02/2026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FD4A8"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EDF286"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7DA8B6" w14:textId="77777777" w:rsidR="007978C3" w:rsidRPr="00C67737" w:rsidRDefault="007978C3" w:rsidP="00D22022">
            <w:pPr>
              <w:jc w:val="center"/>
              <w:rPr>
                <w:rFonts w:cstheme="minorHAnsi"/>
                <w:sz w:val="18"/>
                <w:szCs w:val="18"/>
              </w:rPr>
            </w:pPr>
            <w:r w:rsidRPr="00C67737">
              <w:rPr>
                <w:rFonts w:cstheme="minorHAnsi"/>
                <w:sz w:val="18"/>
                <w:szCs w:val="18"/>
              </w:rPr>
              <w:t>2/03/2026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BE4A80"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3F3CD80F"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4037C158"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6D8DC" w14:textId="77777777" w:rsidR="007978C3" w:rsidRPr="00C67737" w:rsidRDefault="007978C3" w:rsidP="00D22022">
            <w:pPr>
              <w:rPr>
                <w:rFonts w:cstheme="minorHAnsi"/>
                <w:sz w:val="18"/>
                <w:szCs w:val="18"/>
              </w:rPr>
            </w:pPr>
            <w:r w:rsidRPr="00C67737">
              <w:rPr>
                <w:rFonts w:cstheme="minorHAnsi"/>
                <w:sz w:val="18"/>
                <w:szCs w:val="18"/>
              </w:rPr>
              <w:t>Djibouti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A55D3"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6B5AB2" w14:textId="77777777" w:rsidR="007978C3" w:rsidRPr="00C67737" w:rsidRDefault="007978C3" w:rsidP="00D22022">
            <w:pPr>
              <w:jc w:val="center"/>
              <w:rPr>
                <w:rFonts w:cstheme="minorHAnsi"/>
                <w:sz w:val="18"/>
                <w:szCs w:val="18"/>
              </w:rPr>
            </w:pPr>
            <w:r w:rsidRPr="00C67737">
              <w:rPr>
                <w:rFonts w:cstheme="minorHAns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830661"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98750F"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F6E4E"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C791F8" w14:textId="77777777" w:rsidR="007978C3" w:rsidRPr="007978C3" w:rsidRDefault="007978C3" w:rsidP="00D22022">
            <w:pPr>
              <w:rPr>
                <w:rFonts w:cstheme="minorHAnsi"/>
                <w:sz w:val="18"/>
                <w:szCs w:val="18"/>
                <w:lang w:val="en-US"/>
              </w:rPr>
            </w:pPr>
            <w:r w:rsidRPr="007978C3">
              <w:rPr>
                <w:rFonts w:cstheme="minorHAnsi"/>
                <w:sz w:val="18"/>
                <w:szCs w:val="18"/>
                <w:lang w:val="en-US"/>
              </w:rPr>
              <w:t>Draft 1st national report available, continuing with data collection</w:t>
            </w:r>
          </w:p>
        </w:tc>
      </w:tr>
      <w:tr w:rsidR="007978C3" w:rsidRPr="00237520" w14:paraId="592C3C3A"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01162D" w14:textId="77777777" w:rsidR="007978C3" w:rsidRPr="00C67737" w:rsidRDefault="007978C3" w:rsidP="00D22022">
            <w:pPr>
              <w:rPr>
                <w:rFonts w:cstheme="minorHAnsi"/>
                <w:sz w:val="18"/>
                <w:szCs w:val="18"/>
              </w:rPr>
            </w:pPr>
            <w:proofErr w:type="spellStart"/>
            <w:r w:rsidRPr="00C67737">
              <w:rPr>
                <w:rFonts w:cstheme="minorHAnsi"/>
                <w:sz w:val="18"/>
                <w:szCs w:val="18"/>
              </w:rPr>
              <w:t>Dominican</w:t>
            </w:r>
            <w:proofErr w:type="spellEnd"/>
            <w:r w:rsidRPr="00C67737">
              <w:rPr>
                <w:rFonts w:cstheme="minorHAnsi"/>
                <w:sz w:val="18"/>
                <w:szCs w:val="18"/>
              </w:rPr>
              <w:t xml:space="preserve"> Republic</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BC8194"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C404AC" w14:textId="77777777" w:rsidR="007978C3" w:rsidRPr="00C67737" w:rsidRDefault="007978C3" w:rsidP="00D22022">
            <w:pPr>
              <w:jc w:val="center"/>
              <w:rPr>
                <w:rFonts w:cstheme="minorHAnsi"/>
                <w:sz w:val="18"/>
                <w:szCs w:val="18"/>
              </w:rPr>
            </w:pPr>
            <w:r w:rsidRPr="00C67737">
              <w:rPr>
                <w:rFonts w:cstheme="minorHAnsi"/>
                <w:sz w:val="18"/>
                <w:szCs w:val="18"/>
              </w:rPr>
              <w:t>14/01/2026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F428A2"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C782EE"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F6A127" w14:textId="77777777" w:rsidR="007978C3" w:rsidRPr="00C67737" w:rsidRDefault="007978C3" w:rsidP="00D22022">
            <w:pPr>
              <w:jc w:val="center"/>
              <w:rPr>
                <w:rFonts w:cstheme="minorHAnsi"/>
                <w:sz w:val="18"/>
                <w:szCs w:val="18"/>
              </w:rPr>
            </w:pPr>
            <w:r w:rsidRPr="00C67737">
              <w:rPr>
                <w:rFonts w:cstheme="minorHAnsi"/>
                <w:sz w:val="18"/>
                <w:szCs w:val="18"/>
              </w:rPr>
              <w:t>11/02/2026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9133F4"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2082E8DD"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246625E1"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0F6406" w14:textId="77777777" w:rsidR="007978C3" w:rsidRPr="00C67737" w:rsidRDefault="007978C3" w:rsidP="00D22022">
            <w:pPr>
              <w:rPr>
                <w:rFonts w:cstheme="minorHAnsi"/>
                <w:sz w:val="18"/>
                <w:szCs w:val="18"/>
              </w:rPr>
            </w:pPr>
            <w:proofErr w:type="spellStart"/>
            <w:r w:rsidRPr="00C67737">
              <w:rPr>
                <w:rFonts w:cstheme="minorHAnsi"/>
                <w:sz w:val="18"/>
                <w:szCs w:val="18"/>
              </w:rPr>
              <w:t>Ecuador</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7D03B0"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0331AE"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95C9A2"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653B7E"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A8437E"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31EFD9"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DCB1EB6"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SSFA project documentation from the country</w:t>
            </w:r>
          </w:p>
        </w:tc>
      </w:tr>
      <w:tr w:rsidR="007978C3" w:rsidRPr="00237520" w14:paraId="00AF25AD"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C7E2A8" w14:textId="77777777" w:rsidR="007978C3" w:rsidRPr="00C67737" w:rsidRDefault="007978C3" w:rsidP="00D22022">
            <w:pPr>
              <w:rPr>
                <w:rFonts w:cstheme="minorHAnsi"/>
                <w:sz w:val="18"/>
                <w:szCs w:val="18"/>
              </w:rPr>
            </w:pPr>
            <w:r w:rsidRPr="00C67737">
              <w:rPr>
                <w:rFonts w:cstheme="minorHAnsi"/>
                <w:sz w:val="18"/>
                <w:szCs w:val="18"/>
              </w:rPr>
              <w:t>Egypt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4F3087"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05A1A8" w14:textId="77777777" w:rsidR="007978C3" w:rsidRPr="00C67737" w:rsidRDefault="007978C3" w:rsidP="00D22022">
            <w:pPr>
              <w:jc w:val="center"/>
              <w:rPr>
                <w:rFonts w:cstheme="minorHAnsi"/>
                <w:sz w:val="18"/>
                <w:szCs w:val="18"/>
              </w:rPr>
            </w:pPr>
            <w:r w:rsidRPr="00C67737">
              <w:rPr>
                <w:rFonts w:cstheme="minorHAnsi"/>
                <w:sz w:val="18"/>
                <w:szCs w:val="18"/>
              </w:rPr>
              <w:t>27/01/2026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177231"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47234"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1E1BC4"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1C171A" w14:textId="77777777" w:rsidR="007978C3" w:rsidRPr="007978C3" w:rsidRDefault="007978C3" w:rsidP="00D22022">
            <w:pPr>
              <w:rPr>
                <w:rFonts w:cstheme="minorHAnsi"/>
                <w:sz w:val="18"/>
                <w:szCs w:val="18"/>
                <w:lang w:val="en-US"/>
              </w:rPr>
            </w:pPr>
            <w:r w:rsidRPr="007978C3">
              <w:rPr>
                <w:rFonts w:cstheme="minorHAnsi"/>
                <w:sz w:val="18"/>
                <w:szCs w:val="18"/>
                <w:lang w:val="en-US"/>
              </w:rPr>
              <w:t>Final 1st national report available, awaiting final approval to upload in the ABS clearing house</w:t>
            </w:r>
          </w:p>
        </w:tc>
      </w:tr>
      <w:tr w:rsidR="007978C3" w:rsidRPr="00C67737" w14:paraId="1C0EFF37"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45209C" w14:textId="77777777" w:rsidR="007978C3" w:rsidRPr="00C67737" w:rsidRDefault="007978C3" w:rsidP="00D22022">
            <w:pPr>
              <w:rPr>
                <w:rFonts w:cstheme="minorHAnsi"/>
                <w:sz w:val="18"/>
                <w:szCs w:val="18"/>
              </w:rPr>
            </w:pPr>
            <w:r w:rsidRPr="00C67737">
              <w:rPr>
                <w:rFonts w:cstheme="minorHAnsi"/>
                <w:sz w:val="18"/>
                <w:szCs w:val="18"/>
              </w:rPr>
              <w:t xml:space="preserve">Equatorial </w:t>
            </w:r>
            <w:proofErr w:type="spellStart"/>
            <w:r w:rsidRPr="00C67737">
              <w:rPr>
                <w:rFonts w:cstheme="minorHAnsi"/>
                <w:sz w:val="18"/>
                <w:szCs w:val="18"/>
              </w:rPr>
              <w:t>Guinea</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00D472"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E2DB34" w14:textId="77777777" w:rsidR="007978C3" w:rsidRPr="00C67737" w:rsidRDefault="007978C3" w:rsidP="00D22022">
            <w:pPr>
              <w:jc w:val="center"/>
              <w:rPr>
                <w:rFonts w:cstheme="minorHAnsi"/>
                <w:sz w:val="18"/>
                <w:szCs w:val="18"/>
              </w:rPr>
            </w:pPr>
            <w:r w:rsidRPr="00C67737">
              <w:rPr>
                <w:rFonts w:cstheme="minorHAnsi"/>
                <w:sz w:val="18"/>
                <w:szCs w:val="18"/>
              </w:rPr>
              <w:t>09/03/2026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01FCC"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D0C101"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8932C9"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E0051" w14:textId="77777777" w:rsidR="007978C3" w:rsidRPr="00C67737" w:rsidRDefault="007978C3" w:rsidP="00D22022">
            <w:pPr>
              <w:rPr>
                <w:rFonts w:cstheme="minorHAnsi"/>
                <w:sz w:val="18"/>
                <w:szCs w:val="18"/>
              </w:rPr>
            </w:pPr>
            <w:r w:rsidRPr="00C67737">
              <w:rPr>
                <w:rFonts w:cstheme="minorHAnsi"/>
                <w:sz w:val="18"/>
                <w:szCs w:val="18"/>
              </w:rPr>
              <w:t xml:space="preserve">Draft report </w:t>
            </w:r>
            <w:proofErr w:type="spellStart"/>
            <w:r w:rsidRPr="00C67737">
              <w:rPr>
                <w:rFonts w:cstheme="minorHAnsi"/>
                <w:sz w:val="18"/>
                <w:szCs w:val="18"/>
              </w:rPr>
              <w:t>available</w:t>
            </w:r>
            <w:proofErr w:type="spellEnd"/>
            <w:r w:rsidRPr="00C67737">
              <w:rPr>
                <w:rFonts w:cstheme="minorHAnsi"/>
                <w:sz w:val="18"/>
                <w:szCs w:val="18"/>
              </w:rPr>
              <w:t xml:space="preserve"> </w:t>
            </w:r>
          </w:p>
        </w:tc>
      </w:tr>
      <w:tr w:rsidR="007978C3" w:rsidRPr="00237520" w14:paraId="06F42212"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61A804" w14:textId="77777777" w:rsidR="007978C3" w:rsidRPr="00C67737" w:rsidRDefault="007978C3" w:rsidP="00D22022">
            <w:pPr>
              <w:rPr>
                <w:rFonts w:cstheme="minorHAnsi"/>
                <w:sz w:val="18"/>
                <w:szCs w:val="18"/>
              </w:rPr>
            </w:pPr>
            <w:r w:rsidRPr="00C67737">
              <w:rPr>
                <w:rFonts w:cstheme="minorHAnsi"/>
                <w:sz w:val="18"/>
                <w:szCs w:val="18"/>
              </w:rPr>
              <w:t>Eritrea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775C6B"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217333" w14:textId="77777777" w:rsidR="007978C3" w:rsidRPr="00C67737" w:rsidRDefault="007978C3" w:rsidP="00D22022">
            <w:pPr>
              <w:jc w:val="center"/>
              <w:rPr>
                <w:rFonts w:cstheme="minorHAnsi"/>
                <w:sz w:val="18"/>
                <w:szCs w:val="18"/>
              </w:rPr>
            </w:pPr>
            <w:r w:rsidRPr="00C67737">
              <w:rPr>
                <w:rFonts w:cstheme="minorHAnsi"/>
                <w:sz w:val="18"/>
                <w:szCs w:val="18"/>
              </w:rPr>
              <w:t>12/01/2026</w:t>
            </w:r>
          </w:p>
          <w:p w14:paraId="674D4EF5" w14:textId="77777777" w:rsidR="007978C3" w:rsidRPr="00C67737" w:rsidRDefault="007978C3" w:rsidP="00D22022">
            <w:pPr>
              <w:jc w:val="center"/>
              <w:rPr>
                <w:rFonts w:cstheme="minorHAnsi"/>
                <w:sz w:val="18"/>
                <w:szCs w:val="18"/>
              </w:rPr>
            </w:pPr>
            <w:r w:rsidRPr="00C67737">
              <w:rPr>
                <w:rFonts w:cstheme="minorHAnsi"/>
                <w:sz w:val="18"/>
                <w:szCs w:val="18"/>
              </w:rPr>
              <w:t>23/04/2026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AE845" w14:textId="77777777" w:rsidR="007978C3" w:rsidRPr="00C67737" w:rsidRDefault="007978C3" w:rsidP="00D22022">
            <w:pPr>
              <w:jc w:val="center"/>
              <w:rPr>
                <w:rFonts w:eastAsia="Calibri Light" w:cstheme="minorHAnsi"/>
                <w:sz w:val="18"/>
                <w:szCs w:val="18"/>
              </w:rPr>
            </w:pPr>
            <w:r w:rsidRPr="00C67737">
              <w:rPr>
                <w:rFonts w:eastAsia="Calibri Light" w:cstheme="minorHAnsi"/>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0D5BAF" w14:textId="77777777" w:rsidR="007978C3" w:rsidRPr="00C67737" w:rsidRDefault="007978C3" w:rsidP="00D22022">
            <w:pPr>
              <w:jc w:val="center"/>
              <w:rPr>
                <w:rFonts w:cstheme="minorHAnsi"/>
                <w:sz w:val="18"/>
                <w:szCs w:val="18"/>
              </w:rPr>
            </w:pPr>
            <w:r w:rsidRPr="00C67737">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32063" w14:textId="77777777" w:rsidR="007978C3" w:rsidRPr="00C67737" w:rsidRDefault="007978C3" w:rsidP="00D22022">
            <w:pPr>
              <w:jc w:val="center"/>
              <w:rPr>
                <w:rFonts w:cstheme="minorHAnsi"/>
                <w:sz w:val="18"/>
                <w:szCs w:val="18"/>
              </w:rPr>
            </w:pPr>
            <w:r w:rsidRPr="00C67737">
              <w:rPr>
                <w:rFonts w:cstheme="minorHAnsi"/>
                <w:sz w:val="18"/>
                <w:szCs w:val="18"/>
              </w:rPr>
              <w:t>4/03/2026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7E71AD"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5DBA920" w14:textId="77777777" w:rsidR="007978C3" w:rsidRPr="007978C3" w:rsidRDefault="007978C3" w:rsidP="00D22022">
            <w:pPr>
              <w:rPr>
                <w:rFonts w:eastAsia="Aptos" w:cstheme="minorHAnsi"/>
                <w:sz w:val="18"/>
                <w:szCs w:val="18"/>
                <w:lang w:val="en-US"/>
              </w:rPr>
            </w:pPr>
            <w:r w:rsidRPr="007978C3">
              <w:rPr>
                <w:rFonts w:cstheme="minorHAnsi"/>
                <w:color w:val="000000" w:themeColor="text1"/>
                <w:sz w:val="18"/>
                <w:szCs w:val="18"/>
                <w:lang w:val="en-US"/>
              </w:rPr>
              <w:t>Project implementation was finalized and closed</w:t>
            </w:r>
            <w:r w:rsidRPr="007978C3">
              <w:rPr>
                <w:rFonts w:eastAsia="Aptos" w:cstheme="minorHAnsi"/>
                <w:sz w:val="18"/>
                <w:szCs w:val="18"/>
                <w:lang w:val="en-US"/>
              </w:rPr>
              <w:t>.</w:t>
            </w:r>
          </w:p>
        </w:tc>
      </w:tr>
      <w:tr w:rsidR="007978C3" w:rsidRPr="00237520" w14:paraId="719651E9"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CBC050" w14:textId="77777777" w:rsidR="007978C3" w:rsidRPr="00C67737" w:rsidRDefault="007978C3" w:rsidP="00D22022">
            <w:pPr>
              <w:rPr>
                <w:rFonts w:cstheme="minorHAnsi"/>
                <w:sz w:val="18"/>
                <w:szCs w:val="18"/>
              </w:rPr>
            </w:pPr>
            <w:r w:rsidRPr="00C67737">
              <w:rPr>
                <w:rFonts w:cstheme="minorHAnsi"/>
                <w:sz w:val="18"/>
                <w:szCs w:val="18"/>
              </w:rPr>
              <w:t>Eswatini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9DAA9B"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A6EB94" w14:textId="77777777" w:rsidR="007978C3" w:rsidRPr="00C67737" w:rsidRDefault="007978C3" w:rsidP="00D22022">
            <w:pPr>
              <w:jc w:val="center"/>
              <w:rPr>
                <w:rFonts w:cstheme="minorHAnsi"/>
                <w:sz w:val="18"/>
                <w:szCs w:val="18"/>
              </w:rPr>
            </w:pPr>
            <w:r w:rsidRPr="00C67737">
              <w:rPr>
                <w:rFonts w:cstheme="minorHAns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85C7D"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10B70"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50B455" w14:textId="77777777" w:rsidR="007978C3" w:rsidRPr="00C67737" w:rsidRDefault="007978C3" w:rsidP="00D22022">
            <w:pPr>
              <w:jc w:val="center"/>
              <w:rPr>
                <w:rFonts w:cstheme="minorHAnsi"/>
                <w:sz w:val="18"/>
                <w:szCs w:val="18"/>
              </w:rPr>
            </w:pPr>
            <w:r w:rsidRPr="00C67737">
              <w:rPr>
                <w:rFonts w:cstheme="minorHAns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230967"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532C9D2B" w14:textId="77777777" w:rsidR="007978C3" w:rsidRPr="007978C3" w:rsidRDefault="007978C3" w:rsidP="00D22022">
            <w:pPr>
              <w:rPr>
                <w:rFonts w:cstheme="minorHAnsi"/>
                <w:sz w:val="18"/>
                <w:szCs w:val="18"/>
                <w:lang w:val="en-US"/>
              </w:rPr>
            </w:pPr>
            <w:r w:rsidRPr="007978C3">
              <w:rPr>
                <w:rFonts w:cstheme="minorHAnsi"/>
                <w:sz w:val="18"/>
                <w:szCs w:val="18"/>
                <w:lang w:val="en-US"/>
              </w:rPr>
              <w:lastRenderedPageBreak/>
              <w:t>Awaiting final project narrative and expenditure reports submission</w:t>
            </w:r>
          </w:p>
        </w:tc>
      </w:tr>
      <w:tr w:rsidR="007978C3" w:rsidRPr="00237520" w14:paraId="631239DE" w14:textId="77777777" w:rsidTr="00D22022">
        <w:trPr>
          <w:trHeight w:val="75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148F0" w14:textId="77777777" w:rsidR="007978C3" w:rsidRPr="00C67737" w:rsidRDefault="007978C3" w:rsidP="00D22022">
            <w:pPr>
              <w:rPr>
                <w:rFonts w:cstheme="minorHAnsi"/>
                <w:sz w:val="18"/>
                <w:szCs w:val="18"/>
              </w:rPr>
            </w:pPr>
            <w:proofErr w:type="spellStart"/>
            <w:r w:rsidRPr="00C67737">
              <w:rPr>
                <w:rFonts w:cstheme="minorHAnsi"/>
                <w:sz w:val="18"/>
                <w:szCs w:val="18"/>
              </w:rPr>
              <w:lastRenderedPageBreak/>
              <w:t>Ethiopia</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E7EB3E"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386B03" w14:textId="77777777" w:rsidR="007978C3" w:rsidRPr="00C67737" w:rsidRDefault="007978C3" w:rsidP="00D22022">
            <w:pPr>
              <w:jc w:val="center"/>
              <w:rPr>
                <w:rFonts w:cstheme="minorHAnsi"/>
                <w:sz w:val="18"/>
                <w:szCs w:val="18"/>
              </w:rPr>
            </w:pPr>
            <w:r w:rsidRPr="00C67737">
              <w:rPr>
                <w:rFonts w:cstheme="minorHAnsi"/>
                <w:sz w:val="18"/>
                <w:szCs w:val="18"/>
              </w:rPr>
              <w:t>07/11/2025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6E227D"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2DEB6E"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ADA284"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408DB3"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1F88EDA9"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58A775AE"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42F2CF" w14:textId="77777777" w:rsidR="007978C3" w:rsidRPr="00C67737" w:rsidRDefault="007978C3" w:rsidP="00D22022">
            <w:pPr>
              <w:rPr>
                <w:rFonts w:cstheme="minorHAnsi"/>
                <w:sz w:val="18"/>
                <w:szCs w:val="18"/>
              </w:rPr>
            </w:pPr>
            <w:r w:rsidRPr="00C67737">
              <w:rPr>
                <w:rFonts w:cstheme="minorHAnsi"/>
                <w:sz w:val="18"/>
                <w:szCs w:val="18"/>
              </w:rPr>
              <w:t>Fiji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69BE07"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BC951" w14:textId="77777777" w:rsidR="007978C3" w:rsidRPr="00C67737" w:rsidRDefault="007978C3" w:rsidP="00D22022">
            <w:pPr>
              <w:jc w:val="center"/>
              <w:rPr>
                <w:rFonts w:cstheme="minorHAnsi"/>
                <w:sz w:val="18"/>
                <w:szCs w:val="18"/>
              </w:rPr>
            </w:pPr>
            <w:r w:rsidRPr="00C67737">
              <w:rPr>
                <w:rFonts w:cstheme="minorHAnsi"/>
                <w:sz w:val="18"/>
                <w:szCs w:val="18"/>
              </w:rPr>
              <w:t>23/01/2026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6F9CD"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9EAFD"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78CA9F" w14:textId="77777777" w:rsidR="007978C3" w:rsidRPr="00C67737" w:rsidRDefault="007978C3" w:rsidP="00D22022">
            <w:pPr>
              <w:jc w:val="center"/>
              <w:rPr>
                <w:rFonts w:cstheme="minorHAnsi"/>
                <w:sz w:val="18"/>
                <w:szCs w:val="18"/>
              </w:rPr>
            </w:pPr>
            <w:r w:rsidRPr="00C67737">
              <w:rPr>
                <w:rFonts w:cstheme="minorHAnsi"/>
                <w:sz w:val="18"/>
                <w:szCs w:val="18"/>
              </w:rPr>
              <w:t>17/06/2026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020003" w14:textId="77777777" w:rsidR="007978C3" w:rsidRPr="007978C3" w:rsidRDefault="007978C3" w:rsidP="00D22022">
            <w:pPr>
              <w:spacing w:line="257" w:lineRule="auto"/>
              <w:rPr>
                <w:rFonts w:cstheme="minorHAnsi"/>
                <w:sz w:val="18"/>
                <w:szCs w:val="18"/>
                <w:lang w:val="en-US"/>
              </w:rPr>
            </w:pPr>
            <w:r w:rsidRPr="007978C3">
              <w:rPr>
                <w:rFonts w:cstheme="minorHAnsi"/>
                <w:sz w:val="18"/>
                <w:szCs w:val="18"/>
                <w:lang w:val="en-US"/>
              </w:rPr>
              <w:t>1</w:t>
            </w:r>
            <w:r w:rsidRPr="007978C3">
              <w:rPr>
                <w:rFonts w:cstheme="minorHAnsi"/>
                <w:sz w:val="18"/>
                <w:szCs w:val="18"/>
                <w:vertAlign w:val="superscript"/>
                <w:lang w:val="en-US"/>
              </w:rPr>
              <w:t>st</w:t>
            </w:r>
            <w:r w:rsidRPr="007978C3">
              <w:rPr>
                <w:rFonts w:cstheme="minorHAnsi"/>
                <w:sz w:val="18"/>
                <w:szCs w:val="18"/>
                <w:lang w:val="en-US"/>
              </w:rPr>
              <w:t xml:space="preserve"> national report submitted. </w:t>
            </w:r>
          </w:p>
          <w:p w14:paraId="22C77385" w14:textId="77777777" w:rsidR="007978C3" w:rsidRPr="007978C3" w:rsidRDefault="007978C3" w:rsidP="00D22022">
            <w:pPr>
              <w:spacing w:line="257" w:lineRule="auto"/>
              <w:rPr>
                <w:rFonts w:cstheme="minorHAnsi"/>
                <w:sz w:val="18"/>
                <w:szCs w:val="18"/>
                <w:lang w:val="en-US"/>
              </w:rPr>
            </w:pPr>
            <w:r w:rsidRPr="007978C3">
              <w:rPr>
                <w:rFonts w:cstheme="minorHAnsi"/>
                <w:sz w:val="18"/>
                <w:szCs w:val="18"/>
                <w:lang w:val="en-US"/>
              </w:rPr>
              <w:t xml:space="preserve">Awaiting final project narrative and expenditure reports submission </w:t>
            </w:r>
          </w:p>
        </w:tc>
      </w:tr>
      <w:tr w:rsidR="007978C3" w:rsidRPr="00237520" w14:paraId="5508A985"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A6F2D" w14:textId="77777777" w:rsidR="007978C3" w:rsidRPr="00C67737" w:rsidRDefault="007978C3" w:rsidP="00D22022">
            <w:pPr>
              <w:rPr>
                <w:rFonts w:cstheme="minorHAnsi"/>
                <w:sz w:val="18"/>
                <w:szCs w:val="18"/>
              </w:rPr>
            </w:pPr>
            <w:r w:rsidRPr="00C67737">
              <w:rPr>
                <w:rFonts w:cstheme="minorHAnsi"/>
                <w:sz w:val="18"/>
                <w:szCs w:val="18"/>
              </w:rPr>
              <w:t>Gabon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67D874"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7C270" w14:textId="77777777" w:rsidR="007978C3" w:rsidRPr="00C67737" w:rsidRDefault="007978C3" w:rsidP="00D22022">
            <w:pPr>
              <w:jc w:val="center"/>
              <w:rPr>
                <w:rFonts w:cstheme="minorHAnsi"/>
                <w:sz w:val="18"/>
                <w:szCs w:val="18"/>
              </w:rPr>
            </w:pPr>
            <w:r w:rsidRPr="00C67737">
              <w:rPr>
                <w:rFonts w:cstheme="minorHAnsi"/>
                <w:sz w:val="18"/>
                <w:szCs w:val="18"/>
              </w:rPr>
              <w:t>24/03/2026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1B3CE5"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FC00EC"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BC2E82"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5103BA" w14:textId="77777777" w:rsidR="007978C3" w:rsidRPr="007978C3" w:rsidRDefault="007978C3" w:rsidP="00D22022">
            <w:pPr>
              <w:rPr>
                <w:rFonts w:cstheme="minorHAnsi"/>
                <w:sz w:val="18"/>
                <w:szCs w:val="18"/>
                <w:lang w:val="en-US"/>
              </w:rPr>
            </w:pPr>
            <w:r w:rsidRPr="007978C3">
              <w:rPr>
                <w:rFonts w:cstheme="minorHAnsi"/>
                <w:sz w:val="18"/>
                <w:szCs w:val="18"/>
                <w:lang w:val="en-US"/>
              </w:rPr>
              <w:t xml:space="preserve">Draft report available awaiting validation </w:t>
            </w:r>
          </w:p>
        </w:tc>
      </w:tr>
      <w:tr w:rsidR="007978C3" w:rsidRPr="00237520" w14:paraId="6F52FEB6"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5C40F0" w14:textId="77777777" w:rsidR="007978C3" w:rsidRPr="00C67737" w:rsidRDefault="007978C3" w:rsidP="00D22022">
            <w:pPr>
              <w:rPr>
                <w:rFonts w:cstheme="minorHAnsi"/>
                <w:sz w:val="18"/>
                <w:szCs w:val="18"/>
              </w:rPr>
            </w:pPr>
            <w:proofErr w:type="spellStart"/>
            <w:r w:rsidRPr="00C67737">
              <w:rPr>
                <w:rFonts w:cstheme="minorHAnsi"/>
                <w:sz w:val="18"/>
                <w:szCs w:val="18"/>
              </w:rPr>
              <w:t>Gambia</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340710"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FFBC6A" w14:textId="77777777" w:rsidR="007978C3" w:rsidRPr="00C67737" w:rsidRDefault="007978C3" w:rsidP="00D22022">
            <w:pPr>
              <w:jc w:val="center"/>
              <w:rPr>
                <w:rFonts w:cstheme="minorHAnsi"/>
                <w:sz w:val="18"/>
                <w:szCs w:val="18"/>
              </w:rPr>
            </w:pPr>
            <w:r w:rsidRPr="00C67737">
              <w:rPr>
                <w:rFonts w:cstheme="minorHAnsi"/>
                <w:sz w:val="18"/>
                <w:szCs w:val="18"/>
              </w:rPr>
              <w:t>01/12/2025</w:t>
            </w:r>
          </w:p>
          <w:p w14:paraId="41EC12E9" w14:textId="77777777" w:rsidR="007978C3" w:rsidRPr="00C67737" w:rsidRDefault="007978C3" w:rsidP="00D22022">
            <w:pPr>
              <w:jc w:val="center"/>
              <w:rPr>
                <w:rFonts w:cstheme="minorHAnsi"/>
                <w:sz w:val="18"/>
                <w:szCs w:val="18"/>
              </w:rPr>
            </w:pPr>
            <w:r w:rsidRPr="00C67737">
              <w:rPr>
                <w:rFonts w:cstheme="minorHAnsi"/>
                <w:sz w:val="18"/>
                <w:szCs w:val="18"/>
              </w:rPr>
              <w:t>27/04/2026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9E5DC6"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02257"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219ED" w14:textId="77777777" w:rsidR="007978C3" w:rsidRPr="00C67737" w:rsidRDefault="007978C3" w:rsidP="00D22022">
            <w:pPr>
              <w:jc w:val="center"/>
              <w:rPr>
                <w:rFonts w:cstheme="minorHAnsi"/>
                <w:sz w:val="18"/>
                <w:szCs w:val="18"/>
              </w:rPr>
            </w:pPr>
            <w:r w:rsidRPr="00C67737">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998D63"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0D1E535" w14:textId="77777777" w:rsidR="007978C3" w:rsidRPr="007978C3" w:rsidRDefault="007978C3" w:rsidP="00D22022">
            <w:pPr>
              <w:rPr>
                <w:rFonts w:cstheme="minorHAnsi"/>
                <w:color w:val="000000" w:themeColor="text1"/>
                <w:sz w:val="18"/>
                <w:szCs w:val="18"/>
                <w:lang w:val="en-US"/>
              </w:rPr>
            </w:pPr>
            <w:r w:rsidRPr="007978C3">
              <w:rPr>
                <w:rFonts w:cstheme="minorHAnsi"/>
                <w:color w:val="000000" w:themeColor="text1"/>
                <w:sz w:val="18"/>
                <w:szCs w:val="18"/>
                <w:lang w:val="en-US"/>
              </w:rPr>
              <w:t>Project implementation was finalized and closed.</w:t>
            </w:r>
          </w:p>
        </w:tc>
      </w:tr>
      <w:tr w:rsidR="007978C3" w:rsidRPr="00237520" w14:paraId="40764DF5"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0291DD" w14:textId="77777777" w:rsidR="007978C3" w:rsidRPr="00C67737" w:rsidRDefault="007978C3" w:rsidP="00D22022">
            <w:pPr>
              <w:rPr>
                <w:rFonts w:cstheme="minorHAnsi"/>
                <w:sz w:val="18"/>
                <w:szCs w:val="18"/>
              </w:rPr>
            </w:pPr>
            <w:r w:rsidRPr="00C67737">
              <w:rPr>
                <w:rFonts w:cstheme="minorHAnsi"/>
                <w:sz w:val="18"/>
                <w:szCs w:val="18"/>
              </w:rPr>
              <w:t>Ghana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2ADF8"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F8BF0A" w14:textId="77777777" w:rsidR="007978C3" w:rsidRPr="00C67737" w:rsidRDefault="007978C3" w:rsidP="00D22022">
            <w:pPr>
              <w:jc w:val="center"/>
              <w:rPr>
                <w:rFonts w:cstheme="minorHAnsi"/>
                <w:sz w:val="18"/>
                <w:szCs w:val="18"/>
              </w:rPr>
            </w:pPr>
            <w:r w:rsidRPr="00C67737">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C5A21A"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86D27"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B0435D"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52A98"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520FBA99"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769339DF"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9989B2" w14:textId="77777777" w:rsidR="007978C3" w:rsidRPr="00C67737" w:rsidRDefault="007978C3" w:rsidP="00D22022">
            <w:pPr>
              <w:rPr>
                <w:rFonts w:cstheme="minorHAnsi"/>
                <w:sz w:val="18"/>
                <w:szCs w:val="18"/>
              </w:rPr>
            </w:pPr>
            <w:r w:rsidRPr="00C67737">
              <w:rPr>
                <w:rFonts w:cstheme="minorHAnsi"/>
                <w:sz w:val="18"/>
                <w:szCs w:val="18"/>
              </w:rPr>
              <w:t>Guatemala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443566"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C16BAF" w14:textId="77777777" w:rsidR="007978C3" w:rsidRPr="00C67737" w:rsidRDefault="007978C3" w:rsidP="00D22022">
            <w:pPr>
              <w:jc w:val="center"/>
              <w:rPr>
                <w:rFonts w:cstheme="minorHAnsi"/>
                <w:sz w:val="18"/>
                <w:szCs w:val="18"/>
              </w:rPr>
            </w:pPr>
            <w:r w:rsidRPr="00C67737">
              <w:rPr>
                <w:rFonts w:cstheme="minorHAnsi"/>
                <w:sz w:val="18"/>
                <w:szCs w:val="18"/>
              </w:rPr>
              <w:t>03/06/2026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D0C69"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E2114D"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BEAC3D"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25DE7"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5D39342B" w14:textId="77777777" w:rsidR="007978C3" w:rsidRPr="007978C3" w:rsidRDefault="007978C3" w:rsidP="00D22022">
            <w:pPr>
              <w:rPr>
                <w:rFonts w:eastAsia="Aptos" w:cstheme="minorHAnsi"/>
                <w:color w:val="000000" w:themeColor="text1"/>
                <w:sz w:val="18"/>
                <w:szCs w:val="18"/>
                <w:lang w:val="en-US"/>
              </w:rPr>
            </w:pPr>
            <w:r w:rsidRPr="007978C3">
              <w:rPr>
                <w:rFonts w:cstheme="minorHAnsi"/>
                <w:sz w:val="18"/>
                <w:szCs w:val="18"/>
                <w:lang w:val="en-US"/>
              </w:rPr>
              <w:t>Awaiting final project narrative and expenditure reports submission</w:t>
            </w:r>
            <w:r w:rsidRPr="007978C3">
              <w:rPr>
                <w:rFonts w:eastAsia="Aptos" w:cstheme="minorHAnsi"/>
                <w:color w:val="000000" w:themeColor="text1"/>
                <w:sz w:val="18"/>
                <w:szCs w:val="18"/>
                <w:lang w:val="en-US"/>
              </w:rPr>
              <w:t xml:space="preserve"> </w:t>
            </w:r>
          </w:p>
        </w:tc>
      </w:tr>
      <w:tr w:rsidR="007978C3" w:rsidRPr="00237520" w14:paraId="2424444D"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202191" w14:textId="77777777" w:rsidR="007978C3" w:rsidRPr="00C67737" w:rsidRDefault="007978C3" w:rsidP="00D22022">
            <w:pPr>
              <w:rPr>
                <w:rFonts w:cstheme="minorHAnsi"/>
                <w:sz w:val="18"/>
                <w:szCs w:val="18"/>
              </w:rPr>
            </w:pPr>
            <w:proofErr w:type="spellStart"/>
            <w:r w:rsidRPr="00C67737">
              <w:rPr>
                <w:rFonts w:cstheme="minorHAnsi"/>
                <w:sz w:val="18"/>
                <w:szCs w:val="18"/>
              </w:rPr>
              <w:t>Guinea</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46D67"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D5C4F7" w14:textId="77777777" w:rsidR="007978C3" w:rsidRPr="00C67737" w:rsidRDefault="007978C3" w:rsidP="00D22022">
            <w:pPr>
              <w:jc w:val="center"/>
              <w:rPr>
                <w:rFonts w:cstheme="minorHAnsi"/>
                <w:sz w:val="18"/>
                <w:szCs w:val="18"/>
              </w:rPr>
            </w:pPr>
            <w:r w:rsidRPr="00C67737">
              <w:rPr>
                <w:rFonts w:cstheme="minorHAnsi"/>
                <w:sz w:val="18"/>
                <w:szCs w:val="18"/>
              </w:rPr>
              <w:t>23/01/2026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F1E236"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803172"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5B79B" w14:textId="77777777" w:rsidR="007978C3" w:rsidRPr="00C67737" w:rsidRDefault="007978C3" w:rsidP="00D22022">
            <w:pPr>
              <w:jc w:val="center"/>
              <w:rPr>
                <w:rFonts w:cstheme="minorHAnsi"/>
                <w:sz w:val="18"/>
                <w:szCs w:val="18"/>
              </w:rPr>
            </w:pPr>
            <w:r w:rsidRPr="00C67737">
              <w:rPr>
                <w:rFonts w:cstheme="minorHAnsi"/>
                <w:sz w:val="18"/>
                <w:szCs w:val="18"/>
              </w:rPr>
              <w:t>5/03/2026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91A34E"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3032B3B0"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C67737" w14:paraId="5D5D7171"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5CFDE4" w14:textId="77777777" w:rsidR="007978C3" w:rsidRPr="00C67737" w:rsidRDefault="007978C3" w:rsidP="00D22022">
            <w:pPr>
              <w:rPr>
                <w:rFonts w:cstheme="minorHAnsi"/>
                <w:sz w:val="18"/>
                <w:szCs w:val="18"/>
              </w:rPr>
            </w:pPr>
            <w:proofErr w:type="spellStart"/>
            <w:r w:rsidRPr="00C67737">
              <w:rPr>
                <w:rFonts w:cstheme="minorHAnsi"/>
                <w:sz w:val="18"/>
                <w:szCs w:val="18"/>
              </w:rPr>
              <w:t>Guinea</w:t>
            </w:r>
            <w:proofErr w:type="spellEnd"/>
            <w:r w:rsidRPr="00C67737">
              <w:rPr>
                <w:rFonts w:cstheme="minorHAnsi"/>
                <w:sz w:val="18"/>
                <w:szCs w:val="18"/>
              </w:rPr>
              <w:t xml:space="preserve"> Bissau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4C4FA"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85B105" w14:textId="77777777" w:rsidR="007978C3" w:rsidRPr="00C67737" w:rsidRDefault="007978C3" w:rsidP="00D22022">
            <w:pPr>
              <w:jc w:val="center"/>
              <w:rPr>
                <w:rFonts w:cstheme="minorHAnsi"/>
                <w:sz w:val="18"/>
                <w:szCs w:val="18"/>
              </w:rPr>
            </w:pPr>
            <w:r w:rsidRPr="00C67737">
              <w:rPr>
                <w:rFonts w:cstheme="minorHAnsi"/>
                <w:sz w:val="18"/>
                <w:szCs w:val="18"/>
              </w:rPr>
              <w:t>20/04/2026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4CC95"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8939B5"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7BCD4"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93F652" w14:textId="77777777" w:rsidR="007978C3" w:rsidRPr="00C67737" w:rsidRDefault="007978C3" w:rsidP="00D22022">
            <w:pPr>
              <w:spacing w:line="257" w:lineRule="auto"/>
              <w:rPr>
                <w:rFonts w:cstheme="minorHAnsi"/>
                <w:sz w:val="18"/>
                <w:szCs w:val="18"/>
              </w:rPr>
            </w:pPr>
            <w:r w:rsidRPr="00C67737">
              <w:rPr>
                <w:rFonts w:cstheme="minorHAnsi"/>
                <w:sz w:val="18"/>
                <w:szCs w:val="18"/>
              </w:rPr>
              <w:t xml:space="preserve">Draft report </w:t>
            </w:r>
            <w:proofErr w:type="spellStart"/>
            <w:r w:rsidRPr="00C67737">
              <w:rPr>
                <w:rFonts w:cstheme="minorHAnsi"/>
                <w:sz w:val="18"/>
                <w:szCs w:val="18"/>
              </w:rPr>
              <w:t>available</w:t>
            </w:r>
            <w:proofErr w:type="spellEnd"/>
          </w:p>
        </w:tc>
      </w:tr>
      <w:tr w:rsidR="007978C3" w:rsidRPr="00237520" w14:paraId="328D5202"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D5EB18" w14:textId="77777777" w:rsidR="007978C3" w:rsidRPr="00C67737" w:rsidRDefault="007978C3" w:rsidP="00D22022">
            <w:pPr>
              <w:rPr>
                <w:rFonts w:cstheme="minorHAnsi"/>
                <w:sz w:val="18"/>
                <w:szCs w:val="18"/>
              </w:rPr>
            </w:pPr>
            <w:r w:rsidRPr="00C67737">
              <w:rPr>
                <w:rFonts w:cstheme="minorHAnsi"/>
                <w:sz w:val="18"/>
                <w:szCs w:val="18"/>
              </w:rPr>
              <w:t>Guyana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8D8E6"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95DFF2"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BD326F"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4BF43"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6A5FC2" w14:textId="77777777" w:rsidR="007978C3" w:rsidRPr="00C67737" w:rsidRDefault="007978C3" w:rsidP="00D22022">
            <w:pPr>
              <w:jc w:val="center"/>
              <w:rPr>
                <w:rFonts w:cstheme="minorHAnsi"/>
                <w:sz w:val="18"/>
                <w:szCs w:val="18"/>
              </w:rPr>
            </w:pPr>
            <w:r w:rsidRPr="00C67737">
              <w:rPr>
                <w:rFonts w:cstheme="minorHAnsi"/>
                <w:sz w:val="18"/>
                <w:szCs w:val="18"/>
              </w:rPr>
              <w:t>16/02/2026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856F7"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95D1220" w14:textId="77777777" w:rsidR="007978C3" w:rsidRPr="007978C3" w:rsidRDefault="007978C3" w:rsidP="00D22022">
            <w:pPr>
              <w:rPr>
                <w:rFonts w:cstheme="minorHAnsi"/>
                <w:sz w:val="18"/>
                <w:szCs w:val="18"/>
                <w:lang w:val="en-US"/>
              </w:rPr>
            </w:pPr>
            <w:r w:rsidRPr="007978C3">
              <w:rPr>
                <w:rFonts w:cstheme="minorHAnsi"/>
                <w:sz w:val="18"/>
                <w:szCs w:val="18"/>
                <w:lang w:val="en-US"/>
              </w:rPr>
              <w:t>Country used alternative funds and will not utilize GEF Funds at this time</w:t>
            </w:r>
          </w:p>
        </w:tc>
      </w:tr>
      <w:tr w:rsidR="007978C3" w:rsidRPr="00237520" w14:paraId="5FDF3175"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8FDE48" w14:textId="77777777" w:rsidR="007978C3" w:rsidRPr="00C67737" w:rsidRDefault="007978C3" w:rsidP="00D22022">
            <w:pPr>
              <w:rPr>
                <w:rFonts w:cstheme="minorHAnsi"/>
                <w:sz w:val="18"/>
                <w:szCs w:val="18"/>
              </w:rPr>
            </w:pPr>
            <w:r w:rsidRPr="00C67737">
              <w:rPr>
                <w:rFonts w:cstheme="minorHAnsi"/>
                <w:sz w:val="18"/>
                <w:szCs w:val="18"/>
              </w:rPr>
              <w:t>Honduras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F5BE8"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58E8D"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BA84B2"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8199D4"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F7028C"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29BF54"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209DC6C5"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SSFA project documentation from the country</w:t>
            </w:r>
          </w:p>
        </w:tc>
      </w:tr>
      <w:tr w:rsidR="007978C3" w:rsidRPr="00237520" w14:paraId="5E53F321"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930B2" w14:textId="77777777" w:rsidR="007978C3" w:rsidRPr="00C67737" w:rsidRDefault="007978C3" w:rsidP="00D22022">
            <w:pPr>
              <w:rPr>
                <w:rFonts w:cstheme="minorHAnsi"/>
                <w:sz w:val="18"/>
                <w:szCs w:val="18"/>
              </w:rPr>
            </w:pPr>
            <w:r w:rsidRPr="00C67737">
              <w:rPr>
                <w:rFonts w:cstheme="minorHAnsi"/>
                <w:sz w:val="18"/>
                <w:szCs w:val="18"/>
              </w:rPr>
              <w:t>India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DD251"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8A2301" w14:textId="77777777" w:rsidR="007978C3" w:rsidRPr="00C67737" w:rsidRDefault="007978C3" w:rsidP="00D22022">
            <w:pPr>
              <w:jc w:val="center"/>
              <w:rPr>
                <w:rFonts w:cstheme="minorHAnsi"/>
                <w:sz w:val="18"/>
                <w:szCs w:val="18"/>
              </w:rPr>
            </w:pPr>
            <w:r w:rsidRPr="00C67737">
              <w:rPr>
                <w:rFonts w:cstheme="minorHAnsi"/>
                <w:sz w:val="18"/>
                <w:szCs w:val="18"/>
              </w:rPr>
              <w:t>19/01/2026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D8BF8"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F8230"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21DCA"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4DAA9F"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2497603E"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18AC88DA"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A31333" w14:textId="77777777" w:rsidR="007978C3" w:rsidRPr="00C67737" w:rsidRDefault="007978C3" w:rsidP="00D22022">
            <w:pPr>
              <w:rPr>
                <w:rFonts w:cstheme="minorHAnsi"/>
                <w:sz w:val="18"/>
                <w:szCs w:val="18"/>
              </w:rPr>
            </w:pPr>
            <w:r w:rsidRPr="00C67737">
              <w:rPr>
                <w:rFonts w:cstheme="minorHAnsi"/>
                <w:sz w:val="18"/>
                <w:szCs w:val="18"/>
              </w:rPr>
              <w:t>Indonesia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24800A"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0EAC8"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BCAE7"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B3EE5C"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CC35BC"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63FF2"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23FE7CD" w14:textId="77777777" w:rsidR="007978C3" w:rsidRPr="007978C3" w:rsidRDefault="007978C3" w:rsidP="00D22022">
            <w:pPr>
              <w:rPr>
                <w:rFonts w:eastAsia="Aptos" w:cstheme="minorHAnsi"/>
                <w:color w:val="000000" w:themeColor="text1"/>
                <w:sz w:val="18"/>
                <w:szCs w:val="18"/>
                <w:lang w:val="en-US"/>
              </w:rPr>
            </w:pPr>
            <w:r w:rsidRPr="007978C3">
              <w:rPr>
                <w:rFonts w:eastAsia="Aptos" w:cstheme="minorHAnsi"/>
                <w:color w:val="000000" w:themeColor="text1"/>
                <w:sz w:val="18"/>
                <w:szCs w:val="18"/>
                <w:lang w:val="en-US"/>
              </w:rPr>
              <w:lastRenderedPageBreak/>
              <w:t>Country used alternative funds and will not utilize the   GEF funds at this time.</w:t>
            </w:r>
          </w:p>
        </w:tc>
      </w:tr>
      <w:tr w:rsidR="007978C3" w:rsidRPr="00237520" w14:paraId="1333888D"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0AE3E5" w14:textId="77777777" w:rsidR="007978C3" w:rsidRPr="00C67737" w:rsidRDefault="007978C3" w:rsidP="00D22022">
            <w:pPr>
              <w:rPr>
                <w:rFonts w:cstheme="minorHAnsi"/>
                <w:sz w:val="18"/>
                <w:szCs w:val="18"/>
              </w:rPr>
            </w:pPr>
            <w:r w:rsidRPr="00C67737">
              <w:rPr>
                <w:rFonts w:cstheme="minorHAnsi"/>
                <w:sz w:val="18"/>
                <w:szCs w:val="18"/>
              </w:rPr>
              <w:lastRenderedPageBreak/>
              <w:t>Jordan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D593B7"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0D748" w14:textId="77777777" w:rsidR="007978C3" w:rsidRPr="00C67737" w:rsidRDefault="007978C3" w:rsidP="00D22022">
            <w:pPr>
              <w:jc w:val="center"/>
              <w:rPr>
                <w:rFonts w:cstheme="minorHAnsi"/>
                <w:sz w:val="18"/>
                <w:szCs w:val="18"/>
              </w:rPr>
            </w:pPr>
            <w:r w:rsidRPr="00C67737">
              <w:rPr>
                <w:rFonts w:cstheme="minorHAnsi"/>
                <w:sz w:val="18"/>
                <w:szCs w:val="18"/>
              </w:rPr>
              <w:t>09/03/2026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9FAC1C"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AAEE5" w14:textId="77777777" w:rsidR="007978C3" w:rsidRPr="00C67737" w:rsidRDefault="007978C3" w:rsidP="00D22022">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3489CA"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6FB4D" w14:textId="77777777" w:rsidR="007978C3" w:rsidRPr="007978C3" w:rsidRDefault="007978C3" w:rsidP="00D22022">
            <w:pPr>
              <w:rPr>
                <w:rFonts w:cstheme="minorHAnsi"/>
                <w:sz w:val="18"/>
                <w:szCs w:val="18"/>
                <w:lang w:val="en-US"/>
              </w:rPr>
            </w:pPr>
            <w:r w:rsidRPr="007978C3">
              <w:rPr>
                <w:rFonts w:cstheme="minorHAnsi"/>
                <w:sz w:val="18"/>
                <w:szCs w:val="18"/>
                <w:lang w:val="en-US"/>
              </w:rPr>
              <w:t xml:space="preserve">Draft report available, awaiting validation </w:t>
            </w:r>
          </w:p>
        </w:tc>
      </w:tr>
      <w:tr w:rsidR="007978C3" w:rsidRPr="00237520" w14:paraId="4509C5D8"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A38F4" w14:textId="77777777" w:rsidR="007978C3" w:rsidRPr="00C67737" w:rsidRDefault="007978C3" w:rsidP="00D22022">
            <w:pPr>
              <w:rPr>
                <w:rFonts w:cstheme="minorHAnsi"/>
                <w:sz w:val="18"/>
                <w:szCs w:val="18"/>
              </w:rPr>
            </w:pPr>
            <w:r w:rsidRPr="00C67737">
              <w:rPr>
                <w:rFonts w:cstheme="minorHAnsi"/>
                <w:sz w:val="18"/>
                <w:szCs w:val="18"/>
              </w:rPr>
              <w:t>Kenya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7B72B"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AADE1"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6D98F5"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1D188"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204924"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A2B1C9"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3C8B3F57"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SSFA project documentation from the country</w:t>
            </w:r>
          </w:p>
        </w:tc>
      </w:tr>
      <w:tr w:rsidR="007978C3" w:rsidRPr="00237520" w14:paraId="57DDE6AF"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F7D61F" w14:textId="77777777" w:rsidR="007978C3" w:rsidRPr="00C67737" w:rsidRDefault="007978C3" w:rsidP="00D22022">
            <w:pPr>
              <w:rPr>
                <w:rFonts w:cstheme="minorHAnsi"/>
                <w:sz w:val="18"/>
                <w:szCs w:val="18"/>
              </w:rPr>
            </w:pPr>
            <w:r w:rsidRPr="00C67737">
              <w:rPr>
                <w:rFonts w:cstheme="minorHAnsi"/>
                <w:sz w:val="18"/>
                <w:szCs w:val="18"/>
              </w:rPr>
              <w:t>Kiribati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E3742"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FAAA35" w14:textId="77777777" w:rsidR="007978C3" w:rsidRPr="00C67737" w:rsidRDefault="007978C3" w:rsidP="00D22022">
            <w:pPr>
              <w:jc w:val="center"/>
              <w:rPr>
                <w:rFonts w:cstheme="minorHAnsi"/>
                <w:sz w:val="18"/>
                <w:szCs w:val="18"/>
              </w:rPr>
            </w:pPr>
            <w:r w:rsidRPr="00C67737">
              <w:rPr>
                <w:rFonts w:cstheme="minorHAnsi"/>
                <w:sz w:val="18"/>
                <w:szCs w:val="18"/>
              </w:rPr>
              <w:t>10/04/2026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074D0"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E4D4C"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98084A" w14:textId="77777777" w:rsidR="007978C3" w:rsidRPr="00C67737" w:rsidRDefault="007978C3" w:rsidP="00D22022">
            <w:pPr>
              <w:jc w:val="center"/>
              <w:rPr>
                <w:rFonts w:cstheme="minorHAnsi"/>
                <w:sz w:val="18"/>
                <w:szCs w:val="18"/>
              </w:rPr>
            </w:pPr>
            <w:r w:rsidRPr="00C67737">
              <w:rPr>
                <w:rFonts w:cstheme="minorHAnsi"/>
                <w:sz w:val="18"/>
                <w:szCs w:val="18"/>
              </w:rPr>
              <w:t>1/03/2026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2FB1E"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DE867AA"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D95ACA" w14:paraId="3D207F0B"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E7A036" w14:textId="77777777" w:rsidR="007978C3" w:rsidRPr="00C67737" w:rsidRDefault="007978C3" w:rsidP="00D22022">
            <w:pPr>
              <w:rPr>
                <w:rFonts w:cstheme="minorHAnsi"/>
                <w:sz w:val="18"/>
                <w:szCs w:val="18"/>
              </w:rPr>
            </w:pPr>
            <w:r w:rsidRPr="00C67737">
              <w:rPr>
                <w:rFonts w:cstheme="minorHAnsi"/>
                <w:sz w:val="18"/>
                <w:szCs w:val="18"/>
              </w:rPr>
              <w:t>Lao PDR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FA3340"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8CED00" w14:textId="77777777" w:rsidR="007978C3" w:rsidRPr="00C67737" w:rsidRDefault="007978C3" w:rsidP="00D22022">
            <w:pPr>
              <w:jc w:val="center"/>
              <w:rPr>
                <w:rFonts w:cstheme="minorHAnsi"/>
                <w:sz w:val="18"/>
                <w:szCs w:val="18"/>
              </w:rPr>
            </w:pPr>
            <w:r w:rsidRPr="00C67737">
              <w:rPr>
                <w:rFonts w:cstheme="minorHAnsi"/>
                <w:sz w:val="18"/>
                <w:szCs w:val="18"/>
              </w:rPr>
              <w:t>23/01/2026,</w:t>
            </w:r>
          </w:p>
          <w:p w14:paraId="6C6CEF2A" w14:textId="77777777" w:rsidR="007978C3" w:rsidRPr="00C67737" w:rsidRDefault="007978C3" w:rsidP="00D22022">
            <w:pPr>
              <w:jc w:val="center"/>
              <w:rPr>
                <w:rFonts w:cstheme="minorHAnsi"/>
                <w:sz w:val="18"/>
                <w:szCs w:val="18"/>
              </w:rPr>
            </w:pPr>
            <w:r w:rsidRPr="00C67737">
              <w:rPr>
                <w:rFonts w:cstheme="minorHAnsi"/>
                <w:sz w:val="18"/>
                <w:szCs w:val="18"/>
              </w:rPr>
              <w:t>17/03/2026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201A1E"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6AE1E" w14:textId="77777777" w:rsidR="007978C3" w:rsidRPr="00C67737" w:rsidRDefault="007978C3" w:rsidP="00D22022">
            <w:pPr>
              <w:jc w:val="center"/>
              <w:rPr>
                <w:rFonts w:cstheme="minorHAnsi"/>
                <w:sz w:val="18"/>
                <w:szCs w:val="18"/>
              </w:rPr>
            </w:pPr>
            <w:r w:rsidRPr="00C67737">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A277BC" w14:textId="77777777" w:rsidR="007978C3" w:rsidRPr="00C67737" w:rsidRDefault="007978C3" w:rsidP="00D22022">
            <w:pPr>
              <w:jc w:val="center"/>
              <w:rPr>
                <w:rFonts w:cstheme="minorHAnsi"/>
                <w:sz w:val="18"/>
                <w:szCs w:val="18"/>
              </w:rPr>
            </w:pPr>
            <w:r w:rsidRPr="00C67737">
              <w:rPr>
                <w:rFonts w:cstheme="minorHAnsi"/>
                <w:sz w:val="18"/>
                <w:szCs w:val="18"/>
              </w:rPr>
              <w:t>23/02/2026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8420A"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0D6A2BD7" w14:textId="77777777" w:rsidR="007978C3" w:rsidRPr="007978C3" w:rsidRDefault="007978C3" w:rsidP="00D22022">
            <w:pPr>
              <w:rPr>
                <w:rFonts w:eastAsia="Aptos" w:cstheme="minorHAnsi"/>
                <w:color w:val="000000" w:themeColor="text1"/>
                <w:sz w:val="18"/>
                <w:szCs w:val="18"/>
                <w:lang w:val="en-US"/>
              </w:rPr>
            </w:pPr>
            <w:r w:rsidRPr="007978C3">
              <w:rPr>
                <w:rFonts w:eastAsia="Aptos" w:cstheme="minorHAnsi"/>
                <w:color w:val="000000" w:themeColor="text1"/>
                <w:sz w:val="18"/>
                <w:szCs w:val="18"/>
                <w:lang w:val="en-US"/>
              </w:rPr>
              <w:t xml:space="preserve">Project implementation </w:t>
            </w:r>
            <w:proofErr w:type="gramStart"/>
            <w:r w:rsidRPr="007978C3">
              <w:rPr>
                <w:rFonts w:eastAsia="Aptos" w:cstheme="minorHAnsi"/>
                <w:color w:val="000000" w:themeColor="text1"/>
                <w:sz w:val="18"/>
                <w:szCs w:val="18"/>
                <w:lang w:val="en-US"/>
              </w:rPr>
              <w:t>finalized</w:t>
            </w:r>
            <w:proofErr w:type="gramEnd"/>
            <w:r w:rsidRPr="007978C3">
              <w:rPr>
                <w:rFonts w:eastAsia="Aptos" w:cstheme="minorHAnsi"/>
                <w:color w:val="000000" w:themeColor="text1"/>
                <w:sz w:val="18"/>
                <w:szCs w:val="18"/>
                <w:lang w:val="en-US"/>
              </w:rPr>
              <w:t xml:space="preserve"> and closed.</w:t>
            </w:r>
          </w:p>
        </w:tc>
      </w:tr>
      <w:tr w:rsidR="007978C3" w:rsidRPr="00237520" w14:paraId="58387637"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69BB8" w14:textId="77777777" w:rsidR="007978C3" w:rsidRPr="00C67737" w:rsidRDefault="007978C3" w:rsidP="00D22022">
            <w:pPr>
              <w:rPr>
                <w:rFonts w:cstheme="minorHAnsi"/>
                <w:sz w:val="18"/>
                <w:szCs w:val="18"/>
              </w:rPr>
            </w:pPr>
            <w:r w:rsidRPr="00C67737">
              <w:rPr>
                <w:rFonts w:cstheme="minorHAnsi"/>
                <w:sz w:val="18"/>
                <w:szCs w:val="18"/>
              </w:rPr>
              <w:t>Lebanon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80A9B3"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B1949" w14:textId="77777777" w:rsidR="007978C3" w:rsidRPr="00C67737" w:rsidRDefault="007978C3" w:rsidP="00D22022">
            <w:pPr>
              <w:jc w:val="center"/>
              <w:rPr>
                <w:rFonts w:cstheme="minorHAnsi"/>
                <w:sz w:val="18"/>
                <w:szCs w:val="18"/>
              </w:rPr>
            </w:pPr>
            <w:r w:rsidRPr="00C67737">
              <w:rPr>
                <w:rFonts w:cstheme="minorHAnsi"/>
                <w:sz w:val="18"/>
                <w:szCs w:val="18"/>
              </w:rPr>
              <w:t>27/01/2026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05D685"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036D5A"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870903"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718078"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55A6744"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326D71D4"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C0602" w14:textId="77777777" w:rsidR="007978C3" w:rsidRPr="00C67737" w:rsidRDefault="007978C3" w:rsidP="00D22022">
            <w:pPr>
              <w:rPr>
                <w:rFonts w:cstheme="minorHAnsi"/>
                <w:sz w:val="18"/>
                <w:szCs w:val="18"/>
              </w:rPr>
            </w:pPr>
            <w:r w:rsidRPr="00C67737">
              <w:rPr>
                <w:rFonts w:cstheme="minorHAnsi"/>
                <w:sz w:val="18"/>
                <w:szCs w:val="18"/>
              </w:rPr>
              <w:t>Lesotho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1F2F08"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5BF124" w14:textId="77777777" w:rsidR="007978C3" w:rsidRPr="00C67737" w:rsidRDefault="007978C3" w:rsidP="00D22022">
            <w:pPr>
              <w:jc w:val="center"/>
              <w:rPr>
                <w:rFonts w:cstheme="minorHAnsi"/>
                <w:sz w:val="18"/>
                <w:szCs w:val="18"/>
              </w:rPr>
            </w:pPr>
            <w:r w:rsidRPr="00C67737">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3EC481"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534D9"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C93436" w14:textId="77777777" w:rsidR="007978C3" w:rsidRPr="00C67737" w:rsidRDefault="007978C3" w:rsidP="00D22022">
            <w:pPr>
              <w:jc w:val="center"/>
              <w:rPr>
                <w:rFonts w:cstheme="minorHAnsi"/>
                <w:sz w:val="18"/>
                <w:szCs w:val="18"/>
              </w:rPr>
            </w:pPr>
            <w:r w:rsidRPr="00C67737">
              <w:rPr>
                <w:rFonts w:cstheme="minorHAnsi"/>
                <w:sz w:val="18"/>
                <w:szCs w:val="18"/>
              </w:rPr>
              <w:t>9/02/2026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E4CB1E"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1A510D06"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D95ACA" w14:paraId="3D64DAE8"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B492E8" w14:textId="77777777" w:rsidR="007978C3" w:rsidRPr="00C67737" w:rsidRDefault="007978C3" w:rsidP="00D22022">
            <w:pPr>
              <w:rPr>
                <w:rFonts w:cstheme="minorHAnsi"/>
                <w:sz w:val="18"/>
                <w:szCs w:val="18"/>
              </w:rPr>
            </w:pPr>
            <w:r w:rsidRPr="00C67737">
              <w:rPr>
                <w:rFonts w:cstheme="minorHAnsi"/>
                <w:sz w:val="18"/>
                <w:szCs w:val="18"/>
              </w:rPr>
              <w:t>Liberia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748D4C"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D6D3C" w14:textId="77777777" w:rsidR="007978C3" w:rsidRPr="00C67737" w:rsidRDefault="007978C3" w:rsidP="00D22022">
            <w:pPr>
              <w:jc w:val="center"/>
              <w:rPr>
                <w:rFonts w:cstheme="minorHAnsi"/>
                <w:sz w:val="18"/>
                <w:szCs w:val="18"/>
              </w:rPr>
            </w:pPr>
            <w:r w:rsidRPr="00C67737">
              <w:rPr>
                <w:rFonts w:cstheme="minorHAnsi"/>
                <w:sz w:val="18"/>
                <w:szCs w:val="18"/>
              </w:rPr>
              <w:t>09/12/2025</w:t>
            </w:r>
          </w:p>
          <w:p w14:paraId="76345B5A" w14:textId="77777777" w:rsidR="007978C3" w:rsidRPr="00C67737" w:rsidRDefault="007978C3" w:rsidP="00D22022">
            <w:pPr>
              <w:jc w:val="center"/>
              <w:rPr>
                <w:rFonts w:eastAsia="Calibri Light" w:cstheme="minorHAnsi"/>
                <w:sz w:val="18"/>
                <w:szCs w:val="18"/>
              </w:rPr>
            </w:pPr>
            <w:r w:rsidRPr="00C67737">
              <w:rPr>
                <w:rFonts w:eastAsia="Calibri Light" w:cstheme="minorHAnsi"/>
                <w:sz w:val="18"/>
                <w:szCs w:val="18"/>
              </w:rPr>
              <w:t>27/04/2026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A1939D" w14:textId="77777777" w:rsidR="007978C3" w:rsidRPr="00C67737" w:rsidRDefault="007978C3" w:rsidP="00D22022">
            <w:pPr>
              <w:jc w:val="center"/>
              <w:rPr>
                <w:rFonts w:eastAsia="Calibri Light" w:cstheme="minorHAnsi"/>
                <w:sz w:val="18"/>
                <w:szCs w:val="18"/>
              </w:rPr>
            </w:pPr>
            <w:r w:rsidRPr="00C67737">
              <w:rPr>
                <w:rFonts w:eastAsia="Calibri Light" w:cstheme="minorHAnsi"/>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A8DB0E" w14:textId="77777777" w:rsidR="007978C3" w:rsidRPr="00C67737" w:rsidRDefault="007978C3" w:rsidP="00D22022">
            <w:pPr>
              <w:jc w:val="center"/>
              <w:rPr>
                <w:rFonts w:cstheme="minorHAnsi"/>
                <w:sz w:val="18"/>
                <w:szCs w:val="18"/>
              </w:rPr>
            </w:pPr>
            <w:r w:rsidRPr="00C67737">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E88CF0" w14:textId="77777777" w:rsidR="007978C3" w:rsidRPr="00C67737" w:rsidRDefault="007978C3" w:rsidP="00D22022">
            <w:pPr>
              <w:jc w:val="center"/>
              <w:rPr>
                <w:rFonts w:cstheme="minorHAnsi"/>
                <w:sz w:val="18"/>
                <w:szCs w:val="18"/>
              </w:rPr>
            </w:pPr>
            <w:r w:rsidRPr="00C67737">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3BFC2"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59056F5" w14:textId="77777777" w:rsidR="007978C3" w:rsidRPr="007978C3" w:rsidRDefault="007978C3" w:rsidP="00D22022">
            <w:pPr>
              <w:rPr>
                <w:rFonts w:eastAsia="Aptos" w:cstheme="minorHAnsi"/>
                <w:color w:val="000000" w:themeColor="text1"/>
                <w:sz w:val="18"/>
                <w:szCs w:val="18"/>
                <w:lang w:val="en-US"/>
              </w:rPr>
            </w:pPr>
            <w:r w:rsidRPr="007978C3">
              <w:rPr>
                <w:rFonts w:eastAsia="Aptos" w:cstheme="minorHAnsi"/>
                <w:color w:val="000000" w:themeColor="text1"/>
                <w:sz w:val="18"/>
                <w:szCs w:val="18"/>
                <w:lang w:val="en-US"/>
              </w:rPr>
              <w:t xml:space="preserve">Project implementation </w:t>
            </w:r>
            <w:proofErr w:type="gramStart"/>
            <w:r w:rsidRPr="007978C3">
              <w:rPr>
                <w:rFonts w:eastAsia="Aptos" w:cstheme="minorHAnsi"/>
                <w:color w:val="000000" w:themeColor="text1"/>
                <w:sz w:val="18"/>
                <w:szCs w:val="18"/>
                <w:lang w:val="en-US"/>
              </w:rPr>
              <w:t>finalized</w:t>
            </w:r>
            <w:proofErr w:type="gramEnd"/>
            <w:r w:rsidRPr="007978C3">
              <w:rPr>
                <w:rFonts w:eastAsia="Aptos" w:cstheme="minorHAnsi"/>
                <w:color w:val="000000" w:themeColor="text1"/>
                <w:sz w:val="18"/>
                <w:szCs w:val="18"/>
                <w:lang w:val="en-US"/>
              </w:rPr>
              <w:t xml:space="preserve"> and closed.</w:t>
            </w:r>
          </w:p>
        </w:tc>
      </w:tr>
      <w:tr w:rsidR="007978C3" w:rsidRPr="00237520" w14:paraId="4CE3AADD"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2ED151" w14:textId="77777777" w:rsidR="007978C3" w:rsidRPr="00C67737" w:rsidRDefault="007978C3" w:rsidP="00D22022">
            <w:pPr>
              <w:rPr>
                <w:rFonts w:cstheme="minorHAnsi"/>
                <w:sz w:val="18"/>
                <w:szCs w:val="18"/>
              </w:rPr>
            </w:pPr>
            <w:r w:rsidRPr="00C67737">
              <w:rPr>
                <w:rFonts w:cstheme="minorHAnsi"/>
                <w:sz w:val="18"/>
                <w:szCs w:val="18"/>
              </w:rPr>
              <w:t>Madagascar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2104DD"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47676" w14:textId="77777777" w:rsidR="007978C3" w:rsidRPr="00C67737" w:rsidRDefault="007978C3" w:rsidP="00D22022">
            <w:pPr>
              <w:jc w:val="center"/>
              <w:rPr>
                <w:rFonts w:cstheme="minorHAnsi"/>
                <w:sz w:val="18"/>
                <w:szCs w:val="18"/>
              </w:rPr>
            </w:pPr>
            <w:r w:rsidRPr="00C67737">
              <w:rPr>
                <w:rFonts w:cstheme="minorHAnsi"/>
                <w:sz w:val="18"/>
                <w:szCs w:val="18"/>
              </w:rPr>
              <w:t>15/12/2025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018774"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626E9"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FF9436" w14:textId="77777777" w:rsidR="007978C3" w:rsidRPr="00C67737" w:rsidRDefault="007978C3" w:rsidP="00D22022">
            <w:pPr>
              <w:jc w:val="center"/>
              <w:rPr>
                <w:rFonts w:cstheme="minorHAnsi"/>
                <w:sz w:val="18"/>
                <w:szCs w:val="18"/>
              </w:rPr>
            </w:pPr>
            <w:r w:rsidRPr="00C67737">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5993F"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E34DBDD"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6A178A41"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1ECA9C" w14:textId="77777777" w:rsidR="007978C3" w:rsidRPr="00C67737" w:rsidRDefault="007978C3" w:rsidP="00D22022">
            <w:pPr>
              <w:rPr>
                <w:rFonts w:cstheme="minorHAnsi"/>
                <w:sz w:val="18"/>
                <w:szCs w:val="18"/>
              </w:rPr>
            </w:pPr>
            <w:r w:rsidRPr="00C67737">
              <w:rPr>
                <w:rFonts w:cstheme="minorHAnsi"/>
                <w:sz w:val="18"/>
                <w:szCs w:val="18"/>
              </w:rPr>
              <w:t>Malawi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4F92D9"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14FF2" w14:textId="77777777" w:rsidR="007978C3" w:rsidRPr="00C67737" w:rsidRDefault="007978C3" w:rsidP="00D22022">
            <w:pPr>
              <w:jc w:val="center"/>
              <w:rPr>
                <w:rFonts w:cstheme="minorHAnsi"/>
                <w:sz w:val="18"/>
                <w:szCs w:val="18"/>
              </w:rPr>
            </w:pPr>
            <w:r w:rsidRPr="00C67737">
              <w:rPr>
                <w:rFonts w:cstheme="minorHAnsi"/>
                <w:sz w:val="18"/>
                <w:szCs w:val="18"/>
              </w:rPr>
              <w:t>15/01/2026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4CAD6"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863802"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F440D" w14:textId="77777777" w:rsidR="007978C3" w:rsidRPr="00C67737" w:rsidRDefault="007978C3" w:rsidP="00D22022">
            <w:pPr>
              <w:jc w:val="center"/>
              <w:rPr>
                <w:rFonts w:cstheme="minorHAnsi"/>
                <w:sz w:val="18"/>
                <w:szCs w:val="18"/>
              </w:rPr>
            </w:pPr>
            <w:r w:rsidRPr="00C67737">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82575A" w14:textId="77777777" w:rsidR="007978C3" w:rsidRPr="007978C3" w:rsidRDefault="007978C3" w:rsidP="00D22022">
            <w:pPr>
              <w:rPr>
                <w:rFonts w:eastAsia="Aptos" w:cstheme="minorHAnsi"/>
                <w:color w:val="000000" w:themeColor="text1"/>
                <w:sz w:val="18"/>
                <w:szCs w:val="18"/>
                <w:lang w:val="en-US"/>
              </w:rPr>
            </w:pPr>
            <w:r w:rsidRPr="007978C3">
              <w:rPr>
                <w:rFonts w:cstheme="minorHAnsi"/>
                <w:sz w:val="18"/>
                <w:szCs w:val="18"/>
                <w:lang w:val="en-US"/>
              </w:rPr>
              <w:t>1</w:t>
            </w:r>
            <w:r w:rsidRPr="007978C3">
              <w:rPr>
                <w:rFonts w:cstheme="minorHAnsi"/>
                <w:sz w:val="18"/>
                <w:szCs w:val="18"/>
                <w:vertAlign w:val="superscript"/>
                <w:lang w:val="en-US"/>
              </w:rPr>
              <w:t>st</w:t>
            </w:r>
            <w:r w:rsidRPr="007978C3">
              <w:rPr>
                <w:rFonts w:cstheme="minorHAnsi"/>
                <w:sz w:val="18"/>
                <w:szCs w:val="18"/>
                <w:lang w:val="en-US"/>
              </w:rPr>
              <w:t xml:space="preserve"> national report submitted</w:t>
            </w:r>
            <w:r w:rsidRPr="007978C3">
              <w:rPr>
                <w:rFonts w:eastAsia="Aptos" w:cstheme="minorHAnsi"/>
                <w:color w:val="000000" w:themeColor="text1"/>
                <w:sz w:val="18"/>
                <w:szCs w:val="18"/>
                <w:lang w:val="en-US"/>
              </w:rPr>
              <w:t>.</w:t>
            </w:r>
          </w:p>
          <w:p w14:paraId="025DF89F"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C67737" w14:paraId="2BEE04D6" w14:textId="77777777" w:rsidTr="00D22022">
        <w:trPr>
          <w:trHeight w:val="49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1FDD0C" w14:textId="77777777" w:rsidR="007978C3" w:rsidRPr="00C67737" w:rsidRDefault="007978C3" w:rsidP="00D22022">
            <w:pPr>
              <w:rPr>
                <w:rFonts w:cstheme="minorHAnsi"/>
                <w:sz w:val="18"/>
                <w:szCs w:val="18"/>
              </w:rPr>
            </w:pPr>
            <w:r w:rsidRPr="00C67737">
              <w:rPr>
                <w:rFonts w:cstheme="minorHAnsi"/>
                <w:sz w:val="18"/>
                <w:szCs w:val="18"/>
              </w:rPr>
              <w:t>Malaysia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6FE262"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CBF50"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5447AF"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4F0CCB"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AAAA47"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533A3C" w14:textId="77777777" w:rsidR="007978C3" w:rsidRPr="00C67737" w:rsidRDefault="007978C3" w:rsidP="00D22022">
            <w:pPr>
              <w:rPr>
                <w:rFonts w:cstheme="minorHAnsi"/>
                <w:sz w:val="18"/>
                <w:szCs w:val="18"/>
              </w:rPr>
            </w:pPr>
            <w:r w:rsidRPr="00C67737">
              <w:rPr>
                <w:rFonts w:cstheme="minorHAnsi"/>
                <w:sz w:val="18"/>
                <w:szCs w:val="18"/>
              </w:rPr>
              <w:t xml:space="preserve">1st national report </w:t>
            </w:r>
            <w:proofErr w:type="spellStart"/>
            <w:r w:rsidRPr="00C67737">
              <w:rPr>
                <w:rFonts w:cstheme="minorHAnsi"/>
                <w:sz w:val="18"/>
                <w:szCs w:val="18"/>
              </w:rPr>
              <w:t>submitted</w:t>
            </w:r>
            <w:proofErr w:type="spellEnd"/>
            <w:r w:rsidRPr="00C67737">
              <w:rPr>
                <w:rFonts w:cstheme="minorHAnsi"/>
                <w:sz w:val="18"/>
                <w:szCs w:val="18"/>
              </w:rPr>
              <w:t>.</w:t>
            </w:r>
          </w:p>
        </w:tc>
      </w:tr>
      <w:tr w:rsidR="007978C3" w:rsidRPr="00C67737" w14:paraId="5296D849"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C5517" w14:textId="77777777" w:rsidR="007978C3" w:rsidRPr="00C67737" w:rsidRDefault="007978C3" w:rsidP="00D22022">
            <w:pPr>
              <w:rPr>
                <w:rFonts w:cstheme="minorHAnsi"/>
                <w:sz w:val="18"/>
                <w:szCs w:val="18"/>
              </w:rPr>
            </w:pPr>
            <w:r w:rsidRPr="00C67737">
              <w:rPr>
                <w:rFonts w:cstheme="minorHAnsi"/>
                <w:sz w:val="18"/>
                <w:szCs w:val="18"/>
              </w:rPr>
              <w:t>Maldives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93AE8"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75B12B" w14:textId="77777777" w:rsidR="007978C3" w:rsidRPr="00C67737" w:rsidRDefault="007978C3" w:rsidP="00D22022">
            <w:pPr>
              <w:jc w:val="center"/>
              <w:rPr>
                <w:rFonts w:cstheme="minorHAnsi"/>
                <w:sz w:val="18"/>
                <w:szCs w:val="18"/>
              </w:rPr>
            </w:pPr>
            <w:r w:rsidRPr="00C67737">
              <w:rPr>
                <w:rFonts w:cstheme="minorHAnsi"/>
                <w:sz w:val="18"/>
                <w:szCs w:val="18"/>
              </w:rPr>
              <w:t>03/06/2026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AA51F"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D82AF"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B471F"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74380B" w14:textId="77777777" w:rsidR="007978C3" w:rsidRPr="00C67737" w:rsidRDefault="007978C3" w:rsidP="00D22022">
            <w:pPr>
              <w:spacing w:line="257" w:lineRule="auto"/>
              <w:rPr>
                <w:rFonts w:cstheme="minorHAnsi"/>
                <w:sz w:val="18"/>
                <w:szCs w:val="18"/>
              </w:rPr>
            </w:pPr>
            <w:r w:rsidRPr="00C67737">
              <w:rPr>
                <w:rFonts w:cstheme="minorHAnsi"/>
                <w:sz w:val="18"/>
                <w:szCs w:val="18"/>
              </w:rPr>
              <w:t xml:space="preserve">Draft report </w:t>
            </w:r>
            <w:proofErr w:type="spellStart"/>
            <w:r w:rsidRPr="00C67737">
              <w:rPr>
                <w:rFonts w:cstheme="minorHAnsi"/>
                <w:sz w:val="18"/>
                <w:szCs w:val="18"/>
              </w:rPr>
              <w:t>available</w:t>
            </w:r>
            <w:proofErr w:type="spellEnd"/>
            <w:r w:rsidRPr="00C67737">
              <w:rPr>
                <w:rFonts w:cstheme="minorHAnsi"/>
                <w:sz w:val="18"/>
                <w:szCs w:val="18"/>
              </w:rPr>
              <w:t xml:space="preserve"> </w:t>
            </w:r>
          </w:p>
        </w:tc>
      </w:tr>
      <w:tr w:rsidR="007978C3" w:rsidRPr="00C67737" w14:paraId="72FEB7B3"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F43DA2" w14:textId="77777777" w:rsidR="007978C3" w:rsidRPr="00C67737" w:rsidRDefault="007978C3" w:rsidP="00D22022">
            <w:pPr>
              <w:rPr>
                <w:rFonts w:cstheme="minorHAnsi"/>
                <w:sz w:val="18"/>
                <w:szCs w:val="18"/>
              </w:rPr>
            </w:pPr>
            <w:r w:rsidRPr="00C67737">
              <w:rPr>
                <w:rFonts w:cstheme="minorHAnsi"/>
                <w:sz w:val="18"/>
                <w:szCs w:val="18"/>
              </w:rPr>
              <w:t>Mali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ED7D3D"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EA8412" w14:textId="77777777" w:rsidR="007978C3" w:rsidRPr="00C67737" w:rsidRDefault="007978C3" w:rsidP="00D22022">
            <w:pPr>
              <w:jc w:val="center"/>
              <w:rPr>
                <w:rFonts w:cstheme="minorHAnsi"/>
                <w:sz w:val="18"/>
                <w:szCs w:val="18"/>
              </w:rPr>
            </w:pPr>
            <w:r w:rsidRPr="00C67737">
              <w:rPr>
                <w:rFonts w:cstheme="minorHAns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D98A7E"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2E974"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E2CD46"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E9D0DF" w14:textId="77777777" w:rsidR="007978C3" w:rsidRPr="00C67737" w:rsidRDefault="007978C3" w:rsidP="00D22022">
            <w:pPr>
              <w:rPr>
                <w:rFonts w:cstheme="minorHAnsi"/>
                <w:sz w:val="18"/>
                <w:szCs w:val="18"/>
              </w:rPr>
            </w:pPr>
            <w:r w:rsidRPr="00C67737">
              <w:rPr>
                <w:rFonts w:cstheme="minorHAnsi"/>
                <w:sz w:val="18"/>
                <w:szCs w:val="18"/>
              </w:rPr>
              <w:t xml:space="preserve">Draft report </w:t>
            </w:r>
            <w:proofErr w:type="spellStart"/>
            <w:r w:rsidRPr="00C67737">
              <w:rPr>
                <w:rFonts w:cstheme="minorHAnsi"/>
                <w:sz w:val="18"/>
                <w:szCs w:val="18"/>
              </w:rPr>
              <w:t>available</w:t>
            </w:r>
            <w:proofErr w:type="spellEnd"/>
          </w:p>
        </w:tc>
      </w:tr>
      <w:tr w:rsidR="007978C3" w:rsidRPr="00237520" w14:paraId="32241500"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A532D" w14:textId="77777777" w:rsidR="007978C3" w:rsidRPr="00C67737" w:rsidRDefault="007978C3" w:rsidP="00D22022">
            <w:pPr>
              <w:rPr>
                <w:rFonts w:cstheme="minorHAnsi"/>
                <w:sz w:val="18"/>
                <w:szCs w:val="18"/>
              </w:rPr>
            </w:pPr>
            <w:r w:rsidRPr="00C67737">
              <w:rPr>
                <w:rFonts w:cstheme="minorHAnsi"/>
                <w:sz w:val="18"/>
                <w:szCs w:val="18"/>
              </w:rPr>
              <w:t xml:space="preserve">Marshall </w:t>
            </w:r>
            <w:proofErr w:type="spellStart"/>
            <w:r w:rsidRPr="00C67737">
              <w:rPr>
                <w:rFonts w:cstheme="minorHAnsi"/>
                <w:sz w:val="18"/>
                <w:szCs w:val="18"/>
              </w:rPr>
              <w:t>Islands</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5B6A5"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CB4DA"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22F206"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BC06B"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1CCD2"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1B692E"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1F9F0233" w14:textId="77777777" w:rsidR="007978C3" w:rsidRPr="007978C3" w:rsidRDefault="007978C3" w:rsidP="00D22022">
            <w:pPr>
              <w:rPr>
                <w:rFonts w:cstheme="minorHAnsi"/>
                <w:sz w:val="18"/>
                <w:szCs w:val="18"/>
                <w:lang w:val="en-US"/>
              </w:rPr>
            </w:pPr>
            <w:r w:rsidRPr="007978C3">
              <w:rPr>
                <w:rFonts w:cstheme="minorHAnsi"/>
                <w:sz w:val="18"/>
                <w:szCs w:val="18"/>
                <w:lang w:val="en-US"/>
              </w:rPr>
              <w:lastRenderedPageBreak/>
              <w:t>Awaiting SSFA project documentation from the country</w:t>
            </w:r>
          </w:p>
        </w:tc>
      </w:tr>
      <w:tr w:rsidR="007978C3" w:rsidRPr="00237520" w14:paraId="35274AA9"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67CDD" w14:textId="77777777" w:rsidR="007978C3" w:rsidRPr="00C67737" w:rsidRDefault="007978C3" w:rsidP="00D22022">
            <w:pPr>
              <w:rPr>
                <w:rFonts w:cstheme="minorHAnsi"/>
                <w:sz w:val="18"/>
                <w:szCs w:val="18"/>
              </w:rPr>
            </w:pPr>
            <w:proofErr w:type="spellStart"/>
            <w:r w:rsidRPr="00C67737">
              <w:rPr>
                <w:rFonts w:cstheme="minorHAnsi"/>
                <w:sz w:val="18"/>
                <w:szCs w:val="18"/>
              </w:rPr>
              <w:lastRenderedPageBreak/>
              <w:t>Mauritania</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0F84A"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1E5BA" w14:textId="77777777" w:rsidR="007978C3" w:rsidRPr="00C67737" w:rsidRDefault="007978C3" w:rsidP="00D22022">
            <w:pPr>
              <w:jc w:val="center"/>
              <w:rPr>
                <w:rFonts w:cstheme="minorHAnsi"/>
                <w:sz w:val="18"/>
                <w:szCs w:val="18"/>
              </w:rPr>
            </w:pPr>
            <w:r w:rsidRPr="00C67737">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C70F45"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A1D031"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BCA0AC" w14:textId="77777777" w:rsidR="007978C3" w:rsidRPr="00C67737" w:rsidRDefault="007978C3" w:rsidP="00D22022">
            <w:pPr>
              <w:jc w:val="center"/>
              <w:rPr>
                <w:rFonts w:cstheme="minorHAnsi"/>
                <w:sz w:val="18"/>
                <w:szCs w:val="18"/>
              </w:rPr>
            </w:pPr>
            <w:r w:rsidRPr="00C67737">
              <w:rPr>
                <w:rFonts w:cstheme="minorHAns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CBB26" w14:textId="77777777" w:rsidR="007978C3" w:rsidRPr="007978C3" w:rsidRDefault="007978C3" w:rsidP="00D22022">
            <w:pPr>
              <w:rPr>
                <w:rFonts w:cstheme="minorHAnsi"/>
                <w:sz w:val="18"/>
                <w:szCs w:val="18"/>
                <w:lang w:val="en-US"/>
              </w:rPr>
            </w:pPr>
            <w:r w:rsidRPr="007978C3">
              <w:rPr>
                <w:rFonts w:cstheme="minorHAnsi"/>
                <w:sz w:val="18"/>
                <w:szCs w:val="18"/>
                <w:lang w:val="en-US"/>
              </w:rPr>
              <w:t>National report submitted.</w:t>
            </w:r>
          </w:p>
          <w:p w14:paraId="7254AABF"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41AA1FBB"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8172D" w14:textId="77777777" w:rsidR="007978C3" w:rsidRPr="00C67737" w:rsidRDefault="007978C3" w:rsidP="00D22022">
            <w:pPr>
              <w:rPr>
                <w:rFonts w:cstheme="minorHAnsi"/>
                <w:sz w:val="18"/>
                <w:szCs w:val="18"/>
              </w:rPr>
            </w:pPr>
            <w:r w:rsidRPr="00C67737">
              <w:rPr>
                <w:rFonts w:cstheme="minorHAnsi"/>
                <w:sz w:val="18"/>
                <w:szCs w:val="18"/>
              </w:rPr>
              <w:t>Mauritius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4DF4C3"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3A765"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299D45"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830FCC"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1D3A3"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0D57B" w14:textId="77777777" w:rsidR="007978C3" w:rsidRPr="007978C3" w:rsidRDefault="007978C3" w:rsidP="00D22022">
            <w:pPr>
              <w:rPr>
                <w:rFonts w:cstheme="minorHAnsi"/>
                <w:sz w:val="18"/>
                <w:szCs w:val="18"/>
                <w:lang w:val="en-US"/>
              </w:rPr>
            </w:pPr>
            <w:r w:rsidRPr="007978C3">
              <w:rPr>
                <w:rFonts w:cstheme="minorHAnsi"/>
                <w:sz w:val="18"/>
                <w:szCs w:val="18"/>
                <w:lang w:val="en-US"/>
              </w:rPr>
              <w:t>Data collection phase.</w:t>
            </w:r>
          </w:p>
          <w:p w14:paraId="78AA8B2C"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SSFA project documentation from the country</w:t>
            </w:r>
          </w:p>
        </w:tc>
      </w:tr>
      <w:tr w:rsidR="007978C3" w:rsidRPr="00237520" w14:paraId="5F3E1B1B"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900F71" w14:textId="77777777" w:rsidR="007978C3" w:rsidRPr="00C67737" w:rsidRDefault="007978C3" w:rsidP="00D22022">
            <w:pPr>
              <w:rPr>
                <w:rFonts w:cstheme="minorHAnsi"/>
                <w:sz w:val="18"/>
                <w:szCs w:val="18"/>
              </w:rPr>
            </w:pPr>
            <w:r w:rsidRPr="00C67737">
              <w:rPr>
                <w:rFonts w:cstheme="minorHAnsi"/>
                <w:sz w:val="18"/>
                <w:szCs w:val="18"/>
              </w:rPr>
              <w:t>Mexico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D38F8"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6F508B" w14:textId="77777777" w:rsidR="007978C3" w:rsidRPr="00C67737" w:rsidRDefault="007978C3" w:rsidP="00D22022">
            <w:pPr>
              <w:jc w:val="center"/>
              <w:rPr>
                <w:rFonts w:cstheme="minorHAnsi"/>
                <w:sz w:val="18"/>
                <w:szCs w:val="18"/>
              </w:rPr>
            </w:pPr>
            <w:r w:rsidRPr="00C67737">
              <w:rPr>
                <w:rFonts w:cstheme="minorHAns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71C528"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A54F25"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A2073"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1BA5BB"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41B1DB7D"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4916503F"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2CCB2" w14:textId="77777777" w:rsidR="007978C3" w:rsidRPr="00C67737" w:rsidRDefault="007978C3" w:rsidP="00D22022">
            <w:pPr>
              <w:rPr>
                <w:rFonts w:cstheme="minorHAnsi"/>
                <w:sz w:val="18"/>
                <w:szCs w:val="18"/>
              </w:rPr>
            </w:pPr>
            <w:proofErr w:type="spellStart"/>
            <w:r w:rsidRPr="00C67737">
              <w:rPr>
                <w:rFonts w:cstheme="minorHAnsi"/>
                <w:sz w:val="18"/>
                <w:szCs w:val="18"/>
              </w:rPr>
              <w:t>Micronesia</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3CC77"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7B831"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01E3CD"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8D0B8E"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14FDB"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15567"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the signed SSFA from the country</w:t>
            </w:r>
          </w:p>
        </w:tc>
      </w:tr>
      <w:tr w:rsidR="007978C3" w:rsidRPr="00237520" w14:paraId="69DBB80A"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11563A" w14:textId="77777777" w:rsidR="007978C3" w:rsidRPr="00C67737" w:rsidRDefault="007978C3" w:rsidP="00D22022">
            <w:pPr>
              <w:rPr>
                <w:rFonts w:cstheme="minorHAnsi"/>
                <w:sz w:val="18"/>
                <w:szCs w:val="18"/>
              </w:rPr>
            </w:pPr>
            <w:r w:rsidRPr="00C67737">
              <w:rPr>
                <w:rFonts w:cstheme="minorHAnsi"/>
                <w:sz w:val="18"/>
                <w:szCs w:val="18"/>
              </w:rPr>
              <w:t>Moldova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5EB00"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5499F" w14:textId="77777777" w:rsidR="007978C3" w:rsidRPr="00C67737" w:rsidRDefault="007978C3" w:rsidP="00D22022">
            <w:pPr>
              <w:jc w:val="center"/>
              <w:rPr>
                <w:rFonts w:cstheme="minorHAnsi"/>
                <w:sz w:val="18"/>
                <w:szCs w:val="18"/>
              </w:rPr>
            </w:pPr>
            <w:r w:rsidRPr="00C67737">
              <w:rPr>
                <w:rFonts w:cstheme="minorHAnsi"/>
                <w:sz w:val="18"/>
                <w:szCs w:val="18"/>
              </w:rPr>
              <w:t>05/11/2025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644CE"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A9032"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A7D4B"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589C1"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1CC26CFC"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7EF8D29B"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05630" w14:textId="77777777" w:rsidR="007978C3" w:rsidRPr="00C67737" w:rsidRDefault="007978C3" w:rsidP="00D22022">
            <w:pPr>
              <w:rPr>
                <w:rFonts w:cstheme="minorHAnsi"/>
                <w:sz w:val="18"/>
                <w:szCs w:val="18"/>
              </w:rPr>
            </w:pPr>
            <w:r w:rsidRPr="00C67737">
              <w:rPr>
                <w:rFonts w:cstheme="minorHAnsi"/>
                <w:sz w:val="18"/>
                <w:szCs w:val="18"/>
              </w:rPr>
              <w:t>Mongolia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74143"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F684E" w14:textId="77777777" w:rsidR="007978C3" w:rsidRPr="00C67737" w:rsidRDefault="007978C3" w:rsidP="00D22022">
            <w:pPr>
              <w:jc w:val="center"/>
              <w:rPr>
                <w:rFonts w:cstheme="minorHAnsi"/>
                <w:sz w:val="18"/>
                <w:szCs w:val="18"/>
              </w:rPr>
            </w:pPr>
            <w:r w:rsidRPr="00C67737">
              <w:rPr>
                <w:rFonts w:cstheme="minorHAnsi"/>
                <w:sz w:val="18"/>
                <w:szCs w:val="18"/>
              </w:rPr>
              <w:t>11/02/2026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913E52"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09C4A"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48AE2F"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4EF8BE"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37A98FA7"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03BB722B"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47574" w14:textId="77777777" w:rsidR="007978C3" w:rsidRPr="00C67737" w:rsidRDefault="007978C3" w:rsidP="00D22022">
            <w:pPr>
              <w:rPr>
                <w:rFonts w:cstheme="minorHAnsi"/>
                <w:sz w:val="18"/>
                <w:szCs w:val="18"/>
              </w:rPr>
            </w:pPr>
            <w:r w:rsidRPr="00C67737">
              <w:rPr>
                <w:rFonts w:cstheme="minorHAnsi"/>
                <w:sz w:val="18"/>
                <w:szCs w:val="18"/>
              </w:rPr>
              <w:t>Montenegro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0AA167"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DEEA72" w14:textId="77777777" w:rsidR="007978C3" w:rsidRPr="00C67737" w:rsidRDefault="007978C3" w:rsidP="00D22022">
            <w:pPr>
              <w:jc w:val="center"/>
              <w:rPr>
                <w:rFonts w:cstheme="minorHAnsi"/>
                <w:sz w:val="18"/>
                <w:szCs w:val="18"/>
              </w:rPr>
            </w:pPr>
            <w:r w:rsidRPr="00C67737">
              <w:rPr>
                <w:rFonts w:cstheme="minorHAnsi"/>
                <w:sz w:val="18"/>
                <w:szCs w:val="18"/>
              </w:rPr>
              <w:t>20/04/2026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5052F"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34B9F7"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CEDCB3"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579B3"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564A841F" w14:textId="77777777" w:rsidR="007978C3" w:rsidRPr="007978C3" w:rsidRDefault="007978C3" w:rsidP="00D22022">
            <w:pPr>
              <w:rPr>
                <w:rFonts w:eastAsia="Aptos" w:cstheme="minorHAnsi"/>
                <w:color w:val="000000" w:themeColor="text1"/>
                <w:sz w:val="18"/>
                <w:szCs w:val="18"/>
                <w:lang w:val="en-US"/>
              </w:rPr>
            </w:pPr>
            <w:r w:rsidRPr="007978C3">
              <w:rPr>
                <w:rFonts w:cstheme="minorHAnsi"/>
                <w:sz w:val="18"/>
                <w:szCs w:val="18"/>
                <w:lang w:val="en-US"/>
              </w:rPr>
              <w:t>Awaiting final project narrative and expenditure reports submission</w:t>
            </w:r>
            <w:r w:rsidRPr="007978C3">
              <w:rPr>
                <w:rFonts w:eastAsia="Aptos" w:cstheme="minorHAnsi"/>
                <w:color w:val="000000" w:themeColor="text1"/>
                <w:sz w:val="18"/>
                <w:szCs w:val="18"/>
                <w:lang w:val="en-US"/>
              </w:rPr>
              <w:t xml:space="preserve"> </w:t>
            </w:r>
          </w:p>
        </w:tc>
      </w:tr>
      <w:tr w:rsidR="007978C3" w:rsidRPr="00237520" w14:paraId="6893AF11"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78FC5" w14:textId="77777777" w:rsidR="007978C3" w:rsidRPr="00C67737" w:rsidRDefault="007978C3" w:rsidP="00D22022">
            <w:pPr>
              <w:rPr>
                <w:rFonts w:cstheme="minorHAnsi"/>
                <w:sz w:val="18"/>
                <w:szCs w:val="18"/>
              </w:rPr>
            </w:pPr>
            <w:r w:rsidRPr="00C67737">
              <w:rPr>
                <w:rFonts w:cstheme="minorHAnsi"/>
                <w:sz w:val="18"/>
                <w:szCs w:val="18"/>
              </w:rPr>
              <w:t>Morocco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F36297"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1A1585"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860E9"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AC36E"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8254E"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1C1315"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4F14B5EA"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SSFA project documentation from the country</w:t>
            </w:r>
          </w:p>
        </w:tc>
      </w:tr>
      <w:tr w:rsidR="007978C3" w:rsidRPr="00237520" w14:paraId="50A6B0FB"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00FF2" w14:textId="77777777" w:rsidR="007978C3" w:rsidRPr="00C67737" w:rsidRDefault="007978C3" w:rsidP="00D22022">
            <w:pPr>
              <w:rPr>
                <w:rFonts w:cstheme="minorHAnsi"/>
                <w:sz w:val="18"/>
                <w:szCs w:val="18"/>
              </w:rPr>
            </w:pPr>
            <w:r w:rsidRPr="00C67737">
              <w:rPr>
                <w:rFonts w:cstheme="minorHAnsi"/>
                <w:sz w:val="18"/>
                <w:szCs w:val="18"/>
              </w:rPr>
              <w:t>Mozambique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0788C"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FD978F" w14:textId="77777777" w:rsidR="007978C3" w:rsidRPr="00C67737" w:rsidRDefault="007978C3" w:rsidP="00D22022">
            <w:pPr>
              <w:jc w:val="center"/>
              <w:rPr>
                <w:rFonts w:cstheme="minorHAnsi"/>
                <w:sz w:val="18"/>
                <w:szCs w:val="18"/>
              </w:rPr>
            </w:pPr>
            <w:r w:rsidRPr="00C67737">
              <w:rPr>
                <w:rFonts w:cstheme="minorHAnsi"/>
                <w:sz w:val="18"/>
                <w:szCs w:val="18"/>
              </w:rPr>
              <w:t>15/01/2026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AC16CD"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385C0"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5ED0F9"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83991A"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F956092"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67DAF861"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E07569" w14:textId="77777777" w:rsidR="007978C3" w:rsidRPr="00C67737" w:rsidRDefault="007978C3" w:rsidP="00D22022">
            <w:pPr>
              <w:rPr>
                <w:rFonts w:cstheme="minorHAnsi"/>
                <w:sz w:val="18"/>
                <w:szCs w:val="18"/>
              </w:rPr>
            </w:pPr>
            <w:r w:rsidRPr="00C67737">
              <w:rPr>
                <w:rFonts w:cstheme="minorHAnsi"/>
                <w:sz w:val="18"/>
                <w:szCs w:val="18"/>
              </w:rPr>
              <w:t>Namibia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050A06"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5E4997" w14:textId="77777777" w:rsidR="007978C3" w:rsidRPr="00C67737" w:rsidRDefault="007978C3" w:rsidP="00D22022">
            <w:pPr>
              <w:jc w:val="center"/>
              <w:rPr>
                <w:rFonts w:cstheme="minorHAnsi"/>
                <w:sz w:val="18"/>
                <w:szCs w:val="18"/>
              </w:rPr>
            </w:pPr>
            <w:r w:rsidRPr="00C67737">
              <w:rPr>
                <w:rFonts w:cstheme="minorHAns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A15A7"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D5B72"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9EB99"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0157D"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9E52C21"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C67737" w14:paraId="606D148F"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78DF5" w14:textId="77777777" w:rsidR="007978C3" w:rsidRPr="00C67737" w:rsidRDefault="007978C3" w:rsidP="00D22022">
            <w:pPr>
              <w:rPr>
                <w:rFonts w:cstheme="minorHAnsi"/>
                <w:sz w:val="18"/>
                <w:szCs w:val="18"/>
              </w:rPr>
            </w:pPr>
            <w:r w:rsidRPr="00C67737">
              <w:rPr>
                <w:rFonts w:cstheme="minorHAnsi"/>
                <w:sz w:val="18"/>
                <w:szCs w:val="18"/>
              </w:rPr>
              <w:t>Niger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DDF59"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BE3006" w14:textId="77777777" w:rsidR="007978C3" w:rsidRPr="00C67737" w:rsidRDefault="007978C3" w:rsidP="00D22022">
            <w:pPr>
              <w:jc w:val="center"/>
              <w:rPr>
                <w:rFonts w:cstheme="minorHAnsi"/>
                <w:sz w:val="18"/>
                <w:szCs w:val="18"/>
              </w:rPr>
            </w:pPr>
            <w:r w:rsidRPr="00C67737">
              <w:rPr>
                <w:rFonts w:cstheme="minorHAnsi"/>
                <w:sz w:val="18"/>
                <w:szCs w:val="18"/>
              </w:rPr>
              <w:t>26/01/2026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53616"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38D704"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D7305"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5253FE" w14:textId="77777777" w:rsidR="007978C3" w:rsidRPr="00C67737" w:rsidRDefault="007978C3" w:rsidP="00D22022">
            <w:pPr>
              <w:rPr>
                <w:rFonts w:cstheme="minorHAnsi"/>
                <w:sz w:val="18"/>
                <w:szCs w:val="18"/>
              </w:rPr>
            </w:pPr>
            <w:r w:rsidRPr="00C67737">
              <w:rPr>
                <w:rFonts w:cstheme="minorHAnsi"/>
                <w:sz w:val="18"/>
                <w:szCs w:val="18"/>
              </w:rPr>
              <w:t xml:space="preserve">Draft national report </w:t>
            </w:r>
            <w:proofErr w:type="spellStart"/>
            <w:r w:rsidRPr="00C67737">
              <w:rPr>
                <w:rFonts w:cstheme="minorHAnsi"/>
                <w:sz w:val="18"/>
                <w:szCs w:val="18"/>
              </w:rPr>
              <w:t>available</w:t>
            </w:r>
            <w:proofErr w:type="spellEnd"/>
            <w:r w:rsidRPr="00C67737">
              <w:rPr>
                <w:rFonts w:cstheme="minorHAnsi"/>
                <w:sz w:val="18"/>
                <w:szCs w:val="18"/>
              </w:rPr>
              <w:t xml:space="preserve"> </w:t>
            </w:r>
          </w:p>
        </w:tc>
      </w:tr>
      <w:tr w:rsidR="007978C3" w:rsidRPr="00237520" w14:paraId="04A77D14"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BA9142" w14:textId="77777777" w:rsidR="007978C3" w:rsidRPr="00C67737" w:rsidRDefault="007978C3" w:rsidP="00D22022">
            <w:pPr>
              <w:rPr>
                <w:rFonts w:cstheme="minorHAnsi"/>
                <w:sz w:val="18"/>
                <w:szCs w:val="18"/>
              </w:rPr>
            </w:pPr>
            <w:r w:rsidRPr="00C67737">
              <w:rPr>
                <w:rFonts w:cstheme="minorHAnsi"/>
                <w:sz w:val="18"/>
                <w:szCs w:val="18"/>
              </w:rPr>
              <w:t>Nigeria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636C9D"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4AA27E" w14:textId="77777777" w:rsidR="007978C3" w:rsidRPr="00C67737" w:rsidRDefault="007978C3" w:rsidP="00D22022">
            <w:pPr>
              <w:jc w:val="center"/>
              <w:rPr>
                <w:rFonts w:cstheme="minorHAnsi"/>
                <w:sz w:val="18"/>
                <w:szCs w:val="18"/>
              </w:rPr>
            </w:pPr>
            <w:r w:rsidRPr="00C67737">
              <w:rPr>
                <w:rFonts w:cstheme="minorHAns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48A559"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FC1EA0"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2FAB0D" w14:textId="77777777" w:rsidR="007978C3" w:rsidRPr="00C67737" w:rsidRDefault="007978C3" w:rsidP="00D22022">
            <w:pPr>
              <w:jc w:val="center"/>
              <w:rPr>
                <w:rFonts w:cstheme="minorHAnsi"/>
                <w:sz w:val="18"/>
                <w:szCs w:val="18"/>
              </w:rPr>
            </w:pPr>
            <w:r w:rsidRPr="00C67737">
              <w:rPr>
                <w:rFonts w:cstheme="minorHAns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20424"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3259A90" w14:textId="77777777" w:rsidR="007978C3" w:rsidRPr="007978C3" w:rsidRDefault="007978C3" w:rsidP="00D22022">
            <w:pPr>
              <w:rPr>
                <w:rFonts w:cstheme="minorHAnsi"/>
                <w:sz w:val="18"/>
                <w:szCs w:val="18"/>
                <w:lang w:val="en-US"/>
              </w:rPr>
            </w:pPr>
            <w:r w:rsidRPr="007978C3">
              <w:rPr>
                <w:rFonts w:cstheme="minorHAnsi"/>
                <w:sz w:val="18"/>
                <w:szCs w:val="18"/>
                <w:lang w:val="en-US"/>
              </w:rPr>
              <w:lastRenderedPageBreak/>
              <w:t>Awaiting final project narrative and expenditure reports submission</w:t>
            </w:r>
          </w:p>
        </w:tc>
      </w:tr>
      <w:tr w:rsidR="007978C3" w:rsidRPr="00237520" w14:paraId="42204FD6"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7617FF" w14:textId="77777777" w:rsidR="007978C3" w:rsidRPr="00C67737" w:rsidRDefault="007978C3" w:rsidP="00D22022">
            <w:pPr>
              <w:rPr>
                <w:rFonts w:cstheme="minorHAnsi"/>
                <w:sz w:val="18"/>
                <w:szCs w:val="18"/>
              </w:rPr>
            </w:pPr>
            <w:r w:rsidRPr="00C67737">
              <w:rPr>
                <w:rFonts w:cstheme="minorHAnsi"/>
                <w:sz w:val="18"/>
                <w:szCs w:val="18"/>
              </w:rPr>
              <w:lastRenderedPageBreak/>
              <w:t>Pakistan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836029"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0CEC86" w14:textId="77777777" w:rsidR="007978C3" w:rsidRPr="00C67737" w:rsidRDefault="007978C3" w:rsidP="00D22022">
            <w:pPr>
              <w:jc w:val="center"/>
              <w:rPr>
                <w:rFonts w:cstheme="minorHAnsi"/>
                <w:sz w:val="18"/>
                <w:szCs w:val="18"/>
              </w:rPr>
            </w:pPr>
            <w:r w:rsidRPr="00C67737">
              <w:rPr>
                <w:rFonts w:cstheme="minorHAnsi"/>
                <w:sz w:val="18"/>
                <w:szCs w:val="18"/>
              </w:rPr>
              <w:t>15/04/2026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A8C2D"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0565E"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E1A96"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8E9613"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 Awaiting final project narrative and expenditure reports submission</w:t>
            </w:r>
          </w:p>
        </w:tc>
      </w:tr>
      <w:tr w:rsidR="007978C3" w:rsidRPr="00237520" w14:paraId="2AC16ABF"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3A506" w14:textId="77777777" w:rsidR="007978C3" w:rsidRPr="00C67737" w:rsidRDefault="007978C3" w:rsidP="00D22022">
            <w:pPr>
              <w:rPr>
                <w:rFonts w:cstheme="minorHAnsi"/>
                <w:sz w:val="18"/>
                <w:szCs w:val="18"/>
              </w:rPr>
            </w:pPr>
            <w:r w:rsidRPr="00C67737">
              <w:rPr>
                <w:rFonts w:cstheme="minorHAnsi"/>
                <w:sz w:val="18"/>
                <w:szCs w:val="18"/>
              </w:rPr>
              <w:t>Palau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FEC0AD"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32A376" w14:textId="77777777" w:rsidR="007978C3" w:rsidRPr="00C67737" w:rsidRDefault="007978C3" w:rsidP="00D22022">
            <w:pPr>
              <w:jc w:val="center"/>
              <w:rPr>
                <w:rFonts w:cstheme="minorHAnsi"/>
                <w:sz w:val="18"/>
                <w:szCs w:val="18"/>
              </w:rPr>
            </w:pPr>
            <w:r w:rsidRPr="00C67737">
              <w:rPr>
                <w:rFonts w:cstheme="minorHAnsi"/>
                <w:sz w:val="18"/>
                <w:szCs w:val="18"/>
              </w:rPr>
              <w:t>02/03/2026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B5ADF3"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DF1313"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EBAAE7"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82215"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20104205"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085DE981"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8EC50" w14:textId="77777777" w:rsidR="007978C3" w:rsidRPr="00C67737" w:rsidRDefault="007978C3" w:rsidP="00D22022">
            <w:pPr>
              <w:rPr>
                <w:rFonts w:cstheme="minorHAnsi"/>
                <w:sz w:val="18"/>
                <w:szCs w:val="18"/>
              </w:rPr>
            </w:pPr>
            <w:r w:rsidRPr="00C67737">
              <w:rPr>
                <w:rFonts w:cstheme="minorHAnsi"/>
                <w:sz w:val="18"/>
                <w:szCs w:val="18"/>
              </w:rPr>
              <w:t>Panama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FEAB7B"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054F2B"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BB1B62"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654B2"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BBFF31" w14:textId="77777777" w:rsidR="007978C3" w:rsidRPr="00C67737" w:rsidRDefault="007978C3" w:rsidP="00D22022">
            <w:pPr>
              <w:jc w:val="center"/>
              <w:rPr>
                <w:rFonts w:cstheme="minorHAnsi"/>
                <w:sz w:val="18"/>
                <w:szCs w:val="18"/>
              </w:rPr>
            </w:pPr>
            <w:r w:rsidRPr="00C67737">
              <w:rPr>
                <w:rFonts w:cstheme="minorHAnsi"/>
                <w:sz w:val="18"/>
                <w:szCs w:val="18"/>
              </w:rPr>
              <w:t>10/02/2026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39BC11"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0F093AB"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SSFA project documentation from the country</w:t>
            </w:r>
          </w:p>
        </w:tc>
      </w:tr>
      <w:tr w:rsidR="007978C3" w:rsidRPr="00237520" w14:paraId="3346D0CE"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D3C04C" w14:textId="77777777" w:rsidR="007978C3" w:rsidRPr="00C67737" w:rsidRDefault="007978C3" w:rsidP="00D22022">
            <w:pPr>
              <w:rPr>
                <w:rFonts w:cstheme="minorHAnsi"/>
                <w:sz w:val="18"/>
                <w:szCs w:val="18"/>
              </w:rPr>
            </w:pPr>
            <w:r w:rsidRPr="00C67737">
              <w:rPr>
                <w:rFonts w:cstheme="minorHAnsi"/>
                <w:sz w:val="18"/>
                <w:szCs w:val="18"/>
              </w:rPr>
              <w:t>Peru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84F38E"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808785" w14:textId="77777777" w:rsidR="007978C3" w:rsidRPr="00C67737" w:rsidRDefault="007978C3" w:rsidP="00D22022">
            <w:pPr>
              <w:jc w:val="center"/>
              <w:rPr>
                <w:rFonts w:cstheme="minorHAnsi"/>
                <w:sz w:val="18"/>
                <w:szCs w:val="18"/>
              </w:rPr>
            </w:pPr>
            <w:r w:rsidRPr="00C67737">
              <w:rPr>
                <w:rFonts w:cstheme="minorHAnsi"/>
                <w:sz w:val="18"/>
                <w:szCs w:val="18"/>
              </w:rPr>
              <w:t>23/03/2026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BD9BF"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3D6BD3"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E45A8"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32D39"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4D0AD2D3"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45CB36F5"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C534BF" w14:textId="77777777" w:rsidR="007978C3" w:rsidRPr="00C67737" w:rsidRDefault="007978C3" w:rsidP="00D22022">
            <w:pPr>
              <w:rPr>
                <w:rFonts w:cstheme="minorHAnsi"/>
                <w:sz w:val="18"/>
                <w:szCs w:val="18"/>
              </w:rPr>
            </w:pPr>
            <w:r w:rsidRPr="00C67737">
              <w:rPr>
                <w:rFonts w:cstheme="minorHAnsi"/>
                <w:sz w:val="18"/>
                <w:szCs w:val="18"/>
              </w:rPr>
              <w:t>Rwanda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8548EC"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4B4ECA" w14:textId="77777777" w:rsidR="007978C3" w:rsidRPr="00C67737" w:rsidRDefault="007978C3" w:rsidP="00D22022">
            <w:pPr>
              <w:jc w:val="center"/>
              <w:rPr>
                <w:rFonts w:cstheme="minorHAnsi"/>
                <w:sz w:val="18"/>
                <w:szCs w:val="18"/>
              </w:rPr>
            </w:pPr>
            <w:r w:rsidRPr="00C67737">
              <w:rPr>
                <w:rFonts w:cstheme="minorHAns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1A790B" w14:textId="77777777" w:rsidR="007978C3" w:rsidRPr="00C67737" w:rsidRDefault="007978C3" w:rsidP="00D22022">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276CA"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B3C40C" w14:textId="77777777" w:rsidR="007978C3" w:rsidRPr="00C67737" w:rsidRDefault="007978C3" w:rsidP="00D22022">
            <w:pPr>
              <w:jc w:val="center"/>
              <w:rPr>
                <w:rFonts w:cstheme="minorHAnsi"/>
                <w:sz w:val="18"/>
                <w:szCs w:val="18"/>
              </w:rPr>
            </w:pPr>
            <w:r w:rsidRPr="00C67737">
              <w:rPr>
                <w:rFonts w:cstheme="minorHAnsi"/>
                <w:sz w:val="18"/>
                <w:szCs w:val="18"/>
              </w:rPr>
              <w:t>6/03/2026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75080E"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EC2E4AA"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C67737" w14:paraId="106D9F93"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82FBF" w14:textId="77777777" w:rsidR="007978C3" w:rsidRPr="00C67737" w:rsidRDefault="007978C3" w:rsidP="00D22022">
            <w:pPr>
              <w:rPr>
                <w:rFonts w:cstheme="minorHAnsi"/>
                <w:sz w:val="18"/>
                <w:szCs w:val="18"/>
              </w:rPr>
            </w:pPr>
            <w:r w:rsidRPr="00C67737">
              <w:rPr>
                <w:rFonts w:cstheme="minorHAnsi"/>
                <w:sz w:val="18"/>
                <w:szCs w:val="18"/>
              </w:rPr>
              <w:t>Saints Kitts and Navis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1C6496"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4BC327" w14:textId="77777777" w:rsidR="007978C3" w:rsidRPr="00C67737" w:rsidRDefault="007978C3" w:rsidP="00D22022">
            <w:pPr>
              <w:jc w:val="center"/>
              <w:rPr>
                <w:rFonts w:cstheme="minorHAnsi"/>
                <w:sz w:val="18"/>
                <w:szCs w:val="18"/>
              </w:rPr>
            </w:pPr>
            <w:r w:rsidRPr="00C67737">
              <w:rPr>
                <w:rFonts w:cstheme="minorHAnsi"/>
                <w:sz w:val="18"/>
                <w:szCs w:val="18"/>
              </w:rPr>
              <w:t>02/02/2026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AA854"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686D57"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377FBF"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C6D66" w14:textId="77777777" w:rsidR="007978C3" w:rsidRPr="00C67737" w:rsidRDefault="007978C3" w:rsidP="00D22022">
            <w:pPr>
              <w:spacing w:line="257" w:lineRule="auto"/>
              <w:rPr>
                <w:rFonts w:cstheme="minorHAnsi"/>
                <w:sz w:val="18"/>
                <w:szCs w:val="18"/>
              </w:rPr>
            </w:pPr>
            <w:r w:rsidRPr="00C67737">
              <w:rPr>
                <w:rFonts w:cstheme="minorHAnsi"/>
                <w:sz w:val="18"/>
                <w:szCs w:val="18"/>
              </w:rPr>
              <w:t xml:space="preserve">Draft report </w:t>
            </w:r>
            <w:proofErr w:type="spellStart"/>
            <w:r w:rsidRPr="00C67737">
              <w:rPr>
                <w:rFonts w:cstheme="minorHAnsi"/>
                <w:sz w:val="18"/>
                <w:szCs w:val="18"/>
              </w:rPr>
              <w:t>available</w:t>
            </w:r>
            <w:proofErr w:type="spellEnd"/>
            <w:r w:rsidRPr="00C67737">
              <w:rPr>
                <w:rFonts w:cstheme="minorHAnsi"/>
                <w:sz w:val="18"/>
                <w:szCs w:val="18"/>
              </w:rPr>
              <w:t xml:space="preserve"> </w:t>
            </w:r>
          </w:p>
        </w:tc>
      </w:tr>
      <w:tr w:rsidR="007978C3" w:rsidRPr="00C67737" w14:paraId="6E08D7DD"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8F82BF" w14:textId="77777777" w:rsidR="007978C3" w:rsidRPr="00C67737" w:rsidRDefault="007978C3" w:rsidP="00D22022">
            <w:pPr>
              <w:rPr>
                <w:rFonts w:cstheme="minorHAnsi"/>
                <w:sz w:val="18"/>
                <w:szCs w:val="18"/>
              </w:rPr>
            </w:pPr>
            <w:r w:rsidRPr="00C67737">
              <w:rPr>
                <w:rFonts w:cstheme="minorHAnsi"/>
                <w:sz w:val="18"/>
                <w:szCs w:val="18"/>
              </w:rPr>
              <w:t>Samoa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97CA02"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2D626E" w14:textId="77777777" w:rsidR="007978C3" w:rsidRPr="00C67737" w:rsidRDefault="007978C3" w:rsidP="00D22022">
            <w:pPr>
              <w:jc w:val="center"/>
              <w:rPr>
                <w:rFonts w:cstheme="minorHAnsi"/>
                <w:sz w:val="18"/>
                <w:szCs w:val="18"/>
              </w:rPr>
            </w:pPr>
            <w:r w:rsidRPr="00C67737">
              <w:rPr>
                <w:rFonts w:cstheme="minorHAnsi"/>
                <w:sz w:val="18"/>
                <w:szCs w:val="18"/>
              </w:rPr>
              <w:t>09/04/2026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5D62D"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64960"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89B739"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46ED42" w14:textId="77777777" w:rsidR="007978C3" w:rsidRPr="00C67737" w:rsidRDefault="007978C3" w:rsidP="00D22022">
            <w:pPr>
              <w:spacing w:line="257" w:lineRule="auto"/>
              <w:rPr>
                <w:rFonts w:cstheme="minorHAnsi"/>
                <w:sz w:val="18"/>
                <w:szCs w:val="18"/>
              </w:rPr>
            </w:pPr>
            <w:r w:rsidRPr="00C67737">
              <w:rPr>
                <w:rFonts w:cstheme="minorHAnsi"/>
                <w:sz w:val="18"/>
                <w:szCs w:val="18"/>
              </w:rPr>
              <w:t xml:space="preserve">Draft report </w:t>
            </w:r>
            <w:proofErr w:type="spellStart"/>
            <w:r w:rsidRPr="00C67737">
              <w:rPr>
                <w:rFonts w:cstheme="minorHAnsi"/>
                <w:sz w:val="18"/>
                <w:szCs w:val="18"/>
              </w:rPr>
              <w:t>available</w:t>
            </w:r>
            <w:proofErr w:type="spellEnd"/>
          </w:p>
        </w:tc>
      </w:tr>
      <w:tr w:rsidR="007978C3" w:rsidRPr="00237520" w14:paraId="055F36A0"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E1FC9" w14:textId="77777777" w:rsidR="007978C3" w:rsidRPr="00C67737" w:rsidRDefault="007978C3" w:rsidP="00D22022">
            <w:pPr>
              <w:rPr>
                <w:rFonts w:cstheme="minorHAnsi"/>
                <w:sz w:val="18"/>
                <w:szCs w:val="18"/>
              </w:rPr>
            </w:pPr>
            <w:r w:rsidRPr="00C67737">
              <w:rPr>
                <w:rFonts w:cstheme="minorHAnsi"/>
                <w:sz w:val="18"/>
                <w:szCs w:val="18"/>
              </w:rPr>
              <w:t>Sao Tome and Principe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64E71"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C1885" w14:textId="77777777" w:rsidR="007978C3" w:rsidRPr="00C67737" w:rsidRDefault="007978C3" w:rsidP="00D22022">
            <w:pPr>
              <w:jc w:val="center"/>
              <w:rPr>
                <w:rFonts w:cstheme="minorHAnsi"/>
                <w:sz w:val="18"/>
                <w:szCs w:val="18"/>
              </w:rPr>
            </w:pPr>
            <w:r w:rsidRPr="00C67737">
              <w:rPr>
                <w:rFonts w:cstheme="minorHAnsi"/>
                <w:sz w:val="18"/>
                <w:szCs w:val="18"/>
              </w:rPr>
              <w:t>14/04/2026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658D7E"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1F942"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F434AF" w14:textId="77777777" w:rsidR="007978C3" w:rsidRPr="00C67737" w:rsidRDefault="007978C3" w:rsidP="00D22022">
            <w:pPr>
              <w:jc w:val="center"/>
              <w:rPr>
                <w:rFonts w:cstheme="minorHAnsi"/>
                <w:sz w:val="18"/>
                <w:szCs w:val="18"/>
              </w:rPr>
            </w:pPr>
            <w:r w:rsidRPr="00C67737">
              <w:rPr>
                <w:rFonts w:cstheme="minorHAnsi"/>
                <w:sz w:val="18"/>
                <w:szCs w:val="18"/>
              </w:rPr>
              <w:t>15/06/2026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962A5E"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CE41750" w14:textId="77777777" w:rsidR="007978C3" w:rsidRPr="007978C3" w:rsidRDefault="007978C3" w:rsidP="00D22022">
            <w:pPr>
              <w:rPr>
                <w:rFonts w:cstheme="minorHAnsi"/>
                <w:sz w:val="18"/>
                <w:szCs w:val="18"/>
                <w:lang w:val="en-US"/>
              </w:rPr>
            </w:pPr>
            <w:r w:rsidRPr="007978C3">
              <w:rPr>
                <w:rFonts w:cstheme="minorHAnsi"/>
                <w:sz w:val="18"/>
                <w:szCs w:val="18"/>
                <w:lang w:val="en-US"/>
              </w:rPr>
              <w:t xml:space="preserve">Awaiting final project narrative and expenditure reports submission </w:t>
            </w:r>
          </w:p>
        </w:tc>
      </w:tr>
      <w:tr w:rsidR="007978C3" w:rsidRPr="00237520" w14:paraId="5838F804"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F5498" w14:textId="77777777" w:rsidR="007978C3" w:rsidRPr="00C67737" w:rsidRDefault="007978C3" w:rsidP="00D22022">
            <w:pPr>
              <w:rPr>
                <w:rFonts w:cstheme="minorHAnsi"/>
                <w:sz w:val="18"/>
                <w:szCs w:val="18"/>
              </w:rPr>
            </w:pPr>
            <w:r w:rsidRPr="00C67737">
              <w:rPr>
                <w:rFonts w:cstheme="minorHAnsi"/>
                <w:sz w:val="18"/>
                <w:szCs w:val="18"/>
              </w:rPr>
              <w:t>Senegal</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D1519"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BF3DAA" w14:textId="77777777" w:rsidR="007978C3" w:rsidRPr="00C67737" w:rsidRDefault="007978C3" w:rsidP="00D22022">
            <w:pPr>
              <w:jc w:val="center"/>
              <w:rPr>
                <w:rFonts w:cstheme="minorHAnsi"/>
                <w:sz w:val="18"/>
                <w:szCs w:val="18"/>
              </w:rPr>
            </w:pPr>
            <w:r w:rsidRPr="00C67737">
              <w:rPr>
                <w:rFonts w:cstheme="minorHAnsi"/>
                <w:sz w:val="18"/>
                <w:szCs w:val="18"/>
              </w:rPr>
              <w:t>15/12/2025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AD9DF0"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90F1B5"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56759" w14:textId="77777777" w:rsidR="007978C3" w:rsidRPr="00C67737" w:rsidRDefault="007978C3" w:rsidP="00D22022">
            <w:pPr>
              <w:jc w:val="center"/>
              <w:rPr>
                <w:rFonts w:cstheme="minorHAnsi"/>
                <w:sz w:val="18"/>
                <w:szCs w:val="18"/>
              </w:rPr>
            </w:pPr>
            <w:r w:rsidRPr="00C67737">
              <w:rPr>
                <w:rFonts w:cstheme="minorHAnsi"/>
                <w:sz w:val="18"/>
                <w:szCs w:val="18"/>
              </w:rPr>
              <w:t>22/02/2026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AA9CD3"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084EF5D1"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C67737" w14:paraId="74715A04"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F87EC" w14:textId="77777777" w:rsidR="007978C3" w:rsidRPr="00C67737" w:rsidRDefault="007978C3" w:rsidP="00D22022">
            <w:pPr>
              <w:rPr>
                <w:rFonts w:cstheme="minorHAnsi"/>
                <w:sz w:val="18"/>
                <w:szCs w:val="18"/>
              </w:rPr>
            </w:pPr>
            <w:r w:rsidRPr="00C67737">
              <w:rPr>
                <w:rFonts w:cstheme="minorHAnsi"/>
                <w:sz w:val="18"/>
                <w:szCs w:val="18"/>
              </w:rPr>
              <w:t>Serbia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5E33BD"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F3ACAE" w14:textId="77777777" w:rsidR="007978C3" w:rsidRPr="00C67737" w:rsidRDefault="007978C3" w:rsidP="00D22022">
            <w:pPr>
              <w:jc w:val="center"/>
              <w:rPr>
                <w:rFonts w:cstheme="minorHAnsi"/>
                <w:sz w:val="18"/>
                <w:szCs w:val="18"/>
              </w:rPr>
            </w:pPr>
            <w:r w:rsidRPr="00C67737">
              <w:rPr>
                <w:rFonts w:cstheme="minorHAnsi"/>
                <w:sz w:val="18"/>
                <w:szCs w:val="18"/>
              </w:rPr>
              <w:t>13/05/2026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3472F1"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2A5853"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8B3AA6"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55CB9F" w14:textId="77777777" w:rsidR="007978C3" w:rsidRPr="00C67737" w:rsidRDefault="007978C3" w:rsidP="00D22022">
            <w:pPr>
              <w:spacing w:line="257" w:lineRule="auto"/>
              <w:rPr>
                <w:rFonts w:cstheme="minorHAnsi"/>
                <w:sz w:val="18"/>
                <w:szCs w:val="18"/>
              </w:rPr>
            </w:pPr>
            <w:r w:rsidRPr="00C67737">
              <w:rPr>
                <w:rFonts w:cstheme="minorHAnsi"/>
                <w:sz w:val="18"/>
                <w:szCs w:val="18"/>
              </w:rPr>
              <w:t xml:space="preserve">Draft report </w:t>
            </w:r>
            <w:proofErr w:type="spellStart"/>
            <w:r w:rsidRPr="00C67737">
              <w:rPr>
                <w:rFonts w:cstheme="minorHAnsi"/>
                <w:sz w:val="18"/>
                <w:szCs w:val="18"/>
              </w:rPr>
              <w:t>available</w:t>
            </w:r>
            <w:proofErr w:type="spellEnd"/>
          </w:p>
        </w:tc>
      </w:tr>
      <w:tr w:rsidR="007978C3" w:rsidRPr="00C67737" w14:paraId="20B6E3BA"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9741B1" w14:textId="77777777" w:rsidR="007978C3" w:rsidRPr="00C67737" w:rsidRDefault="007978C3" w:rsidP="00D22022">
            <w:pPr>
              <w:rPr>
                <w:rFonts w:cstheme="minorHAnsi"/>
                <w:sz w:val="18"/>
                <w:szCs w:val="18"/>
              </w:rPr>
            </w:pPr>
            <w:r w:rsidRPr="00C67737">
              <w:rPr>
                <w:rFonts w:cstheme="minorHAnsi"/>
                <w:sz w:val="18"/>
                <w:szCs w:val="18"/>
              </w:rPr>
              <w:t>Seychelles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BFEF0E"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2B810" w14:textId="77777777" w:rsidR="007978C3" w:rsidRPr="00C67737" w:rsidRDefault="007978C3" w:rsidP="00D22022">
            <w:pPr>
              <w:jc w:val="center"/>
              <w:rPr>
                <w:rFonts w:cstheme="minorHAnsi"/>
                <w:sz w:val="18"/>
                <w:szCs w:val="18"/>
              </w:rPr>
            </w:pPr>
            <w:r w:rsidRPr="00C67737">
              <w:rPr>
                <w:rFonts w:cstheme="minorHAnsi"/>
                <w:sz w:val="18"/>
                <w:szCs w:val="18"/>
              </w:rPr>
              <w:t>07/05/2026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9C1EB3"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52672F"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4D4BB8"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5E9CEC" w14:textId="77777777" w:rsidR="007978C3" w:rsidRPr="00C67737" w:rsidRDefault="007978C3" w:rsidP="00D22022">
            <w:pPr>
              <w:rPr>
                <w:rFonts w:cstheme="minorHAnsi"/>
                <w:sz w:val="18"/>
                <w:szCs w:val="18"/>
              </w:rPr>
            </w:pPr>
            <w:r w:rsidRPr="00C67737">
              <w:rPr>
                <w:rFonts w:cstheme="minorHAnsi"/>
                <w:sz w:val="18"/>
                <w:szCs w:val="18"/>
              </w:rPr>
              <w:t xml:space="preserve">Draft report </w:t>
            </w:r>
            <w:proofErr w:type="spellStart"/>
            <w:r w:rsidRPr="00C67737">
              <w:rPr>
                <w:rFonts w:cstheme="minorHAnsi"/>
                <w:sz w:val="18"/>
                <w:szCs w:val="18"/>
              </w:rPr>
              <w:t>available</w:t>
            </w:r>
            <w:proofErr w:type="spellEnd"/>
          </w:p>
        </w:tc>
      </w:tr>
      <w:tr w:rsidR="007978C3" w:rsidRPr="00237520" w14:paraId="36D35468"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B0FD1" w14:textId="77777777" w:rsidR="007978C3" w:rsidRPr="00C67737" w:rsidRDefault="007978C3" w:rsidP="00D22022">
            <w:pPr>
              <w:rPr>
                <w:rFonts w:cstheme="minorHAnsi"/>
                <w:sz w:val="18"/>
                <w:szCs w:val="18"/>
              </w:rPr>
            </w:pPr>
            <w:r w:rsidRPr="00C67737">
              <w:rPr>
                <w:rFonts w:cstheme="minorHAnsi"/>
                <w:sz w:val="18"/>
                <w:szCs w:val="18"/>
              </w:rPr>
              <w:t>Sierra Leone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AA9614"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4C25E0" w14:textId="77777777" w:rsidR="007978C3" w:rsidRPr="00C67737" w:rsidRDefault="007978C3" w:rsidP="00D22022">
            <w:pPr>
              <w:jc w:val="center"/>
              <w:rPr>
                <w:rFonts w:cstheme="minorHAnsi"/>
                <w:sz w:val="18"/>
                <w:szCs w:val="18"/>
              </w:rPr>
            </w:pPr>
            <w:r w:rsidRPr="00C67737">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55ED72"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831DE9"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1F31E9" w14:textId="77777777" w:rsidR="007978C3" w:rsidRPr="00C67737" w:rsidRDefault="007978C3" w:rsidP="00D22022">
            <w:pPr>
              <w:jc w:val="center"/>
              <w:rPr>
                <w:rFonts w:cstheme="minorHAnsi"/>
                <w:sz w:val="18"/>
                <w:szCs w:val="18"/>
              </w:rPr>
            </w:pPr>
            <w:r w:rsidRPr="00C67737">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CA8F4F"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CE8B777"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15E6FF90"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59DD24" w14:textId="77777777" w:rsidR="007978C3" w:rsidRPr="00C67737" w:rsidRDefault="007978C3" w:rsidP="00D22022">
            <w:pPr>
              <w:rPr>
                <w:rFonts w:cstheme="minorHAnsi"/>
                <w:sz w:val="18"/>
                <w:szCs w:val="18"/>
              </w:rPr>
            </w:pPr>
            <w:r w:rsidRPr="00C67737">
              <w:rPr>
                <w:rFonts w:cstheme="minorHAnsi"/>
                <w:sz w:val="18"/>
                <w:szCs w:val="18"/>
              </w:rPr>
              <w:lastRenderedPageBreak/>
              <w:t>Solomon Islands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85933B"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6E2084"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238DF"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ACC9CF"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C6DB58"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D9B44F"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SSFA project documentation from the country</w:t>
            </w:r>
          </w:p>
        </w:tc>
      </w:tr>
      <w:tr w:rsidR="007978C3" w:rsidRPr="00237520" w14:paraId="7E642532"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6E804" w14:textId="77777777" w:rsidR="007978C3" w:rsidRPr="00C67737" w:rsidRDefault="007978C3" w:rsidP="00D22022">
            <w:pPr>
              <w:rPr>
                <w:rFonts w:cstheme="minorHAnsi"/>
                <w:sz w:val="18"/>
                <w:szCs w:val="18"/>
              </w:rPr>
            </w:pPr>
            <w:r w:rsidRPr="00C67737">
              <w:rPr>
                <w:rFonts w:cstheme="minorHAnsi"/>
                <w:sz w:val="18"/>
                <w:szCs w:val="18"/>
              </w:rPr>
              <w:t xml:space="preserve">South </w:t>
            </w:r>
            <w:proofErr w:type="spellStart"/>
            <w:r w:rsidRPr="00C67737">
              <w:rPr>
                <w:rFonts w:cstheme="minorHAnsi"/>
                <w:sz w:val="18"/>
                <w:szCs w:val="18"/>
              </w:rPr>
              <w:t>Africa</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FBDD8"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02B986"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40A0C"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5222F6"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3FE7A" w14:textId="77777777" w:rsidR="007978C3" w:rsidRPr="00C67737" w:rsidRDefault="007978C3" w:rsidP="00D22022">
            <w:pPr>
              <w:jc w:val="center"/>
              <w:rPr>
                <w:rFonts w:cstheme="minorHAnsi"/>
                <w:sz w:val="18"/>
                <w:szCs w:val="18"/>
              </w:rPr>
            </w:pPr>
            <w:r w:rsidRPr="00C67737">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165BC2"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63CB03F8"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SSFA project documentation from the country</w:t>
            </w:r>
          </w:p>
        </w:tc>
      </w:tr>
      <w:tr w:rsidR="007978C3" w:rsidRPr="00237520" w14:paraId="349C1731"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3E2C7" w14:textId="77777777" w:rsidR="007978C3" w:rsidRPr="00C67737" w:rsidRDefault="007978C3" w:rsidP="00D22022">
            <w:pPr>
              <w:rPr>
                <w:rFonts w:cstheme="minorHAnsi"/>
                <w:sz w:val="18"/>
                <w:szCs w:val="18"/>
              </w:rPr>
            </w:pPr>
            <w:r w:rsidRPr="00C67737">
              <w:rPr>
                <w:rFonts w:cstheme="minorHAnsi"/>
                <w:sz w:val="18"/>
                <w:szCs w:val="18"/>
              </w:rPr>
              <w:t>St Lucia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4FD09F"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0345EB"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E2043"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886A7"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62861E"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FF162"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SSFA project documentation from the country</w:t>
            </w:r>
          </w:p>
        </w:tc>
      </w:tr>
      <w:tr w:rsidR="007978C3" w:rsidRPr="00237520" w14:paraId="551FC87F"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27D6D" w14:textId="77777777" w:rsidR="007978C3" w:rsidRPr="00C67737" w:rsidRDefault="007978C3" w:rsidP="00D22022">
            <w:pPr>
              <w:rPr>
                <w:rFonts w:cstheme="minorHAnsi"/>
                <w:sz w:val="18"/>
                <w:szCs w:val="18"/>
              </w:rPr>
            </w:pPr>
            <w:proofErr w:type="spellStart"/>
            <w:r w:rsidRPr="00C67737">
              <w:rPr>
                <w:rFonts w:cstheme="minorHAnsi"/>
                <w:sz w:val="18"/>
                <w:szCs w:val="18"/>
              </w:rPr>
              <w:t>Sudan</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02BB81"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E015D6" w14:textId="77777777" w:rsidR="007978C3" w:rsidRPr="00C67737" w:rsidRDefault="007978C3" w:rsidP="00D22022">
            <w:pPr>
              <w:jc w:val="center"/>
              <w:rPr>
                <w:rFonts w:cstheme="minorHAnsi"/>
                <w:sz w:val="18"/>
                <w:szCs w:val="18"/>
              </w:rPr>
            </w:pPr>
            <w:r w:rsidRPr="00C67737">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B281A4"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2454AE"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18AD4" w14:textId="77777777" w:rsidR="007978C3" w:rsidRPr="00C67737" w:rsidRDefault="007978C3" w:rsidP="00D22022">
            <w:pPr>
              <w:jc w:val="center"/>
              <w:rPr>
                <w:rFonts w:cstheme="minorHAnsi"/>
                <w:sz w:val="18"/>
                <w:szCs w:val="18"/>
              </w:rPr>
            </w:pPr>
            <w:r w:rsidRPr="00C67737">
              <w:rPr>
                <w:rFonts w:cstheme="minorHAns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C7A4FC"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27111357"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64EB19FA"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5B8C73" w14:textId="77777777" w:rsidR="007978C3" w:rsidRPr="00C67737" w:rsidRDefault="007978C3" w:rsidP="00D22022">
            <w:pPr>
              <w:rPr>
                <w:rFonts w:cstheme="minorHAnsi"/>
                <w:sz w:val="18"/>
                <w:szCs w:val="18"/>
              </w:rPr>
            </w:pPr>
            <w:proofErr w:type="spellStart"/>
            <w:r w:rsidRPr="00C67737">
              <w:rPr>
                <w:rFonts w:cstheme="minorHAnsi"/>
                <w:sz w:val="18"/>
                <w:szCs w:val="18"/>
              </w:rPr>
              <w:t>Tajikistan</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27E93A"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2B1A8E" w14:textId="77777777" w:rsidR="007978C3" w:rsidRPr="00C67737" w:rsidRDefault="007978C3" w:rsidP="00D22022">
            <w:pPr>
              <w:jc w:val="center"/>
              <w:rPr>
                <w:rFonts w:cstheme="minorHAnsi"/>
                <w:sz w:val="18"/>
                <w:szCs w:val="18"/>
              </w:rPr>
            </w:pPr>
            <w:r w:rsidRPr="00C67737">
              <w:rPr>
                <w:rFonts w:cstheme="minorHAnsi"/>
                <w:sz w:val="18"/>
                <w:szCs w:val="18"/>
              </w:rPr>
              <w:t>17/03/2026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A6942C"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8F4CFA"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88E95D" w14:textId="77777777" w:rsidR="007978C3" w:rsidRPr="00C67737" w:rsidRDefault="007978C3" w:rsidP="00D22022">
            <w:pPr>
              <w:jc w:val="center"/>
              <w:rPr>
                <w:rFonts w:cstheme="minorHAnsi"/>
                <w:sz w:val="18"/>
                <w:szCs w:val="18"/>
              </w:rPr>
            </w:pPr>
            <w:r w:rsidRPr="00C67737">
              <w:rPr>
                <w:rFonts w:cstheme="minorHAnsi"/>
                <w:sz w:val="18"/>
                <w:szCs w:val="18"/>
              </w:rPr>
              <w:t>2/03/2026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6D66C3"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000BEF61"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28116A6C"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508AF0" w14:textId="77777777" w:rsidR="007978C3" w:rsidRPr="00C67737" w:rsidRDefault="007978C3" w:rsidP="00D22022">
            <w:pPr>
              <w:rPr>
                <w:rFonts w:cstheme="minorHAnsi"/>
                <w:sz w:val="18"/>
                <w:szCs w:val="18"/>
              </w:rPr>
            </w:pPr>
            <w:r w:rsidRPr="00C67737">
              <w:rPr>
                <w:rFonts w:cstheme="minorHAnsi"/>
                <w:sz w:val="18"/>
                <w:szCs w:val="18"/>
              </w:rPr>
              <w:t>Tanzania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EED0DB"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CF6030" w14:textId="77777777" w:rsidR="007978C3" w:rsidRPr="00C67737" w:rsidRDefault="007978C3" w:rsidP="00D22022">
            <w:pPr>
              <w:jc w:val="center"/>
              <w:rPr>
                <w:rFonts w:cstheme="minorHAnsi"/>
                <w:sz w:val="18"/>
                <w:szCs w:val="18"/>
              </w:rPr>
            </w:pPr>
            <w:r w:rsidRPr="00C67737">
              <w:rPr>
                <w:rFonts w:cstheme="minorHAns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A9EA60"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15604"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9DBBEE"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3F89A2"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1E33109F"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288D9F3E"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C6FBA" w14:textId="77777777" w:rsidR="007978C3" w:rsidRPr="00C67737" w:rsidRDefault="007978C3" w:rsidP="00D22022">
            <w:pPr>
              <w:rPr>
                <w:rFonts w:cstheme="minorHAnsi"/>
                <w:sz w:val="18"/>
                <w:szCs w:val="18"/>
              </w:rPr>
            </w:pPr>
            <w:r w:rsidRPr="00C67737">
              <w:rPr>
                <w:rFonts w:cstheme="minorHAnsi"/>
                <w:sz w:val="18"/>
                <w:szCs w:val="18"/>
              </w:rPr>
              <w:t>Togo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C6F8C8"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42CBB3" w14:textId="77777777" w:rsidR="007978C3" w:rsidRPr="00C67737" w:rsidRDefault="007978C3" w:rsidP="00D22022">
            <w:pPr>
              <w:jc w:val="center"/>
              <w:rPr>
                <w:rFonts w:cstheme="minorHAnsi"/>
                <w:sz w:val="18"/>
                <w:szCs w:val="18"/>
              </w:rPr>
            </w:pPr>
            <w:r w:rsidRPr="00C67737">
              <w:rPr>
                <w:rFonts w:cstheme="minorHAnsi"/>
                <w:sz w:val="18"/>
                <w:szCs w:val="18"/>
              </w:rPr>
              <w:t>20/11/2025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8D70F6"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36C86"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D744BF" w14:textId="77777777" w:rsidR="007978C3" w:rsidRPr="00C67737" w:rsidRDefault="007978C3" w:rsidP="00D22022">
            <w:pPr>
              <w:jc w:val="center"/>
              <w:rPr>
                <w:rFonts w:cstheme="minorHAnsi"/>
                <w:sz w:val="18"/>
                <w:szCs w:val="18"/>
              </w:rPr>
            </w:pPr>
            <w:r w:rsidRPr="00C67737">
              <w:rPr>
                <w:rFonts w:cstheme="minorHAnsi"/>
                <w:sz w:val="18"/>
                <w:szCs w:val="18"/>
              </w:rPr>
              <w:t>17/02/2026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7514B9"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56A8E608"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331D388A"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22DB4C" w14:textId="77777777" w:rsidR="007978C3" w:rsidRPr="00C67737" w:rsidRDefault="007978C3" w:rsidP="00D22022">
            <w:pPr>
              <w:rPr>
                <w:rFonts w:cstheme="minorHAnsi"/>
                <w:sz w:val="18"/>
                <w:szCs w:val="18"/>
              </w:rPr>
            </w:pPr>
            <w:r w:rsidRPr="00C67737">
              <w:rPr>
                <w:rFonts w:cstheme="minorHAnsi"/>
                <w:sz w:val="18"/>
                <w:szCs w:val="18"/>
              </w:rPr>
              <w:t>Tonga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3E147"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264580" w14:textId="77777777" w:rsidR="007978C3" w:rsidRPr="00C67737" w:rsidRDefault="007978C3" w:rsidP="00D22022">
            <w:pPr>
              <w:jc w:val="center"/>
              <w:rPr>
                <w:rFonts w:cstheme="minorHAnsi"/>
                <w:sz w:val="18"/>
                <w:szCs w:val="18"/>
              </w:rPr>
            </w:pPr>
            <w:r w:rsidRPr="00C67737">
              <w:rPr>
                <w:rFonts w:cstheme="minorHAnsi"/>
                <w:sz w:val="18"/>
                <w:szCs w:val="18"/>
              </w:rPr>
              <w:t>02/03/2026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44F7C5"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E22A38"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7A5E2B"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7B5775"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0CD71A6B"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C67737" w14:paraId="68F3C713"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0ECC6B" w14:textId="77777777" w:rsidR="007978C3" w:rsidRPr="00C67737" w:rsidRDefault="007978C3" w:rsidP="00D22022">
            <w:pPr>
              <w:rPr>
                <w:rFonts w:cstheme="minorHAnsi"/>
                <w:sz w:val="18"/>
                <w:szCs w:val="18"/>
              </w:rPr>
            </w:pPr>
            <w:r w:rsidRPr="00C67737">
              <w:rPr>
                <w:rFonts w:cstheme="minorHAnsi"/>
                <w:sz w:val="18"/>
                <w:szCs w:val="18"/>
              </w:rPr>
              <w:t>Tunisia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4E6E1"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DA46EB" w14:textId="77777777" w:rsidR="007978C3" w:rsidRPr="00C67737" w:rsidRDefault="007978C3" w:rsidP="00D22022">
            <w:pPr>
              <w:jc w:val="center"/>
              <w:rPr>
                <w:rFonts w:cstheme="minorHAnsi"/>
                <w:sz w:val="18"/>
                <w:szCs w:val="18"/>
              </w:rPr>
            </w:pPr>
            <w:r w:rsidRPr="00C67737">
              <w:rPr>
                <w:rFonts w:cstheme="minorHAnsi"/>
                <w:sz w:val="18"/>
                <w:szCs w:val="18"/>
              </w:rPr>
              <w:t>03/03/2026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DF758B"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AD3CF9"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08F075"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D5D5E" w14:textId="77777777" w:rsidR="007978C3" w:rsidRPr="00C67737" w:rsidRDefault="007978C3" w:rsidP="00D22022">
            <w:pPr>
              <w:rPr>
                <w:rFonts w:cstheme="minorHAnsi"/>
                <w:sz w:val="18"/>
                <w:szCs w:val="18"/>
              </w:rPr>
            </w:pPr>
            <w:r w:rsidRPr="00C67737">
              <w:rPr>
                <w:rFonts w:cstheme="minorHAnsi"/>
                <w:sz w:val="18"/>
                <w:szCs w:val="18"/>
              </w:rPr>
              <w:t>Data collection phase</w:t>
            </w:r>
          </w:p>
        </w:tc>
      </w:tr>
      <w:tr w:rsidR="007978C3" w:rsidRPr="00237520" w14:paraId="6D7C637B"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906BB" w14:textId="77777777" w:rsidR="007978C3" w:rsidRPr="00C67737" w:rsidRDefault="007978C3" w:rsidP="00D22022">
            <w:pPr>
              <w:rPr>
                <w:rFonts w:cstheme="minorHAnsi"/>
                <w:sz w:val="18"/>
                <w:szCs w:val="18"/>
              </w:rPr>
            </w:pPr>
            <w:proofErr w:type="spellStart"/>
            <w:r w:rsidRPr="00C67737">
              <w:rPr>
                <w:rFonts w:cstheme="minorHAnsi"/>
                <w:sz w:val="18"/>
                <w:szCs w:val="18"/>
              </w:rPr>
              <w:t>Turkmenistan</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F4242E"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1CB015" w14:textId="77777777" w:rsidR="007978C3" w:rsidRPr="00C67737" w:rsidRDefault="007978C3" w:rsidP="00D22022">
            <w:pPr>
              <w:jc w:val="center"/>
              <w:rPr>
                <w:rFonts w:cstheme="minorHAnsi"/>
                <w:sz w:val="18"/>
                <w:szCs w:val="18"/>
              </w:rPr>
            </w:pPr>
            <w:r w:rsidRPr="00C67737">
              <w:rPr>
                <w:rFonts w:cstheme="minorHAnsi"/>
                <w:sz w:val="18"/>
                <w:szCs w:val="18"/>
              </w:rPr>
              <w:t>10/04/2026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BF863"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94B106"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822D2" w14:textId="77777777" w:rsidR="007978C3" w:rsidRPr="00C67737" w:rsidRDefault="007978C3" w:rsidP="00D22022">
            <w:pPr>
              <w:jc w:val="center"/>
              <w:rPr>
                <w:rFonts w:cstheme="minorHAnsi"/>
                <w:sz w:val="18"/>
                <w:szCs w:val="18"/>
              </w:rPr>
            </w:pPr>
            <w:r w:rsidRPr="00C67737">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3CC501"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5E5E94B9" w14:textId="77777777" w:rsidR="007978C3" w:rsidRPr="007978C3" w:rsidRDefault="007978C3" w:rsidP="00D22022">
            <w:pPr>
              <w:rPr>
                <w:rFonts w:cstheme="minorHAnsi"/>
                <w:sz w:val="18"/>
                <w:szCs w:val="18"/>
                <w:lang w:val="en-US"/>
              </w:rPr>
            </w:pPr>
            <w:r w:rsidRPr="007978C3">
              <w:rPr>
                <w:rFonts w:cstheme="minorHAnsi"/>
                <w:sz w:val="18"/>
                <w:szCs w:val="18"/>
                <w:lang w:val="en-US"/>
              </w:rPr>
              <w:t xml:space="preserve">Awaiting final project narrative and expenditure reports submission </w:t>
            </w:r>
          </w:p>
        </w:tc>
      </w:tr>
      <w:tr w:rsidR="007978C3" w:rsidRPr="00C67737" w14:paraId="3618A590"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016390" w14:textId="77777777" w:rsidR="007978C3" w:rsidRPr="00C67737" w:rsidRDefault="007978C3" w:rsidP="00D22022">
            <w:pPr>
              <w:rPr>
                <w:rFonts w:cstheme="minorHAnsi"/>
                <w:sz w:val="18"/>
                <w:szCs w:val="18"/>
              </w:rPr>
            </w:pPr>
            <w:r w:rsidRPr="00C67737">
              <w:rPr>
                <w:rFonts w:cstheme="minorHAnsi"/>
                <w:sz w:val="18"/>
                <w:szCs w:val="18"/>
              </w:rPr>
              <w:t>Tuvalu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556B25"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C507F" w14:textId="77777777" w:rsidR="007978C3" w:rsidRPr="00C67737" w:rsidRDefault="007978C3" w:rsidP="00D22022">
            <w:pPr>
              <w:jc w:val="center"/>
              <w:rPr>
                <w:rFonts w:cstheme="minorHAnsi"/>
                <w:sz w:val="18"/>
                <w:szCs w:val="18"/>
              </w:rPr>
            </w:pPr>
            <w:r w:rsidRPr="00C67737">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8DABF"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DCBD96"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1E20E"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2A26A0" w14:textId="77777777" w:rsidR="007978C3" w:rsidRPr="00C67737" w:rsidRDefault="007978C3" w:rsidP="00D22022">
            <w:pPr>
              <w:rPr>
                <w:rFonts w:cstheme="minorHAnsi"/>
                <w:sz w:val="18"/>
                <w:szCs w:val="18"/>
              </w:rPr>
            </w:pPr>
            <w:r w:rsidRPr="00C67737">
              <w:rPr>
                <w:rFonts w:cstheme="minorHAnsi"/>
                <w:sz w:val="18"/>
                <w:szCs w:val="18"/>
              </w:rPr>
              <w:t xml:space="preserve">Draft report </w:t>
            </w:r>
            <w:proofErr w:type="spellStart"/>
            <w:r w:rsidRPr="00C67737">
              <w:rPr>
                <w:rFonts w:cstheme="minorHAnsi"/>
                <w:sz w:val="18"/>
                <w:szCs w:val="18"/>
              </w:rPr>
              <w:t>available</w:t>
            </w:r>
            <w:proofErr w:type="spellEnd"/>
          </w:p>
        </w:tc>
      </w:tr>
      <w:tr w:rsidR="007978C3" w:rsidRPr="00237520" w14:paraId="5F63691A"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944C31" w14:textId="77777777" w:rsidR="007978C3" w:rsidRPr="00C67737" w:rsidRDefault="007978C3" w:rsidP="00D22022">
            <w:pPr>
              <w:rPr>
                <w:rFonts w:cstheme="minorHAnsi"/>
                <w:sz w:val="18"/>
                <w:szCs w:val="18"/>
              </w:rPr>
            </w:pPr>
            <w:r w:rsidRPr="00C67737">
              <w:rPr>
                <w:rFonts w:cstheme="minorHAnsi"/>
                <w:sz w:val="18"/>
                <w:szCs w:val="18"/>
              </w:rPr>
              <w:t>Uganda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3BED8F"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56728"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234C10"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29D62E"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A90C9" w14:textId="77777777" w:rsidR="007978C3" w:rsidRPr="00C67737" w:rsidRDefault="007978C3" w:rsidP="00D22022">
            <w:pPr>
              <w:jc w:val="center"/>
              <w:rPr>
                <w:rFonts w:cstheme="minorHAnsi"/>
                <w:sz w:val="18"/>
                <w:szCs w:val="18"/>
              </w:rPr>
            </w:pPr>
            <w:r w:rsidRPr="00C67737">
              <w:rPr>
                <w:rFonts w:cstheme="minorHAnsi"/>
                <w:sz w:val="18"/>
                <w:szCs w:val="18"/>
              </w:rPr>
              <w:t>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611BFB"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057B1F10"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the signed SSFA from the country</w:t>
            </w:r>
          </w:p>
        </w:tc>
      </w:tr>
      <w:tr w:rsidR="007978C3" w:rsidRPr="00237520" w14:paraId="59DD1BF3"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3E9F1" w14:textId="77777777" w:rsidR="007978C3" w:rsidRPr="00C67737" w:rsidRDefault="007978C3" w:rsidP="00D22022">
            <w:pPr>
              <w:rPr>
                <w:rFonts w:cstheme="minorHAnsi"/>
                <w:sz w:val="18"/>
                <w:szCs w:val="18"/>
              </w:rPr>
            </w:pPr>
            <w:r w:rsidRPr="00C67737">
              <w:rPr>
                <w:rFonts w:cstheme="minorHAnsi"/>
                <w:sz w:val="18"/>
                <w:szCs w:val="18"/>
              </w:rPr>
              <w:t>Uruguay</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F26E76"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46947" w14:textId="77777777" w:rsidR="007978C3" w:rsidRPr="00C67737" w:rsidRDefault="007978C3" w:rsidP="00D22022">
            <w:pPr>
              <w:jc w:val="center"/>
              <w:rPr>
                <w:rFonts w:cstheme="minorHAnsi"/>
                <w:sz w:val="18"/>
                <w:szCs w:val="18"/>
              </w:rPr>
            </w:pPr>
            <w:r w:rsidRPr="00C67737">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C79C69"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C85D42"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AE8338"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ECD7CE"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4D1FD938" w14:textId="77777777" w:rsidR="007978C3" w:rsidRPr="007978C3" w:rsidRDefault="007978C3" w:rsidP="00D22022">
            <w:pPr>
              <w:rPr>
                <w:rFonts w:cstheme="minorHAnsi"/>
                <w:sz w:val="18"/>
                <w:szCs w:val="18"/>
                <w:lang w:val="en-US"/>
              </w:rPr>
            </w:pPr>
            <w:r w:rsidRPr="007978C3">
              <w:rPr>
                <w:rFonts w:cstheme="minorHAnsi"/>
                <w:sz w:val="18"/>
                <w:szCs w:val="18"/>
                <w:lang w:val="en-US"/>
              </w:rPr>
              <w:lastRenderedPageBreak/>
              <w:t>Awaiting final project narrative and expenditure reports submission</w:t>
            </w:r>
          </w:p>
        </w:tc>
      </w:tr>
      <w:tr w:rsidR="007978C3" w:rsidRPr="00C67737" w14:paraId="79154311"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6149E" w14:textId="77777777" w:rsidR="007978C3" w:rsidRPr="00C67737" w:rsidRDefault="007978C3" w:rsidP="00D22022">
            <w:pPr>
              <w:rPr>
                <w:rFonts w:cstheme="minorHAnsi"/>
                <w:sz w:val="18"/>
                <w:szCs w:val="18"/>
              </w:rPr>
            </w:pPr>
            <w:r w:rsidRPr="00C67737">
              <w:rPr>
                <w:rFonts w:cstheme="minorHAnsi"/>
                <w:sz w:val="18"/>
                <w:szCs w:val="18"/>
              </w:rPr>
              <w:lastRenderedPageBreak/>
              <w:t>Vanuatu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1B4FC"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8FB3E" w14:textId="77777777" w:rsidR="007978C3" w:rsidRPr="00C67737" w:rsidRDefault="007978C3" w:rsidP="00D22022">
            <w:pPr>
              <w:jc w:val="center"/>
              <w:rPr>
                <w:rFonts w:cstheme="minorHAnsi"/>
                <w:sz w:val="18"/>
                <w:szCs w:val="18"/>
              </w:rPr>
            </w:pPr>
            <w:r w:rsidRPr="00C67737">
              <w:rPr>
                <w:rFonts w:cstheme="minorHAnsi"/>
                <w:sz w:val="18"/>
                <w:szCs w:val="18"/>
              </w:rPr>
              <w:t>13/04/2026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B4F3D"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CBCF91"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E6E9E8"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8496A" w14:textId="77777777" w:rsidR="007978C3" w:rsidRPr="00C67737" w:rsidRDefault="007978C3" w:rsidP="00D22022">
            <w:pPr>
              <w:spacing w:line="257" w:lineRule="auto"/>
              <w:rPr>
                <w:rFonts w:cstheme="minorHAnsi"/>
                <w:sz w:val="18"/>
                <w:szCs w:val="18"/>
              </w:rPr>
            </w:pPr>
            <w:r w:rsidRPr="00C67737">
              <w:rPr>
                <w:rFonts w:cstheme="minorHAnsi"/>
                <w:sz w:val="18"/>
                <w:szCs w:val="18"/>
              </w:rPr>
              <w:t xml:space="preserve">Draft report </w:t>
            </w:r>
            <w:proofErr w:type="spellStart"/>
            <w:r w:rsidRPr="00C67737">
              <w:rPr>
                <w:rFonts w:cstheme="minorHAnsi"/>
                <w:sz w:val="18"/>
                <w:szCs w:val="18"/>
              </w:rPr>
              <w:t>available</w:t>
            </w:r>
            <w:proofErr w:type="spellEnd"/>
          </w:p>
        </w:tc>
      </w:tr>
      <w:tr w:rsidR="007978C3" w:rsidRPr="00237520" w14:paraId="12AE20FE"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AE208" w14:textId="77777777" w:rsidR="007978C3" w:rsidRPr="00C67737" w:rsidRDefault="007978C3" w:rsidP="00D22022">
            <w:pPr>
              <w:rPr>
                <w:rFonts w:cstheme="minorHAnsi"/>
                <w:sz w:val="18"/>
                <w:szCs w:val="18"/>
              </w:rPr>
            </w:pPr>
            <w:r w:rsidRPr="00C67737">
              <w:rPr>
                <w:rFonts w:cstheme="minorHAnsi"/>
                <w:sz w:val="18"/>
                <w:szCs w:val="18"/>
              </w:rPr>
              <w:t>Venezuela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E144F"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E1EE0"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533ABC"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12374"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B9D4DC" w14:textId="77777777" w:rsidR="007978C3" w:rsidRPr="00C67737" w:rsidRDefault="007978C3" w:rsidP="00D22022">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7CCD8"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2DEA5AE7"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documentation from the country</w:t>
            </w:r>
          </w:p>
        </w:tc>
      </w:tr>
      <w:tr w:rsidR="007978C3" w:rsidRPr="00237520" w14:paraId="00CBB117"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47848" w14:textId="77777777" w:rsidR="007978C3" w:rsidRPr="00C67737" w:rsidRDefault="007978C3" w:rsidP="00D22022">
            <w:pPr>
              <w:rPr>
                <w:rFonts w:cstheme="minorHAnsi"/>
                <w:sz w:val="18"/>
                <w:szCs w:val="18"/>
              </w:rPr>
            </w:pPr>
            <w:proofErr w:type="spellStart"/>
            <w:r w:rsidRPr="00C67737">
              <w:rPr>
                <w:rFonts w:cstheme="minorHAnsi"/>
                <w:sz w:val="18"/>
                <w:szCs w:val="18"/>
              </w:rPr>
              <w:t>Yemen</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72AFD"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38F4AA" w14:textId="77777777" w:rsidR="007978C3" w:rsidRPr="00C67737" w:rsidRDefault="007978C3" w:rsidP="00D22022">
            <w:pPr>
              <w:jc w:val="center"/>
              <w:rPr>
                <w:rFonts w:cstheme="minorHAnsi"/>
                <w:sz w:val="18"/>
                <w:szCs w:val="18"/>
              </w:rPr>
            </w:pPr>
            <w:r w:rsidRPr="00C67737">
              <w:rPr>
                <w:rFonts w:cstheme="minorHAns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0F05E9"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62818E"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10EA1F"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F27051" w14:textId="77777777" w:rsidR="007978C3" w:rsidRPr="007978C3" w:rsidRDefault="007978C3" w:rsidP="00D22022">
            <w:pPr>
              <w:rPr>
                <w:rFonts w:cstheme="minorHAnsi"/>
                <w:sz w:val="18"/>
                <w:szCs w:val="18"/>
                <w:lang w:val="en-US"/>
              </w:rPr>
            </w:pPr>
            <w:r w:rsidRPr="007978C3">
              <w:rPr>
                <w:rFonts w:cstheme="minorHAnsi"/>
                <w:sz w:val="18"/>
                <w:szCs w:val="18"/>
                <w:lang w:val="en-US"/>
              </w:rPr>
              <w:t>Draft report available and undergoing validation</w:t>
            </w:r>
          </w:p>
        </w:tc>
      </w:tr>
      <w:tr w:rsidR="007978C3" w:rsidRPr="00237520" w14:paraId="1F4C6470"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574C8" w14:textId="77777777" w:rsidR="007978C3" w:rsidRPr="00C67737" w:rsidRDefault="007978C3" w:rsidP="00D22022">
            <w:pPr>
              <w:rPr>
                <w:rFonts w:cstheme="minorHAnsi"/>
                <w:sz w:val="18"/>
                <w:szCs w:val="18"/>
              </w:rPr>
            </w:pPr>
            <w:proofErr w:type="spellStart"/>
            <w:r w:rsidRPr="00C67737">
              <w:rPr>
                <w:rFonts w:cstheme="minorHAnsi"/>
                <w:sz w:val="18"/>
                <w:szCs w:val="18"/>
              </w:rPr>
              <w:t>Zambia</w:t>
            </w:r>
            <w:proofErr w:type="spellEnd"/>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6DE3B0"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4C3C6" w14:textId="77777777" w:rsidR="007978C3" w:rsidRPr="00C67737" w:rsidRDefault="007978C3" w:rsidP="00D22022">
            <w:pPr>
              <w:jc w:val="center"/>
              <w:rPr>
                <w:rFonts w:cstheme="minorHAnsi"/>
                <w:sz w:val="18"/>
                <w:szCs w:val="18"/>
              </w:rPr>
            </w:pPr>
            <w:r w:rsidRPr="00C67737">
              <w:rPr>
                <w:rFonts w:cstheme="minorHAnsi"/>
                <w:sz w:val="18"/>
                <w:szCs w:val="18"/>
              </w:rPr>
              <w:t>17/12/2025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74338"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FA8F57"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59C7D5" w14:textId="77777777" w:rsidR="007978C3" w:rsidRPr="00C67737" w:rsidRDefault="007978C3" w:rsidP="00D22022">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41E4D"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081B6DB5"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r w:rsidR="007978C3" w:rsidRPr="00237520" w14:paraId="3B30240B" w14:textId="77777777" w:rsidTr="00D22022">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B5F28E" w14:textId="77777777" w:rsidR="007978C3" w:rsidRPr="00C67737" w:rsidRDefault="007978C3" w:rsidP="00D22022">
            <w:pPr>
              <w:rPr>
                <w:rFonts w:cstheme="minorHAnsi"/>
                <w:sz w:val="18"/>
                <w:szCs w:val="18"/>
              </w:rPr>
            </w:pPr>
            <w:r w:rsidRPr="00C67737">
              <w:rPr>
                <w:rFonts w:cstheme="minorHAnsi"/>
                <w:sz w:val="18"/>
                <w:szCs w:val="18"/>
              </w:rPr>
              <w:t>Zimbabwe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271191" w14:textId="77777777" w:rsidR="007978C3" w:rsidRPr="00C67737" w:rsidRDefault="007978C3" w:rsidP="00D22022">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D9DBAA" w14:textId="77777777" w:rsidR="007978C3" w:rsidRPr="00C67737" w:rsidRDefault="007978C3" w:rsidP="00D22022">
            <w:pPr>
              <w:jc w:val="center"/>
              <w:rPr>
                <w:rFonts w:cstheme="minorHAnsi"/>
                <w:sz w:val="18"/>
                <w:szCs w:val="18"/>
              </w:rPr>
            </w:pPr>
            <w:r w:rsidRPr="00C67737">
              <w:rPr>
                <w:rFonts w:cstheme="minorHAnsi"/>
                <w:sz w:val="18"/>
                <w:szCs w:val="18"/>
              </w:rPr>
              <w:t>19/02/2026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CCE97D" w14:textId="77777777" w:rsidR="007978C3" w:rsidRPr="00C67737" w:rsidRDefault="007978C3" w:rsidP="00D22022">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264D5C" w14:textId="77777777" w:rsidR="007978C3" w:rsidRPr="00C67737" w:rsidRDefault="007978C3" w:rsidP="00D22022">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279F2" w14:textId="77777777" w:rsidR="007978C3" w:rsidRPr="00C67737" w:rsidRDefault="007978C3" w:rsidP="00D22022">
            <w:pPr>
              <w:jc w:val="center"/>
              <w:rPr>
                <w:rFonts w:cstheme="minorHAnsi"/>
                <w:sz w:val="18"/>
                <w:szCs w:val="18"/>
              </w:rPr>
            </w:pPr>
            <w:r w:rsidRPr="00C67737">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D033F" w14:textId="77777777" w:rsidR="007978C3" w:rsidRPr="007978C3" w:rsidRDefault="007978C3" w:rsidP="00D22022">
            <w:pPr>
              <w:rPr>
                <w:rFonts w:cstheme="minorHAnsi"/>
                <w:sz w:val="18"/>
                <w:szCs w:val="18"/>
                <w:lang w:val="en-US"/>
              </w:rPr>
            </w:pPr>
            <w:r w:rsidRPr="007978C3">
              <w:rPr>
                <w:rFonts w:cstheme="minorHAnsi"/>
                <w:sz w:val="18"/>
                <w:szCs w:val="18"/>
                <w:lang w:val="en-US"/>
              </w:rPr>
              <w:t>1st national report submitted.</w:t>
            </w:r>
          </w:p>
          <w:p w14:paraId="7832428D" w14:textId="77777777" w:rsidR="007978C3" w:rsidRPr="007978C3" w:rsidRDefault="007978C3" w:rsidP="00D22022">
            <w:pPr>
              <w:rPr>
                <w:rFonts w:cstheme="minorHAnsi"/>
                <w:sz w:val="18"/>
                <w:szCs w:val="18"/>
                <w:lang w:val="en-US"/>
              </w:rPr>
            </w:pPr>
            <w:r w:rsidRPr="007978C3">
              <w:rPr>
                <w:rFonts w:cstheme="minorHAnsi"/>
                <w:sz w:val="18"/>
                <w:szCs w:val="18"/>
                <w:lang w:val="en-US"/>
              </w:rPr>
              <w:t>Awaiting final project narrative and expenditure reports submission</w:t>
            </w:r>
          </w:p>
        </w:tc>
      </w:tr>
    </w:tbl>
    <w:p w14:paraId="48C06CCC" w14:textId="77777777" w:rsidR="003647FE" w:rsidRPr="005576FA" w:rsidRDefault="003647FE" w:rsidP="003647FE">
      <w:pPr>
        <w:rPr>
          <w:lang w:val="en-US"/>
        </w:rPr>
      </w:pPr>
    </w:p>
    <w:sectPr w:rsidR="003647FE" w:rsidRPr="005576FA" w:rsidSect="002B016E">
      <w:pgSz w:w="15840" w:h="12240" w:orient="landscape"/>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70D18" w14:textId="77777777" w:rsidR="00496489" w:rsidRPr="00C67737" w:rsidRDefault="00496489" w:rsidP="00CB2F0E">
      <w:r w:rsidRPr="00C67737">
        <w:separator/>
      </w:r>
    </w:p>
  </w:endnote>
  <w:endnote w:type="continuationSeparator" w:id="0">
    <w:p w14:paraId="1D4C3C0A" w14:textId="77777777" w:rsidR="00496489" w:rsidRPr="00C67737" w:rsidRDefault="00496489" w:rsidP="00CB2F0E">
      <w:r w:rsidRPr="00C67737">
        <w:continuationSeparator/>
      </w:r>
    </w:p>
  </w:endnote>
  <w:endnote w:type="continuationNotice" w:id="1">
    <w:p w14:paraId="1A232DA1" w14:textId="77777777" w:rsidR="00496489" w:rsidRPr="00C67737" w:rsidRDefault="004964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dobe Garamond Pro">
    <w:charset w:val="00"/>
    <w:family w:val="auto"/>
    <w:pitch w:val="default"/>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Variable Small Light">
    <w:panose1 w:val="00000000000000000000"/>
    <w:charset w:val="00"/>
    <w:family w:val="auto"/>
    <w:pitch w:val="variable"/>
    <w:sig w:usb0="A00002FF" w:usb1="0000000B" w:usb2="00000000" w:usb3="00000000" w:csb0="0000019F" w:csb1="00000000"/>
  </w:font>
  <w:font w:name="Courier">
    <w:panose1 w:val="02070409020205020404"/>
    <w:charset w:val="00"/>
    <w:family w:val="modern"/>
    <w:pitch w:val="fixed"/>
    <w:sig w:usb0="00000003" w:usb1="00000000" w:usb2="00000000" w:usb3="00000000" w:csb0="00000001" w:csb1="00000000"/>
  </w:font>
  <w:font w:name="ZWAdobeF">
    <w:altName w:val="Calibri"/>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E81D" w14:textId="294CB06E" w:rsidR="001639B0" w:rsidRPr="00C67737" w:rsidRDefault="001639B0">
    <w:pPr>
      <w:pStyle w:val="Footer"/>
      <w:jc w:val="center"/>
    </w:pPr>
  </w:p>
  <w:sdt>
    <w:sdtPr>
      <w:id w:val="742452535"/>
      <w:docPartObj>
        <w:docPartGallery w:val="Page Numbers (Bottom of Page)"/>
        <w:docPartUnique/>
      </w:docPartObj>
    </w:sdtPr>
    <w:sdtEndPr/>
    <w:sdtContent>
      <w:p w14:paraId="63C8D2B4" w14:textId="77777777" w:rsidR="001639B0" w:rsidRPr="00C67737" w:rsidRDefault="001639B0">
        <w:pPr>
          <w:pStyle w:val="Footer"/>
          <w:jc w:val="center"/>
        </w:pPr>
        <w:r w:rsidRPr="00C67737">
          <w:fldChar w:fldCharType="begin"/>
        </w:r>
        <w:r w:rsidRPr="00C67737">
          <w:instrText xml:space="preserve"> PAGE   \* MERGEFORMAT </w:instrText>
        </w:r>
        <w:r w:rsidRPr="00C67737">
          <w:fldChar w:fldCharType="separate"/>
        </w:r>
        <w:r w:rsidRPr="00C67737">
          <w:t>2</w:t>
        </w:r>
        <w:r w:rsidRPr="00C67737">
          <w:fldChar w:fldCharType="end"/>
        </w:r>
      </w:p>
    </w:sdtContent>
  </w:sdt>
  <w:p w14:paraId="0D1BE81E" w14:textId="77777777" w:rsidR="00483FC9" w:rsidRPr="00C67737" w:rsidRDefault="00483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21819" w14:textId="050468C7" w:rsidR="00D879EE" w:rsidRPr="00C67737" w:rsidRDefault="00D879EE">
    <w:pPr>
      <w:pStyle w:val="Footer"/>
      <w:jc w:val="center"/>
      <w:rPr>
        <w:sz w:val="20"/>
        <w:szCs w:val="20"/>
      </w:rPr>
    </w:pPr>
  </w:p>
  <w:p w14:paraId="364CADA5" w14:textId="77777777" w:rsidR="00D879EE" w:rsidRPr="00C67737" w:rsidRDefault="00D87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777C2" w14:textId="0FB42ADB" w:rsidR="00D34B61" w:rsidRPr="00C67737" w:rsidRDefault="00496489">
    <w:pPr>
      <w:pStyle w:val="Footer"/>
      <w:jc w:val="center"/>
    </w:pPr>
    <w:sdt>
      <w:sdtPr>
        <w:id w:val="455599111"/>
        <w:docPartObj>
          <w:docPartGallery w:val="Page Numbers (Bottom of Page)"/>
          <w:docPartUnique/>
        </w:docPartObj>
      </w:sdtPr>
      <w:sdtEndPr/>
      <w:sdtContent>
        <w:r w:rsidR="00D34B61" w:rsidRPr="00C67737">
          <w:fldChar w:fldCharType="begin"/>
        </w:r>
        <w:r w:rsidR="00D34B61" w:rsidRPr="00C67737">
          <w:instrText xml:space="preserve"> PAGE   \* MERGEFORMAT </w:instrText>
        </w:r>
        <w:r w:rsidR="00D34B61" w:rsidRPr="00C67737">
          <w:fldChar w:fldCharType="separate"/>
        </w:r>
        <w:r w:rsidR="00D34B61" w:rsidRPr="00C67737">
          <w:t>2</w:t>
        </w:r>
        <w:r w:rsidR="00D34B61" w:rsidRPr="00C67737">
          <w:fldChar w:fldCharType="end"/>
        </w:r>
      </w:sdtContent>
    </w:sdt>
  </w:p>
  <w:p w14:paraId="35A0DB57" w14:textId="77777777" w:rsidR="00D34B61" w:rsidRPr="00C67737" w:rsidRDefault="00D34B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FD95" w14:textId="5564E75C" w:rsidR="003D73C2" w:rsidRPr="00C67737" w:rsidRDefault="00496489">
    <w:pPr>
      <w:pStyle w:val="Footer"/>
      <w:jc w:val="center"/>
    </w:pPr>
    <w:sdt>
      <w:sdtPr>
        <w:id w:val="64387514"/>
        <w:docPartObj>
          <w:docPartGallery w:val="Page Numbers (Bottom of Page)"/>
          <w:docPartUnique/>
        </w:docPartObj>
      </w:sdtPr>
      <w:sdtEndPr/>
      <w:sdtContent>
        <w:r w:rsidR="003D73C2" w:rsidRPr="00C67737">
          <w:fldChar w:fldCharType="begin"/>
        </w:r>
        <w:r w:rsidR="003D73C2" w:rsidRPr="00C67737">
          <w:instrText xml:space="preserve"> PAGE   \* MERGEFORMAT </w:instrText>
        </w:r>
        <w:r w:rsidR="003D73C2" w:rsidRPr="00C67737">
          <w:fldChar w:fldCharType="separate"/>
        </w:r>
        <w:r w:rsidR="003D73C2" w:rsidRPr="00C67737">
          <w:t>2</w:t>
        </w:r>
        <w:r w:rsidR="003D73C2" w:rsidRPr="00C67737">
          <w:fldChar w:fldCharType="end"/>
        </w:r>
      </w:sdtContent>
    </w:sdt>
  </w:p>
  <w:p w14:paraId="1C2D147F" w14:textId="77777777" w:rsidR="003D73C2" w:rsidRPr="00C67737" w:rsidRDefault="003D73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310B" w14:textId="7DD8244D" w:rsidR="006D2491" w:rsidRPr="00C67737" w:rsidRDefault="00496489">
    <w:pPr>
      <w:pStyle w:val="Footer"/>
      <w:jc w:val="center"/>
    </w:pPr>
    <w:sdt>
      <w:sdtPr>
        <w:id w:val="184253430"/>
        <w:docPartObj>
          <w:docPartGallery w:val="Page Numbers (Bottom of Page)"/>
          <w:docPartUnique/>
        </w:docPartObj>
      </w:sdtPr>
      <w:sdtEndPr/>
      <w:sdtContent>
        <w:r w:rsidR="006D2491" w:rsidRPr="00C67737">
          <w:fldChar w:fldCharType="begin"/>
        </w:r>
        <w:r w:rsidR="006D2491" w:rsidRPr="00C67737">
          <w:instrText xml:space="preserve"> PAGE   \* MERGEFORMAT </w:instrText>
        </w:r>
        <w:r w:rsidR="006D2491" w:rsidRPr="00C67737">
          <w:fldChar w:fldCharType="separate"/>
        </w:r>
        <w:r w:rsidR="006D2491" w:rsidRPr="00C67737">
          <w:t>2</w:t>
        </w:r>
        <w:r w:rsidR="006D2491" w:rsidRPr="00C67737">
          <w:fldChar w:fldCharType="end"/>
        </w:r>
      </w:sdtContent>
    </w:sdt>
  </w:p>
  <w:p w14:paraId="01A25CCD" w14:textId="77777777" w:rsidR="006D2491" w:rsidRPr="00C67737" w:rsidRDefault="006D2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4F818" w14:textId="77777777" w:rsidR="00496489" w:rsidRPr="00C67737" w:rsidRDefault="00496489" w:rsidP="00CB2F0E">
      <w:r w:rsidRPr="00C67737">
        <w:separator/>
      </w:r>
    </w:p>
  </w:footnote>
  <w:footnote w:type="continuationSeparator" w:id="0">
    <w:p w14:paraId="3028D5AB" w14:textId="77777777" w:rsidR="00496489" w:rsidRPr="00C67737" w:rsidRDefault="00496489" w:rsidP="00CB2F0E">
      <w:r w:rsidRPr="00C67737">
        <w:continuationSeparator/>
      </w:r>
    </w:p>
  </w:footnote>
  <w:footnote w:type="continuationNotice" w:id="1">
    <w:p w14:paraId="0C60F8D7" w14:textId="77777777" w:rsidR="00496489" w:rsidRPr="00C67737" w:rsidRDefault="00496489"/>
  </w:footnote>
  <w:footnote w:id="2">
    <w:p w14:paraId="425F1DE5" w14:textId="77777777" w:rsidR="000002A0" w:rsidRPr="0024200F" w:rsidRDefault="000002A0" w:rsidP="000002A0">
      <w:pPr>
        <w:pStyle w:val="FootnoteText"/>
      </w:pPr>
      <w:r w:rsidRPr="00307A90">
        <w:rPr>
          <w:rStyle w:val="FootnoteReference"/>
        </w:rPr>
        <w:footnoteRef/>
      </w:r>
      <w:r w:rsidRPr="00307A90">
        <w:t xml:space="preserve"> </w:t>
      </w:r>
      <w:r w:rsidRPr="00420D6A">
        <w:rPr>
          <w:rFonts w:ascii="Times New Roman" w:hAnsi="Times New Roman" w:cs="Times New Roman"/>
          <w:sz w:val="18"/>
          <w:szCs w:val="18"/>
        </w:rPr>
        <w:t>Les annexes au rapport sont diffusées uniquement dans la langue de l’original (anglais).</w:t>
      </w:r>
    </w:p>
  </w:footnote>
  <w:footnote w:id="3">
    <w:p w14:paraId="0402E219" w14:textId="60153C98" w:rsidR="00953257" w:rsidRPr="00C67737" w:rsidRDefault="00953257" w:rsidP="00953257">
      <w:pPr>
        <w:pStyle w:val="FootnoteText"/>
      </w:pPr>
      <w:r>
        <w:rPr>
          <w:rStyle w:val="FootnoteReference"/>
          <w:lang w:val="en-US"/>
        </w:rPr>
        <w:footnoteRef/>
      </w:r>
      <w:r>
        <w:t xml:space="preserve"> Depuis juillet 2022, toutes les propositions soumises au GEF doivent être assorties d’une notation établie selon la méthodologie des marqueurs de Rio relatifs à la diversité biologique du Comité d’aide au développement (CAD) de l’Organisation de coopération et de développement économiques (OCDE). Cette méthodologie permet de suivre l</w:t>
      </w:r>
      <w:r w:rsidR="008D579C">
        <w:t>’</w:t>
      </w:r>
      <w:r>
        <w:t>intégration des objectifs de la Convention sur la diversité biologique (CDB) dans les objectifs du financement du développement, selon qu</w:t>
      </w:r>
      <w:r w:rsidR="008D579C">
        <w:t>’</w:t>
      </w:r>
      <w:r>
        <w:t>ils constituent un objectif principal, un objectif significatif ou que l’activité n’est pas orientée vers cet objectif. Le Secrétariat du GEF procède à un contrôle de la qualité et examine, avant approbation, la cohérence de la notation proposée au titre des marqueurs de Rio pour chaque proposition. Le montant déclaré de 4,64 milliards de dollars correspond au financement total du GEF accordé aux projets approuvés du GEF, visant la biodiversité à titre d’objectif principal ou d</w:t>
      </w:r>
      <w:r w:rsidR="008D579C">
        <w:t>’</w:t>
      </w:r>
      <w:r>
        <w:t xml:space="preserve">objectif significatif. Les financements du domaine d’intervention « diversité biologique » et du GBFF, sources de financement exclusivement consacrées à la biodiversité, sont présentés </w:t>
      </w:r>
      <w:r w:rsidR="00592839">
        <w:t>aux</w:t>
      </w:r>
      <w:r>
        <w:t xml:space="preserve"> sections I.2 et II.</w:t>
      </w:r>
    </w:p>
  </w:footnote>
  <w:footnote w:id="4">
    <w:p w14:paraId="0CBCC137" w14:textId="32B7E09F" w:rsidR="007E247E" w:rsidRPr="00C67737" w:rsidRDefault="007E247E" w:rsidP="000247FC">
      <w:pPr>
        <w:pStyle w:val="FootnoteText"/>
      </w:pPr>
      <w:r>
        <w:rPr>
          <w:rStyle w:val="FootnoteReference"/>
          <w:lang w:val="en-US"/>
        </w:rPr>
        <w:footnoteRef/>
      </w:r>
      <w:r>
        <w:t xml:space="preserve"> https://www.cbd.int/gbf</w:t>
      </w:r>
    </w:p>
  </w:footnote>
  <w:footnote w:id="5">
    <w:p w14:paraId="43DF20C7" w14:textId="2041EB26" w:rsidR="00443A5C" w:rsidRPr="00C67737" w:rsidRDefault="00443A5C" w:rsidP="000247FC">
      <w:pPr>
        <w:pStyle w:val="FootnoteText"/>
      </w:pPr>
      <w:r>
        <w:rPr>
          <w:rStyle w:val="FootnoteReference"/>
          <w:lang w:val="en-US"/>
        </w:rPr>
        <w:footnoteRef/>
      </w:r>
      <w:r>
        <w:t xml:space="preserve"> Depuis juillet 2022, toutes les propositions soumises au GEF doivent être assorties d’une notation établie selon la méthodologie des marqueurs de Rio relatifs à la diversité biologique du Comité d’aide au développement (CAD) de l’Organisation de coopération et de développement économiques (OCDE). Cette méthodologie permet de suivre l</w:t>
      </w:r>
      <w:r w:rsidR="008D579C">
        <w:t>’</w:t>
      </w:r>
      <w:r>
        <w:t>intégration des objectifs de la Convention sur la diversité biologique (CDB) dans les objectifs du financement du développement, selon qu</w:t>
      </w:r>
      <w:r w:rsidR="008D579C">
        <w:t>’</w:t>
      </w:r>
      <w:r>
        <w:t>ils constituent un objectif principal, un objectif significatif ou que l’activité n’est pas orientée vers cet objectif. Le Secrétariat du GEF procède à un contrôle de la qualité et examine, avant approbation, la cohérence de la notation proposée au titre des marqueurs de Rio pour chaque proposition. Le montant déclaré de 4,64 milliards de dollars correspond au financement total du GEF accordé aux projets approuvés du GEF, visant la biodiversité à titre d’objectif principal ou d’objectif significatif. Les financements provenant du domaine d’intervention « diversité biologique » et du GBFF, qui sont des sources de financement exclusivement consacrées à la biodiversité, sont présentés dans les sections I.2 et II.</w:t>
      </w:r>
    </w:p>
  </w:footnote>
  <w:footnote w:id="6">
    <w:p w14:paraId="3C0CA92A" w14:textId="5DA384E6" w:rsidR="008D59FD" w:rsidRPr="00C67737" w:rsidRDefault="008D59FD" w:rsidP="000247FC">
      <w:pPr>
        <w:pStyle w:val="FootnoteText"/>
      </w:pPr>
      <w:r>
        <w:rPr>
          <w:rStyle w:val="FootnoteReference"/>
          <w:lang w:val="en-US"/>
        </w:rPr>
        <w:footnoteRef/>
      </w:r>
      <w:r w:rsidRPr="006C2F5A">
        <w:rPr>
          <w:lang w:val="en-US"/>
        </w:rPr>
        <w:t xml:space="preserve"> </w:t>
      </w:r>
      <w:r w:rsidR="009200BF" w:rsidRPr="00C67737">
        <w:rPr>
          <w:lang w:val="en-US"/>
        </w:rPr>
        <w:t xml:space="preserve">OECD, 2026, </w:t>
      </w:r>
      <w:hyperlink r:id="rId1" w:history="1">
        <w:r w:rsidR="009200BF" w:rsidRPr="00C67737">
          <w:rPr>
            <w:rStyle w:val="Hyperlink"/>
            <w:i/>
            <w:iCs/>
            <w:lang w:val="en-US"/>
          </w:rPr>
          <w:t>Reporting Rio markers and Environmental-related development finance in the OECD Creditor Reporting System (CRS), Handbook for reporters</w:t>
        </w:r>
      </w:hyperlink>
      <w:r w:rsidR="009200BF" w:rsidRPr="00C67737">
        <w:rPr>
          <w:lang w:val="en-US"/>
        </w:rPr>
        <w:t xml:space="preserve">. </w:t>
      </w:r>
      <w:r w:rsidR="009200BF" w:rsidRPr="00237520">
        <w:t>DCD/DAC/</w:t>
      </w:r>
      <w:proofErr w:type="gramStart"/>
      <w:r w:rsidR="009200BF" w:rsidRPr="00237520">
        <w:t>STAT(</w:t>
      </w:r>
      <w:proofErr w:type="gramEnd"/>
      <w:r w:rsidR="009200BF" w:rsidRPr="00237520">
        <w:t>2025)50/REV2</w:t>
      </w:r>
    </w:p>
  </w:footnote>
  <w:footnote w:id="7">
    <w:p w14:paraId="61ADB746" w14:textId="127E174F" w:rsidR="007F6FC9" w:rsidRPr="00C67737" w:rsidRDefault="007F6FC9" w:rsidP="000247FC">
      <w:pPr>
        <w:pStyle w:val="FootnoteText"/>
      </w:pPr>
      <w:r>
        <w:rPr>
          <w:rStyle w:val="FootnoteReference"/>
          <w:lang w:val="en-US"/>
        </w:rPr>
        <w:footnoteRef/>
      </w:r>
      <w:r>
        <w:t xml:space="preserve"> Les chiffres comprennent le financement </w:t>
      </w:r>
      <w:r w:rsidR="007539DA">
        <w:t>pour l</w:t>
      </w:r>
      <w:r>
        <w:t>a préparation de</w:t>
      </w:r>
      <w:r w:rsidR="00532AB6">
        <w:t>s</w:t>
      </w:r>
      <w:r>
        <w:t xml:space="preserve"> projets </w:t>
      </w:r>
      <w:r w:rsidR="00532AB6">
        <w:t xml:space="preserve">(financement PPG) </w:t>
      </w:r>
      <w:r>
        <w:t xml:space="preserve">et les commissions </w:t>
      </w:r>
      <w:r w:rsidR="00532AB6">
        <w:t xml:space="preserve">pour frais </w:t>
      </w:r>
      <w:r>
        <w:t xml:space="preserve">des </w:t>
      </w:r>
      <w:r w:rsidR="00091139">
        <w:t>A</w:t>
      </w:r>
      <w:r>
        <w:t xml:space="preserve">gences. </w:t>
      </w:r>
    </w:p>
  </w:footnote>
  <w:footnote w:id="8">
    <w:p w14:paraId="605CF15D" w14:textId="0817C352" w:rsidR="007F6FC9" w:rsidRPr="00C67737" w:rsidRDefault="007F6FC9" w:rsidP="000247FC">
      <w:pPr>
        <w:pStyle w:val="FootnoteText"/>
      </w:pPr>
      <w:r>
        <w:rPr>
          <w:rStyle w:val="FootnoteReference"/>
          <w:lang w:val="en-US"/>
        </w:rPr>
        <w:footnoteRef/>
      </w:r>
      <w:r>
        <w:t xml:space="preserve">Ce chiffre ne comprend que les ressources STAR au titre de la </w:t>
      </w:r>
      <w:r w:rsidR="003E346F">
        <w:t>Biodiversit</w:t>
      </w:r>
      <w:r w:rsidR="003E346F">
        <w:rPr>
          <w:snapToGrid w:val="0"/>
        </w:rPr>
        <w:t>é</w:t>
      </w:r>
      <w:r>
        <w:t xml:space="preserve"> affectées à des projets nationaux autonomes et à des programmes autres que les programmes intégrés.</w:t>
      </w:r>
    </w:p>
  </w:footnote>
  <w:footnote w:id="9">
    <w:p w14:paraId="68A45D11" w14:textId="45AEEA94" w:rsidR="007F6FC9" w:rsidRPr="00C67737" w:rsidRDefault="007F6FC9" w:rsidP="000247FC">
      <w:pPr>
        <w:pStyle w:val="FootnoteText"/>
      </w:pPr>
      <w:r>
        <w:rPr>
          <w:rStyle w:val="FootnoteReference"/>
          <w:lang w:val="en-US"/>
        </w:rPr>
        <w:footnoteRef/>
      </w:r>
      <w:r>
        <w:t xml:space="preserve"> Financement de la programmation des programmes intégrés, toutes sources de financement confondues. Sur ce montant, 630,2 millions de dollars proviennent des allocations nationales STAR au titre de la </w:t>
      </w:r>
      <w:r w:rsidR="003E346F">
        <w:t>Biodiversit</w:t>
      </w:r>
      <w:r w:rsidR="003E346F">
        <w:rPr>
          <w:snapToGrid w:val="0"/>
        </w:rPr>
        <w:t>é</w:t>
      </w:r>
      <w:r>
        <w:t>destinées aux programmes intégrés, et 279,5 millions de dollars des plateformes mondiales de programmes intégrés relevant du domaine d’intervention « diversité biologique » et de la prime de contrepartie correspondante.</w:t>
      </w:r>
    </w:p>
  </w:footnote>
  <w:footnote w:id="10">
    <w:p w14:paraId="04933EAE" w14:textId="722C947A" w:rsidR="007F6FC9" w:rsidRPr="00C67737" w:rsidRDefault="007F6FC9" w:rsidP="000247FC">
      <w:pPr>
        <w:pStyle w:val="FootnoteText"/>
      </w:pPr>
      <w:r>
        <w:rPr>
          <w:rStyle w:val="FootnoteReference"/>
          <w:lang w:val="en-US"/>
        </w:rPr>
        <w:footnoteRef/>
      </w:r>
      <w:r>
        <w:t xml:space="preserve"> Les autres domaines d’intervention, le Programme de microfinancements (PMF), les </w:t>
      </w:r>
      <w:r w:rsidR="0070208A">
        <w:t>i</w:t>
      </w:r>
      <w:r>
        <w:t>nstruments financiers autres que les aides directes, le guichet innovation ainsi que le FPMA et le FSCC ne comprennent que les projets dont la notation au titre des marqueurs de Rio relatifs à la biodiversité est de 1 ou 2.</w:t>
      </w:r>
    </w:p>
  </w:footnote>
  <w:footnote w:id="11">
    <w:p w14:paraId="3B759198" w14:textId="31EBF711" w:rsidR="00030632" w:rsidRPr="00C67737" w:rsidRDefault="00030632" w:rsidP="000247FC">
      <w:pPr>
        <w:pStyle w:val="FootnoteText"/>
      </w:pPr>
      <w:r>
        <w:rPr>
          <w:rStyle w:val="FootnoteReference"/>
          <w:lang w:val="en-US"/>
        </w:rPr>
        <w:footnoteRef/>
      </w:r>
      <w:r>
        <w:t xml:space="preserve">La </w:t>
      </w:r>
      <w:r w:rsidR="00893B3D">
        <w:t>ventilation</w:t>
      </w:r>
      <w:r>
        <w:t xml:space="preserve"> est établie selon les catégories définies dans les lignes directrices sur le cofinancement </w:t>
      </w:r>
      <w:r w:rsidRPr="001955FD">
        <w:rPr>
          <w:i/>
          <w:iCs/>
        </w:rPr>
        <w:t>(</w:t>
      </w:r>
      <w:hyperlink r:id="rId2" w:history="1">
        <w:r w:rsidRPr="001955FD">
          <w:rPr>
            <w:rStyle w:val="Hyperlink"/>
            <w:i/>
            <w:iCs/>
          </w:rPr>
          <w:t xml:space="preserve">Guidelines on </w:t>
        </w:r>
        <w:proofErr w:type="spellStart"/>
        <w:r w:rsidRPr="001955FD">
          <w:rPr>
            <w:rStyle w:val="Hyperlink"/>
            <w:i/>
            <w:iCs/>
          </w:rPr>
          <w:t>co-financing</w:t>
        </w:r>
        <w:proofErr w:type="spellEnd"/>
      </w:hyperlink>
      <w:r>
        <w:t>, GEF, 2018), à savoir</w:t>
      </w:r>
      <w:r w:rsidR="007E1997">
        <w:t> </w:t>
      </w:r>
      <w:r>
        <w:t>: « </w:t>
      </w:r>
      <w:r w:rsidR="000F12A1">
        <w:t>Agences</w:t>
      </w:r>
      <w:r>
        <w:t xml:space="preserve"> du GEF</w:t>
      </w:r>
      <w:r w:rsidR="007E1997">
        <w:t> </w:t>
      </w:r>
      <w:r>
        <w:t>» désigne les agences partenaires du GEF qui mettent en œuvre le projet ou programme</w:t>
      </w:r>
      <w:r w:rsidR="00EA1F43">
        <w:t> ;</w:t>
      </w:r>
      <w:r>
        <w:t xml:space="preserve"> « Organisme donateur » désigne les organismes d’aide multilatéraux ou bilatéraux</w:t>
      </w:r>
      <w:r w:rsidR="00EA1F43">
        <w:t> ;</w:t>
      </w:r>
      <w:r>
        <w:t xml:space="preserve"> «</w:t>
      </w:r>
      <w:r w:rsidR="001955FD">
        <w:t> </w:t>
      </w:r>
      <w:r>
        <w:t>Gouvernement du pays bénéficiaire</w:t>
      </w:r>
      <w:r w:rsidR="007E1997">
        <w:t> </w:t>
      </w:r>
      <w:r>
        <w:t>» désigne les entités gouvernementales nationales ou infranationales d’un pays bénéficiaire</w:t>
      </w:r>
      <w:r w:rsidR="00EA1F43">
        <w:t> ;</w:t>
      </w:r>
      <w:r>
        <w:t xml:space="preserve"> «</w:t>
      </w:r>
      <w:r w:rsidR="007E1997">
        <w:t> </w:t>
      </w:r>
      <w:r>
        <w:t>Secteur privé</w:t>
      </w:r>
      <w:r w:rsidR="007E1997">
        <w:t> </w:t>
      </w:r>
      <w:r>
        <w:t>» désigne les entités commerciales ou à but lucratif</w:t>
      </w:r>
      <w:r w:rsidR="00EA1F43">
        <w:t> ;</w:t>
      </w:r>
      <w:r>
        <w:t xml:space="preserve"> «</w:t>
      </w:r>
      <w:r w:rsidR="007E1997">
        <w:t> </w:t>
      </w:r>
      <w:r>
        <w:t>Organisation de la société civile</w:t>
      </w:r>
      <w:r w:rsidR="007E1997">
        <w:t> </w:t>
      </w:r>
      <w:r>
        <w:t>» désigne les entités non gouvernementales à but non lucratif</w:t>
      </w:r>
      <w:r w:rsidR="00EA1F43">
        <w:t> ;</w:t>
      </w:r>
      <w:r>
        <w:t xml:space="preserve"> « Bénéficiaires</w:t>
      </w:r>
      <w:r w:rsidR="007E1997">
        <w:t> </w:t>
      </w:r>
      <w:r>
        <w:t>» désigne les personnes ou les communautés qui bénéficient directement du projet ou programme</w:t>
      </w:r>
      <w:r w:rsidR="00EA1F43">
        <w:t> ;</w:t>
      </w:r>
      <w:r>
        <w:t xml:space="preserve"> et « Autres » désigne les autres sources de cofinancement ne correspondant à aucune des catégories ci-dessus.</w:t>
      </w:r>
    </w:p>
  </w:footnote>
  <w:footnote w:id="12">
    <w:p w14:paraId="56722918" w14:textId="73E37EEB" w:rsidR="007F6FC9" w:rsidRPr="00C67737" w:rsidRDefault="007F6FC9" w:rsidP="000247FC">
      <w:pPr>
        <w:pStyle w:val="FootnoteText"/>
      </w:pPr>
      <w:r>
        <w:rPr>
          <w:rStyle w:val="FootnoteReference"/>
          <w:lang w:val="en-US"/>
        </w:rPr>
        <w:footnoteRef/>
      </w:r>
      <w:r>
        <w:t xml:space="preserve"> Les chiffres comprennent le financemen</w:t>
      </w:r>
      <w:r w:rsidR="00E80FF9">
        <w:t xml:space="preserve">t </w:t>
      </w:r>
      <w:r w:rsidR="00FA4AAB">
        <w:t>PPG</w:t>
      </w:r>
      <w:r>
        <w:t xml:space="preserve"> et les commissions </w:t>
      </w:r>
      <w:r w:rsidR="0007226D">
        <w:t xml:space="preserve">pour frais </w:t>
      </w:r>
      <w:r>
        <w:t xml:space="preserve">des </w:t>
      </w:r>
      <w:r w:rsidR="000F12A1">
        <w:t>A</w:t>
      </w:r>
      <w:r>
        <w:t xml:space="preserve">gences. </w:t>
      </w:r>
    </w:p>
  </w:footnote>
  <w:footnote w:id="13">
    <w:p w14:paraId="0B9EEFD0" w14:textId="66D2762D" w:rsidR="00730C4D" w:rsidRPr="00C67737" w:rsidRDefault="00730C4D" w:rsidP="000247FC">
      <w:pPr>
        <w:pStyle w:val="FootnoteText"/>
      </w:pPr>
      <w:r>
        <w:rPr>
          <w:rStyle w:val="FootnoteReference"/>
          <w:lang w:val="en-US"/>
        </w:rPr>
        <w:footnoteRef/>
      </w:r>
      <w:r>
        <w:t xml:space="preserve">La liste complète des cibles du KMGBF, accompagnées de notes de référence, est disponible sur le site Web de la </w:t>
      </w:r>
      <w:hyperlink r:id="rId3" w:history="1">
        <w:r>
          <w:rPr>
            <w:rStyle w:val="Hyperlink"/>
          </w:rPr>
          <w:t>CDB</w:t>
        </w:r>
      </w:hyperlink>
      <w:r>
        <w:t>.</w:t>
      </w:r>
    </w:p>
  </w:footnote>
  <w:footnote w:id="14">
    <w:p w14:paraId="6BF6462E" w14:textId="59AF87AE" w:rsidR="006C3F9B" w:rsidRPr="00C67737" w:rsidRDefault="006C3F9B" w:rsidP="006C3F9B">
      <w:pPr>
        <w:spacing w:before="100"/>
        <w:rPr>
          <w:sz w:val="18"/>
        </w:rPr>
      </w:pPr>
      <w:r>
        <w:rPr>
          <w:rStyle w:val="FootnoteReference"/>
        </w:rPr>
        <w:footnoteRef/>
      </w:r>
      <w:r w:rsidRPr="00C11942">
        <w:rPr>
          <w:sz w:val="18"/>
        </w:rPr>
        <w:t>Ce tableau présente les contributions directes de ces programmes intégrés à l</w:t>
      </w:r>
      <w:r w:rsidR="008D579C">
        <w:rPr>
          <w:sz w:val="18"/>
        </w:rPr>
        <w:t>’</w:t>
      </w:r>
      <w:r w:rsidRPr="00C11942">
        <w:rPr>
          <w:sz w:val="18"/>
        </w:rPr>
        <w:t>atteinte des 23 cibles du KMGBF.</w:t>
      </w:r>
      <w:r>
        <w:rPr>
          <w:sz w:val="18"/>
        </w:rPr>
        <w:t xml:space="preserve"> Les programmes intégrés couvrent presque toutes les 23 cibles du KMGBF, à l’exception des cibles 6 (espèces </w:t>
      </w:r>
      <w:r w:rsidR="000A1591">
        <w:rPr>
          <w:sz w:val="18"/>
        </w:rPr>
        <w:t>invasives</w:t>
      </w:r>
      <w:r>
        <w:rPr>
          <w:sz w:val="18"/>
        </w:rPr>
        <w:t xml:space="preserve">), 13 (accès et partage des avantages) et 17 (prévention des risques biotechnologiques), qui sont prises en charge par des projets autonomes. </w:t>
      </w:r>
    </w:p>
  </w:footnote>
  <w:footnote w:id="15">
    <w:p w14:paraId="5B57C317" w14:textId="365246E1" w:rsidR="005D666B" w:rsidRPr="00C67737" w:rsidRDefault="005D666B" w:rsidP="000247FC">
      <w:pPr>
        <w:pStyle w:val="FootnoteText"/>
      </w:pPr>
      <w:r>
        <w:rPr>
          <w:rStyle w:val="FootnoteReference"/>
          <w:lang w:val="en-US"/>
        </w:rPr>
        <w:footnoteRef/>
      </w:r>
      <w:r>
        <w:t xml:space="preserve"> Les chiffres comprennent le financement</w:t>
      </w:r>
      <w:r w:rsidR="00FA4AAB">
        <w:t xml:space="preserve"> PPG</w:t>
      </w:r>
      <w:r>
        <w:t xml:space="preserve"> et les commissions </w:t>
      </w:r>
      <w:r w:rsidR="0007226D">
        <w:t xml:space="preserve">pour frais </w:t>
      </w:r>
      <w:r>
        <w:t xml:space="preserve">des </w:t>
      </w:r>
      <w:r w:rsidR="0007226D">
        <w:t>Agences</w:t>
      </w:r>
      <w:r>
        <w:t xml:space="preserve">. </w:t>
      </w:r>
    </w:p>
  </w:footnote>
  <w:footnote w:id="16">
    <w:p w14:paraId="153FEB78" w14:textId="52571677" w:rsidR="001C37B2" w:rsidRPr="00C67737" w:rsidRDefault="001C37B2" w:rsidP="000247FC">
      <w:pPr>
        <w:pStyle w:val="FootnoteText"/>
      </w:pPr>
      <w:r>
        <w:rPr>
          <w:rStyle w:val="FootnoteReference"/>
          <w:lang w:val="en-US"/>
        </w:rPr>
        <w:footnoteRef/>
      </w:r>
      <w:r>
        <w:t>Ce chiffre ne comprend que les ressources STAR au titre de la diversité biologique affectées à des projets nationaux autonomes et à des programmes autres que les programmes intégrés.</w:t>
      </w:r>
    </w:p>
  </w:footnote>
  <w:footnote w:id="17">
    <w:p w14:paraId="6AB79015" w14:textId="171FDD07" w:rsidR="005E307D" w:rsidRPr="00C67737" w:rsidRDefault="005E307D" w:rsidP="000247FC">
      <w:pPr>
        <w:pStyle w:val="FootnoteText"/>
      </w:pPr>
      <w:r>
        <w:rPr>
          <w:rStyle w:val="FootnoteReference"/>
          <w:lang w:val="en-US"/>
        </w:rPr>
        <w:footnoteRef/>
      </w:r>
      <w:r>
        <w:t xml:space="preserve">Ce pourcentage correspond aux ressources STAR </w:t>
      </w:r>
      <w:r w:rsidR="00F136A4">
        <w:t>allouées</w:t>
      </w:r>
      <w:r>
        <w:t xml:space="preserve"> à la </w:t>
      </w:r>
      <w:r w:rsidR="00847E44">
        <w:t>Biodiversit</w:t>
      </w:r>
      <w:r w:rsidR="00847E44">
        <w:rPr>
          <w:snapToGrid w:val="0"/>
        </w:rPr>
        <w:t xml:space="preserve">é </w:t>
      </w:r>
      <w:r>
        <w:t>qui ont été programmées dans le domaine d’intervention «</w:t>
      </w:r>
      <w:r w:rsidR="00C81774">
        <w:t> </w:t>
      </w:r>
      <w:r>
        <w:t>diversité biologique</w:t>
      </w:r>
      <w:r w:rsidR="00C81774">
        <w:t> </w:t>
      </w:r>
      <w:r>
        <w:t xml:space="preserve">», </w:t>
      </w:r>
      <w:r w:rsidR="004519B0">
        <w:t>hors</w:t>
      </w:r>
      <w:r>
        <w:t xml:space="preserve"> programmes intégrés. Grâce à la pleine </w:t>
      </w:r>
      <w:r w:rsidR="00CC618B">
        <w:t>flexibilité</w:t>
      </w:r>
      <w:r w:rsidR="00E75A75">
        <w:t xml:space="preserve"> </w:t>
      </w:r>
      <w:r w:rsidR="004519B0">
        <w:t>des allocations</w:t>
      </w:r>
      <w:r>
        <w:t xml:space="preserve"> STAR pendant GEF-8, les points focaux opérationnels du GEF pouvaient également utiliser les allocations STAR </w:t>
      </w:r>
      <w:r w:rsidR="005602C3">
        <w:t xml:space="preserve">allouées à la </w:t>
      </w:r>
      <w:r w:rsidR="00847E44">
        <w:t>Biodiversit</w:t>
      </w:r>
      <w:r w:rsidR="00847E44">
        <w:rPr>
          <w:snapToGrid w:val="0"/>
        </w:rPr>
        <w:t>é</w:t>
      </w:r>
      <w:r w:rsidR="005602C3">
        <w:t xml:space="preserve"> pour pro</w:t>
      </w:r>
      <w:r w:rsidR="000B37DA">
        <w:t>grammer des</w:t>
      </w:r>
      <w:r>
        <w:t xml:space="preserve"> activités </w:t>
      </w:r>
      <w:r w:rsidR="000B37DA">
        <w:t>dans les</w:t>
      </w:r>
      <w:r>
        <w:t xml:space="preserve"> domaines d’intervention «</w:t>
      </w:r>
      <w:r w:rsidR="00C81774">
        <w:t> </w:t>
      </w:r>
      <w:r>
        <w:t>changements climatiques</w:t>
      </w:r>
      <w:r w:rsidR="00C81774">
        <w:t> </w:t>
      </w:r>
      <w:r>
        <w:t>» et/ou «</w:t>
      </w:r>
      <w:r w:rsidR="00C81774">
        <w:t> </w:t>
      </w:r>
      <w:r>
        <w:t xml:space="preserve">dégradation des terres ». </w:t>
      </w:r>
      <w:r w:rsidR="000B37DA">
        <w:t>Compte tenu</w:t>
      </w:r>
      <w:r>
        <w:t xml:space="preserve"> de l’utilisation </w:t>
      </w:r>
      <w:r w:rsidR="000B37DA">
        <w:t>des ressources STAR</w:t>
      </w:r>
      <w:r w:rsidR="00D922A7">
        <w:t xml:space="preserve"> allouées à </w:t>
      </w:r>
      <w:r w:rsidR="00847E44">
        <w:t>Biodiversit</w:t>
      </w:r>
      <w:r w:rsidR="00847E44">
        <w:rPr>
          <w:snapToGrid w:val="0"/>
        </w:rPr>
        <w:t xml:space="preserve">é </w:t>
      </w:r>
      <w:r>
        <w:t>dans d’autres domaines d’intervention, 97 % des 1,45</w:t>
      </w:r>
      <w:r w:rsidR="00035445">
        <w:t> </w:t>
      </w:r>
      <w:r>
        <w:t xml:space="preserve">milliard de dollars </w:t>
      </w:r>
      <w:r w:rsidR="00417B0A">
        <w:t>alloués au titre du STAR</w:t>
      </w:r>
      <w:r>
        <w:t xml:space="preserve"> </w:t>
      </w:r>
      <w:r w:rsidR="00417B0A">
        <w:t>pour</w:t>
      </w:r>
      <w:r>
        <w:t xml:space="preserve"> la </w:t>
      </w:r>
      <w:r w:rsidR="00847E44">
        <w:t>Biodiversit</w:t>
      </w:r>
      <w:r w:rsidR="00847E44">
        <w:rPr>
          <w:snapToGrid w:val="0"/>
        </w:rPr>
        <w:t xml:space="preserve">é </w:t>
      </w:r>
      <w:r>
        <w:t xml:space="preserve">pendant GEF-8 ont été </w:t>
      </w:r>
      <w:r w:rsidR="00417B0A">
        <w:t xml:space="preserve">effectivement </w:t>
      </w:r>
      <w:r>
        <w:t>programmés dans</w:t>
      </w:r>
      <w:r w:rsidR="00D01603">
        <w:t xml:space="preserve"> des</w:t>
      </w:r>
      <w:r>
        <w:t xml:space="preserve"> projets et programmes approuvés, dont 85 millions de dollars </w:t>
      </w:r>
      <w:r w:rsidR="00D01603">
        <w:t>dans les</w:t>
      </w:r>
      <w:r>
        <w:t xml:space="preserve"> domaines d’intervention «</w:t>
      </w:r>
      <w:r w:rsidR="00C81774">
        <w:t> </w:t>
      </w:r>
      <w:r>
        <w:t>changements climatiques</w:t>
      </w:r>
      <w:r w:rsidR="00C81774">
        <w:t> </w:t>
      </w:r>
      <w:r>
        <w:t>» ou « dégradation des terres ».</w:t>
      </w:r>
    </w:p>
  </w:footnote>
  <w:footnote w:id="18">
    <w:p w14:paraId="6A0A9F5C" w14:textId="3662FA2B" w:rsidR="000247FC" w:rsidRPr="00C67737" w:rsidRDefault="001C37B2" w:rsidP="000247FC">
      <w:pPr>
        <w:pStyle w:val="FootnoteText"/>
      </w:pPr>
      <w:r>
        <w:rPr>
          <w:rStyle w:val="FootnoteReference"/>
          <w:lang w:val="en-US"/>
        </w:rPr>
        <w:footnoteRef/>
      </w:r>
      <w:r>
        <w:t>Les financements de programmation des programmes intégrés présentés dans ce tableau ne comprennent que la contribution des ressources du domaine d’intervention «</w:t>
      </w:r>
      <w:r w:rsidR="00C81774">
        <w:t> </w:t>
      </w:r>
      <w:r>
        <w:t>diversité biologique</w:t>
      </w:r>
      <w:r w:rsidR="00C81774">
        <w:t> </w:t>
      </w:r>
      <w:r>
        <w:t>» (à savoir les allocations nationales STAR destinées aux programmes intégrés, les plateformes mondiales de programmes intégrés et la prime de contrepartie des programmes intégrés). Les programmes intégrés sont également financés par d’autres domaines d’intervention.</w:t>
      </w:r>
    </w:p>
  </w:footnote>
  <w:footnote w:id="19">
    <w:p w14:paraId="3E638967" w14:textId="235B119D" w:rsidR="0029731F" w:rsidRPr="006C2F5A" w:rsidRDefault="0029731F" w:rsidP="000247FC">
      <w:pPr>
        <w:pStyle w:val="FootnoteText"/>
        <w:rPr>
          <w:lang w:val="en-US"/>
        </w:rPr>
      </w:pPr>
      <w:r>
        <w:rPr>
          <w:rStyle w:val="FootnoteReference"/>
          <w:lang w:val="en-US"/>
        </w:rPr>
        <w:footnoteRef/>
      </w:r>
      <w:r w:rsidRPr="006C2F5A">
        <w:rPr>
          <w:lang w:val="en-US"/>
        </w:rPr>
        <w:t xml:space="preserve"> </w:t>
      </w:r>
      <w:r w:rsidR="00BA65DA" w:rsidRPr="00C67737">
        <w:rPr>
          <w:lang w:val="en-US"/>
        </w:rPr>
        <w:t xml:space="preserve">GEF, 2022, </w:t>
      </w:r>
      <w:hyperlink r:id="rId4" w:history="1">
        <w:r w:rsidR="00BA65DA" w:rsidRPr="00C67737">
          <w:rPr>
            <w:rStyle w:val="Hyperlink"/>
            <w:i/>
            <w:iCs/>
            <w:lang w:val="en-US"/>
          </w:rPr>
          <w:t>GEF-8 Programming Directions</w:t>
        </w:r>
      </w:hyperlink>
      <w:r w:rsidR="00BA65DA" w:rsidRPr="00C67737">
        <w:rPr>
          <w:lang w:val="en-US"/>
        </w:rPr>
        <w:t>.</w:t>
      </w:r>
    </w:p>
  </w:footnote>
  <w:footnote w:id="20">
    <w:p w14:paraId="26DD0803" w14:textId="7F6C3CD0" w:rsidR="0031633A" w:rsidRPr="00C67737" w:rsidRDefault="0031633A" w:rsidP="000247FC">
      <w:pPr>
        <w:pStyle w:val="FootnoteText"/>
        <w:rPr>
          <w:lang w:val="en-US"/>
        </w:rPr>
      </w:pPr>
      <w:r>
        <w:rPr>
          <w:rStyle w:val="FootnoteReference"/>
          <w:lang w:val="en-US"/>
        </w:rPr>
        <w:footnoteRef/>
      </w:r>
      <w:r w:rsidRPr="006C2F5A">
        <w:rPr>
          <w:lang w:val="en-US"/>
        </w:rPr>
        <w:t xml:space="preserve"> </w:t>
      </w:r>
      <w:hyperlink r:id="rId5" w:history="1">
        <w:r w:rsidRPr="006C2F5A">
          <w:rPr>
            <w:rStyle w:val="Hyperlink"/>
            <w:lang w:val="en-US"/>
          </w:rPr>
          <w:t>https://www.cbd.int/gbf/targets</w:t>
        </w:r>
      </w:hyperlink>
    </w:p>
  </w:footnote>
  <w:footnote w:id="21">
    <w:p w14:paraId="60AEC346" w14:textId="2AB69061" w:rsidR="00C91105" w:rsidRPr="006C2F5A" w:rsidRDefault="00C91105" w:rsidP="000247FC">
      <w:pPr>
        <w:pStyle w:val="FootnoteText"/>
      </w:pPr>
      <w:r>
        <w:rPr>
          <w:rStyle w:val="FootnoteReference"/>
          <w:rFonts w:eastAsia="Calibri" w:cs="Calibri"/>
          <w:lang w:val="en-US"/>
        </w:rPr>
        <w:footnoteRef/>
      </w:r>
      <w:r>
        <w:t xml:space="preserve"> </w:t>
      </w:r>
      <w:r w:rsidR="00D233C6" w:rsidRPr="00D233C6">
        <w:t xml:space="preserve">Pour estimer les cibles des Indicateurs de base du GEF, une méthodologie générale et un outil de calcul ont été appliqués afin d’évaluer les contributions de l’ensemble du programme, y compris de ses projets rattachés nationaux. Cette estimation, réalisée selon une approche descendante, a permis une évaluation rapide en l’absence de précisions sur les interventions dans les notes conceptuelles des projets rattachés nationaux. Une méthodologie et un outil de calcul plus détaillés sont élaborés durant la phase de financement </w:t>
      </w:r>
      <w:r w:rsidR="00D233C6">
        <w:t>PPG</w:t>
      </w:r>
      <w:r w:rsidR="00D233C6" w:rsidRPr="00D233C6">
        <w:t>.</w:t>
      </w:r>
    </w:p>
  </w:footnote>
  <w:footnote w:id="22">
    <w:p w14:paraId="5BF7AAC3" w14:textId="33ED5A97" w:rsidR="00FB2516" w:rsidRPr="00C67737" w:rsidRDefault="00FB2516" w:rsidP="000247FC">
      <w:pPr>
        <w:pStyle w:val="FootnoteText"/>
      </w:pPr>
      <w:r>
        <w:rPr>
          <w:rStyle w:val="FootnoteReference"/>
          <w:lang w:val="en-US"/>
        </w:rPr>
        <w:footnoteRef/>
      </w:r>
      <w:r>
        <w:t xml:space="preserve"> . Ces chiffres incluent les </w:t>
      </w:r>
      <w:r w:rsidR="0007226D">
        <w:t>commissions</w:t>
      </w:r>
      <w:r>
        <w:t xml:space="preserve"> pour frais </w:t>
      </w:r>
      <w:r w:rsidR="0007226D">
        <w:t>des</w:t>
      </w:r>
      <w:r>
        <w:t xml:space="preserve"> Agences et le financement</w:t>
      </w:r>
      <w:r w:rsidR="00FA4AAB">
        <w:t xml:space="preserve"> PPG</w:t>
      </w:r>
      <w:r>
        <w:t xml:space="preserve">. Ils couvrent les contributions des domaines d’intervention aux programmes intégrés, ainsi qu’à tous les autres projets ou programmes dont la </w:t>
      </w:r>
      <w:r w:rsidR="008951CE">
        <w:t>Biodiversit</w:t>
      </w:r>
      <w:r w:rsidR="008951CE">
        <w:rPr>
          <w:snapToGrid w:val="0"/>
        </w:rPr>
        <w:t xml:space="preserve">é </w:t>
      </w:r>
      <w:r>
        <w:t>constitue un objectif principal ou significatif, conformément à la méthodologie des marqueurs de Rio du Comité d’aide au développement (CAD) de l’OCDE.</w:t>
      </w:r>
    </w:p>
  </w:footnote>
  <w:footnote w:id="23">
    <w:p w14:paraId="12DE8D1C" w14:textId="2AB389DD" w:rsidR="00CF70B6" w:rsidRPr="00C67737" w:rsidRDefault="00CF70B6" w:rsidP="000247FC">
      <w:pPr>
        <w:pStyle w:val="FootnoteText"/>
      </w:pPr>
      <w:r>
        <w:rPr>
          <w:vertAlign w:val="superscript"/>
          <w:lang w:val="en-US"/>
        </w:rPr>
        <w:footnoteRef/>
      </w:r>
      <w:r>
        <w:t>Ces montants ne comprennent pas les commission</w:t>
      </w:r>
      <w:r w:rsidR="005F058C">
        <w:t>s</w:t>
      </w:r>
      <w:r>
        <w:t xml:space="preserve"> </w:t>
      </w:r>
      <w:r w:rsidR="0007226D">
        <w:t xml:space="preserve">pour frais </w:t>
      </w:r>
      <w:r>
        <w:t xml:space="preserve">des </w:t>
      </w:r>
      <w:r w:rsidR="0007226D">
        <w:t>A</w:t>
      </w:r>
      <w:r>
        <w:t>gences ni le financement</w:t>
      </w:r>
      <w:r w:rsidR="00FA4AAB">
        <w:t xml:space="preserve"> PPG.</w:t>
      </w:r>
    </w:p>
  </w:footnote>
  <w:footnote w:id="24">
    <w:p w14:paraId="4B52DAC5" w14:textId="38B2D28C" w:rsidR="00BE4F6C" w:rsidRPr="00C67737" w:rsidRDefault="00BE4F6C" w:rsidP="000247FC">
      <w:pPr>
        <w:pStyle w:val="FootnoteText"/>
      </w:pPr>
      <w:r>
        <w:rPr>
          <w:rStyle w:val="FootnoteReference"/>
          <w:lang w:val="en-US"/>
        </w:rPr>
        <w:footnoteRef/>
      </w:r>
      <w:r>
        <w:t xml:space="preserve"> Ce montant comprend 2,75 millions de dollars prélevés sur la réserve destinée aux instruments financiers autres que les aides directes, 15,42 millions de dollars provenant de l’allocation STAR de Madagascar et 1,83 million de dollars imputé sur le plafond de financement du Fonds pour les pays les moins avancés attribué à Madagascar</w:t>
      </w:r>
    </w:p>
  </w:footnote>
  <w:footnote w:id="25">
    <w:p w14:paraId="42B94E7E" w14:textId="7AE230F0" w:rsidR="00E40905" w:rsidRPr="006C2F5A" w:rsidRDefault="00E40905" w:rsidP="000247FC">
      <w:pPr>
        <w:pStyle w:val="FootnoteText"/>
        <w:rPr>
          <w:lang w:val="en-US"/>
        </w:rPr>
      </w:pPr>
      <w:r>
        <w:rPr>
          <w:rStyle w:val="FootnoteReference"/>
          <w:lang w:val="en-US"/>
        </w:rPr>
        <w:footnoteRef/>
      </w:r>
      <w:r w:rsidRPr="006C2F5A">
        <w:rPr>
          <w:lang w:val="en-US"/>
        </w:rPr>
        <w:t xml:space="preserve"> GEF, 2025, </w:t>
      </w:r>
      <w:hyperlink r:id="rId6" w:history="1">
        <w:r w:rsidRPr="006C2F5A">
          <w:rPr>
            <w:rStyle w:val="Hyperlink"/>
            <w:i/>
            <w:lang w:val="en-US"/>
          </w:rPr>
          <w:t>Many Peoples, One Planet.</w:t>
        </w:r>
      </w:hyperlink>
      <w:hyperlink r:id="rId7" w:history="1">
        <w:r w:rsidRPr="006C2F5A">
          <w:rPr>
            <w:rStyle w:val="Hyperlink"/>
            <w:i/>
            <w:lang w:val="en-US"/>
          </w:rPr>
          <w:t xml:space="preserve"> GEF Partnership with Indigenous Peoples and local communities</w:t>
        </w:r>
      </w:hyperlink>
      <w:r w:rsidRPr="006C2F5A">
        <w:rPr>
          <w:lang w:val="en-US"/>
        </w:rPr>
        <w:t xml:space="preserve">. </w:t>
      </w:r>
    </w:p>
  </w:footnote>
  <w:footnote w:id="26">
    <w:p w14:paraId="1B88917D" w14:textId="77777777" w:rsidR="005D7861" w:rsidRPr="00C67737" w:rsidRDefault="005D7861" w:rsidP="005D7861">
      <w:pPr>
        <w:pStyle w:val="FootnoteText"/>
        <w:rPr>
          <w:lang w:val="en-US"/>
        </w:rPr>
      </w:pPr>
      <w:r w:rsidRPr="00C67737">
        <w:rPr>
          <w:rStyle w:val="FootnoteReference"/>
          <w:lang w:val="en-US"/>
        </w:rPr>
        <w:footnoteRef/>
      </w:r>
      <w:hyperlink r:id="rId8" w:history="1">
        <w:r w:rsidRPr="00C67737">
          <w:rPr>
            <w:rStyle w:val="Hyperlink"/>
            <w:lang w:val="en-US"/>
          </w:rPr>
          <w:t>https://www.worldwildlife.org/our-work/funds/wwf-gef/projects/heart-of-conservation-initiative/wwf-gef-expressions-of-interest/</w:t>
        </w:r>
      </w:hyperlink>
      <w:r w:rsidRPr="00C67737">
        <w:rPr>
          <w:lang w:val="en-US"/>
        </w:rPr>
        <w:t xml:space="preserve"> </w:t>
      </w:r>
    </w:p>
  </w:footnote>
  <w:footnote w:id="27">
    <w:p w14:paraId="3A10D1BE" w14:textId="77777777" w:rsidR="00F7104D" w:rsidRPr="00C67737" w:rsidRDefault="00F7104D" w:rsidP="000247FC">
      <w:pPr>
        <w:pStyle w:val="FootnoteText"/>
      </w:pPr>
      <w:r>
        <w:rPr>
          <w:rStyle w:val="FootnoteReference"/>
          <w:lang w:val="en-US"/>
        </w:rPr>
        <w:footnoteRef/>
      </w:r>
      <w:r>
        <w:t xml:space="preserve"> Convention sur la diversité biologique (CDB). 2022. Décision adoptée par la Conférence des Parties à la Convention sur la diversité biologique : 15/7. Mobilisation des ressources. CBD/COP/DEC/15/7.</w:t>
      </w:r>
    </w:p>
  </w:footnote>
  <w:footnote w:id="28">
    <w:p w14:paraId="324B3F7D" w14:textId="77777777" w:rsidR="00F7104D" w:rsidRPr="006C2F5A" w:rsidRDefault="00F7104D" w:rsidP="000247FC">
      <w:pPr>
        <w:pStyle w:val="FootnoteText"/>
        <w:rPr>
          <w:lang w:val="en-US"/>
        </w:rPr>
      </w:pPr>
      <w:r>
        <w:rPr>
          <w:rStyle w:val="FootnoteReference"/>
          <w:lang w:val="en-US"/>
        </w:rPr>
        <w:footnoteRef/>
      </w:r>
      <w:r>
        <w:t xml:space="preserve"> Convention sur la diversité biologique (CDB). 2022. Décision adoptée par la Conférence des Parties à la Convention sur la diversité biologique : 15/15. </w:t>
      </w:r>
      <w:proofErr w:type="spellStart"/>
      <w:r w:rsidRPr="006C2F5A">
        <w:rPr>
          <w:lang w:val="en-US"/>
        </w:rPr>
        <w:t>Mécanisme</w:t>
      </w:r>
      <w:proofErr w:type="spellEnd"/>
      <w:r w:rsidRPr="006C2F5A">
        <w:rPr>
          <w:lang w:val="en-US"/>
        </w:rPr>
        <w:t xml:space="preserve"> de </w:t>
      </w:r>
      <w:proofErr w:type="spellStart"/>
      <w:r w:rsidRPr="006C2F5A">
        <w:rPr>
          <w:lang w:val="en-US"/>
        </w:rPr>
        <w:t>financement</w:t>
      </w:r>
      <w:proofErr w:type="spellEnd"/>
      <w:r w:rsidRPr="006C2F5A">
        <w:rPr>
          <w:lang w:val="en-US"/>
        </w:rPr>
        <w:t>. CBD/COP/DEC/15/15.</w:t>
      </w:r>
    </w:p>
  </w:footnote>
  <w:footnote w:id="29">
    <w:p w14:paraId="0BCF739B" w14:textId="04715A15" w:rsidR="00F7104D" w:rsidRPr="006C2F5A" w:rsidRDefault="00F7104D" w:rsidP="000247FC">
      <w:pPr>
        <w:pStyle w:val="FootnoteText"/>
        <w:rPr>
          <w:lang w:val="en-US"/>
        </w:rPr>
      </w:pPr>
      <w:r>
        <w:rPr>
          <w:rStyle w:val="FootnoteReference"/>
          <w:lang w:val="en-US"/>
        </w:rPr>
        <w:footnoteRef/>
      </w:r>
      <w:r w:rsidRPr="006C2F5A">
        <w:rPr>
          <w:lang w:val="en-US"/>
        </w:rPr>
        <w:t xml:space="preserve"> GEF, 2023, </w:t>
      </w:r>
      <w:hyperlink r:id="rId9" w:history="1">
        <w:r w:rsidRPr="006C2F5A">
          <w:rPr>
            <w:rStyle w:val="Hyperlink"/>
            <w:i/>
            <w:lang w:val="en-US"/>
          </w:rPr>
          <w:t>Establishment of a New Trust Fund: The Global Biodiversity Framework Fund</w:t>
        </w:r>
      </w:hyperlink>
      <w:r w:rsidRPr="006C2F5A">
        <w:rPr>
          <w:lang w:val="en-US"/>
        </w:rPr>
        <w:t xml:space="preserve">, </w:t>
      </w:r>
      <w:r w:rsidR="00966C17">
        <w:rPr>
          <w:lang w:val="en-US"/>
        </w:rPr>
        <w:t>Document du Conseil</w:t>
      </w:r>
      <w:r w:rsidRPr="006C2F5A">
        <w:rPr>
          <w:lang w:val="en-US"/>
        </w:rPr>
        <w:t xml:space="preserve"> GEF/C.64/05/Rev.01.</w:t>
      </w:r>
    </w:p>
  </w:footnote>
  <w:footnote w:id="30">
    <w:p w14:paraId="3092C8F1" w14:textId="1D4C330B" w:rsidR="00F7104D" w:rsidRPr="006C2F5A" w:rsidRDefault="00F7104D" w:rsidP="000247FC">
      <w:pPr>
        <w:pStyle w:val="FootnoteText"/>
        <w:rPr>
          <w:lang w:val="en-US"/>
        </w:rPr>
      </w:pPr>
      <w:r>
        <w:rPr>
          <w:rStyle w:val="FootnoteReference"/>
          <w:lang w:val="en-US"/>
        </w:rPr>
        <w:footnoteRef/>
      </w:r>
      <w:r w:rsidRPr="006C2F5A">
        <w:rPr>
          <w:lang w:val="en-US"/>
        </w:rPr>
        <w:t xml:space="preserve"> GEF, 2023, </w:t>
      </w:r>
      <w:hyperlink r:id="rId10" w:history="1">
        <w:r w:rsidRPr="006C2F5A">
          <w:rPr>
            <w:rStyle w:val="Hyperlink"/>
            <w:i/>
            <w:lang w:val="en-US"/>
          </w:rPr>
          <w:t>Programming Directions for the Global Biodiversity Framework Fund</w:t>
        </w:r>
      </w:hyperlink>
      <w:r w:rsidRPr="006C2F5A">
        <w:rPr>
          <w:lang w:val="en-US"/>
        </w:rPr>
        <w:t xml:space="preserve">, </w:t>
      </w:r>
      <w:r w:rsidR="00966C17">
        <w:rPr>
          <w:lang w:val="en-US"/>
        </w:rPr>
        <w:t>Document du Conseil</w:t>
      </w:r>
      <w:r w:rsidRPr="006C2F5A">
        <w:rPr>
          <w:lang w:val="en-US"/>
        </w:rPr>
        <w:t xml:space="preserve"> GEF/C.64/06/Rev.02.</w:t>
      </w:r>
    </w:p>
  </w:footnote>
  <w:footnote w:id="31">
    <w:p w14:paraId="18502943" w14:textId="60DDE9EE" w:rsidR="00695F48" w:rsidRPr="006C2F5A" w:rsidRDefault="00695F48" w:rsidP="000247FC">
      <w:pPr>
        <w:pStyle w:val="FootnoteText"/>
        <w:rPr>
          <w:lang w:val="en-US"/>
        </w:rPr>
      </w:pPr>
      <w:r>
        <w:rPr>
          <w:rStyle w:val="FootnoteReference"/>
          <w:lang w:val="en-US"/>
        </w:rPr>
        <w:footnoteRef/>
      </w:r>
      <w:r w:rsidRPr="006C2F5A">
        <w:rPr>
          <w:lang w:val="en-US"/>
        </w:rPr>
        <w:t xml:space="preserve"> GEF, 2024, </w:t>
      </w:r>
      <w:hyperlink r:id="rId11" w:history="1">
        <w:r w:rsidRPr="006C2F5A">
          <w:rPr>
            <w:rStyle w:val="Hyperlink"/>
            <w:i/>
            <w:lang w:val="en-US"/>
          </w:rPr>
          <w:t>Policy on Allocation of Resources for the Global Biodiversity Framework Fund</w:t>
        </w:r>
      </w:hyperlink>
      <w:r w:rsidRPr="006C2F5A">
        <w:rPr>
          <w:lang w:val="en-US"/>
        </w:rPr>
        <w:t xml:space="preserve">, </w:t>
      </w:r>
      <w:r w:rsidR="00966C17">
        <w:rPr>
          <w:lang w:val="en-US"/>
        </w:rPr>
        <w:t>Document du Conseil</w:t>
      </w:r>
      <w:r w:rsidRPr="006C2F5A">
        <w:rPr>
          <w:lang w:val="en-US"/>
        </w:rPr>
        <w:t xml:space="preserve"> GEF/GBFF.01/03/Rev.03.</w:t>
      </w:r>
    </w:p>
  </w:footnote>
  <w:footnote w:id="32">
    <w:p w14:paraId="29021E98" w14:textId="29049DAA" w:rsidR="00814A49" w:rsidRPr="006C2F5A" w:rsidRDefault="00814A49" w:rsidP="000247FC">
      <w:pPr>
        <w:pStyle w:val="FootnoteText"/>
        <w:rPr>
          <w:lang w:val="en-US"/>
        </w:rPr>
      </w:pPr>
      <w:r>
        <w:rPr>
          <w:rStyle w:val="FootnoteReference"/>
          <w:lang w:val="en-US"/>
        </w:rPr>
        <w:footnoteRef/>
      </w:r>
      <w:r w:rsidRPr="006C2F5A">
        <w:rPr>
          <w:lang w:val="en-US"/>
        </w:rPr>
        <w:t xml:space="preserve"> Ibid.</w:t>
      </w:r>
    </w:p>
  </w:footnote>
  <w:footnote w:id="33">
    <w:p w14:paraId="3B5BE748" w14:textId="692CA52B" w:rsidR="00B83EB8" w:rsidRPr="006C2F5A" w:rsidRDefault="00B83EB8" w:rsidP="000247FC">
      <w:pPr>
        <w:pStyle w:val="FootnoteText"/>
        <w:rPr>
          <w:lang w:val="en-US"/>
        </w:rPr>
      </w:pPr>
      <w:r>
        <w:rPr>
          <w:rStyle w:val="FootnoteReference"/>
          <w:lang w:val="en-US"/>
        </w:rPr>
        <w:footnoteRef/>
      </w:r>
      <w:r w:rsidRPr="006C2F5A">
        <w:rPr>
          <w:lang w:val="en-US"/>
        </w:rPr>
        <w:t xml:space="preserve"> GEF, 2024, </w:t>
      </w:r>
      <w:hyperlink r:id="rId12" w:history="1">
        <w:r w:rsidRPr="006C2F5A">
          <w:rPr>
            <w:rStyle w:val="Hyperlink"/>
            <w:i/>
            <w:lang w:val="en-US"/>
          </w:rPr>
          <w:t>Terms of Reference for Advisory Group(s) and Auxiliary Body for the Global Biodiversity Framework Fund</w:t>
        </w:r>
      </w:hyperlink>
      <w:r w:rsidRPr="006C2F5A">
        <w:rPr>
          <w:lang w:val="en-US"/>
        </w:rPr>
        <w:t xml:space="preserve">, </w:t>
      </w:r>
      <w:r w:rsidR="00966C17">
        <w:rPr>
          <w:lang w:val="en-US"/>
        </w:rPr>
        <w:t>Document du Conseil</w:t>
      </w:r>
      <w:r w:rsidRPr="006C2F5A">
        <w:rPr>
          <w:lang w:val="en-US"/>
        </w:rPr>
        <w:t xml:space="preserve"> GEF/GBFF.02/04.</w:t>
      </w:r>
    </w:p>
  </w:footnote>
  <w:footnote w:id="34">
    <w:p w14:paraId="55E5C650" w14:textId="776E3B01" w:rsidR="00393768" w:rsidRPr="00C67737" w:rsidRDefault="00393768" w:rsidP="000247FC">
      <w:pPr>
        <w:pStyle w:val="FootnoteText"/>
      </w:pPr>
      <w:r>
        <w:rPr>
          <w:rStyle w:val="FootnoteReference"/>
          <w:lang w:val="en-US"/>
        </w:rPr>
        <w:footnoteRef/>
      </w:r>
      <w:r>
        <w:t xml:space="preserve"> La composition au 31 mars 2026 est présentée à l’annexe I du document GEF, 2026, </w:t>
      </w:r>
      <w:hyperlink r:id="rId13" w:history="1">
        <w:r>
          <w:rPr>
            <w:rStyle w:val="Hyperlink"/>
            <w:i/>
          </w:rPr>
          <w:t xml:space="preserve">Progress Report on the Global </w:t>
        </w:r>
        <w:proofErr w:type="spellStart"/>
        <w:r>
          <w:rPr>
            <w:rStyle w:val="Hyperlink"/>
            <w:i/>
          </w:rPr>
          <w:t>Biodiversity</w:t>
        </w:r>
        <w:proofErr w:type="spellEnd"/>
        <w:r>
          <w:rPr>
            <w:rStyle w:val="Hyperlink"/>
            <w:i/>
          </w:rPr>
          <w:t xml:space="preserve"> Framework </w:t>
        </w:r>
        <w:proofErr w:type="spellStart"/>
        <w:r>
          <w:rPr>
            <w:rStyle w:val="Hyperlink"/>
            <w:i/>
          </w:rPr>
          <w:t>Fund</w:t>
        </w:r>
        <w:proofErr w:type="spellEnd"/>
      </w:hyperlink>
      <w:r>
        <w:t xml:space="preserve">, </w:t>
      </w:r>
      <w:r w:rsidR="00966C17">
        <w:t>Document du Conseil</w:t>
      </w:r>
      <w:r>
        <w:t xml:space="preserve"> GEF/GBFF.06/05</w:t>
      </w:r>
    </w:p>
  </w:footnote>
  <w:footnote w:id="35">
    <w:p w14:paraId="3C239C52" w14:textId="0DC87783" w:rsidR="00F702F0" w:rsidRPr="00C67737" w:rsidRDefault="00F702F0" w:rsidP="000247FC">
      <w:pPr>
        <w:pStyle w:val="FootnoteText"/>
      </w:pPr>
      <w:r>
        <w:rPr>
          <w:rStyle w:val="FootnoteReference"/>
          <w:lang w:val="en-US"/>
        </w:rPr>
        <w:footnoteRef/>
      </w:r>
      <w:r>
        <w:t xml:space="preserve"> La composition au 31 mars 2026 est présentée à l’annexe I du document GEF, 2026, </w:t>
      </w:r>
      <w:hyperlink r:id="rId14" w:history="1">
        <w:r>
          <w:rPr>
            <w:rStyle w:val="Hyperlink"/>
            <w:i/>
          </w:rPr>
          <w:t xml:space="preserve">Progress Report on the Global </w:t>
        </w:r>
        <w:proofErr w:type="spellStart"/>
        <w:r>
          <w:rPr>
            <w:rStyle w:val="Hyperlink"/>
            <w:i/>
          </w:rPr>
          <w:t>Biodiversity</w:t>
        </w:r>
        <w:proofErr w:type="spellEnd"/>
        <w:r>
          <w:rPr>
            <w:rStyle w:val="Hyperlink"/>
            <w:i/>
          </w:rPr>
          <w:t xml:space="preserve"> Framework </w:t>
        </w:r>
        <w:proofErr w:type="spellStart"/>
        <w:r>
          <w:rPr>
            <w:rStyle w:val="Hyperlink"/>
            <w:i/>
          </w:rPr>
          <w:t>Fund</w:t>
        </w:r>
        <w:proofErr w:type="spellEnd"/>
      </w:hyperlink>
      <w:r>
        <w:t xml:space="preserve">, </w:t>
      </w:r>
      <w:r w:rsidR="00966C17">
        <w:t>Document du Conseil</w:t>
      </w:r>
      <w:r>
        <w:t xml:space="preserve"> GEF/GBFF.06/05</w:t>
      </w:r>
    </w:p>
  </w:footnote>
  <w:footnote w:id="36">
    <w:p w14:paraId="22FBA840" w14:textId="7D337596" w:rsidR="00F910A3" w:rsidRPr="006C2F5A" w:rsidRDefault="00F910A3" w:rsidP="000247FC">
      <w:pPr>
        <w:pStyle w:val="FootnoteText"/>
        <w:rPr>
          <w:lang w:val="en-US"/>
        </w:rPr>
      </w:pPr>
      <w:r>
        <w:rPr>
          <w:rStyle w:val="FootnoteReference"/>
          <w:lang w:val="en-US"/>
        </w:rPr>
        <w:footnoteRef/>
      </w:r>
      <w:r w:rsidRPr="006C2F5A">
        <w:rPr>
          <w:lang w:val="en-US"/>
        </w:rPr>
        <w:t xml:space="preserve"> Ibid.</w:t>
      </w:r>
    </w:p>
  </w:footnote>
  <w:footnote w:id="37">
    <w:p w14:paraId="7B485DD5" w14:textId="60D46981" w:rsidR="00C62E4E" w:rsidRPr="006C2F5A" w:rsidRDefault="00C62E4E" w:rsidP="000247FC">
      <w:pPr>
        <w:pStyle w:val="FootnoteText"/>
        <w:rPr>
          <w:lang w:val="en-US"/>
        </w:rPr>
      </w:pPr>
      <w:r>
        <w:rPr>
          <w:rStyle w:val="FootnoteReference"/>
          <w:lang w:val="en-US"/>
        </w:rPr>
        <w:footnoteRef/>
      </w:r>
      <w:r w:rsidRPr="006C2F5A">
        <w:rPr>
          <w:lang w:val="en-US"/>
        </w:rPr>
        <w:t xml:space="preserve"> GEF, 2024, </w:t>
      </w:r>
      <w:hyperlink r:id="rId15" w:history="1">
        <w:r w:rsidRPr="006C2F5A">
          <w:rPr>
            <w:rStyle w:val="Hyperlink"/>
            <w:i/>
            <w:lang w:val="en-US"/>
          </w:rPr>
          <w:t>Progress Report on the Advisory Group(s) and Auxiliary Body for the Global Biodiversity Framework Fund</w:t>
        </w:r>
      </w:hyperlink>
      <w:r w:rsidRPr="006C2F5A">
        <w:rPr>
          <w:lang w:val="en-US"/>
        </w:rPr>
        <w:t xml:space="preserve">, </w:t>
      </w:r>
      <w:r w:rsidR="00966C17">
        <w:rPr>
          <w:lang w:val="en-US"/>
        </w:rPr>
        <w:t>Document du Conseil</w:t>
      </w:r>
      <w:r w:rsidRPr="006C2F5A">
        <w:rPr>
          <w:lang w:val="en-US"/>
        </w:rPr>
        <w:t xml:space="preserve"> GEF/GBFF.03/04</w:t>
      </w:r>
    </w:p>
  </w:footnote>
  <w:footnote w:id="38">
    <w:p w14:paraId="4D26E5B8" w14:textId="6431C2CB" w:rsidR="00175D6E" w:rsidRPr="006C2F5A" w:rsidRDefault="00175D6E" w:rsidP="000247FC">
      <w:pPr>
        <w:pStyle w:val="FootnoteText"/>
        <w:rPr>
          <w:lang w:val="en-US"/>
        </w:rPr>
      </w:pPr>
      <w:r>
        <w:rPr>
          <w:rStyle w:val="FootnoteReference"/>
          <w:lang w:val="en-US"/>
        </w:rPr>
        <w:footnoteRef/>
      </w:r>
      <w:r w:rsidRPr="006C2F5A">
        <w:rPr>
          <w:lang w:val="en-US"/>
        </w:rPr>
        <w:t xml:space="preserve"> GEF, 2026, </w:t>
      </w:r>
      <w:hyperlink r:id="rId16" w:history="1">
        <w:r w:rsidRPr="006C2F5A">
          <w:rPr>
            <w:rStyle w:val="Hyperlink"/>
            <w:i/>
            <w:lang w:val="en-US"/>
          </w:rPr>
          <w:t>Towards a Resource Mobilization Strategy for the Global Biodiversity Framework Fund 2026-2030</w:t>
        </w:r>
      </w:hyperlink>
      <w:r w:rsidRPr="006C2F5A">
        <w:rPr>
          <w:lang w:val="en-US"/>
        </w:rPr>
        <w:t xml:space="preserve">, </w:t>
      </w:r>
      <w:r w:rsidR="00AD4988">
        <w:rPr>
          <w:lang w:val="en-US"/>
        </w:rPr>
        <w:t xml:space="preserve">document du Conseil, </w:t>
      </w:r>
      <w:r w:rsidRPr="006C2F5A">
        <w:rPr>
          <w:lang w:val="en-US"/>
        </w:rPr>
        <w:t>GEF/GBFF.06/04</w:t>
      </w:r>
    </w:p>
  </w:footnote>
  <w:footnote w:id="39">
    <w:p w14:paraId="6847B1FC" w14:textId="5C3E694A" w:rsidR="00175D6E" w:rsidRPr="006C2F5A" w:rsidRDefault="00175D6E" w:rsidP="000247FC">
      <w:pPr>
        <w:pStyle w:val="FootnoteText"/>
        <w:rPr>
          <w:lang w:val="en-US"/>
        </w:rPr>
      </w:pPr>
      <w:r>
        <w:rPr>
          <w:rStyle w:val="FootnoteReference"/>
          <w:lang w:val="en-US"/>
        </w:rPr>
        <w:footnoteRef/>
      </w:r>
      <w:r w:rsidRPr="006C2F5A">
        <w:rPr>
          <w:lang w:val="en-US"/>
        </w:rPr>
        <w:t xml:space="preserve"> GEF, 2026, </w:t>
      </w:r>
      <w:hyperlink r:id="rId17" w:history="1">
        <w:r w:rsidRPr="006C2F5A">
          <w:rPr>
            <w:rStyle w:val="Hyperlink"/>
            <w:i/>
            <w:lang w:val="en-US"/>
          </w:rPr>
          <w:t>Options to facilitate the achievement of the portfolio target related to International Financial Institutions</w:t>
        </w:r>
      </w:hyperlink>
      <w:r w:rsidRPr="006C2F5A">
        <w:rPr>
          <w:lang w:val="en-US"/>
        </w:rPr>
        <w:t xml:space="preserve">, </w:t>
      </w:r>
      <w:r w:rsidR="00AD4988">
        <w:rPr>
          <w:lang w:val="en-US"/>
        </w:rPr>
        <w:t xml:space="preserve">document du Conseil, </w:t>
      </w:r>
      <w:r w:rsidRPr="006C2F5A">
        <w:rPr>
          <w:lang w:val="en-US"/>
        </w:rPr>
        <w:t>GEF/GBFF.06/06</w:t>
      </w:r>
    </w:p>
  </w:footnote>
  <w:footnote w:id="40">
    <w:p w14:paraId="21841133" w14:textId="0D27FADD" w:rsidR="00175D6E" w:rsidRPr="006C2F5A" w:rsidRDefault="00175D6E" w:rsidP="000247FC">
      <w:pPr>
        <w:pStyle w:val="FootnoteText"/>
        <w:rPr>
          <w:lang w:val="en-US"/>
        </w:rPr>
      </w:pPr>
      <w:r>
        <w:rPr>
          <w:rStyle w:val="FootnoteReference"/>
          <w:lang w:val="en-US"/>
        </w:rPr>
        <w:footnoteRef/>
      </w:r>
      <w:r w:rsidRPr="006C2F5A">
        <w:rPr>
          <w:lang w:val="en-US"/>
        </w:rPr>
        <w:t xml:space="preserve"> GEF, 2026, </w:t>
      </w:r>
      <w:hyperlink r:id="rId18" w:history="1">
        <w:r w:rsidRPr="006C2F5A">
          <w:rPr>
            <w:rStyle w:val="Hyperlink"/>
            <w:i/>
            <w:lang w:val="en-US"/>
          </w:rPr>
          <w:t>Progress Report on the Global Biodiversity Framework Fund (GBFF)</w:t>
        </w:r>
      </w:hyperlink>
      <w:r w:rsidRPr="006C2F5A">
        <w:rPr>
          <w:lang w:val="en-US"/>
        </w:rPr>
        <w:t xml:space="preserve">, </w:t>
      </w:r>
      <w:r w:rsidR="00AD4988">
        <w:rPr>
          <w:lang w:val="en-US"/>
        </w:rPr>
        <w:t xml:space="preserve">document du Conseil, </w:t>
      </w:r>
      <w:r w:rsidRPr="006C2F5A">
        <w:rPr>
          <w:lang w:val="en-US"/>
        </w:rPr>
        <w:t>GEF/GBFF.06/05.</w:t>
      </w:r>
    </w:p>
  </w:footnote>
  <w:footnote w:id="41">
    <w:p w14:paraId="6D66EA20" w14:textId="267F595E" w:rsidR="00700321" w:rsidRPr="006C2F5A" w:rsidRDefault="00700321" w:rsidP="000247FC">
      <w:pPr>
        <w:pStyle w:val="FootnoteText"/>
        <w:rPr>
          <w:lang w:val="en-US"/>
        </w:rPr>
      </w:pPr>
      <w:r>
        <w:rPr>
          <w:rStyle w:val="FootnoteReference"/>
          <w:lang w:val="en-US"/>
        </w:rPr>
        <w:footnoteRef/>
      </w:r>
      <w:r w:rsidRPr="006C2F5A">
        <w:rPr>
          <w:lang w:val="en-US"/>
        </w:rPr>
        <w:t xml:space="preserve"> GEF, 2025, </w:t>
      </w:r>
      <w:hyperlink r:id="rId19" w:history="1">
        <w:r w:rsidRPr="006C2F5A">
          <w:rPr>
            <w:rStyle w:val="Hyperlink"/>
            <w:i/>
            <w:lang w:val="en-US"/>
          </w:rPr>
          <w:t>Results Framework the Global Biodiversity Framework Fund</w:t>
        </w:r>
      </w:hyperlink>
      <w:r w:rsidRPr="006C2F5A">
        <w:rPr>
          <w:lang w:val="en-US"/>
        </w:rPr>
        <w:t xml:space="preserve">, </w:t>
      </w:r>
      <w:r w:rsidR="00AD4988">
        <w:rPr>
          <w:lang w:val="en-US"/>
        </w:rPr>
        <w:t xml:space="preserve">document du Conseil, </w:t>
      </w:r>
      <w:r w:rsidRPr="006C2F5A">
        <w:rPr>
          <w:lang w:val="en-US"/>
        </w:rPr>
        <w:t>GEF/GBFF.05/05.</w:t>
      </w:r>
    </w:p>
  </w:footnote>
  <w:footnote w:id="42">
    <w:p w14:paraId="357F00C4" w14:textId="17F5882D" w:rsidR="00175D6E" w:rsidRPr="006C2F5A" w:rsidRDefault="00175D6E" w:rsidP="000247FC">
      <w:pPr>
        <w:pStyle w:val="FootnoteText"/>
        <w:rPr>
          <w:lang w:val="en-US"/>
        </w:rPr>
      </w:pPr>
      <w:r>
        <w:rPr>
          <w:rStyle w:val="FootnoteReference"/>
          <w:lang w:val="en-US"/>
        </w:rPr>
        <w:footnoteRef/>
      </w:r>
      <w:r w:rsidRPr="006C2F5A">
        <w:rPr>
          <w:lang w:val="en-US"/>
        </w:rPr>
        <w:t xml:space="preserve"> GEF, 2026, </w:t>
      </w:r>
      <w:r w:rsidRPr="00966C17">
        <w:rPr>
          <w:i/>
          <w:iCs/>
          <w:lang w:val="en-US"/>
        </w:rPr>
        <w:t>Guidelines on the Implementation of the GBFF Results Framework</w:t>
      </w:r>
      <w:r w:rsidRPr="006C2F5A">
        <w:rPr>
          <w:lang w:val="en-US"/>
        </w:rPr>
        <w:t xml:space="preserve">, </w:t>
      </w:r>
      <w:r w:rsidR="00AD4988">
        <w:rPr>
          <w:lang w:val="en-US"/>
        </w:rPr>
        <w:t xml:space="preserve">document du Conseil, </w:t>
      </w:r>
      <w:r w:rsidRPr="006C2F5A">
        <w:rPr>
          <w:lang w:val="en-US"/>
        </w:rPr>
        <w:t>GEF/GBFF.06/Inf.02.</w:t>
      </w:r>
    </w:p>
  </w:footnote>
  <w:footnote w:id="43">
    <w:p w14:paraId="77536E14" w14:textId="14AC8330" w:rsidR="0066004C" w:rsidRPr="006C2F5A" w:rsidRDefault="0066004C" w:rsidP="000247FC">
      <w:pPr>
        <w:pStyle w:val="FootnoteText"/>
        <w:rPr>
          <w:i/>
          <w:iCs/>
          <w:lang w:val="en-US"/>
        </w:rPr>
      </w:pPr>
      <w:r>
        <w:rPr>
          <w:rStyle w:val="FootnoteReference"/>
          <w:lang w:val="en-US"/>
        </w:rPr>
        <w:footnoteRef/>
      </w:r>
      <w:r w:rsidRPr="006C2F5A">
        <w:rPr>
          <w:lang w:val="en-US"/>
        </w:rPr>
        <w:t xml:space="preserve"> GEF, 2025, </w:t>
      </w:r>
      <w:hyperlink r:id="rId20" w:history="1">
        <w:r w:rsidRPr="006C2F5A">
          <w:rPr>
            <w:rStyle w:val="Hyperlink"/>
            <w:i/>
            <w:lang w:val="en-US"/>
          </w:rPr>
          <w:t>Guidelines on Actions by Indigenous Peoples and Local Communities</w:t>
        </w:r>
      </w:hyperlink>
      <w:r w:rsidRPr="006C2F5A">
        <w:rPr>
          <w:i/>
          <w:lang w:val="en-US"/>
        </w:rPr>
        <w:t xml:space="preserve">, </w:t>
      </w:r>
      <w:r w:rsidR="00AD4988">
        <w:rPr>
          <w:lang w:val="en-US"/>
        </w:rPr>
        <w:t xml:space="preserve">document du Conseil, </w:t>
      </w:r>
      <w:r w:rsidRPr="006C2F5A">
        <w:rPr>
          <w:lang w:val="en-US"/>
        </w:rPr>
        <w:t>GEF/GBFF.05/Inf.04</w:t>
      </w:r>
    </w:p>
  </w:footnote>
  <w:footnote w:id="44">
    <w:p w14:paraId="678458DD" w14:textId="69481DD3" w:rsidR="00577A3F" w:rsidRPr="006C2F5A" w:rsidRDefault="00577A3F" w:rsidP="000247FC">
      <w:pPr>
        <w:pStyle w:val="FootnoteText"/>
        <w:rPr>
          <w:lang w:val="en-US"/>
        </w:rPr>
      </w:pPr>
      <w:r>
        <w:rPr>
          <w:rStyle w:val="FootnoteReference"/>
          <w:lang w:val="en-US"/>
        </w:rPr>
        <w:footnoteRef/>
      </w:r>
      <w:r w:rsidRPr="006C2F5A">
        <w:rPr>
          <w:lang w:val="en-US"/>
        </w:rPr>
        <w:t xml:space="preserve"> GEF, 2025, </w:t>
      </w:r>
      <w:hyperlink r:id="rId21" w:history="1">
        <w:r w:rsidRPr="006C2F5A">
          <w:rPr>
            <w:rStyle w:val="Hyperlink"/>
            <w:i/>
            <w:lang w:val="en-US"/>
          </w:rPr>
          <w:t>Towards a Resource Mobilization Strategy for the Global Biodiversity Framework Fund 2025-2030</w:t>
        </w:r>
      </w:hyperlink>
      <w:r w:rsidRPr="006C2F5A">
        <w:rPr>
          <w:i/>
          <w:lang w:val="en-US"/>
        </w:rPr>
        <w:t xml:space="preserve">, </w:t>
      </w:r>
      <w:r w:rsidR="00966C17">
        <w:rPr>
          <w:lang w:val="en-US"/>
        </w:rPr>
        <w:t>Document du Conseil</w:t>
      </w:r>
      <w:r w:rsidRPr="006C2F5A">
        <w:rPr>
          <w:lang w:val="en-US"/>
        </w:rPr>
        <w:t xml:space="preserve"> GEF/GBFF.05/04/Rev.01.</w:t>
      </w:r>
    </w:p>
  </w:footnote>
  <w:footnote w:id="45">
    <w:p w14:paraId="46916097" w14:textId="2018F9B0" w:rsidR="00947F8D" w:rsidRPr="006C2F5A" w:rsidRDefault="00947F8D" w:rsidP="000247FC">
      <w:pPr>
        <w:pStyle w:val="FootnoteText"/>
        <w:rPr>
          <w:lang w:val="en-US"/>
        </w:rPr>
      </w:pPr>
      <w:r>
        <w:rPr>
          <w:rStyle w:val="FootnoteReference"/>
          <w:lang w:val="en-US"/>
        </w:rPr>
        <w:footnoteRef/>
      </w:r>
      <w:r w:rsidRPr="006C2F5A">
        <w:rPr>
          <w:lang w:val="en-US"/>
        </w:rPr>
        <w:t xml:space="preserve"> GEF, 2024, </w:t>
      </w:r>
      <w:hyperlink r:id="rId22" w:history="1">
        <w:r w:rsidRPr="006C2F5A">
          <w:rPr>
            <w:rStyle w:val="Hyperlink"/>
            <w:i/>
            <w:lang w:val="en-US"/>
          </w:rPr>
          <w:t>Global Biodiversity Framework Fund Project Cycle Policy</w:t>
        </w:r>
      </w:hyperlink>
      <w:r w:rsidRPr="006C2F5A">
        <w:rPr>
          <w:i/>
          <w:lang w:val="en-US"/>
        </w:rPr>
        <w:t>,</w:t>
      </w:r>
      <w:r w:rsidRPr="006C2F5A">
        <w:rPr>
          <w:lang w:val="en-US"/>
        </w:rPr>
        <w:t xml:space="preserve"> </w:t>
      </w:r>
      <w:r w:rsidR="00966C17">
        <w:rPr>
          <w:lang w:val="en-US"/>
        </w:rPr>
        <w:t>Document du Conseil</w:t>
      </w:r>
      <w:r w:rsidRPr="006C2F5A">
        <w:rPr>
          <w:lang w:val="en-US"/>
        </w:rPr>
        <w:t xml:space="preserve"> GEF/GBFF.01/04/Rev.02</w:t>
      </w:r>
    </w:p>
  </w:footnote>
  <w:footnote w:id="46">
    <w:p w14:paraId="1CFA1972" w14:textId="77777777" w:rsidR="00590A67" w:rsidRPr="00C67737" w:rsidRDefault="00590A67" w:rsidP="00590A67">
      <w:pPr>
        <w:pStyle w:val="FootnoteText"/>
        <w:tabs>
          <w:tab w:val="left" w:pos="6111"/>
        </w:tabs>
        <w:rPr>
          <w:lang w:val="en-US"/>
        </w:rPr>
      </w:pPr>
      <w:r w:rsidRPr="00C67737">
        <w:rPr>
          <w:rStyle w:val="FootnoteReference"/>
          <w:lang w:val="en-US"/>
        </w:rPr>
        <w:footnoteRef/>
      </w:r>
      <w:r w:rsidRPr="00C67737">
        <w:rPr>
          <w:lang w:val="en-US"/>
        </w:rPr>
        <w:t xml:space="preserve"> </w:t>
      </w:r>
      <w:r w:rsidRPr="00590A67">
        <w:rPr>
          <w:lang w:val="en-US"/>
        </w:rPr>
        <w:t xml:space="preserve">CBD, 2025, </w:t>
      </w:r>
      <w:hyperlink r:id="rId23" w:history="1">
        <w:r w:rsidRPr="00590A67">
          <w:rPr>
            <w:rStyle w:val="Hyperlink"/>
            <w:i/>
            <w:iCs/>
            <w:lang w:val="en-US"/>
          </w:rPr>
          <w:t>Financial mechanism</w:t>
        </w:r>
      </w:hyperlink>
      <w:r w:rsidRPr="00590A67">
        <w:rPr>
          <w:lang w:val="en-US"/>
        </w:rPr>
        <w:t>, Decision COP/16/33.</w:t>
      </w:r>
      <w:r w:rsidRPr="00590A67">
        <w:rPr>
          <w:lang w:val="en-US"/>
        </w:rPr>
        <w:tab/>
      </w:r>
    </w:p>
  </w:footnote>
  <w:footnote w:id="47">
    <w:p w14:paraId="76B39EA4" w14:textId="77777777" w:rsidR="00C004A0" w:rsidRPr="00C67737" w:rsidRDefault="00C004A0" w:rsidP="000247FC">
      <w:pPr>
        <w:pStyle w:val="FootnoteText"/>
      </w:pPr>
      <w:r>
        <w:rPr>
          <w:rStyle w:val="FootnoteReference"/>
          <w:szCs w:val="18"/>
          <w:lang w:val="en-US"/>
        </w:rPr>
        <w:footnoteRef/>
      </w:r>
      <w:r>
        <w:t xml:space="preserve"> Nations Unies, Recueil des Traités, vol. 1760, no 30619.</w:t>
      </w:r>
    </w:p>
  </w:footnote>
  <w:footnote w:id="48">
    <w:p w14:paraId="63D9F4FC"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24" w:history="1">
        <w:r>
          <w:rPr>
            <w:rStyle w:val="Hyperlink"/>
          </w:rPr>
          <w:t>III/8</w:t>
        </w:r>
      </w:hyperlink>
      <w:r>
        <w:t>, annexe.</w:t>
      </w:r>
    </w:p>
  </w:footnote>
  <w:footnote w:id="49">
    <w:p w14:paraId="3B9847AE"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25" w:history="1">
        <w:r>
          <w:rPr>
            <w:rStyle w:val="Hyperlink"/>
          </w:rPr>
          <w:t>15/15</w:t>
        </w:r>
      </w:hyperlink>
      <w:r>
        <w:t>, annexe III.</w:t>
      </w:r>
    </w:p>
  </w:footnote>
  <w:footnote w:id="50">
    <w:p w14:paraId="5C02B9C6" w14:textId="77777777" w:rsidR="00C004A0" w:rsidRPr="00C67737" w:rsidRDefault="00C004A0" w:rsidP="000247FC">
      <w:pPr>
        <w:pStyle w:val="FootnoteText"/>
      </w:pPr>
      <w:r>
        <w:rPr>
          <w:rStyle w:val="FootnoteReference"/>
          <w:lang w:val="en-US"/>
        </w:rPr>
        <w:footnoteRef/>
      </w:r>
      <w:r>
        <w:t xml:space="preserve"> Décision </w:t>
      </w:r>
      <w:hyperlink r:id="rId26" w:history="1">
        <w:r>
          <w:rPr>
            <w:rStyle w:val="Hyperlink"/>
          </w:rPr>
          <w:t>15/4</w:t>
        </w:r>
      </w:hyperlink>
      <w:r>
        <w:t>, annexe.</w:t>
      </w:r>
    </w:p>
  </w:footnote>
  <w:footnote w:id="51">
    <w:p w14:paraId="6F9DB96B" w14:textId="77777777" w:rsidR="00C004A0" w:rsidRPr="00C67737" w:rsidRDefault="00C004A0" w:rsidP="000247FC">
      <w:pPr>
        <w:pStyle w:val="FootnoteText"/>
      </w:pPr>
      <w:r>
        <w:rPr>
          <w:rStyle w:val="FootnoteReference"/>
          <w:szCs w:val="18"/>
          <w:lang w:val="en-US"/>
        </w:rPr>
        <w:footnoteRef/>
      </w:r>
      <w:r>
        <w:t xml:space="preserve"> Nations Unies, </w:t>
      </w:r>
      <w:r>
        <w:rPr>
          <w:i/>
          <w:iCs/>
        </w:rPr>
        <w:t>Recueil des Traités</w:t>
      </w:r>
      <w:r>
        <w:t>, vol. 2226, no 30619.</w:t>
      </w:r>
    </w:p>
  </w:footnote>
  <w:footnote w:id="52">
    <w:p w14:paraId="10DF2B92" w14:textId="77777777" w:rsidR="00C004A0" w:rsidRPr="006C2F5A" w:rsidRDefault="00C004A0" w:rsidP="000247FC">
      <w:pPr>
        <w:pStyle w:val="FootnoteText"/>
        <w:rPr>
          <w:lang w:val="en-US"/>
        </w:rPr>
      </w:pPr>
      <w:r>
        <w:rPr>
          <w:rStyle w:val="FootnoteReference"/>
          <w:lang w:val="en-US"/>
        </w:rPr>
        <w:footnoteRef/>
      </w:r>
      <w:r w:rsidRPr="006C2F5A">
        <w:rPr>
          <w:lang w:val="en-US"/>
        </w:rPr>
        <w:t xml:space="preserve"> Ibid., vol. 3008, No. 30619.</w:t>
      </w:r>
    </w:p>
  </w:footnote>
  <w:footnote w:id="53">
    <w:p w14:paraId="5C973084" w14:textId="77777777" w:rsidR="00C004A0" w:rsidRPr="006C2F5A" w:rsidRDefault="00C004A0" w:rsidP="000247FC">
      <w:pPr>
        <w:pStyle w:val="FootnoteText"/>
        <w:rPr>
          <w:szCs w:val="18"/>
          <w:lang w:val="en-US"/>
        </w:rPr>
      </w:pPr>
      <w:r>
        <w:rPr>
          <w:rStyle w:val="FootnoteReference"/>
          <w:szCs w:val="18"/>
          <w:lang w:val="en-US"/>
        </w:rPr>
        <w:footnoteRef/>
      </w:r>
      <w:r w:rsidRPr="006C2F5A">
        <w:rPr>
          <w:lang w:val="en-US"/>
        </w:rPr>
        <w:t xml:space="preserve"> </w:t>
      </w:r>
      <w:hyperlink r:id="rId27" w:history="1">
        <w:r w:rsidRPr="006C2F5A">
          <w:rPr>
            <w:rStyle w:val="Hyperlink"/>
            <w:lang w:val="en-US"/>
          </w:rPr>
          <w:t>CBD/COP/16/8/Rev.1</w:t>
        </w:r>
      </w:hyperlink>
      <w:r w:rsidRPr="006C2F5A">
        <w:rPr>
          <w:color w:val="000000"/>
          <w:lang w:val="en-US"/>
        </w:rPr>
        <w:t>.</w:t>
      </w:r>
    </w:p>
  </w:footnote>
  <w:footnote w:id="54">
    <w:p w14:paraId="2F2D25CD" w14:textId="77777777" w:rsidR="00C004A0" w:rsidRPr="00C67737" w:rsidRDefault="00C004A0" w:rsidP="000247FC">
      <w:pPr>
        <w:pStyle w:val="FootnoteText"/>
        <w:rPr>
          <w:szCs w:val="18"/>
        </w:rPr>
      </w:pPr>
      <w:r>
        <w:rPr>
          <w:rStyle w:val="FootnoteReference"/>
          <w:szCs w:val="18"/>
          <w:lang w:val="en-US"/>
        </w:rPr>
        <w:footnoteRef/>
      </w:r>
      <w:r>
        <w:t xml:space="preserve"> </w:t>
      </w:r>
      <w:hyperlink r:id="rId28" w:history="1">
        <w:r>
          <w:rPr>
            <w:rStyle w:val="Hyperlink"/>
          </w:rPr>
          <w:t>CBD/COP/16/7</w:t>
        </w:r>
      </w:hyperlink>
      <w:r>
        <w:t xml:space="preserve">. Voir aussi </w:t>
      </w:r>
      <w:hyperlink r:id="rId29" w:history="1">
        <w:r>
          <w:rPr>
            <w:rStyle w:val="Hyperlink"/>
          </w:rPr>
          <w:t>CBD/COP/16/INF/25</w:t>
        </w:r>
      </w:hyperlink>
      <w:r>
        <w:rPr>
          <w:color w:val="000000"/>
        </w:rPr>
        <w:t>.</w:t>
      </w:r>
    </w:p>
  </w:footnote>
  <w:footnote w:id="55">
    <w:p w14:paraId="720FE7E3"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30" w:history="1">
        <w:r>
          <w:rPr>
            <w:rStyle w:val="Hyperlink"/>
          </w:rPr>
          <w:t>CP-10/3</w:t>
        </w:r>
      </w:hyperlink>
      <w:r>
        <w:t>, annexe.</w:t>
      </w:r>
    </w:p>
  </w:footnote>
  <w:footnote w:id="56">
    <w:p w14:paraId="673FD511"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31" w:history="1">
        <w:r>
          <w:rPr>
            <w:rStyle w:val="Hyperlink"/>
          </w:rPr>
          <w:t>CP-10/4</w:t>
        </w:r>
      </w:hyperlink>
      <w:r>
        <w:t>, annexe.</w:t>
      </w:r>
    </w:p>
  </w:footnote>
  <w:footnote w:id="57">
    <w:p w14:paraId="6695BE55" w14:textId="39911B82" w:rsidR="00A92C0D" w:rsidRPr="00FD0A55" w:rsidRDefault="00A92C0D" w:rsidP="000247FC">
      <w:pPr>
        <w:pStyle w:val="FootnoteText"/>
      </w:pPr>
      <w:r>
        <w:rPr>
          <w:rStyle w:val="FootnoteReference"/>
          <w:lang w:val="en-US"/>
        </w:rPr>
        <w:footnoteRef/>
      </w:r>
      <w:r w:rsidRPr="00FD0A55">
        <w:t xml:space="preserve"> GEF, 2025, </w:t>
      </w:r>
      <w:hyperlink r:id="rId32" w:history="1">
        <w:r w:rsidRPr="00FD0A55">
          <w:rPr>
            <w:rStyle w:val="Hyperlink"/>
            <w:i/>
          </w:rPr>
          <w:t xml:space="preserve">Guidelines on Actions by Indigenous Peoples and Local </w:t>
        </w:r>
        <w:proofErr w:type="spellStart"/>
        <w:r w:rsidRPr="00FD0A55">
          <w:rPr>
            <w:rStyle w:val="Hyperlink"/>
            <w:i/>
          </w:rPr>
          <w:t>Communities</w:t>
        </w:r>
        <w:proofErr w:type="spellEnd"/>
      </w:hyperlink>
      <w:r w:rsidRPr="00FD0A55">
        <w:t xml:space="preserve">, </w:t>
      </w:r>
      <w:r w:rsidR="00AD4988" w:rsidRPr="00FD0A55">
        <w:t xml:space="preserve">document du Conseil, </w:t>
      </w:r>
      <w:r w:rsidRPr="00FD0A55">
        <w:t>GEF/GBFF.05/Inf.04</w:t>
      </w:r>
    </w:p>
  </w:footnote>
  <w:footnote w:id="58">
    <w:p w14:paraId="16DDD2B5" w14:textId="77777777" w:rsidR="00C004A0" w:rsidRPr="00C67737" w:rsidRDefault="00C004A0" w:rsidP="000247FC">
      <w:pPr>
        <w:pStyle w:val="FootnoteText"/>
      </w:pPr>
      <w:r>
        <w:rPr>
          <w:rStyle w:val="FootnoteReference"/>
          <w:lang w:val="en-US"/>
        </w:rPr>
        <w:footnoteRef/>
      </w:r>
      <w:r>
        <w:rPr>
          <w:rFonts w:ascii="Aptos" w:hAnsi="Aptos"/>
          <w:color w:val="000000"/>
        </w:rPr>
        <w:t xml:space="preserve"> </w:t>
      </w:r>
      <w:r>
        <w:t xml:space="preserve">Voir les contributions à l’adresse suivante : </w:t>
      </w:r>
      <w:hyperlink r:id="rId33" w:history="1">
        <w:r>
          <w:rPr>
            <w:rStyle w:val="Hyperlink"/>
          </w:rPr>
          <w:t>https://fiftrustee.worldbank.org/en/about/unit/dfi/fiftrustee/fund-detail/gbff</w:t>
        </w:r>
      </w:hyperlink>
      <w:r>
        <w:t>.</w:t>
      </w:r>
    </w:p>
  </w:footnote>
  <w:footnote w:id="59">
    <w:p w14:paraId="1FE80207" w14:textId="4890DE30" w:rsidR="00567620" w:rsidRPr="006C2F5A" w:rsidRDefault="00567620" w:rsidP="000247FC">
      <w:pPr>
        <w:pStyle w:val="FootnoteText"/>
        <w:rPr>
          <w:lang w:val="en-US"/>
        </w:rPr>
      </w:pPr>
      <w:r>
        <w:rPr>
          <w:rStyle w:val="FootnoteReference"/>
          <w:lang w:val="en-US"/>
        </w:rPr>
        <w:footnoteRef/>
      </w:r>
      <w:r w:rsidRPr="006C2F5A">
        <w:rPr>
          <w:lang w:val="en-US"/>
        </w:rPr>
        <w:t xml:space="preserve"> GEF, 2026, </w:t>
      </w:r>
      <w:hyperlink r:id="rId34" w:history="1">
        <w:r w:rsidRPr="006C2F5A">
          <w:rPr>
            <w:rStyle w:val="Hyperlink"/>
            <w:i/>
            <w:lang w:val="en-US"/>
          </w:rPr>
          <w:t>Towards a Resource Mobilization Strategy for the Global Biodiversity Framework Fund 2026-2030</w:t>
        </w:r>
      </w:hyperlink>
      <w:r w:rsidRPr="006C2F5A">
        <w:rPr>
          <w:lang w:val="en-US"/>
        </w:rPr>
        <w:t xml:space="preserve">, </w:t>
      </w:r>
      <w:r w:rsidR="00966C17">
        <w:rPr>
          <w:lang w:val="en-US"/>
        </w:rPr>
        <w:t>Document du Conseil</w:t>
      </w:r>
      <w:r w:rsidRPr="006C2F5A">
        <w:rPr>
          <w:lang w:val="en-US"/>
        </w:rPr>
        <w:t xml:space="preserve"> GEF/GBFF.06/04.</w:t>
      </w:r>
    </w:p>
  </w:footnote>
  <w:footnote w:id="60">
    <w:p w14:paraId="5DABED43" w14:textId="795E1134" w:rsidR="00D36845" w:rsidRPr="006C2F5A" w:rsidRDefault="00D36845" w:rsidP="000247FC">
      <w:pPr>
        <w:pStyle w:val="FootnoteText"/>
        <w:rPr>
          <w:lang w:val="en-US"/>
        </w:rPr>
      </w:pPr>
      <w:r>
        <w:rPr>
          <w:rStyle w:val="FootnoteReference"/>
          <w:lang w:val="en-US"/>
        </w:rPr>
        <w:footnoteRef/>
      </w:r>
      <w:r w:rsidRPr="006C2F5A">
        <w:rPr>
          <w:lang w:val="en-US"/>
        </w:rPr>
        <w:t xml:space="preserve"> GEF, 2025, </w:t>
      </w:r>
      <w:hyperlink r:id="rId35" w:history="1">
        <w:r w:rsidRPr="006C2F5A">
          <w:rPr>
            <w:rStyle w:val="Hyperlink"/>
            <w:i/>
            <w:lang w:val="en-US"/>
          </w:rPr>
          <w:t>Towards a Resource Mobilization Strategy for the Global Biodiversity Framework Fund 2025-2030</w:t>
        </w:r>
      </w:hyperlink>
      <w:r w:rsidRPr="006C2F5A">
        <w:rPr>
          <w:lang w:val="en-US"/>
        </w:rPr>
        <w:t xml:space="preserve">, </w:t>
      </w:r>
      <w:r w:rsidR="00966C17">
        <w:rPr>
          <w:lang w:val="en-US"/>
        </w:rPr>
        <w:t>Document du Conseil</w:t>
      </w:r>
      <w:r w:rsidRPr="006C2F5A">
        <w:rPr>
          <w:lang w:val="en-US"/>
        </w:rPr>
        <w:t xml:space="preserve"> GEF/GBFF.05/04/Rev.01.</w:t>
      </w:r>
    </w:p>
  </w:footnote>
  <w:footnote w:id="61">
    <w:p w14:paraId="5F5AAC85" w14:textId="77777777" w:rsidR="00692C29" w:rsidRPr="006C2F5A" w:rsidRDefault="00692C29" w:rsidP="000247FC">
      <w:pPr>
        <w:pStyle w:val="FootnoteText"/>
        <w:rPr>
          <w:lang w:val="en-US"/>
        </w:rPr>
      </w:pPr>
      <w:r>
        <w:rPr>
          <w:rStyle w:val="FootnoteReference"/>
          <w:lang w:val="en-US"/>
        </w:rPr>
        <w:footnoteRef/>
      </w:r>
      <w:r w:rsidRPr="006C2F5A">
        <w:rPr>
          <w:lang w:val="en-US"/>
        </w:rPr>
        <w:t xml:space="preserve"> https://robwaltonfoundation.org/news/launchingafricakeystonepartnership-cbngp</w:t>
      </w:r>
    </w:p>
  </w:footnote>
  <w:footnote w:id="62">
    <w:p w14:paraId="6C8CECDD" w14:textId="45CF84A4" w:rsidR="005724C3" w:rsidRPr="006C2F5A" w:rsidRDefault="00117C7F" w:rsidP="000247FC">
      <w:pPr>
        <w:pStyle w:val="FootnoteText"/>
        <w:rPr>
          <w:lang w:val="en-US"/>
        </w:rPr>
      </w:pPr>
      <w:r>
        <w:rPr>
          <w:rStyle w:val="FootnoteReference"/>
          <w:lang w:val="en-US"/>
        </w:rPr>
        <w:footnoteRef/>
      </w:r>
      <w:r w:rsidRPr="006C2F5A">
        <w:rPr>
          <w:lang w:val="en-US"/>
        </w:rPr>
        <w:t xml:space="preserve"> GEF, 2025, </w:t>
      </w:r>
      <w:hyperlink r:id="rId36" w:history="1">
        <w:r w:rsidRPr="006C2F5A">
          <w:rPr>
            <w:rStyle w:val="Hyperlink"/>
            <w:i/>
            <w:lang w:val="en-US"/>
          </w:rPr>
          <w:t>Towards a Resource Mobilization Strategy for the Global Biodiversity Framework Fund 2025-2030</w:t>
        </w:r>
      </w:hyperlink>
      <w:r w:rsidRPr="006C2F5A">
        <w:rPr>
          <w:lang w:val="en-US"/>
        </w:rPr>
        <w:t xml:space="preserve">, </w:t>
      </w:r>
      <w:r w:rsidR="00E5005A">
        <w:rPr>
          <w:lang w:val="en-US"/>
        </w:rPr>
        <w:t>d</w:t>
      </w:r>
      <w:r w:rsidR="00966C17">
        <w:rPr>
          <w:lang w:val="en-US"/>
        </w:rPr>
        <w:t>ocument du Conseil</w:t>
      </w:r>
      <w:r w:rsidR="00E5005A">
        <w:rPr>
          <w:lang w:val="en-US"/>
        </w:rPr>
        <w:t>,</w:t>
      </w:r>
      <w:r w:rsidRPr="006C2F5A">
        <w:rPr>
          <w:lang w:val="en-US"/>
        </w:rPr>
        <w:t xml:space="preserve"> GEF/GBFF.05/04/Rev.01.</w:t>
      </w:r>
    </w:p>
  </w:footnote>
  <w:footnote w:id="63">
    <w:p w14:paraId="76266B2D" w14:textId="785017A4" w:rsidR="004500D5" w:rsidRPr="006C2F5A" w:rsidRDefault="004500D5" w:rsidP="000247FC">
      <w:pPr>
        <w:pStyle w:val="FootnoteText"/>
        <w:rPr>
          <w:lang w:val="en-US"/>
        </w:rPr>
      </w:pPr>
      <w:r>
        <w:rPr>
          <w:rStyle w:val="FootnoteReference"/>
          <w:lang w:val="en-US"/>
        </w:rPr>
        <w:footnoteRef/>
      </w:r>
      <w:r w:rsidRPr="006C2F5A">
        <w:rPr>
          <w:lang w:val="en-US"/>
        </w:rPr>
        <w:t xml:space="preserve"> GEF, 2026, </w:t>
      </w:r>
      <w:hyperlink r:id="rId37" w:history="1">
        <w:r w:rsidRPr="006C2F5A">
          <w:rPr>
            <w:rStyle w:val="Hyperlink"/>
            <w:i/>
            <w:lang w:val="en-US"/>
          </w:rPr>
          <w:t>Towards a Resource Mobilization Strategy for the Global Biodiversity Framework Fund 2026-2030</w:t>
        </w:r>
      </w:hyperlink>
      <w:r w:rsidRPr="006C2F5A">
        <w:rPr>
          <w:i/>
          <w:lang w:val="en-US"/>
        </w:rPr>
        <w:t>,</w:t>
      </w:r>
      <w:r w:rsidRPr="006C2F5A">
        <w:rPr>
          <w:lang w:val="en-US"/>
        </w:rPr>
        <w:t xml:space="preserve"> </w:t>
      </w:r>
      <w:r w:rsidR="00E5005A">
        <w:rPr>
          <w:lang w:val="en-US"/>
        </w:rPr>
        <w:t>d</w:t>
      </w:r>
      <w:r w:rsidR="00966C17">
        <w:rPr>
          <w:lang w:val="en-US"/>
        </w:rPr>
        <w:t>ocument du Conseil</w:t>
      </w:r>
      <w:r w:rsidR="00E5005A">
        <w:rPr>
          <w:lang w:val="en-US"/>
        </w:rPr>
        <w:t>,</w:t>
      </w:r>
      <w:r w:rsidRPr="006C2F5A">
        <w:rPr>
          <w:lang w:val="en-US"/>
        </w:rPr>
        <w:t xml:space="preserve"> GEF/GBFF.06/04.</w:t>
      </w:r>
    </w:p>
    <w:p w14:paraId="3DCE9C20" w14:textId="660332F2" w:rsidR="008E587D" w:rsidRPr="00C67737" w:rsidRDefault="008E587D" w:rsidP="000247FC">
      <w:pPr>
        <w:pStyle w:val="FootnoteText"/>
        <w:rPr>
          <w:lang w:val="en-US"/>
        </w:rPr>
      </w:pPr>
    </w:p>
  </w:footnote>
  <w:footnote w:id="64">
    <w:p w14:paraId="55A25958" w14:textId="3C29A7C3" w:rsidR="00641DFF" w:rsidRPr="006C2F5A" w:rsidRDefault="006755FA" w:rsidP="000247FC">
      <w:pPr>
        <w:pStyle w:val="FootnoteText"/>
        <w:rPr>
          <w:lang w:val="en-US"/>
        </w:rPr>
      </w:pPr>
      <w:r>
        <w:rPr>
          <w:rStyle w:val="FootnoteReference"/>
          <w:lang w:val="en-US"/>
        </w:rPr>
        <w:footnoteRef/>
      </w:r>
      <w:r w:rsidRPr="006C2F5A">
        <w:rPr>
          <w:lang w:val="en-US"/>
        </w:rPr>
        <w:t xml:space="preserve"> GEF 2025, </w:t>
      </w:r>
      <w:hyperlink r:id="rId38" w:history="1">
        <w:r w:rsidRPr="006C2F5A">
          <w:rPr>
            <w:i/>
            <w:color w:val="0563C1" w:themeColor="hyperlink"/>
            <w:u w:val="single"/>
            <w:lang w:val="en-US"/>
          </w:rPr>
          <w:t>Guidelines on Actions by Indigenous Peoples and Local Communities</w:t>
        </w:r>
      </w:hyperlink>
      <w:r w:rsidRPr="006C2F5A">
        <w:rPr>
          <w:i/>
          <w:color w:val="000000"/>
          <w:lang w:val="en-US"/>
        </w:rPr>
        <w:t>,</w:t>
      </w:r>
      <w:r w:rsidRPr="006C2F5A">
        <w:rPr>
          <w:color w:val="000000"/>
          <w:lang w:val="en-US"/>
        </w:rPr>
        <w:t xml:space="preserve"> </w:t>
      </w:r>
      <w:r w:rsidR="00AD4988">
        <w:rPr>
          <w:color w:val="000000"/>
          <w:lang w:val="en-US"/>
        </w:rPr>
        <w:t xml:space="preserve">document du Conseil, </w:t>
      </w:r>
      <w:r w:rsidRPr="006C2F5A">
        <w:rPr>
          <w:color w:val="000000"/>
          <w:lang w:val="en-US"/>
        </w:rPr>
        <w:t>GEF/GBFF.05/Inf.04</w:t>
      </w:r>
    </w:p>
    <w:p w14:paraId="3E684DD6" w14:textId="504A7835" w:rsidR="006755FA" w:rsidRPr="00C67737" w:rsidRDefault="006755FA" w:rsidP="000247FC">
      <w:pPr>
        <w:pStyle w:val="FootnoteText"/>
        <w:rPr>
          <w:lang w:val="en-US"/>
        </w:rPr>
      </w:pPr>
    </w:p>
  </w:footnote>
  <w:footnote w:id="65">
    <w:p w14:paraId="5B90F09D" w14:textId="72F26978" w:rsidR="00ED7D21" w:rsidRPr="006C2F5A" w:rsidRDefault="00ED7D21" w:rsidP="000247FC">
      <w:pPr>
        <w:pStyle w:val="FootnoteText"/>
        <w:rPr>
          <w:lang w:val="en-US"/>
        </w:rPr>
      </w:pPr>
      <w:r>
        <w:rPr>
          <w:rStyle w:val="FootnoteReference"/>
          <w:lang w:val="en-US"/>
        </w:rPr>
        <w:footnoteRef/>
      </w:r>
      <w:r w:rsidRPr="006C2F5A">
        <w:rPr>
          <w:lang w:val="en-US"/>
        </w:rPr>
        <w:t xml:space="preserve"> GEF, 2026, </w:t>
      </w:r>
      <w:hyperlink r:id="rId39" w:history="1">
        <w:r w:rsidRPr="006C2F5A">
          <w:rPr>
            <w:rStyle w:val="Hyperlink"/>
            <w:i/>
            <w:color w:val="000000" w:themeColor="text1"/>
            <w:lang w:val="en-US"/>
          </w:rPr>
          <w:t>Options to facilitate the achievement of the portfolio target related to International Financial Institutions</w:t>
        </w:r>
      </w:hyperlink>
      <w:r w:rsidRPr="006C2F5A">
        <w:rPr>
          <w:lang w:val="en-US"/>
        </w:rPr>
        <w:t xml:space="preserve">, </w:t>
      </w:r>
      <w:r w:rsidR="00966C17">
        <w:rPr>
          <w:lang w:val="en-US"/>
        </w:rPr>
        <w:t>Document du Conseil</w:t>
      </w:r>
      <w:r w:rsidRPr="006C2F5A">
        <w:rPr>
          <w:lang w:val="en-US"/>
        </w:rPr>
        <w:t xml:space="preserve"> GEF/GBFF.06/06</w:t>
      </w:r>
    </w:p>
  </w:footnote>
  <w:footnote w:id="66">
    <w:p w14:paraId="46CA1E4F" w14:textId="77777777" w:rsidR="00C004A0" w:rsidRPr="00C67737" w:rsidRDefault="00C004A0" w:rsidP="000247FC">
      <w:pPr>
        <w:pStyle w:val="FootnoteText"/>
      </w:pPr>
      <w:r>
        <w:rPr>
          <w:rStyle w:val="FootnoteReference"/>
          <w:lang w:val="en-US"/>
        </w:rPr>
        <w:footnoteRef/>
      </w:r>
      <w:r>
        <w:t xml:space="preserve"> Voir la communication de l’État plurinational de Bolivie, disponible à l’adresse suivante : </w:t>
      </w:r>
      <w:hyperlink r:id="rId40" w:history="1">
        <w:r>
          <w:rPr>
            <w:rStyle w:val="Hyperlink"/>
          </w:rPr>
          <w:t>www.cbd.int/doc/interventions/6717c9819a0ecc27c502d552/GEF %20Financial %20Mechanism.docx</w:t>
        </w:r>
      </w:hyperlink>
      <w:r>
        <w:t xml:space="preserve">. </w:t>
      </w:r>
    </w:p>
  </w:footnote>
  <w:footnote w:id="67">
    <w:p w14:paraId="52F9A287" w14:textId="77777777" w:rsidR="00C004A0" w:rsidRPr="006C2F5A" w:rsidRDefault="00C004A0" w:rsidP="000247FC">
      <w:pPr>
        <w:pStyle w:val="FootnoteText"/>
        <w:rPr>
          <w:lang w:val="en-US"/>
        </w:rPr>
      </w:pPr>
      <w:r>
        <w:rPr>
          <w:rStyle w:val="FootnoteReference"/>
          <w:lang w:val="en-US"/>
        </w:rPr>
        <w:footnoteRef/>
      </w:r>
      <w:r w:rsidRPr="006C2F5A">
        <w:rPr>
          <w:lang w:val="en-US"/>
        </w:rPr>
        <w:t xml:space="preserve"> GEF Policy on Stakeholder Engagement Policy (SD/PL/01, 2017); GEF Policy on Gender Equality (SD/PL/02, 2017); et GEF Policy on Environmental and Social Safeguards (SD/PL/03, 2019)</w:t>
      </w:r>
    </w:p>
  </w:footnote>
  <w:footnote w:id="68">
    <w:p w14:paraId="2DF9DFB2" w14:textId="4BDBA7BF" w:rsidR="71C9903A" w:rsidRPr="006C2F5A" w:rsidRDefault="71C9903A" w:rsidP="000247FC">
      <w:pPr>
        <w:pStyle w:val="FootnoteText"/>
        <w:rPr>
          <w:rFonts w:ascii="Segoe UI" w:eastAsia="Segoe UI" w:hAnsi="Segoe UI" w:cs="Segoe UI"/>
          <w:sz w:val="18"/>
          <w:szCs w:val="18"/>
          <w:lang w:val="en-US"/>
        </w:rPr>
      </w:pPr>
      <w:r>
        <w:rPr>
          <w:vertAlign w:val="superscript"/>
          <w:lang w:val="en-US"/>
        </w:rPr>
        <w:footnoteRef/>
      </w:r>
      <w:r w:rsidRPr="006C2F5A">
        <w:rPr>
          <w:lang w:val="en-US"/>
        </w:rPr>
        <w:t xml:space="preserve"> GEF, 2025,</w:t>
      </w:r>
      <w:r w:rsidRPr="006C2F5A">
        <w:rPr>
          <w:rFonts w:ascii="Segoe UI" w:hAnsi="Segoe UI"/>
          <w:sz w:val="18"/>
          <w:lang w:val="en-US"/>
        </w:rPr>
        <w:t xml:space="preserve"> </w:t>
      </w:r>
      <w:hyperlink r:id="rId41">
        <w:r w:rsidRPr="006C2F5A">
          <w:rPr>
            <w:rStyle w:val="Hyperlink"/>
            <w:i/>
            <w:lang w:val="en-US"/>
          </w:rPr>
          <w:t>Progress report on the implementation of the GEF Policy on Environmental and Social Safeguards</w:t>
        </w:r>
      </w:hyperlink>
      <w:r w:rsidRPr="006C2F5A">
        <w:rPr>
          <w:lang w:val="en-US"/>
        </w:rPr>
        <w:t xml:space="preserve">, </w:t>
      </w:r>
      <w:r w:rsidR="00AD4988">
        <w:rPr>
          <w:lang w:val="en-US"/>
        </w:rPr>
        <w:t xml:space="preserve">document du Conseil, </w:t>
      </w:r>
      <w:r w:rsidRPr="006C2F5A">
        <w:rPr>
          <w:lang w:val="en-US"/>
        </w:rPr>
        <w:t xml:space="preserve">GEF/C.70/Inf.08  </w:t>
      </w:r>
    </w:p>
  </w:footnote>
  <w:footnote w:id="69">
    <w:p w14:paraId="03AA49D5" w14:textId="3D31E5AC" w:rsidR="006816B8" w:rsidRPr="006C2F5A" w:rsidRDefault="006816B8" w:rsidP="000247FC">
      <w:pPr>
        <w:pStyle w:val="FootnoteText"/>
        <w:rPr>
          <w:lang w:val="en-US"/>
        </w:rPr>
      </w:pPr>
      <w:r>
        <w:rPr>
          <w:rStyle w:val="FootnoteReference"/>
          <w:lang w:val="en-US"/>
        </w:rPr>
        <w:footnoteRef/>
      </w:r>
      <w:r w:rsidRPr="006C2F5A">
        <w:rPr>
          <w:lang w:val="en-US"/>
        </w:rPr>
        <w:t xml:space="preserve"> GEF, 2026, </w:t>
      </w:r>
      <w:hyperlink r:id="rId42" w:history="1">
        <w:r w:rsidRPr="006C2F5A">
          <w:rPr>
            <w:rStyle w:val="Hyperlink"/>
            <w:i/>
            <w:lang w:val="en-US"/>
          </w:rPr>
          <w:t>Policy Recommendations for GEF-9</w:t>
        </w:r>
      </w:hyperlink>
      <w:r w:rsidRPr="006C2F5A">
        <w:rPr>
          <w:lang w:val="en-US"/>
        </w:rPr>
        <w:t>, GEF/R.09/22.</w:t>
      </w:r>
    </w:p>
  </w:footnote>
  <w:footnote w:id="70">
    <w:p w14:paraId="74705666" w14:textId="0A4A4EAC" w:rsidR="00C004A0" w:rsidRPr="006C2F5A" w:rsidRDefault="00C004A0" w:rsidP="000247FC">
      <w:pPr>
        <w:pStyle w:val="FootnoteText"/>
        <w:rPr>
          <w:lang w:val="en-US"/>
        </w:rPr>
      </w:pPr>
      <w:r>
        <w:rPr>
          <w:rStyle w:val="FootnoteReference"/>
          <w:lang w:val="en-US"/>
        </w:rPr>
        <w:footnoteRef/>
      </w:r>
      <w:r w:rsidRPr="006C2F5A">
        <w:rPr>
          <w:lang w:val="en-US"/>
        </w:rPr>
        <w:t xml:space="preserve"> GEF, 2026, </w:t>
      </w:r>
      <w:hyperlink r:id="rId43" w:history="1">
        <w:r w:rsidRPr="006C2F5A">
          <w:rPr>
            <w:rStyle w:val="Hyperlink"/>
            <w:i/>
            <w:lang w:val="en-US"/>
          </w:rPr>
          <w:t>Policy Directions for GEF-9</w:t>
        </w:r>
      </w:hyperlink>
      <w:r w:rsidRPr="006C2F5A">
        <w:rPr>
          <w:lang w:val="en-US"/>
        </w:rPr>
        <w:t>, GEF/R.09/Inf.14.</w:t>
      </w:r>
    </w:p>
  </w:footnote>
  <w:footnote w:id="71">
    <w:p w14:paraId="14AF7BCC" w14:textId="3EE880B0" w:rsidR="00C004A0" w:rsidRPr="006C2F5A" w:rsidRDefault="00C004A0" w:rsidP="000247FC">
      <w:pPr>
        <w:pStyle w:val="FootnoteText"/>
        <w:rPr>
          <w:lang w:val="en-US"/>
        </w:rPr>
      </w:pPr>
      <w:r>
        <w:rPr>
          <w:rStyle w:val="FootnoteReference"/>
          <w:lang w:val="en-US"/>
        </w:rPr>
        <w:footnoteRef/>
      </w:r>
      <w:r w:rsidRPr="006C2F5A">
        <w:rPr>
          <w:lang w:val="en-US"/>
        </w:rPr>
        <w:t xml:space="preserve"> GEF, 2026,</w:t>
      </w:r>
      <w:r w:rsidRPr="006C2F5A">
        <w:rPr>
          <w:i/>
          <w:lang w:val="en-US"/>
        </w:rPr>
        <w:t xml:space="preserve"> </w:t>
      </w:r>
      <w:hyperlink r:id="rId44" w:history="1">
        <w:r w:rsidRPr="006C2F5A">
          <w:rPr>
            <w:rStyle w:val="Hyperlink"/>
            <w:i/>
            <w:lang w:val="en-US"/>
          </w:rPr>
          <w:t>GEF-9 Strategic Positioning Framework</w:t>
        </w:r>
      </w:hyperlink>
      <w:r w:rsidRPr="006C2F5A">
        <w:rPr>
          <w:i/>
          <w:lang w:val="en-US"/>
        </w:rPr>
        <w:t xml:space="preserve">, </w:t>
      </w:r>
      <w:r w:rsidRPr="006C2F5A">
        <w:rPr>
          <w:lang w:val="en-US"/>
        </w:rPr>
        <w:t>GEF/R.09/Inf.15/Rev.01</w:t>
      </w:r>
    </w:p>
  </w:footnote>
  <w:footnote w:id="72">
    <w:p w14:paraId="7FE28623" w14:textId="77777777" w:rsidR="00FE1923" w:rsidRPr="00C67737" w:rsidRDefault="00FE1923" w:rsidP="00FE1923">
      <w:pPr>
        <w:pStyle w:val="FootnoteText"/>
        <w:rPr>
          <w:lang w:val="en-US"/>
        </w:rPr>
      </w:pPr>
      <w:r w:rsidRPr="00C67737">
        <w:rPr>
          <w:rStyle w:val="FootnoteReference"/>
          <w:lang w:val="en-US"/>
        </w:rPr>
        <w:footnoteRef/>
      </w:r>
      <w:r w:rsidRPr="00C67737">
        <w:rPr>
          <w:lang w:val="en-US"/>
        </w:rPr>
        <w:t xml:space="preserve"> GEF, 2026, </w:t>
      </w:r>
      <w:hyperlink r:id="rId45" w:history="1">
        <w:r w:rsidRPr="00C67737">
          <w:rPr>
            <w:rStyle w:val="Hyperlink"/>
            <w:i/>
            <w:iCs/>
            <w:lang w:val="en-US"/>
          </w:rPr>
          <w:t>Strengthening the GEF Partnership: Agency Expansion Procedure</w:t>
        </w:r>
      </w:hyperlink>
      <w:r w:rsidRPr="00C67737">
        <w:rPr>
          <w:lang w:val="en-US"/>
        </w:rPr>
        <w:t>, GEF/C.71/05/Rev.01</w:t>
      </w:r>
    </w:p>
  </w:footnote>
  <w:footnote w:id="73">
    <w:p w14:paraId="76AFF029" w14:textId="76953771" w:rsidR="00C004A0" w:rsidRPr="006C2F5A" w:rsidRDefault="00C004A0" w:rsidP="000247FC">
      <w:pPr>
        <w:pStyle w:val="FootnoteText"/>
        <w:rPr>
          <w:lang w:val="en-US"/>
        </w:rPr>
      </w:pPr>
      <w:r>
        <w:rPr>
          <w:rStyle w:val="FootnoteReference"/>
          <w:lang w:val="en-US"/>
        </w:rPr>
        <w:footnoteRef/>
      </w:r>
      <w:r w:rsidRPr="006C2F5A">
        <w:rPr>
          <w:lang w:val="en-US"/>
        </w:rPr>
        <w:t xml:space="preserve"> GEF 2025, </w:t>
      </w:r>
      <w:hyperlink r:id="rId46" w:history="1">
        <w:r w:rsidRPr="006C2F5A">
          <w:rPr>
            <w:rStyle w:val="Hyperlink"/>
            <w:i/>
            <w:lang w:val="en-US"/>
          </w:rPr>
          <w:t>Guidelines on Actions by Indigenous Peoples and Local Communities</w:t>
        </w:r>
      </w:hyperlink>
      <w:r w:rsidRPr="006C2F5A">
        <w:rPr>
          <w:i/>
          <w:color w:val="000000"/>
          <w:lang w:val="en-US"/>
        </w:rPr>
        <w:t>,</w:t>
      </w:r>
      <w:r w:rsidRPr="006C2F5A">
        <w:rPr>
          <w:color w:val="000000"/>
          <w:lang w:val="en-US"/>
        </w:rPr>
        <w:t xml:space="preserve"> </w:t>
      </w:r>
      <w:r w:rsidR="00AD4988">
        <w:rPr>
          <w:color w:val="000000"/>
          <w:lang w:val="en-US"/>
        </w:rPr>
        <w:t xml:space="preserve">document du Conseil, </w:t>
      </w:r>
      <w:r w:rsidRPr="006C2F5A">
        <w:rPr>
          <w:color w:val="000000"/>
          <w:lang w:val="en-US"/>
        </w:rPr>
        <w:t>GEF/GBFF.05/Inf.04</w:t>
      </w:r>
    </w:p>
  </w:footnote>
  <w:footnote w:id="74">
    <w:p w14:paraId="569D54A5" w14:textId="615A2A15" w:rsidR="00C004A0" w:rsidRPr="006C2F5A" w:rsidRDefault="00C004A0" w:rsidP="000247FC">
      <w:pPr>
        <w:pStyle w:val="FootnoteText"/>
        <w:rPr>
          <w:lang w:val="en-US"/>
        </w:rPr>
      </w:pPr>
      <w:r>
        <w:rPr>
          <w:rStyle w:val="FootnoteReference"/>
          <w:lang w:val="en-US"/>
        </w:rPr>
        <w:footnoteRef/>
      </w:r>
      <w:r w:rsidRPr="006C2F5A">
        <w:rPr>
          <w:lang w:val="en-US"/>
        </w:rPr>
        <w:t xml:space="preserve"> GEF, 2025, </w:t>
      </w:r>
      <w:hyperlink r:id="rId47" w:history="1">
        <w:r w:rsidRPr="006C2F5A">
          <w:rPr>
            <w:rStyle w:val="Hyperlink"/>
            <w:i/>
            <w:lang w:val="en-US"/>
          </w:rPr>
          <w:t>Results Framework the Global Biodiversity Framework Fund</w:t>
        </w:r>
      </w:hyperlink>
      <w:r w:rsidRPr="006C2F5A">
        <w:rPr>
          <w:lang w:val="en-US"/>
        </w:rPr>
        <w:t xml:space="preserve">, </w:t>
      </w:r>
      <w:r w:rsidR="00AD4988">
        <w:rPr>
          <w:lang w:val="en-US"/>
        </w:rPr>
        <w:t xml:space="preserve">document du Conseil, </w:t>
      </w:r>
      <w:r w:rsidRPr="006C2F5A">
        <w:rPr>
          <w:lang w:val="en-US"/>
        </w:rPr>
        <w:t>GEF/GBFF.05/05</w:t>
      </w:r>
    </w:p>
  </w:footnote>
  <w:footnote w:id="75">
    <w:p w14:paraId="1FDFB46A" w14:textId="0120A4C3" w:rsidR="006F09C5" w:rsidRPr="006C2F5A" w:rsidRDefault="006F09C5" w:rsidP="000247FC">
      <w:pPr>
        <w:pStyle w:val="FootnoteText"/>
        <w:rPr>
          <w:lang w:val="en-US"/>
        </w:rPr>
      </w:pPr>
      <w:r>
        <w:rPr>
          <w:rStyle w:val="FootnoteReference"/>
          <w:lang w:val="en-US"/>
        </w:rPr>
        <w:footnoteRef/>
      </w:r>
      <w:r w:rsidRPr="006C2F5A">
        <w:rPr>
          <w:lang w:val="en-US"/>
        </w:rPr>
        <w:t xml:space="preserve"> GEF, 2025, </w:t>
      </w:r>
      <w:hyperlink r:id="rId48" w:history="1">
        <w:r w:rsidRPr="006C2F5A">
          <w:rPr>
            <w:rStyle w:val="Hyperlink"/>
            <w:i/>
            <w:lang w:val="en-US"/>
          </w:rPr>
          <w:t>Results Framework the Global Biodiversity Framework Fund</w:t>
        </w:r>
      </w:hyperlink>
      <w:r w:rsidRPr="006C2F5A">
        <w:rPr>
          <w:lang w:val="en-US"/>
        </w:rPr>
        <w:t xml:space="preserve">, </w:t>
      </w:r>
      <w:r w:rsidR="00966C17">
        <w:rPr>
          <w:lang w:val="en-US"/>
        </w:rPr>
        <w:t>Document du Conseil</w:t>
      </w:r>
      <w:r w:rsidRPr="006C2F5A">
        <w:rPr>
          <w:lang w:val="en-US"/>
        </w:rPr>
        <w:t xml:space="preserve"> GEF/GBFF.05/05.</w:t>
      </w:r>
    </w:p>
  </w:footnote>
  <w:footnote w:id="76">
    <w:p w14:paraId="2272C1E9" w14:textId="097832F4" w:rsidR="00CC493F" w:rsidRPr="006C2F5A" w:rsidRDefault="00CC493F" w:rsidP="000247FC">
      <w:pPr>
        <w:pStyle w:val="FootnoteText"/>
        <w:rPr>
          <w:lang w:val="en-US"/>
        </w:rPr>
      </w:pPr>
      <w:r>
        <w:rPr>
          <w:rStyle w:val="FootnoteReference"/>
          <w:lang w:val="en-US"/>
        </w:rPr>
        <w:footnoteRef/>
      </w:r>
      <w:r w:rsidRPr="006C2F5A">
        <w:rPr>
          <w:lang w:val="en-US"/>
        </w:rPr>
        <w:t xml:space="preserve"> GEF, 2026,</w:t>
      </w:r>
      <w:r w:rsidRPr="006C2F5A">
        <w:rPr>
          <w:color w:val="auto"/>
          <w:sz w:val="22"/>
          <w:lang w:val="en-US"/>
        </w:rPr>
        <w:t xml:space="preserve"> </w:t>
      </w:r>
      <w:hyperlink r:id="rId49" w:history="1">
        <w:r w:rsidRPr="006C2F5A">
          <w:rPr>
            <w:rStyle w:val="Hyperlink"/>
            <w:i/>
            <w:lang w:val="en-US"/>
          </w:rPr>
          <w:t>Guidelines on the Implementation of the GBFF Results Framework</w:t>
        </w:r>
      </w:hyperlink>
      <w:r w:rsidRPr="006C2F5A">
        <w:rPr>
          <w:rStyle w:val="Hyperlink"/>
          <w:i/>
          <w:color w:val="000000" w:themeColor="text1"/>
          <w:u w:val="none"/>
          <w:lang w:val="en-US"/>
        </w:rPr>
        <w:t xml:space="preserve">, </w:t>
      </w:r>
      <w:r w:rsidR="00966C17">
        <w:rPr>
          <w:lang w:val="en-US"/>
        </w:rPr>
        <w:t>Document du Conseil</w:t>
      </w:r>
      <w:r w:rsidRPr="006C2F5A">
        <w:rPr>
          <w:lang w:val="en-US"/>
        </w:rPr>
        <w:t xml:space="preserve"> GEF/GBFF.06/Inf.02</w:t>
      </w:r>
    </w:p>
  </w:footnote>
  <w:footnote w:id="77">
    <w:p w14:paraId="2ECBC525" w14:textId="67D12E41" w:rsidR="003533E8" w:rsidRPr="006C2F5A" w:rsidRDefault="003533E8" w:rsidP="000247FC">
      <w:pPr>
        <w:pStyle w:val="FootnoteText"/>
        <w:rPr>
          <w:lang w:val="en-US"/>
        </w:rPr>
      </w:pPr>
      <w:r>
        <w:rPr>
          <w:rStyle w:val="FootnoteReference"/>
          <w:lang w:val="en-US"/>
        </w:rPr>
        <w:footnoteRef/>
      </w:r>
      <w:r w:rsidRPr="006C2F5A">
        <w:rPr>
          <w:lang w:val="en-US"/>
        </w:rPr>
        <w:t xml:space="preserve"> GEF, 2026, </w:t>
      </w:r>
      <w:hyperlink r:id="rId50" w:history="1">
        <w:r w:rsidRPr="006C2F5A">
          <w:rPr>
            <w:rStyle w:val="Hyperlink"/>
            <w:i/>
            <w:lang w:val="en-US"/>
          </w:rPr>
          <w:t>Policy Recommendations for GEF-9</w:t>
        </w:r>
      </w:hyperlink>
      <w:r w:rsidRPr="006C2F5A">
        <w:rPr>
          <w:lang w:val="en-US"/>
        </w:rPr>
        <w:t>, Document GEF/R.09/22.</w:t>
      </w:r>
    </w:p>
  </w:footnote>
  <w:footnote w:id="78">
    <w:p w14:paraId="49878767" w14:textId="13A7B9B5" w:rsidR="00A8750A" w:rsidRPr="008E6ED8" w:rsidRDefault="00A8750A" w:rsidP="000247FC">
      <w:pPr>
        <w:pStyle w:val="FootnoteText"/>
      </w:pPr>
      <w:r>
        <w:rPr>
          <w:rStyle w:val="FootnoteReference"/>
          <w:lang w:val="en-US"/>
        </w:rPr>
        <w:footnoteRef/>
      </w:r>
      <w:r>
        <w:t xml:space="preserve"> Page 189 (https://www.thegef.org/sites/default/files/documents/2026-06/EN_GEF.A.08.03.pdf)</w:t>
      </w:r>
    </w:p>
  </w:footnote>
  <w:footnote w:id="79">
    <w:p w14:paraId="7EB69C75" w14:textId="460AAA10" w:rsidR="00156BB1" w:rsidRPr="006C2F5A" w:rsidRDefault="00156BB1" w:rsidP="000247FC">
      <w:pPr>
        <w:pStyle w:val="FootnoteText"/>
        <w:rPr>
          <w:lang w:val="en-US"/>
        </w:rPr>
      </w:pPr>
      <w:r>
        <w:rPr>
          <w:rStyle w:val="FootnoteReference"/>
          <w:lang w:val="en-US"/>
        </w:rPr>
        <w:footnoteRef/>
      </w:r>
      <w:r w:rsidRPr="006C2F5A">
        <w:rPr>
          <w:lang w:val="en-US"/>
        </w:rPr>
        <w:t xml:space="preserve"> GEF, 2026, </w:t>
      </w:r>
      <w:hyperlink r:id="rId51" w:history="1">
        <w:r w:rsidRPr="006C2F5A">
          <w:rPr>
            <w:rStyle w:val="Hyperlink"/>
            <w:i/>
            <w:lang w:val="en-US"/>
          </w:rPr>
          <w:t xml:space="preserve">Progress Report on the Long-Term </w:t>
        </w:r>
        <w:proofErr w:type="gramStart"/>
        <w:r w:rsidRPr="006C2F5A">
          <w:rPr>
            <w:rStyle w:val="Hyperlink"/>
            <w:i/>
            <w:lang w:val="en-US"/>
          </w:rPr>
          <w:t>vision</w:t>
        </w:r>
        <w:proofErr w:type="gramEnd"/>
        <w:r w:rsidRPr="006C2F5A">
          <w:rPr>
            <w:rStyle w:val="Hyperlink"/>
            <w:i/>
            <w:lang w:val="en-US"/>
          </w:rPr>
          <w:t xml:space="preserve"> on Complementarity, Coherence and Collaboration Between the Green Climate Fund and The Global Environment Facility 2026</w:t>
        </w:r>
      </w:hyperlink>
      <w:r w:rsidRPr="006C2F5A">
        <w:rPr>
          <w:lang w:val="en-US"/>
        </w:rPr>
        <w:t xml:space="preserve">, </w:t>
      </w:r>
      <w:r w:rsidR="00966C17">
        <w:rPr>
          <w:lang w:val="en-US"/>
        </w:rPr>
        <w:t>Document du Conseil</w:t>
      </w:r>
      <w:r w:rsidRPr="006C2F5A">
        <w:rPr>
          <w:lang w:val="en-US"/>
        </w:rPr>
        <w:t xml:space="preserve"> GEF/C.71/Inf.10.</w:t>
      </w:r>
    </w:p>
  </w:footnote>
  <w:footnote w:id="80">
    <w:p w14:paraId="1A69DCDD" w14:textId="66475CB6" w:rsidR="00B27BF9" w:rsidRPr="00FD0A55" w:rsidRDefault="00B27BF9" w:rsidP="000247FC">
      <w:pPr>
        <w:pStyle w:val="FootnoteText"/>
      </w:pPr>
      <w:r>
        <w:rPr>
          <w:rStyle w:val="FootnoteReference"/>
          <w:lang w:val="en-US"/>
        </w:rPr>
        <w:footnoteRef/>
      </w:r>
      <w:r w:rsidRPr="00FD0A55">
        <w:t xml:space="preserve"> GEF, 2026, </w:t>
      </w:r>
      <w:hyperlink r:id="rId52" w:history="1">
        <w:r w:rsidRPr="00FD0A55">
          <w:rPr>
            <w:rStyle w:val="Hyperlink"/>
            <w:i/>
          </w:rPr>
          <w:t xml:space="preserve">Relations </w:t>
        </w:r>
        <w:proofErr w:type="spellStart"/>
        <w:r w:rsidRPr="00FD0A55">
          <w:rPr>
            <w:rStyle w:val="Hyperlink"/>
            <w:i/>
          </w:rPr>
          <w:t>with</w:t>
        </w:r>
        <w:proofErr w:type="spellEnd"/>
        <w:r w:rsidRPr="00FD0A55">
          <w:rPr>
            <w:rStyle w:val="Hyperlink"/>
            <w:i/>
          </w:rPr>
          <w:t xml:space="preserve"> Conventions and Other International Institutions</w:t>
        </w:r>
      </w:hyperlink>
      <w:r w:rsidRPr="00FD0A55">
        <w:t xml:space="preserve">, </w:t>
      </w:r>
      <w:r w:rsidR="00966C17" w:rsidRPr="00FD0A55">
        <w:t>Document du Conseil</w:t>
      </w:r>
      <w:r w:rsidRPr="00FD0A55">
        <w:t xml:space="preserve"> GEF/C.71/07.</w:t>
      </w:r>
    </w:p>
  </w:footnote>
  <w:footnote w:id="81">
    <w:p w14:paraId="6CC5329A" w14:textId="77777777" w:rsidR="00C004A0" w:rsidRPr="00C67737" w:rsidRDefault="00C004A0" w:rsidP="000247FC">
      <w:pPr>
        <w:pStyle w:val="FootnoteText"/>
      </w:pPr>
      <w:r>
        <w:rPr>
          <w:rStyle w:val="FootnoteReference"/>
          <w:szCs w:val="18"/>
          <w:lang w:val="en-US"/>
        </w:rPr>
        <w:footnoteRef/>
      </w:r>
      <w:r>
        <w:t xml:space="preserve"> Nations Unies, </w:t>
      </w:r>
      <w:r>
        <w:rPr>
          <w:i/>
          <w:iCs/>
        </w:rPr>
        <w:t>Recueil des Traités</w:t>
      </w:r>
      <w:r>
        <w:t>, vol. 1760, no 30619.</w:t>
      </w:r>
    </w:p>
  </w:footnote>
  <w:footnote w:id="82">
    <w:p w14:paraId="64333707"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53" w:history="1">
        <w:r>
          <w:rPr>
            <w:rStyle w:val="Hyperlink"/>
          </w:rPr>
          <w:t>III/8</w:t>
        </w:r>
      </w:hyperlink>
      <w:r>
        <w:t>, annexe.</w:t>
      </w:r>
    </w:p>
  </w:footnote>
  <w:footnote w:id="83">
    <w:p w14:paraId="1BD2F5C4" w14:textId="77777777" w:rsidR="00C004A0" w:rsidRPr="00C67737" w:rsidRDefault="00C004A0" w:rsidP="000247FC">
      <w:pPr>
        <w:pStyle w:val="FootnoteText"/>
      </w:pPr>
      <w:r>
        <w:rPr>
          <w:rStyle w:val="FootnoteReference"/>
          <w:lang w:val="en-US"/>
        </w:rPr>
        <w:footnoteRef/>
      </w:r>
      <w:r>
        <w:t xml:space="preserve"> Décision </w:t>
      </w:r>
      <w:hyperlink r:id="rId54" w:history="1">
        <w:r>
          <w:rPr>
            <w:rStyle w:val="Hyperlink"/>
          </w:rPr>
          <w:t>15/4</w:t>
        </w:r>
      </w:hyperlink>
      <w:r>
        <w:t>, annexe.</w:t>
      </w:r>
    </w:p>
  </w:footnote>
  <w:footnote w:id="84">
    <w:p w14:paraId="072B1B1A" w14:textId="054FF347" w:rsidR="00C004A0" w:rsidRPr="00C67737" w:rsidRDefault="00C004A0" w:rsidP="000247FC">
      <w:pPr>
        <w:pStyle w:val="FootnoteText"/>
      </w:pPr>
      <w:r>
        <w:rPr>
          <w:rStyle w:val="FootnoteReference"/>
          <w:lang w:val="en-US"/>
        </w:rPr>
        <w:footnoteRef/>
      </w:r>
      <w:r>
        <w:t xml:space="preserve"> GEF, 2026,</w:t>
      </w:r>
      <w:hyperlink r:id="rId55" w:history="1">
        <w:r>
          <w:rPr>
            <w:rStyle w:val="Hyperlink"/>
            <w:i/>
          </w:rPr>
          <w:t xml:space="preserve"> GEF-9 </w:t>
        </w:r>
        <w:proofErr w:type="spellStart"/>
        <w:r>
          <w:rPr>
            <w:rStyle w:val="Hyperlink"/>
            <w:i/>
          </w:rPr>
          <w:t>Programming</w:t>
        </w:r>
        <w:proofErr w:type="spellEnd"/>
        <w:r>
          <w:rPr>
            <w:rStyle w:val="Hyperlink"/>
            <w:i/>
          </w:rPr>
          <w:t xml:space="preserve"> Directions</w:t>
        </w:r>
      </w:hyperlink>
      <w:r>
        <w:t>.</w:t>
      </w:r>
    </w:p>
  </w:footnote>
  <w:footnote w:id="85">
    <w:p w14:paraId="1BBB5F15" w14:textId="77777777" w:rsidR="00C004A0" w:rsidRPr="00C67737" w:rsidRDefault="00C004A0" w:rsidP="000247FC">
      <w:pPr>
        <w:pStyle w:val="FootnoteText"/>
      </w:pPr>
      <w:r>
        <w:rPr>
          <w:rStyle w:val="FootnoteReference"/>
          <w:szCs w:val="18"/>
          <w:lang w:val="en-US"/>
        </w:rPr>
        <w:footnoteRef/>
      </w:r>
      <w:r>
        <w:t xml:space="preserve"> Décision 16/34, annexe I.</w:t>
      </w:r>
    </w:p>
  </w:footnote>
  <w:footnote w:id="86">
    <w:p w14:paraId="7E3B69AA"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56" w:history="1">
        <w:r>
          <w:rPr>
            <w:rStyle w:val="Hyperlink"/>
          </w:rPr>
          <w:t>15/8</w:t>
        </w:r>
      </w:hyperlink>
      <w:r>
        <w:t>, annexe I.</w:t>
      </w:r>
    </w:p>
  </w:footnote>
  <w:footnote w:id="87">
    <w:p w14:paraId="48519213"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57" w:history="1">
        <w:r>
          <w:rPr>
            <w:rStyle w:val="Hyperlink"/>
          </w:rPr>
          <w:t>16/ 9 B</w:t>
        </w:r>
      </w:hyperlink>
      <w:r>
        <w:t>, annexe.</w:t>
      </w:r>
    </w:p>
  </w:footnote>
  <w:footnote w:id="88">
    <w:p w14:paraId="7C5DAB5B"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58" w:history="1">
        <w:r>
          <w:rPr>
            <w:rStyle w:val="Hyperlink"/>
          </w:rPr>
          <w:t>15/12</w:t>
        </w:r>
      </w:hyperlink>
      <w:r>
        <w:t>, annexe.</w:t>
      </w:r>
    </w:p>
  </w:footnote>
  <w:footnote w:id="89">
    <w:p w14:paraId="3083B4B3"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59" w:history="1">
        <w:r>
          <w:rPr>
            <w:rStyle w:val="Hyperlink"/>
          </w:rPr>
          <w:t>15/11</w:t>
        </w:r>
      </w:hyperlink>
      <w:r>
        <w:t>, annexe.</w:t>
      </w:r>
    </w:p>
  </w:footnote>
  <w:footnote w:id="90">
    <w:p w14:paraId="47B80D92"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60" w:history="1">
        <w:r>
          <w:rPr>
            <w:rStyle w:val="Hyperlink"/>
          </w:rPr>
          <w:t>16/19</w:t>
        </w:r>
      </w:hyperlink>
      <w:r>
        <w:t>, annexe I.</w:t>
      </w:r>
    </w:p>
  </w:footnote>
  <w:footnote w:id="91">
    <w:p w14:paraId="7AED6C02" w14:textId="77777777" w:rsidR="00C004A0" w:rsidRPr="00C67737" w:rsidRDefault="00C004A0" w:rsidP="000247FC">
      <w:pPr>
        <w:pStyle w:val="FootnoteText"/>
        <w:rPr>
          <w:szCs w:val="18"/>
        </w:rPr>
      </w:pPr>
      <w:r>
        <w:rPr>
          <w:rStyle w:val="FootnoteReference"/>
          <w:szCs w:val="18"/>
          <w:lang w:val="en-US"/>
        </w:rPr>
        <w:footnoteRef/>
      </w:r>
      <w:r>
        <w:t xml:space="preserve"> Décisions </w:t>
      </w:r>
      <w:hyperlink r:id="rId61" w:history="1">
        <w:r>
          <w:rPr>
            <w:rStyle w:val="Hyperlink"/>
          </w:rPr>
          <w:t>15/5</w:t>
        </w:r>
      </w:hyperlink>
      <w:r>
        <w:t>, et 16/31.</w:t>
      </w:r>
    </w:p>
  </w:footnote>
  <w:footnote w:id="92">
    <w:p w14:paraId="01557DFE"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62" w:history="1">
        <w:r>
          <w:rPr>
            <w:rStyle w:val="Hyperlink"/>
          </w:rPr>
          <w:t>15/6</w:t>
        </w:r>
      </w:hyperlink>
      <w:r>
        <w:t>.</w:t>
      </w:r>
    </w:p>
  </w:footnote>
  <w:footnote w:id="93">
    <w:p w14:paraId="47CF3717"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63" w:history="1">
        <w:r>
          <w:rPr>
            <w:rStyle w:val="Hyperlink"/>
          </w:rPr>
          <w:t>CP-10/3</w:t>
        </w:r>
      </w:hyperlink>
      <w:r>
        <w:t>, annexe.</w:t>
      </w:r>
    </w:p>
  </w:footnote>
  <w:footnote w:id="94">
    <w:p w14:paraId="73814193"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64" w:history="1">
        <w:r>
          <w:rPr>
            <w:rStyle w:val="Hyperlink"/>
          </w:rPr>
          <w:t>CP-10/4</w:t>
        </w:r>
      </w:hyperlink>
      <w:r>
        <w:t>, annexe.</w:t>
      </w:r>
    </w:p>
  </w:footnote>
  <w:footnote w:id="95">
    <w:p w14:paraId="40BD9000" w14:textId="77777777" w:rsidR="00C004A0" w:rsidRPr="00C67737" w:rsidRDefault="00C004A0" w:rsidP="000247FC">
      <w:pPr>
        <w:pStyle w:val="FootnoteText"/>
      </w:pPr>
      <w:r>
        <w:rPr>
          <w:rStyle w:val="FootnoteReference"/>
          <w:szCs w:val="18"/>
          <w:lang w:val="en-US"/>
        </w:rPr>
        <w:footnoteRef/>
      </w:r>
      <w:r>
        <w:t xml:space="preserve"> </w:t>
      </w:r>
      <w:bookmarkStart w:id="123" w:name="_Hlk172751773"/>
      <w:r>
        <w:t xml:space="preserve">Nations Unies, </w:t>
      </w:r>
      <w:r>
        <w:rPr>
          <w:i/>
          <w:iCs/>
        </w:rPr>
        <w:t>Recueil des Traités</w:t>
      </w:r>
      <w:r>
        <w:t>, vol. 2226, no 30619</w:t>
      </w:r>
      <w:bookmarkEnd w:id="123"/>
      <w:r>
        <w:t>.</w:t>
      </w:r>
    </w:p>
  </w:footnote>
  <w:footnote w:id="96">
    <w:p w14:paraId="434A238C" w14:textId="77777777" w:rsidR="00C004A0" w:rsidRPr="00C67737" w:rsidRDefault="00C004A0" w:rsidP="000247FC">
      <w:pPr>
        <w:pStyle w:val="FootnoteText"/>
        <w:rPr>
          <w:szCs w:val="18"/>
        </w:rPr>
      </w:pPr>
      <w:r>
        <w:rPr>
          <w:rStyle w:val="FootnoteReference"/>
          <w:szCs w:val="18"/>
          <w:lang w:val="en-US"/>
        </w:rPr>
        <w:footnoteRef/>
      </w:r>
      <w:r>
        <w:t xml:space="preserve"> Décision </w:t>
      </w:r>
      <w:hyperlink r:id="rId65" w:history="1">
        <w:r>
          <w:rPr>
            <w:rStyle w:val="Hyperlink"/>
          </w:rPr>
          <w:t>NP-5/3</w:t>
        </w:r>
      </w:hyperlink>
      <w:r>
        <w:t>, annexe.</w:t>
      </w:r>
    </w:p>
  </w:footnote>
  <w:footnote w:id="97">
    <w:p w14:paraId="0E4279A5" w14:textId="77777777" w:rsidR="00C004A0" w:rsidRPr="00C67737" w:rsidRDefault="00C004A0" w:rsidP="000247FC">
      <w:pPr>
        <w:pStyle w:val="FootnoteText"/>
      </w:pPr>
      <w:r>
        <w:rPr>
          <w:rStyle w:val="FootnoteReference"/>
          <w:szCs w:val="18"/>
          <w:lang w:val="en-US"/>
        </w:rPr>
        <w:footnoteRef/>
      </w:r>
      <w:r>
        <w:t xml:space="preserve"> Nations Unies, </w:t>
      </w:r>
      <w:r w:rsidRPr="00FE6956">
        <w:rPr>
          <w:i/>
          <w:iCs/>
        </w:rPr>
        <w:t>Recueil des Traités</w:t>
      </w:r>
      <w:r>
        <w:t>, vol. 3008, no 30619.</w:t>
      </w:r>
    </w:p>
  </w:footnote>
  <w:footnote w:id="98">
    <w:p w14:paraId="127AB3C5" w14:textId="77777777" w:rsidR="00C004A0" w:rsidRPr="00C67737" w:rsidRDefault="00C004A0" w:rsidP="000247FC">
      <w:pPr>
        <w:pStyle w:val="FootnoteText"/>
      </w:pPr>
      <w:r>
        <w:rPr>
          <w:rStyle w:val="FootnoteReference"/>
          <w:lang w:val="en-US"/>
        </w:rPr>
        <w:footnoteRef/>
      </w:r>
      <w:r>
        <w:t xml:space="preserve"> Comme le définit la résolution 5/5 de l’Assemblée des Nations Unies pour l’environnement.</w:t>
      </w:r>
    </w:p>
  </w:footnote>
  <w:footnote w:id="99">
    <w:p w14:paraId="6552A0E8" w14:textId="77777777" w:rsidR="00C004A0" w:rsidRPr="006C2F5A" w:rsidRDefault="00C004A0" w:rsidP="000247FC">
      <w:pPr>
        <w:pStyle w:val="FootnoteText"/>
        <w:rPr>
          <w:lang w:val="en-US"/>
        </w:rPr>
      </w:pPr>
      <w:r>
        <w:rPr>
          <w:rStyle w:val="FootnoteReference"/>
          <w:lang w:val="en-US"/>
        </w:rPr>
        <w:footnoteRef/>
      </w:r>
      <w:r w:rsidRPr="006C2F5A">
        <w:rPr>
          <w:lang w:val="en-US"/>
        </w:rPr>
        <w:t xml:space="preserve"> GEF, 2024, </w:t>
      </w:r>
      <w:hyperlink r:id="rId66" w:history="1">
        <w:r w:rsidRPr="006C2F5A">
          <w:rPr>
            <w:rStyle w:val="Hyperlink"/>
            <w:i/>
            <w:lang w:val="en-US"/>
          </w:rPr>
          <w:t>GEF-9 Replenishment:</w:t>
        </w:r>
      </w:hyperlink>
      <w:hyperlink r:id="rId67" w:history="1">
        <w:r w:rsidRPr="006C2F5A">
          <w:rPr>
            <w:rStyle w:val="Hyperlink"/>
            <w:i/>
            <w:lang w:val="en-US"/>
          </w:rPr>
          <w:t xml:space="preserve"> Participation, Workplan, and Proposed Timetable</w:t>
        </w:r>
      </w:hyperlink>
      <w:r w:rsidRPr="006C2F5A">
        <w:rPr>
          <w:lang w:val="en-US"/>
        </w:rPr>
        <w:t>, GEF/R.09/01.</w:t>
      </w:r>
    </w:p>
  </w:footnote>
  <w:footnote w:id="100">
    <w:p w14:paraId="2DF3C145" w14:textId="0EF5E04F" w:rsidR="00C004A0" w:rsidRPr="006C2F5A" w:rsidRDefault="00C004A0" w:rsidP="000247FC">
      <w:pPr>
        <w:pStyle w:val="FootnoteText"/>
        <w:rPr>
          <w:lang w:val="en-US"/>
        </w:rPr>
      </w:pPr>
      <w:r>
        <w:rPr>
          <w:rStyle w:val="FootnoteReference"/>
          <w:lang w:val="en-US"/>
        </w:rPr>
        <w:footnoteRef/>
      </w:r>
      <w:r w:rsidRPr="006C2F5A">
        <w:rPr>
          <w:lang w:val="en-US"/>
        </w:rPr>
        <w:t xml:space="preserve"> GEF IEO, 2025, </w:t>
      </w:r>
      <w:hyperlink r:id="rId68" w:history="1">
        <w:r w:rsidRPr="006C2F5A">
          <w:rPr>
            <w:rStyle w:val="Hyperlink"/>
            <w:i/>
            <w:lang w:val="en-US"/>
          </w:rPr>
          <w:t>Evaluation of the GEF Support for Nature-based Solutions</w:t>
        </w:r>
      </w:hyperlink>
      <w:r w:rsidRPr="006C2F5A">
        <w:rPr>
          <w:lang w:val="en-US"/>
        </w:rPr>
        <w:t xml:space="preserve">, </w:t>
      </w:r>
      <w:r w:rsidR="00966C17">
        <w:rPr>
          <w:lang w:val="en-US"/>
        </w:rPr>
        <w:t>Document du Conseil</w:t>
      </w:r>
      <w:r w:rsidRPr="006C2F5A">
        <w:rPr>
          <w:lang w:val="en-US"/>
        </w:rPr>
        <w:t xml:space="preserve"> GEF/E/C.69/04.</w:t>
      </w:r>
    </w:p>
  </w:footnote>
  <w:footnote w:id="101">
    <w:p w14:paraId="11EE5A6A" w14:textId="6C0A4D17" w:rsidR="004902D0" w:rsidRPr="006C2F5A" w:rsidRDefault="004902D0" w:rsidP="000247FC">
      <w:pPr>
        <w:pStyle w:val="FootnoteText"/>
        <w:rPr>
          <w:lang w:val="en-US"/>
        </w:rPr>
      </w:pPr>
      <w:r>
        <w:rPr>
          <w:rStyle w:val="FootnoteReference"/>
          <w:lang w:val="en-US"/>
        </w:rPr>
        <w:footnoteRef/>
      </w:r>
      <w:r w:rsidRPr="006C2F5A">
        <w:rPr>
          <w:lang w:val="en-US"/>
        </w:rPr>
        <w:t xml:space="preserve"> GEF, 2026, </w:t>
      </w:r>
      <w:hyperlink r:id="rId69" w:history="1">
        <w:r w:rsidRPr="006C2F5A">
          <w:rPr>
            <w:rStyle w:val="Hyperlink"/>
            <w:i/>
            <w:lang w:val="en-US"/>
          </w:rPr>
          <w:t>Guidance on Nature-based Solutions in GEF Projects</w:t>
        </w:r>
      </w:hyperlink>
      <w:r w:rsidRPr="006C2F5A">
        <w:rPr>
          <w:lang w:val="en-US"/>
        </w:rPr>
        <w:t>.</w:t>
      </w:r>
    </w:p>
  </w:footnote>
  <w:footnote w:id="102">
    <w:p w14:paraId="1235A44E" w14:textId="79B11A0B" w:rsidR="00DF46C8" w:rsidRPr="006C2F5A" w:rsidRDefault="00DF46C8" w:rsidP="000247FC">
      <w:pPr>
        <w:pStyle w:val="FootnoteText"/>
        <w:rPr>
          <w:lang w:val="en-US"/>
        </w:rPr>
      </w:pPr>
      <w:r>
        <w:rPr>
          <w:rStyle w:val="FootnoteReference"/>
          <w:lang w:val="en-US"/>
        </w:rPr>
        <w:footnoteRef/>
      </w:r>
      <w:r w:rsidRPr="006C2F5A">
        <w:rPr>
          <w:lang w:val="en-US"/>
        </w:rPr>
        <w:t xml:space="preserve"> GEF, 2026, </w:t>
      </w:r>
      <w:hyperlink r:id="rId70" w:history="1">
        <w:r w:rsidRPr="006C2F5A">
          <w:rPr>
            <w:rStyle w:val="Hyperlink"/>
            <w:i/>
            <w:lang w:val="en-US"/>
          </w:rPr>
          <w:t>Strengthening the GEF Partnership: Agency Expansion Procedure</w:t>
        </w:r>
      </w:hyperlink>
      <w:r w:rsidRPr="006C2F5A">
        <w:rPr>
          <w:lang w:val="en-US"/>
        </w:rPr>
        <w:t>, GEF/C.71/05/Rev.01</w:t>
      </w:r>
    </w:p>
  </w:footnote>
  <w:footnote w:id="103">
    <w:p w14:paraId="7B4A3780" w14:textId="77777777" w:rsidR="00C004A0" w:rsidRPr="00C67737" w:rsidRDefault="00C004A0" w:rsidP="000247FC">
      <w:pPr>
        <w:pStyle w:val="FootnoteText"/>
      </w:pPr>
      <w:r>
        <w:rPr>
          <w:rStyle w:val="FootnoteReference"/>
          <w:lang w:val="en-US"/>
        </w:rPr>
        <w:footnoteRef/>
      </w:r>
      <w:r>
        <w:t xml:space="preserve"> Décision </w:t>
      </w:r>
      <w:hyperlink r:id="rId71" w:history="1">
        <w:r>
          <w:rPr>
            <w:rStyle w:val="Hyperlink"/>
          </w:rPr>
          <w:t>15/5</w:t>
        </w:r>
      </w:hyperlink>
      <w:r>
        <w:t>, annexe I.</w:t>
      </w:r>
    </w:p>
  </w:footnote>
  <w:footnote w:id="104">
    <w:p w14:paraId="6940159F" w14:textId="77777777" w:rsidR="00C004A0" w:rsidRPr="00C67737" w:rsidRDefault="00C004A0" w:rsidP="000247FC">
      <w:pPr>
        <w:pStyle w:val="FootnoteText"/>
      </w:pPr>
      <w:r>
        <w:rPr>
          <w:rStyle w:val="FootnoteReference"/>
          <w:lang w:val="en-US"/>
        </w:rPr>
        <w:footnoteRef/>
      </w:r>
      <w:r>
        <w:t xml:space="preserve"> Nations Unies, </w:t>
      </w:r>
      <w:r>
        <w:rPr>
          <w:i/>
          <w:iCs/>
        </w:rPr>
        <w:t>Recueil des Traités</w:t>
      </w:r>
      <w:r>
        <w:t>, vol. 2226, no 30619.</w:t>
      </w:r>
    </w:p>
  </w:footnote>
  <w:footnote w:id="105">
    <w:p w14:paraId="5A8A52CC" w14:textId="77777777" w:rsidR="00C004A0" w:rsidRPr="00C67737" w:rsidRDefault="00C004A0" w:rsidP="000247FC">
      <w:pPr>
        <w:pStyle w:val="FootnoteText"/>
      </w:pPr>
      <w:r>
        <w:rPr>
          <w:rStyle w:val="FootnoteReference"/>
          <w:lang w:val="en-US"/>
        </w:rPr>
        <w:footnoteRef/>
      </w:r>
      <w:r>
        <w:t xml:space="preserve"> Décision </w:t>
      </w:r>
      <w:hyperlink r:id="rId72" w:history="1">
        <w:r>
          <w:rPr>
            <w:rStyle w:val="Hyperlink"/>
          </w:rPr>
          <w:t>CP-10/3</w:t>
        </w:r>
      </w:hyperlink>
      <w:r>
        <w:t>, annexe.</w:t>
      </w:r>
    </w:p>
  </w:footnote>
  <w:footnote w:id="106">
    <w:p w14:paraId="07973461" w14:textId="77777777" w:rsidR="00C004A0" w:rsidRPr="00C67737" w:rsidRDefault="00C004A0" w:rsidP="000247FC">
      <w:pPr>
        <w:pStyle w:val="FootnoteText"/>
      </w:pPr>
      <w:r>
        <w:rPr>
          <w:rStyle w:val="FootnoteReference"/>
          <w:lang w:val="en-US"/>
        </w:rPr>
        <w:footnoteRef/>
      </w:r>
      <w:r>
        <w:t xml:space="preserve"> Décision </w:t>
      </w:r>
      <w:hyperlink r:id="rId73" w:history="1">
        <w:r>
          <w:rPr>
            <w:rStyle w:val="Hyperlink"/>
          </w:rPr>
          <w:t>CP-10/4</w:t>
        </w:r>
      </w:hyperlink>
      <w:r>
        <w:t>, annexe.</w:t>
      </w:r>
    </w:p>
  </w:footnote>
  <w:footnote w:id="107">
    <w:p w14:paraId="4EC11FAA" w14:textId="4ABA8739" w:rsidR="00C004A0" w:rsidRPr="00C67737" w:rsidRDefault="00C004A0" w:rsidP="000247FC">
      <w:pPr>
        <w:pStyle w:val="FootnoteText"/>
      </w:pPr>
      <w:r>
        <w:rPr>
          <w:rStyle w:val="FootnoteReference"/>
          <w:lang w:val="en-US"/>
        </w:rPr>
        <w:footnoteRef/>
      </w:r>
      <w:r>
        <w:t xml:space="preserve"> GEF, 2026,</w:t>
      </w:r>
      <w:hyperlink r:id="rId74" w:history="1">
        <w:r>
          <w:rPr>
            <w:rStyle w:val="Hyperlink"/>
            <w:i/>
          </w:rPr>
          <w:t xml:space="preserve"> GEF-9 </w:t>
        </w:r>
        <w:proofErr w:type="spellStart"/>
        <w:r>
          <w:rPr>
            <w:rStyle w:val="Hyperlink"/>
            <w:i/>
          </w:rPr>
          <w:t>Programming</w:t>
        </w:r>
        <w:proofErr w:type="spellEnd"/>
        <w:r>
          <w:rPr>
            <w:rStyle w:val="Hyperlink"/>
            <w:i/>
          </w:rPr>
          <w:t xml:space="preserve"> Directions</w:t>
        </w:r>
      </w:hyperlink>
      <w:r>
        <w:t>.</w:t>
      </w:r>
    </w:p>
  </w:footnote>
  <w:footnote w:id="108">
    <w:p w14:paraId="61E89FF6" w14:textId="77777777" w:rsidR="00C004A0" w:rsidRPr="00C67737" w:rsidRDefault="00C004A0" w:rsidP="000247FC">
      <w:pPr>
        <w:pStyle w:val="FootnoteText"/>
      </w:pPr>
      <w:r>
        <w:rPr>
          <w:rStyle w:val="FootnoteReference"/>
          <w:lang w:val="en-US"/>
        </w:rPr>
        <w:footnoteRef/>
      </w:r>
      <w:r>
        <w:t xml:space="preserve"> Nations Unies, </w:t>
      </w:r>
      <w:r w:rsidRPr="00623BD5">
        <w:rPr>
          <w:i/>
          <w:iCs/>
        </w:rPr>
        <w:t>Recueil des Traité</w:t>
      </w:r>
      <w:r>
        <w:t>s, vol. 3008, no 30619.</w:t>
      </w:r>
    </w:p>
  </w:footnote>
  <w:footnote w:id="109">
    <w:p w14:paraId="344D8D17" w14:textId="77777777" w:rsidR="00C004A0" w:rsidRPr="006C2F5A" w:rsidRDefault="00C004A0" w:rsidP="000247FC">
      <w:pPr>
        <w:pStyle w:val="FootnoteText"/>
        <w:rPr>
          <w:lang w:val="en-US"/>
        </w:rPr>
      </w:pPr>
      <w:r>
        <w:rPr>
          <w:rStyle w:val="FootnoteReference"/>
          <w:lang w:val="en-US"/>
        </w:rPr>
        <w:footnoteRef/>
      </w:r>
      <w:r w:rsidRPr="006C2F5A">
        <w:rPr>
          <w:lang w:val="en-US"/>
        </w:rPr>
        <w:t xml:space="preserve"> </w:t>
      </w:r>
      <w:proofErr w:type="spellStart"/>
      <w:r w:rsidRPr="006C2F5A">
        <w:rPr>
          <w:lang w:val="en-US"/>
        </w:rPr>
        <w:t>Décision</w:t>
      </w:r>
      <w:proofErr w:type="spellEnd"/>
      <w:r w:rsidRPr="006C2F5A">
        <w:rPr>
          <w:lang w:val="en-US"/>
        </w:rPr>
        <w:t xml:space="preserve"> </w:t>
      </w:r>
      <w:hyperlink r:id="rId75" w:history="1">
        <w:r w:rsidRPr="006C2F5A">
          <w:rPr>
            <w:rStyle w:val="Hyperlink"/>
            <w:lang w:val="en-US"/>
          </w:rPr>
          <w:t>NP-5/3</w:t>
        </w:r>
      </w:hyperlink>
      <w:r w:rsidRPr="006C2F5A">
        <w:rPr>
          <w:lang w:val="en-US"/>
        </w:rPr>
        <w:t xml:space="preserve">, </w:t>
      </w:r>
      <w:proofErr w:type="spellStart"/>
      <w:r w:rsidRPr="006C2F5A">
        <w:rPr>
          <w:lang w:val="en-US"/>
        </w:rPr>
        <w:t>annexe</w:t>
      </w:r>
      <w:proofErr w:type="spellEnd"/>
      <w:r w:rsidRPr="006C2F5A">
        <w:rPr>
          <w:lang w:val="en-US"/>
        </w:rPr>
        <w:t>.</w:t>
      </w:r>
    </w:p>
  </w:footnote>
  <w:footnote w:id="110">
    <w:p w14:paraId="292BDFDE" w14:textId="1D1BD742" w:rsidR="002A1742" w:rsidRPr="006C2F5A" w:rsidRDefault="002A1742" w:rsidP="000247FC">
      <w:pPr>
        <w:pStyle w:val="FootnoteText"/>
        <w:rPr>
          <w:lang w:val="en-US"/>
        </w:rPr>
      </w:pPr>
      <w:r>
        <w:rPr>
          <w:rStyle w:val="FootnoteReference"/>
          <w:lang w:val="en-US"/>
        </w:rPr>
        <w:footnoteRef/>
      </w:r>
      <w:r w:rsidRPr="006C2F5A">
        <w:rPr>
          <w:lang w:val="en-US"/>
        </w:rPr>
        <w:t xml:space="preserve"> GEF, 2026,</w:t>
      </w:r>
      <w:hyperlink r:id="rId76" w:history="1">
        <w:r w:rsidRPr="006C2F5A">
          <w:rPr>
            <w:rStyle w:val="Hyperlink"/>
            <w:i/>
            <w:lang w:val="en-US"/>
          </w:rPr>
          <w:t xml:space="preserve"> GEF-9 Programming Directions</w:t>
        </w:r>
      </w:hyperlink>
      <w:r w:rsidRPr="006C2F5A">
        <w:rPr>
          <w:lang w:val="en-US"/>
        </w:rPr>
        <w:t>.</w:t>
      </w:r>
    </w:p>
  </w:footnote>
  <w:footnote w:id="111">
    <w:p w14:paraId="57F7F9BB" w14:textId="77777777" w:rsidR="00C004A0" w:rsidRPr="006C2F5A" w:rsidRDefault="00C004A0" w:rsidP="000247FC">
      <w:pPr>
        <w:pStyle w:val="FootnoteText"/>
        <w:rPr>
          <w:lang w:val="en-US"/>
        </w:rPr>
      </w:pPr>
      <w:r>
        <w:rPr>
          <w:rStyle w:val="FootnoteReference"/>
          <w:lang w:val="en-US"/>
        </w:rPr>
        <w:footnoteRef/>
      </w:r>
      <w:r w:rsidRPr="006C2F5A">
        <w:rPr>
          <w:lang w:val="en-US"/>
        </w:rPr>
        <w:t xml:space="preserve"> </w:t>
      </w:r>
      <w:proofErr w:type="spellStart"/>
      <w:r w:rsidRPr="006C2F5A">
        <w:rPr>
          <w:lang w:val="en-US"/>
        </w:rPr>
        <w:t>Décision</w:t>
      </w:r>
      <w:proofErr w:type="spellEnd"/>
      <w:r w:rsidRPr="006C2F5A">
        <w:rPr>
          <w:lang w:val="en-US"/>
        </w:rPr>
        <w:t xml:space="preserve"> </w:t>
      </w:r>
      <w:hyperlink r:id="rId77" w:history="1">
        <w:r w:rsidRPr="006C2F5A">
          <w:rPr>
            <w:rStyle w:val="Hyperlink"/>
            <w:lang w:val="en-US"/>
          </w:rPr>
          <w:t>16/19</w:t>
        </w:r>
      </w:hyperlink>
      <w:r w:rsidRPr="006C2F5A">
        <w:rPr>
          <w:lang w:val="en-US"/>
        </w:rPr>
        <w:t xml:space="preserve">, </w:t>
      </w:r>
      <w:proofErr w:type="spellStart"/>
      <w:r w:rsidRPr="006C2F5A">
        <w:rPr>
          <w:lang w:val="en-US"/>
        </w:rPr>
        <w:t>annexe</w:t>
      </w:r>
      <w:proofErr w:type="spellEnd"/>
      <w:r w:rsidRPr="006C2F5A">
        <w:rPr>
          <w:lang w:val="en-US"/>
        </w:rPr>
        <w:t xml:space="preserve"> I.</w:t>
      </w:r>
    </w:p>
  </w:footnote>
  <w:footnote w:id="112">
    <w:p w14:paraId="5F3467F4" w14:textId="7E6EAF6A" w:rsidR="00C004A0" w:rsidRPr="006C2F5A" w:rsidRDefault="00C004A0" w:rsidP="000247FC">
      <w:pPr>
        <w:pStyle w:val="FootnoteText"/>
        <w:rPr>
          <w:lang w:val="en-US"/>
        </w:rPr>
      </w:pPr>
      <w:r>
        <w:rPr>
          <w:rStyle w:val="FootnoteReference"/>
          <w:lang w:val="en-US"/>
        </w:rPr>
        <w:footnoteRef/>
      </w:r>
      <w:r w:rsidRPr="006C2F5A">
        <w:rPr>
          <w:lang w:val="en-US"/>
        </w:rPr>
        <w:t xml:space="preserve"> GEF, 2026,</w:t>
      </w:r>
      <w:hyperlink r:id="rId78" w:history="1">
        <w:r w:rsidRPr="006C2F5A">
          <w:rPr>
            <w:rStyle w:val="Hyperlink"/>
            <w:i/>
            <w:lang w:val="en-US"/>
          </w:rPr>
          <w:t xml:space="preserve"> GEF-9 Programming Directions</w:t>
        </w:r>
      </w:hyperlink>
      <w:r w:rsidRPr="006C2F5A">
        <w:rPr>
          <w:lang w:val="en-US"/>
        </w:rPr>
        <w:t>.</w:t>
      </w:r>
    </w:p>
  </w:footnote>
  <w:footnote w:id="113">
    <w:p w14:paraId="7884E07E" w14:textId="4837E75B" w:rsidR="00C004A0" w:rsidRPr="006C2F5A" w:rsidRDefault="00C004A0" w:rsidP="000247FC">
      <w:pPr>
        <w:pStyle w:val="FootnoteText"/>
        <w:rPr>
          <w:lang w:val="en-US"/>
        </w:rPr>
      </w:pPr>
      <w:r>
        <w:rPr>
          <w:rStyle w:val="FootnoteReference"/>
          <w:lang w:val="en-US"/>
        </w:rPr>
        <w:footnoteRef/>
      </w:r>
      <w:r w:rsidRPr="006C2F5A">
        <w:rPr>
          <w:lang w:val="en-US"/>
        </w:rPr>
        <w:t xml:space="preserve"> GEF, 2020, </w:t>
      </w:r>
      <w:r w:rsidRPr="00623BD5">
        <w:rPr>
          <w:i/>
          <w:iCs/>
          <w:lang w:val="en-US"/>
        </w:rPr>
        <w:t>Guidelines on the Project and Program Cycle Policy</w:t>
      </w:r>
      <w:r w:rsidR="00623BD5">
        <w:rPr>
          <w:i/>
          <w:iCs/>
          <w:lang w:val="en-US"/>
        </w:rPr>
        <w:t>.</w:t>
      </w:r>
    </w:p>
  </w:footnote>
  <w:footnote w:id="114">
    <w:p w14:paraId="1CA52E59" w14:textId="77777777" w:rsidR="00C004A0" w:rsidRPr="00C67737" w:rsidRDefault="00C004A0" w:rsidP="000247FC">
      <w:pPr>
        <w:pStyle w:val="FootnoteText"/>
      </w:pPr>
      <w:r>
        <w:rPr>
          <w:rStyle w:val="FootnoteReference"/>
          <w:lang w:val="en-US"/>
        </w:rPr>
        <w:footnoteRef/>
      </w:r>
      <w:r>
        <w:t xml:space="preserve"> Décision </w:t>
      </w:r>
      <w:hyperlink r:id="rId79" w:history="1">
        <w:r>
          <w:rPr>
            <w:rStyle w:val="Hyperlink"/>
          </w:rPr>
          <w:t>15/4</w:t>
        </w:r>
      </w:hyperlink>
      <w:r>
        <w:t>, annexe.</w:t>
      </w:r>
    </w:p>
  </w:footnote>
  <w:footnote w:id="115">
    <w:p w14:paraId="07EFC774" w14:textId="2D976990" w:rsidR="00C004A0" w:rsidRPr="00C67737" w:rsidRDefault="00C004A0" w:rsidP="000247FC">
      <w:pPr>
        <w:pStyle w:val="FootnoteText"/>
      </w:pPr>
      <w:r>
        <w:rPr>
          <w:rStyle w:val="FootnoteReference"/>
          <w:lang w:val="en-US"/>
        </w:rPr>
        <w:footnoteRef/>
      </w:r>
      <w:r>
        <w:t xml:space="preserve"> GEF, 2026,</w:t>
      </w:r>
      <w:hyperlink r:id="rId80" w:history="1">
        <w:r>
          <w:rPr>
            <w:rStyle w:val="Hyperlink"/>
            <w:i/>
          </w:rPr>
          <w:t xml:space="preserve"> GEF-9 </w:t>
        </w:r>
        <w:proofErr w:type="spellStart"/>
        <w:r>
          <w:rPr>
            <w:rStyle w:val="Hyperlink"/>
            <w:i/>
          </w:rPr>
          <w:t>Programming</w:t>
        </w:r>
        <w:proofErr w:type="spellEnd"/>
        <w:r>
          <w:rPr>
            <w:rStyle w:val="Hyperlink"/>
            <w:i/>
          </w:rPr>
          <w:t xml:space="preserve"> Directions</w:t>
        </w:r>
      </w:hyperlink>
      <w:r>
        <w:t>.</w:t>
      </w:r>
    </w:p>
  </w:footnote>
  <w:footnote w:id="116">
    <w:p w14:paraId="3210D20E" w14:textId="77777777" w:rsidR="003B3BFA" w:rsidRPr="003B3BFA" w:rsidRDefault="003B3BFA" w:rsidP="003B3BFA">
      <w:pPr>
        <w:pStyle w:val="FootnoteText"/>
      </w:pPr>
      <w:r w:rsidRPr="00C67737">
        <w:rPr>
          <w:rStyle w:val="FootnoteReference"/>
          <w:lang w:val="en-US"/>
        </w:rPr>
        <w:footnoteRef/>
      </w:r>
      <w:r w:rsidRPr="003B3BFA">
        <w:t xml:space="preserve"> Ibid.</w:t>
      </w:r>
    </w:p>
  </w:footnote>
  <w:footnote w:id="117">
    <w:p w14:paraId="67BAA753" w14:textId="7EDC989D" w:rsidR="00C004A0" w:rsidRPr="00C67737" w:rsidRDefault="00C004A0" w:rsidP="000247FC">
      <w:pPr>
        <w:pStyle w:val="FootnoteText"/>
        <w:rPr>
          <w:b/>
          <w:bCs/>
        </w:rPr>
      </w:pPr>
      <w:r>
        <w:rPr>
          <w:rStyle w:val="FootnoteReference"/>
          <w:lang w:val="en-US"/>
        </w:rPr>
        <w:footnoteRef/>
      </w:r>
      <w:r>
        <w:t xml:space="preserve">Les demandes figurant aux alinéas b) et c) du paragraphe 1 de la décision CP-11/2 ont été incluses dans la pièce jointe I de l’annexe I de la présente décision, comme l’a recommandé la Conférence des Parties siégeant en tant que réunion des Parties au Protocole de </w:t>
      </w:r>
      <w:r w:rsidR="001D68CF" w:rsidRPr="00FD0A55">
        <w:rPr>
          <w:rFonts w:eastAsia="Times New Roman"/>
          <w:color w:val="000000"/>
          <w:sz w:val="16"/>
          <w:szCs w:val="16"/>
        </w:rPr>
        <w:t>Carthagène</w:t>
      </w:r>
      <w:r>
        <w:t>.</w:t>
      </w:r>
    </w:p>
  </w:footnote>
  <w:footnote w:id="118">
    <w:p w14:paraId="7EB1FF54" w14:textId="77777777" w:rsidR="00C004A0" w:rsidRPr="00C67737" w:rsidRDefault="00C004A0" w:rsidP="000247FC">
      <w:pPr>
        <w:pStyle w:val="FootnoteText"/>
      </w:pPr>
      <w:r>
        <w:rPr>
          <w:rStyle w:val="FootnoteReference"/>
          <w:lang w:val="en-US"/>
        </w:rPr>
        <w:footnoteRef/>
      </w:r>
      <w:r>
        <w:t xml:space="preserve"> Nations Unies, </w:t>
      </w:r>
      <w:r>
        <w:rPr>
          <w:i/>
          <w:iCs/>
        </w:rPr>
        <w:t>Recueil des Traités</w:t>
      </w:r>
      <w:r>
        <w:t>, vol. 2226, no 30619.</w:t>
      </w:r>
    </w:p>
  </w:footnote>
  <w:footnote w:id="119">
    <w:p w14:paraId="0D9D341A" w14:textId="6B54921A" w:rsidR="00C004A0" w:rsidRPr="00C67737" w:rsidRDefault="00C004A0" w:rsidP="000247FC">
      <w:pPr>
        <w:pStyle w:val="FootnoteText"/>
      </w:pPr>
      <w:r>
        <w:rPr>
          <w:rStyle w:val="FootnoteReference"/>
          <w:lang w:val="en-US"/>
        </w:rPr>
        <w:footnoteRef/>
      </w:r>
      <w:r>
        <w:t xml:space="preserve">Les demandes recommandées aux alinéas </w:t>
      </w:r>
      <w:proofErr w:type="gramStart"/>
      <w:r>
        <w:t>a</w:t>
      </w:r>
      <w:proofErr w:type="gramEnd"/>
      <w:r>
        <w:t>), b) et e) du paragraphe</w:t>
      </w:r>
      <w:r w:rsidR="00EA1F43">
        <w:t> </w:t>
      </w:r>
      <w:r>
        <w:t xml:space="preserve">3 de la décision </w:t>
      </w:r>
      <w:hyperlink r:id="rId81" w:history="1">
        <w:r>
          <w:rPr>
            <w:rStyle w:val="Hyperlink"/>
          </w:rPr>
          <w:t>NP-5/2</w:t>
        </w:r>
      </w:hyperlink>
      <w:r>
        <w:t xml:space="preserve"> sont reflétées aux paragraphes 12, 11, et 13 de l'annexe II, respectivement. Les demandes recommandées aux alinéas c) et d) du paragraphe 3 de la même décision ont été incluses dans les alinéas a) et b), respectivement, de la pièce jointe II à l'annexe I de la présente décision, comme l'a recommandé la Conférence des Parties siégeant en tant que réunion des Parties au Protocole de Nagoya. L'invitation recommandée au paragraphe 8 de la décision </w:t>
      </w:r>
      <w:hyperlink r:id="rId82" w:history="1">
        <w:r>
          <w:rPr>
            <w:rStyle w:val="Hyperlink"/>
          </w:rPr>
          <w:t>NP-5/3</w:t>
        </w:r>
      </w:hyperlink>
      <w:r>
        <w:t xml:space="preserve"> a également été incluse à l'alinéa a) de la pièce jointe II à l'annexe I de la présente décision.</w:t>
      </w:r>
    </w:p>
  </w:footnote>
  <w:footnote w:id="120">
    <w:p w14:paraId="62E48337" w14:textId="77777777" w:rsidR="00C004A0" w:rsidRPr="00C67737" w:rsidRDefault="00C004A0" w:rsidP="000247FC">
      <w:pPr>
        <w:pStyle w:val="FootnoteText"/>
      </w:pPr>
      <w:r>
        <w:rPr>
          <w:rStyle w:val="FootnoteReference"/>
          <w:lang w:val="en-US"/>
        </w:rPr>
        <w:footnoteRef/>
      </w:r>
      <w:r>
        <w:t xml:space="preserve"> Nations Unies, </w:t>
      </w:r>
      <w:r>
        <w:rPr>
          <w:i/>
          <w:iCs/>
        </w:rPr>
        <w:t>Recueil des Traités</w:t>
      </w:r>
      <w:r>
        <w:t>, vol. 3008, no 30619.</w:t>
      </w:r>
    </w:p>
  </w:footnote>
  <w:footnote w:id="121">
    <w:p w14:paraId="738AB08A" w14:textId="05525663" w:rsidR="00C004A0" w:rsidRPr="006C2F5A" w:rsidRDefault="00C004A0" w:rsidP="000247FC">
      <w:pPr>
        <w:pStyle w:val="FootnoteText"/>
        <w:rPr>
          <w:lang w:val="en-US"/>
        </w:rPr>
      </w:pPr>
      <w:r>
        <w:rPr>
          <w:rStyle w:val="FootnoteReference"/>
          <w:lang w:val="en-US"/>
        </w:rPr>
        <w:footnoteRef/>
      </w:r>
      <w:r w:rsidRPr="006C2F5A">
        <w:rPr>
          <w:lang w:val="en-US"/>
        </w:rPr>
        <w:t xml:space="preserve"> GEF, 2026,</w:t>
      </w:r>
      <w:hyperlink r:id="rId83" w:history="1">
        <w:r w:rsidRPr="006C2F5A">
          <w:rPr>
            <w:rStyle w:val="Hyperlink"/>
            <w:i/>
            <w:lang w:val="en-US"/>
          </w:rPr>
          <w:t xml:space="preserve"> GEF-9 Programming Directions</w:t>
        </w:r>
      </w:hyperlink>
      <w:r w:rsidRPr="006C2F5A">
        <w:rPr>
          <w:lang w:val="en-US"/>
        </w:rPr>
        <w:t>.</w:t>
      </w:r>
    </w:p>
  </w:footnote>
  <w:footnote w:id="122">
    <w:p w14:paraId="07E4276D" w14:textId="77777777" w:rsidR="00AD6A80" w:rsidRPr="00C67737" w:rsidRDefault="00AD6A80" w:rsidP="00AD6A80">
      <w:pPr>
        <w:pStyle w:val="FootnoteText"/>
        <w:rPr>
          <w:lang w:val="en-US"/>
        </w:rPr>
      </w:pPr>
      <w:r w:rsidRPr="00C67737">
        <w:rPr>
          <w:rStyle w:val="FootnoteReference"/>
          <w:lang w:val="en-US"/>
        </w:rPr>
        <w:footnoteRef/>
      </w:r>
      <w:r w:rsidRPr="00C67737">
        <w:rPr>
          <w:lang w:val="en-US"/>
        </w:rPr>
        <w:t xml:space="preserve"> GEF, 2026,</w:t>
      </w:r>
      <w:hyperlink r:id="rId84" w:history="1">
        <w:r w:rsidRPr="00C67737">
          <w:rPr>
            <w:rStyle w:val="Hyperlink"/>
            <w:i/>
            <w:iCs/>
            <w:lang w:val="en-US"/>
          </w:rPr>
          <w:t xml:space="preserve"> GEF-9 Programming Directions</w:t>
        </w:r>
      </w:hyperlink>
      <w:r w:rsidRPr="00C67737">
        <w:rPr>
          <w:lang w:val="en-US"/>
        </w:rPr>
        <w:t>.</w:t>
      </w:r>
    </w:p>
  </w:footnote>
  <w:footnote w:id="123">
    <w:p w14:paraId="6A3AD958" w14:textId="1948BFF4" w:rsidR="00DC2906" w:rsidRPr="00966C17" w:rsidRDefault="00DC2906" w:rsidP="000247FC">
      <w:pPr>
        <w:pStyle w:val="FootnoteText"/>
      </w:pPr>
      <w:r>
        <w:rPr>
          <w:rStyle w:val="FootnoteReference"/>
          <w:lang w:val="en-US"/>
        </w:rPr>
        <w:footnoteRef/>
      </w:r>
      <w:r w:rsidRPr="00966C17">
        <w:t xml:space="preserve"> GEF, 2022, </w:t>
      </w:r>
      <w:hyperlink r:id="rId85" w:history="1">
        <w:r w:rsidRPr="00966C17">
          <w:rPr>
            <w:rStyle w:val="Hyperlink"/>
            <w:i/>
          </w:rPr>
          <w:t xml:space="preserve">GEF-8 Country Engagement </w:t>
        </w:r>
        <w:proofErr w:type="spellStart"/>
        <w:r w:rsidRPr="00966C17">
          <w:rPr>
            <w:rStyle w:val="Hyperlink"/>
            <w:i/>
          </w:rPr>
          <w:t>Strategy</w:t>
        </w:r>
        <w:proofErr w:type="spellEnd"/>
        <w:r w:rsidRPr="00966C17">
          <w:rPr>
            <w:rStyle w:val="Hyperlink"/>
            <w:i/>
          </w:rPr>
          <w:t xml:space="preserve"> </w:t>
        </w:r>
        <w:proofErr w:type="spellStart"/>
        <w:r w:rsidRPr="00966C17">
          <w:rPr>
            <w:rStyle w:val="Hyperlink"/>
            <w:i/>
          </w:rPr>
          <w:t>Implementation</w:t>
        </w:r>
        <w:proofErr w:type="spellEnd"/>
        <w:r w:rsidRPr="00966C17">
          <w:rPr>
            <w:rStyle w:val="Hyperlink"/>
            <w:i/>
          </w:rPr>
          <w:t xml:space="preserve"> Arrangements</w:t>
        </w:r>
      </w:hyperlink>
      <w:r w:rsidRPr="00966C17">
        <w:t xml:space="preserve">, </w:t>
      </w:r>
      <w:r w:rsidR="00AD4988">
        <w:t xml:space="preserve">document du Conseil, </w:t>
      </w:r>
      <w:r w:rsidRPr="00966C17">
        <w:t>GEF/C.62/Inf.11</w:t>
      </w:r>
    </w:p>
  </w:footnote>
  <w:footnote w:id="124">
    <w:p w14:paraId="4B855929" w14:textId="051DE925" w:rsidR="006D012C" w:rsidRPr="006C2F5A" w:rsidRDefault="006D012C" w:rsidP="000247FC">
      <w:pPr>
        <w:pStyle w:val="FootnoteText"/>
        <w:rPr>
          <w:lang w:val="en-US"/>
        </w:rPr>
      </w:pPr>
      <w:r>
        <w:rPr>
          <w:rStyle w:val="FootnoteReference"/>
          <w:lang w:val="en-US"/>
        </w:rPr>
        <w:footnoteRef/>
      </w:r>
      <w:r w:rsidRPr="006C2F5A">
        <w:rPr>
          <w:lang w:val="en-US"/>
        </w:rPr>
        <w:t xml:space="preserve"> GEF, 2026, </w:t>
      </w:r>
      <w:hyperlink r:id="rId86" w:history="1">
        <w:r w:rsidRPr="006C2F5A">
          <w:rPr>
            <w:rStyle w:val="Hyperlink"/>
            <w:i/>
            <w:lang w:val="en-US"/>
          </w:rPr>
          <w:t>GEF-8 Corporate Scorecard - June 2026</w:t>
        </w:r>
      </w:hyperlink>
      <w:r w:rsidRPr="006C2F5A">
        <w:rPr>
          <w:lang w:val="en-US"/>
        </w:rPr>
        <w:t>.</w:t>
      </w:r>
    </w:p>
  </w:footnote>
  <w:footnote w:id="125">
    <w:p w14:paraId="36456C43" w14:textId="49BA6D20" w:rsidR="00F95BCB" w:rsidRPr="006C2F5A" w:rsidRDefault="00F95BCB" w:rsidP="000247FC">
      <w:pPr>
        <w:pStyle w:val="FootnoteText"/>
        <w:rPr>
          <w:lang w:val="en-US"/>
        </w:rPr>
      </w:pPr>
      <w:r>
        <w:rPr>
          <w:rStyle w:val="FootnoteReference"/>
          <w:lang w:val="en-US"/>
        </w:rPr>
        <w:footnoteRef/>
      </w:r>
      <w:r w:rsidRPr="006C2F5A">
        <w:rPr>
          <w:lang w:val="en-US"/>
        </w:rPr>
        <w:t xml:space="preserve"> </w:t>
      </w:r>
      <w:hyperlink r:id="rId87" w:history="1">
        <w:r w:rsidRPr="006C2F5A">
          <w:rPr>
            <w:rStyle w:val="Hyperlink"/>
            <w:lang w:val="en-US"/>
          </w:rPr>
          <w:t>https://www.thegef.org/fonseca-leadership-program</w:t>
        </w:r>
      </w:hyperlink>
    </w:p>
  </w:footnote>
  <w:footnote w:id="126">
    <w:p w14:paraId="3A4CE600" w14:textId="34BFD4CD" w:rsidR="00ED02A3" w:rsidRPr="00C67737" w:rsidRDefault="00ED02A3" w:rsidP="000247FC">
      <w:pPr>
        <w:pStyle w:val="FootnoteText"/>
      </w:pPr>
      <w:r>
        <w:rPr>
          <w:rStyle w:val="FootnoteReference"/>
          <w:lang w:val="en-US"/>
        </w:rPr>
        <w:footnoteRef/>
      </w:r>
      <w:r>
        <w:t xml:space="preserve"> 1) De la soumission de la fiche d’identité de projet (</w:t>
      </w:r>
      <w:r w:rsidR="00C17317">
        <w:t>FIP</w:t>
      </w:r>
      <w:r>
        <w:t>) à son approbation</w:t>
      </w:r>
      <w:r w:rsidR="00EA1F43">
        <w:t> ;</w:t>
      </w:r>
      <w:r>
        <w:t xml:space="preserve"> 2) De l’approbation de la </w:t>
      </w:r>
      <w:r w:rsidR="00C17317">
        <w:t>FIP</w:t>
      </w:r>
      <w:r>
        <w:t xml:space="preserve"> à la soumission de la demande d’agrément </w:t>
      </w:r>
      <w:r w:rsidR="009D41CA">
        <w:t>par le</w:t>
      </w:r>
      <w:r>
        <w:t xml:space="preserve"> directeur général</w:t>
      </w:r>
      <w:r w:rsidR="00EA1F43">
        <w:t> ;</w:t>
      </w:r>
      <w:r>
        <w:t xml:space="preserve"> 3) De la soumission de la demande d’agrément du directeur général à l’agrément par le directeur général</w:t>
      </w:r>
      <w:r w:rsidR="00EA1F43">
        <w:t> ;</w:t>
      </w:r>
      <w:r>
        <w:t xml:space="preserve"> 4) De l’agrément du directeur général au premier décaissement.</w:t>
      </w:r>
    </w:p>
  </w:footnote>
  <w:footnote w:id="127">
    <w:p w14:paraId="42771474" w14:textId="1D42D480" w:rsidR="00604FC1" w:rsidRPr="006C2F5A" w:rsidRDefault="00604FC1" w:rsidP="000247FC">
      <w:pPr>
        <w:pStyle w:val="FootnoteText"/>
        <w:rPr>
          <w:lang w:val="en-US"/>
        </w:rPr>
      </w:pPr>
      <w:r>
        <w:rPr>
          <w:rStyle w:val="FootnoteReference"/>
          <w:lang w:val="en-US"/>
        </w:rPr>
        <w:footnoteRef/>
      </w:r>
      <w:r w:rsidRPr="006C2F5A">
        <w:rPr>
          <w:lang w:val="en-US"/>
        </w:rPr>
        <w:t xml:space="preserve"> GEF, 2026, </w:t>
      </w:r>
      <w:hyperlink r:id="rId88" w:history="1">
        <w:r w:rsidRPr="006C2F5A">
          <w:rPr>
            <w:rStyle w:val="Hyperlink"/>
            <w:lang w:val="en-US"/>
          </w:rPr>
          <w:t>P</w:t>
        </w:r>
        <w:r w:rsidRPr="00EA1F43">
          <w:rPr>
            <w:rStyle w:val="Hyperlink"/>
            <w:i/>
            <w:iCs/>
            <w:lang w:val="en-US"/>
          </w:rPr>
          <w:t>olicy Recommendations for GEF-9</w:t>
        </w:r>
      </w:hyperlink>
      <w:r w:rsidRPr="006C2F5A">
        <w:rPr>
          <w:lang w:val="en-US"/>
        </w:rPr>
        <w:t>, GEF/R.09/22.</w:t>
      </w:r>
    </w:p>
  </w:footnote>
  <w:footnote w:id="128">
    <w:p w14:paraId="23AAE5CA" w14:textId="3175A25F" w:rsidR="009E1C59" w:rsidRPr="006C2F5A" w:rsidRDefault="009E1C59" w:rsidP="000247FC">
      <w:pPr>
        <w:pStyle w:val="FootnoteText"/>
        <w:rPr>
          <w:lang w:val="en-US"/>
        </w:rPr>
      </w:pPr>
      <w:r>
        <w:rPr>
          <w:rStyle w:val="FootnoteReference"/>
          <w:lang w:val="en-US"/>
        </w:rPr>
        <w:footnoteRef/>
      </w:r>
      <w:r w:rsidRPr="006C2F5A">
        <w:rPr>
          <w:lang w:val="en-US"/>
        </w:rPr>
        <w:t xml:space="preserve"> </w:t>
      </w:r>
      <w:r w:rsidRPr="00F31028">
        <w:rPr>
          <w:i/>
          <w:iCs/>
          <w:lang w:val="en-US"/>
        </w:rPr>
        <w:t>Publish What You Fund, Better Data for Better Outcomes: How Climate Funds Can Enhance Transparency</w:t>
      </w:r>
      <w:r w:rsidRPr="006C2F5A">
        <w:rPr>
          <w:lang w:val="en-US"/>
        </w:rPr>
        <w:t xml:space="preserve">, </w:t>
      </w:r>
      <w:proofErr w:type="spellStart"/>
      <w:r w:rsidRPr="006C2F5A">
        <w:rPr>
          <w:lang w:val="en-US"/>
        </w:rPr>
        <w:t>avri</w:t>
      </w:r>
      <w:r w:rsidR="00F31028">
        <w:rPr>
          <w:lang w:val="en-US"/>
        </w:rPr>
        <w:t>l</w:t>
      </w:r>
      <w:proofErr w:type="spellEnd"/>
      <w:r w:rsidR="00F31028">
        <w:rPr>
          <w:lang w:val="en-US"/>
        </w:rPr>
        <w:t> </w:t>
      </w:r>
      <w:r w:rsidRPr="006C2F5A">
        <w:rPr>
          <w:lang w:val="en-US"/>
        </w:rPr>
        <w:t>2024.</w:t>
      </w:r>
    </w:p>
  </w:footnote>
  <w:footnote w:id="129">
    <w:p w14:paraId="798575EF" w14:textId="3A1047DA" w:rsidR="000D76F3" w:rsidRPr="006C2F5A" w:rsidRDefault="000D76F3" w:rsidP="000247FC">
      <w:pPr>
        <w:pStyle w:val="FootnoteText"/>
        <w:rPr>
          <w:lang w:val="en-US"/>
        </w:rPr>
      </w:pPr>
      <w:r>
        <w:rPr>
          <w:vertAlign w:val="superscript"/>
          <w:lang w:val="en-US"/>
        </w:rPr>
        <w:footnoteRef/>
      </w:r>
      <w:r w:rsidRPr="006C2F5A">
        <w:rPr>
          <w:lang w:val="en-US"/>
        </w:rPr>
        <w:t xml:space="preserve"> GEF, 2019, </w:t>
      </w:r>
      <w:hyperlink r:id="rId89" w:history="1">
        <w:r w:rsidRPr="00966C17">
          <w:rPr>
            <w:rStyle w:val="Hyperlink"/>
            <w:i/>
            <w:iCs/>
            <w:lang w:val="en-US"/>
          </w:rPr>
          <w:t>GEF Policy on Monitoring</w:t>
        </w:r>
      </w:hyperlink>
      <w:r w:rsidRPr="006C2F5A">
        <w:rPr>
          <w:lang w:val="en-US"/>
        </w:rPr>
        <w:t xml:space="preserve">, </w:t>
      </w:r>
      <w:r w:rsidR="00966C17">
        <w:rPr>
          <w:lang w:val="en-US"/>
        </w:rPr>
        <w:t>Document du Conseil</w:t>
      </w:r>
      <w:r w:rsidRPr="006C2F5A">
        <w:rPr>
          <w:lang w:val="en-US"/>
        </w:rPr>
        <w:t xml:space="preserve"> GEF/C.56/03/Rev.01.</w:t>
      </w:r>
    </w:p>
  </w:footnote>
  <w:footnote w:id="130">
    <w:p w14:paraId="3D9D7602" w14:textId="5FB50ED0" w:rsidR="00305FDE" w:rsidRPr="006C2F5A" w:rsidRDefault="00305FDE" w:rsidP="000247FC">
      <w:pPr>
        <w:pStyle w:val="FootnoteText"/>
        <w:rPr>
          <w:lang w:val="en-US"/>
        </w:rPr>
      </w:pPr>
      <w:r>
        <w:rPr>
          <w:rStyle w:val="FootnoteReference"/>
          <w:lang w:val="en-US"/>
        </w:rPr>
        <w:footnoteRef/>
      </w:r>
      <w:r w:rsidRPr="006C2F5A">
        <w:rPr>
          <w:lang w:val="en-US"/>
        </w:rPr>
        <w:t xml:space="preserve"> GEF, 2024, </w:t>
      </w:r>
      <w:hyperlink r:id="rId90" w:history="1">
        <w:r w:rsidRPr="006C2F5A">
          <w:rPr>
            <w:rStyle w:val="Hyperlink"/>
            <w:lang w:val="en-US"/>
          </w:rPr>
          <w:t>R</w:t>
        </w:r>
        <w:r w:rsidRPr="007B74A7">
          <w:rPr>
            <w:rStyle w:val="Hyperlink"/>
            <w:i/>
            <w:iCs/>
            <w:lang w:val="en-US"/>
          </w:rPr>
          <w:t xml:space="preserve">eport </w:t>
        </w:r>
        <w:proofErr w:type="gramStart"/>
        <w:r w:rsidRPr="007B74A7">
          <w:rPr>
            <w:rStyle w:val="Hyperlink"/>
            <w:i/>
            <w:iCs/>
            <w:lang w:val="en-US"/>
          </w:rPr>
          <w:t>Of</w:t>
        </w:r>
        <w:proofErr w:type="gramEnd"/>
        <w:r w:rsidRPr="007B74A7">
          <w:rPr>
            <w:rStyle w:val="Hyperlink"/>
            <w:i/>
            <w:iCs/>
            <w:lang w:val="en-US"/>
          </w:rPr>
          <w:t xml:space="preserve"> </w:t>
        </w:r>
        <w:proofErr w:type="gramStart"/>
        <w:r w:rsidRPr="007B74A7">
          <w:rPr>
            <w:rStyle w:val="Hyperlink"/>
            <w:i/>
            <w:iCs/>
            <w:lang w:val="en-US"/>
          </w:rPr>
          <w:t>The</w:t>
        </w:r>
        <w:proofErr w:type="gramEnd"/>
        <w:r w:rsidRPr="007B74A7">
          <w:rPr>
            <w:rStyle w:val="Hyperlink"/>
            <w:i/>
            <w:iCs/>
            <w:lang w:val="en-US"/>
          </w:rPr>
          <w:t xml:space="preserve"> Global Environment Facility Presented </w:t>
        </w:r>
        <w:proofErr w:type="gramStart"/>
        <w:r w:rsidRPr="007B74A7">
          <w:rPr>
            <w:rStyle w:val="Hyperlink"/>
            <w:i/>
            <w:iCs/>
            <w:lang w:val="en-US"/>
          </w:rPr>
          <w:t>To</w:t>
        </w:r>
        <w:proofErr w:type="gramEnd"/>
        <w:r w:rsidRPr="007B74A7">
          <w:rPr>
            <w:rStyle w:val="Hyperlink"/>
            <w:i/>
            <w:iCs/>
            <w:lang w:val="en-US"/>
          </w:rPr>
          <w:t xml:space="preserve"> </w:t>
        </w:r>
        <w:proofErr w:type="gramStart"/>
        <w:r w:rsidRPr="007B74A7">
          <w:rPr>
            <w:rStyle w:val="Hyperlink"/>
            <w:i/>
            <w:iCs/>
            <w:lang w:val="en-US"/>
          </w:rPr>
          <w:t>The</w:t>
        </w:r>
        <w:proofErr w:type="gramEnd"/>
        <w:r w:rsidRPr="007B74A7">
          <w:rPr>
            <w:rStyle w:val="Hyperlink"/>
            <w:i/>
            <w:iCs/>
            <w:lang w:val="en-US"/>
          </w:rPr>
          <w:t xml:space="preserve"> Sixteenth Conference </w:t>
        </w:r>
        <w:proofErr w:type="gramStart"/>
        <w:r w:rsidRPr="007B74A7">
          <w:rPr>
            <w:rStyle w:val="Hyperlink"/>
            <w:i/>
            <w:iCs/>
            <w:lang w:val="en-US"/>
          </w:rPr>
          <w:t>Of</w:t>
        </w:r>
        <w:proofErr w:type="gramEnd"/>
        <w:r w:rsidRPr="007B74A7">
          <w:rPr>
            <w:rStyle w:val="Hyperlink"/>
            <w:i/>
            <w:iCs/>
            <w:lang w:val="en-US"/>
          </w:rPr>
          <w:t xml:space="preserve"> </w:t>
        </w:r>
        <w:proofErr w:type="gramStart"/>
        <w:r w:rsidRPr="007B74A7">
          <w:rPr>
            <w:rStyle w:val="Hyperlink"/>
            <w:i/>
            <w:iCs/>
            <w:lang w:val="en-US"/>
          </w:rPr>
          <w:t>The</w:t>
        </w:r>
        <w:proofErr w:type="gramEnd"/>
        <w:r w:rsidRPr="007B74A7">
          <w:rPr>
            <w:rStyle w:val="Hyperlink"/>
            <w:i/>
            <w:iCs/>
            <w:lang w:val="en-US"/>
          </w:rPr>
          <w:t xml:space="preserve"> Parties </w:t>
        </w:r>
        <w:proofErr w:type="gramStart"/>
        <w:r w:rsidRPr="007B74A7">
          <w:rPr>
            <w:rStyle w:val="Hyperlink"/>
            <w:i/>
            <w:iCs/>
            <w:lang w:val="en-US"/>
          </w:rPr>
          <w:t>To</w:t>
        </w:r>
        <w:proofErr w:type="gramEnd"/>
        <w:r w:rsidRPr="007B74A7">
          <w:rPr>
            <w:rStyle w:val="Hyperlink"/>
            <w:i/>
            <w:iCs/>
            <w:lang w:val="en-US"/>
          </w:rPr>
          <w:t xml:space="preserve"> </w:t>
        </w:r>
        <w:proofErr w:type="gramStart"/>
        <w:r w:rsidRPr="007B74A7">
          <w:rPr>
            <w:rStyle w:val="Hyperlink"/>
            <w:i/>
            <w:iCs/>
            <w:lang w:val="en-US"/>
          </w:rPr>
          <w:t>The</w:t>
        </w:r>
        <w:proofErr w:type="gramEnd"/>
        <w:r w:rsidRPr="007B74A7">
          <w:rPr>
            <w:rStyle w:val="Hyperlink"/>
            <w:i/>
            <w:iCs/>
            <w:lang w:val="en-US"/>
          </w:rPr>
          <w:t xml:space="preserve"> Convention </w:t>
        </w:r>
        <w:proofErr w:type="gramStart"/>
        <w:r w:rsidRPr="007B74A7">
          <w:rPr>
            <w:rStyle w:val="Hyperlink"/>
            <w:i/>
            <w:iCs/>
            <w:lang w:val="en-US"/>
          </w:rPr>
          <w:t>On</w:t>
        </w:r>
        <w:proofErr w:type="gramEnd"/>
        <w:r w:rsidRPr="007B74A7">
          <w:rPr>
            <w:rStyle w:val="Hyperlink"/>
            <w:i/>
            <w:iCs/>
            <w:lang w:val="en-US"/>
          </w:rPr>
          <w:t xml:space="preserve"> Biological Diversity.</w:t>
        </w:r>
      </w:hyperlink>
    </w:p>
  </w:footnote>
  <w:footnote w:id="131">
    <w:p w14:paraId="109C7B44" w14:textId="4CD9655C" w:rsidR="00DE34AA" w:rsidRPr="006C2F5A" w:rsidRDefault="00DE34AA" w:rsidP="000247FC">
      <w:pPr>
        <w:pStyle w:val="FootnoteText"/>
        <w:rPr>
          <w:lang w:val="en-US"/>
        </w:rPr>
      </w:pPr>
      <w:r>
        <w:rPr>
          <w:rStyle w:val="FootnoteReference"/>
          <w:lang w:val="en-US"/>
        </w:rPr>
        <w:footnoteRef/>
      </w:r>
      <w:r w:rsidRPr="006C2F5A">
        <w:rPr>
          <w:lang w:val="en-US"/>
        </w:rPr>
        <w:t xml:space="preserve"> </w:t>
      </w:r>
      <w:r w:rsidR="006F2DA7" w:rsidRPr="00C67737">
        <w:rPr>
          <w:lang w:val="en-US"/>
        </w:rPr>
        <w:t xml:space="preserve">GEF IEO, 2024, </w:t>
      </w:r>
      <w:hyperlink r:id="rId91" w:history="1">
        <w:r w:rsidR="006F2DA7" w:rsidRPr="00C67737">
          <w:rPr>
            <w:rStyle w:val="Hyperlink"/>
            <w:i/>
            <w:iCs/>
            <w:lang w:val="en-US"/>
          </w:rPr>
          <w:t>Evaluation of GEF Programs in Pacific Small Island Developing States</w:t>
        </w:r>
      </w:hyperlink>
      <w:r w:rsidR="006F2DA7" w:rsidRPr="00C67737">
        <w:rPr>
          <w:lang w:val="en-US"/>
        </w:rPr>
        <w:t xml:space="preserve">, </w:t>
      </w:r>
      <w:r w:rsidR="00966C17">
        <w:rPr>
          <w:lang w:val="en-US"/>
        </w:rPr>
        <w:t>Document du Conseil</w:t>
      </w:r>
      <w:r w:rsidR="006F2DA7" w:rsidRPr="00C67737">
        <w:rPr>
          <w:lang w:val="en-US"/>
        </w:rPr>
        <w:t xml:space="preserve"> </w:t>
      </w:r>
      <w:r w:rsidR="006F2DA7" w:rsidRPr="00C67737">
        <w:rPr>
          <w:rFonts w:hint="cs"/>
          <w:lang w:val="en-US"/>
        </w:rPr>
        <w:t>GEF/E/C.68/02</w:t>
      </w:r>
    </w:p>
  </w:footnote>
  <w:footnote w:id="132">
    <w:p w14:paraId="3B4143C1" w14:textId="77777777" w:rsidR="00146208" w:rsidRPr="006C2F5A" w:rsidRDefault="00146208" w:rsidP="000247FC">
      <w:pPr>
        <w:pStyle w:val="FootnoteText"/>
        <w:rPr>
          <w:lang w:val="en-US"/>
        </w:rPr>
      </w:pPr>
      <w:r>
        <w:rPr>
          <w:rStyle w:val="FootnoteReference"/>
          <w:lang w:val="en-US"/>
        </w:rPr>
        <w:footnoteRef/>
      </w:r>
      <w:r w:rsidRPr="006C2F5A">
        <w:rPr>
          <w:lang w:val="en-US"/>
        </w:rPr>
        <w:t xml:space="preserve"> GEF IEO, 2019, </w:t>
      </w:r>
      <w:r w:rsidRPr="001F6CF7">
        <w:rPr>
          <w:i/>
          <w:iCs/>
          <w:lang w:val="en-US"/>
        </w:rPr>
        <w:t>Strategic Country Cluster Evaluation: Small Island Developing States</w:t>
      </w:r>
      <w:r w:rsidRPr="006C2F5A">
        <w:rPr>
          <w:lang w:val="en-US"/>
        </w:rPr>
        <w:t xml:space="preserve">, GEF/ ME/C.57/02. </w:t>
      </w:r>
      <w:hyperlink r:id="rId92" w:history="1">
        <w:r w:rsidRPr="006C2F5A">
          <w:rPr>
            <w:lang w:val="en-US"/>
          </w:rPr>
          <w:t>https://www.gefieo.org/en/types/evaluations/scce-sids</w:t>
        </w:r>
      </w:hyperlink>
    </w:p>
  </w:footnote>
  <w:footnote w:id="133">
    <w:p w14:paraId="48C90E0D" w14:textId="1A7F1145" w:rsidR="000B5E33" w:rsidRPr="006C2F5A" w:rsidRDefault="000B5E33" w:rsidP="000247FC">
      <w:pPr>
        <w:pStyle w:val="FootnoteText"/>
        <w:rPr>
          <w:lang w:val="en-US"/>
        </w:rPr>
      </w:pPr>
      <w:r>
        <w:rPr>
          <w:rStyle w:val="FootnoteReference"/>
          <w:lang w:val="en-US"/>
        </w:rPr>
        <w:footnoteRef/>
      </w:r>
      <w:r w:rsidRPr="006C2F5A">
        <w:rPr>
          <w:lang w:val="en-US"/>
        </w:rPr>
        <w:t xml:space="preserve"> GEF, 2024, </w:t>
      </w:r>
      <w:hyperlink r:id="rId93" w:history="1">
        <w:r w:rsidRPr="006C2F5A">
          <w:rPr>
            <w:rStyle w:val="Hyperlink"/>
            <w:i/>
            <w:lang w:val="en-US"/>
          </w:rPr>
          <w:t>Management response to:</w:t>
        </w:r>
      </w:hyperlink>
      <w:hyperlink r:id="rId94" w:history="1">
        <w:r w:rsidRPr="006C2F5A">
          <w:rPr>
            <w:rStyle w:val="Hyperlink"/>
            <w:i/>
            <w:lang w:val="en-US"/>
          </w:rPr>
          <w:t xml:space="preserve"> Evaluation of GEF Programs in Pacific Small Island Developing States</w:t>
        </w:r>
      </w:hyperlink>
      <w:r w:rsidRPr="006C2F5A">
        <w:rPr>
          <w:lang w:val="en-US"/>
        </w:rPr>
        <w:t xml:space="preserve">, </w:t>
      </w:r>
      <w:r w:rsidR="00966C17">
        <w:rPr>
          <w:lang w:val="en-US"/>
        </w:rPr>
        <w:t>Document du Conseil</w:t>
      </w:r>
      <w:r w:rsidRPr="006C2F5A">
        <w:rPr>
          <w:lang w:val="en-US"/>
        </w:rPr>
        <w:t xml:space="preserve"> GEF/C.68/06</w:t>
      </w:r>
    </w:p>
  </w:footnote>
  <w:footnote w:id="134">
    <w:p w14:paraId="5181BBB6" w14:textId="2E91F007" w:rsidR="005719A7" w:rsidRPr="006C2F5A" w:rsidRDefault="005719A7" w:rsidP="000247FC">
      <w:pPr>
        <w:pStyle w:val="FootnoteText"/>
        <w:rPr>
          <w:lang w:val="en-US"/>
        </w:rPr>
      </w:pPr>
      <w:r>
        <w:rPr>
          <w:rStyle w:val="FootnoteReference"/>
          <w:lang w:val="en-US"/>
        </w:rPr>
        <w:footnoteRef/>
      </w:r>
      <w:r w:rsidRPr="006C2F5A">
        <w:rPr>
          <w:lang w:val="en-US"/>
        </w:rPr>
        <w:t xml:space="preserve"> GEF IEO, 2025, </w:t>
      </w:r>
      <w:hyperlink r:id="rId95" w:history="1">
        <w:r w:rsidRPr="006C2F5A">
          <w:rPr>
            <w:rStyle w:val="Hyperlink"/>
            <w:i/>
            <w:lang w:val="en-US"/>
          </w:rPr>
          <w:t xml:space="preserve">Evaluation of the GEF Support for </w:t>
        </w:r>
        <w:proofErr w:type="spellStart"/>
        <w:r w:rsidRPr="006C2F5A">
          <w:rPr>
            <w:rStyle w:val="Hyperlink"/>
            <w:i/>
            <w:lang w:val="en-US"/>
          </w:rPr>
          <w:t>Naturebased</w:t>
        </w:r>
        <w:proofErr w:type="spellEnd"/>
        <w:r w:rsidRPr="006C2F5A">
          <w:rPr>
            <w:rStyle w:val="Hyperlink"/>
            <w:i/>
            <w:lang w:val="en-US"/>
          </w:rPr>
          <w:t xml:space="preserve"> Solutions</w:t>
        </w:r>
      </w:hyperlink>
      <w:r w:rsidRPr="006C2F5A">
        <w:rPr>
          <w:i/>
          <w:lang w:val="en-US"/>
        </w:rPr>
        <w:t>,</w:t>
      </w:r>
      <w:r w:rsidRPr="006C2F5A">
        <w:rPr>
          <w:lang w:val="en-US"/>
        </w:rPr>
        <w:t xml:space="preserve"> </w:t>
      </w:r>
      <w:r w:rsidR="00966C17">
        <w:rPr>
          <w:lang w:val="en-US"/>
        </w:rPr>
        <w:t>Document du Conseil</w:t>
      </w:r>
      <w:r w:rsidRPr="006C2F5A">
        <w:rPr>
          <w:lang w:val="en-US"/>
        </w:rPr>
        <w:t xml:space="preserve"> GEF/E/C.69/04</w:t>
      </w:r>
    </w:p>
  </w:footnote>
  <w:footnote w:id="135">
    <w:p w14:paraId="05BDB26B" w14:textId="5948F65D" w:rsidR="000F10BB" w:rsidRPr="006C2F5A" w:rsidRDefault="000F10BB" w:rsidP="000247FC">
      <w:pPr>
        <w:pStyle w:val="FootnoteText"/>
        <w:rPr>
          <w:lang w:val="en-US"/>
        </w:rPr>
      </w:pPr>
      <w:r>
        <w:rPr>
          <w:rStyle w:val="FootnoteReference"/>
          <w:lang w:val="en-US"/>
        </w:rPr>
        <w:footnoteRef/>
      </w:r>
      <w:r w:rsidRPr="006C2F5A">
        <w:rPr>
          <w:lang w:val="en-US"/>
        </w:rPr>
        <w:t xml:space="preserve"> GEF, 2025, </w:t>
      </w:r>
      <w:hyperlink r:id="rId96" w:history="1">
        <w:r w:rsidRPr="006C2F5A">
          <w:rPr>
            <w:rStyle w:val="Hyperlink"/>
            <w:i/>
            <w:lang w:val="en-US"/>
          </w:rPr>
          <w:t>Management Response on the Evaluation of GEF Support for Nature Based Solutions</w:t>
        </w:r>
      </w:hyperlink>
      <w:r w:rsidRPr="006C2F5A">
        <w:rPr>
          <w:lang w:val="en-US"/>
        </w:rPr>
        <w:t xml:space="preserve">, </w:t>
      </w:r>
      <w:r w:rsidR="00966C17">
        <w:rPr>
          <w:lang w:val="en-US"/>
        </w:rPr>
        <w:t>Document du Conseil</w:t>
      </w:r>
      <w:r w:rsidRPr="006C2F5A">
        <w:rPr>
          <w:lang w:val="en-US"/>
        </w:rPr>
        <w:t xml:space="preserve"> GEF/C.69/09</w:t>
      </w:r>
    </w:p>
  </w:footnote>
  <w:footnote w:id="136">
    <w:p w14:paraId="2975005A" w14:textId="73ECC522" w:rsidR="00956020" w:rsidRPr="006C2F5A" w:rsidRDefault="00956020" w:rsidP="000247FC">
      <w:pPr>
        <w:pStyle w:val="FootnoteText"/>
        <w:rPr>
          <w:lang w:val="en-US"/>
        </w:rPr>
      </w:pPr>
      <w:r>
        <w:rPr>
          <w:rStyle w:val="FootnoteReference"/>
          <w:lang w:val="en-US"/>
        </w:rPr>
        <w:footnoteRef/>
      </w:r>
      <w:r w:rsidRPr="006C2F5A">
        <w:rPr>
          <w:lang w:val="en-US"/>
        </w:rPr>
        <w:t xml:space="preserve">GEF, 2022, </w:t>
      </w:r>
      <w:hyperlink r:id="rId97" w:history="1">
        <w:r w:rsidRPr="006C2F5A">
          <w:rPr>
            <w:rStyle w:val="Hyperlink"/>
            <w:i/>
            <w:lang w:val="en-US"/>
          </w:rPr>
          <w:t>GEF-8 Country Engagement Strategy Implementation</w:t>
        </w:r>
      </w:hyperlink>
      <w:r w:rsidRPr="006C2F5A">
        <w:rPr>
          <w:rStyle w:val="Hyperlink"/>
          <w:i/>
          <w:lang w:val="en-US"/>
        </w:rPr>
        <w:t xml:space="preserve"> Arrangements</w:t>
      </w:r>
      <w:r w:rsidRPr="006C2F5A">
        <w:rPr>
          <w:lang w:val="en-US"/>
        </w:rPr>
        <w:t xml:space="preserve">, </w:t>
      </w:r>
      <w:r w:rsidR="00966C17">
        <w:rPr>
          <w:lang w:val="en-US"/>
        </w:rPr>
        <w:t>Document du Conseil</w:t>
      </w:r>
      <w:r w:rsidRPr="006C2F5A">
        <w:rPr>
          <w:lang w:val="en-US"/>
        </w:rPr>
        <w:t xml:space="preserve"> GEF/C.62/Inf.11.</w:t>
      </w:r>
    </w:p>
  </w:footnote>
  <w:footnote w:id="137">
    <w:p w14:paraId="23BAE09C" w14:textId="72804309" w:rsidR="007F5E71" w:rsidRPr="006C2F5A" w:rsidRDefault="007F5E71" w:rsidP="000247FC">
      <w:pPr>
        <w:pStyle w:val="FootnoteText"/>
        <w:rPr>
          <w:lang w:val="en-US"/>
        </w:rPr>
      </w:pPr>
      <w:r>
        <w:rPr>
          <w:rStyle w:val="FootnoteReference"/>
          <w:lang w:val="en-US"/>
        </w:rPr>
        <w:footnoteRef/>
      </w:r>
      <w:r w:rsidRPr="006C2F5A">
        <w:rPr>
          <w:lang w:val="en-US"/>
        </w:rPr>
        <w:t xml:space="preserve"> GEF, 2024, </w:t>
      </w:r>
      <w:hyperlink r:id="rId98" w:history="1">
        <w:r w:rsidRPr="006C2F5A">
          <w:rPr>
            <w:rStyle w:val="Hyperlink"/>
            <w:i/>
            <w:lang w:val="en-US"/>
          </w:rPr>
          <w:t>Strategy for Knowledge Management and Learning</w:t>
        </w:r>
      </w:hyperlink>
      <w:r w:rsidRPr="006C2F5A">
        <w:rPr>
          <w:i/>
          <w:lang w:val="en-US"/>
        </w:rPr>
        <w:t>.</w:t>
      </w:r>
    </w:p>
  </w:footnote>
  <w:footnote w:id="138">
    <w:p w14:paraId="7693A7D7" w14:textId="6C1B4FA9" w:rsidR="002F4B32" w:rsidRPr="006C2F5A" w:rsidRDefault="002F4B32" w:rsidP="000247FC">
      <w:pPr>
        <w:pStyle w:val="FootnoteText"/>
        <w:rPr>
          <w:lang w:val="en-US"/>
        </w:rPr>
      </w:pPr>
      <w:r>
        <w:rPr>
          <w:rStyle w:val="FootnoteReference"/>
          <w:lang w:val="en-US"/>
        </w:rPr>
        <w:footnoteRef/>
      </w:r>
      <w:r w:rsidRPr="006C2F5A">
        <w:rPr>
          <w:lang w:val="en-US"/>
        </w:rPr>
        <w:t xml:space="preserve"> GEF IEO 2025, </w:t>
      </w:r>
      <w:hyperlink r:id="rId99" w:history="1">
        <w:r w:rsidRPr="006C2F5A">
          <w:rPr>
            <w:rStyle w:val="Hyperlink"/>
            <w:i/>
            <w:lang w:val="en-US"/>
          </w:rPr>
          <w:t>Evaluation of GEF Food Systems Programs</w:t>
        </w:r>
      </w:hyperlink>
      <w:r w:rsidRPr="006C2F5A">
        <w:rPr>
          <w:i/>
          <w:lang w:val="en-US"/>
        </w:rPr>
        <w:t>,</w:t>
      </w:r>
      <w:r w:rsidRPr="006C2F5A">
        <w:rPr>
          <w:lang w:val="en-US"/>
        </w:rPr>
        <w:t xml:space="preserve"> </w:t>
      </w:r>
      <w:r w:rsidR="00966C17">
        <w:rPr>
          <w:lang w:val="en-US"/>
        </w:rPr>
        <w:t>Document du Conseil</w:t>
      </w:r>
      <w:r w:rsidRPr="006C2F5A">
        <w:rPr>
          <w:lang w:val="en-US"/>
        </w:rPr>
        <w:t xml:space="preserve"> GEF/E/C.70/02.</w:t>
      </w:r>
    </w:p>
  </w:footnote>
  <w:footnote w:id="139">
    <w:p w14:paraId="5A97618E" w14:textId="21A4EA19" w:rsidR="00CF245D" w:rsidRPr="006C2F5A" w:rsidRDefault="00CF245D" w:rsidP="000247FC">
      <w:pPr>
        <w:pStyle w:val="FootnoteText"/>
        <w:rPr>
          <w:lang w:val="en-US"/>
        </w:rPr>
      </w:pPr>
      <w:r>
        <w:rPr>
          <w:rStyle w:val="FootnoteReference"/>
          <w:lang w:val="en-US"/>
        </w:rPr>
        <w:footnoteRef/>
      </w:r>
      <w:r w:rsidRPr="006C2F5A">
        <w:rPr>
          <w:lang w:val="en-US"/>
        </w:rPr>
        <w:t xml:space="preserve"> GEF, 2025, </w:t>
      </w:r>
      <w:hyperlink r:id="rId100" w:history="1">
        <w:r w:rsidRPr="006C2F5A">
          <w:rPr>
            <w:rStyle w:val="Hyperlink"/>
            <w:i/>
            <w:lang w:val="en-US"/>
          </w:rPr>
          <w:t>Management Response on the Evaluation of GEF Food</w:t>
        </w:r>
      </w:hyperlink>
      <w:r w:rsidRPr="006C2F5A">
        <w:rPr>
          <w:rStyle w:val="Hyperlink"/>
          <w:i/>
          <w:lang w:val="en-US"/>
        </w:rPr>
        <w:t xml:space="preserve"> Systems Programs</w:t>
      </w:r>
      <w:r w:rsidRPr="006C2F5A">
        <w:rPr>
          <w:lang w:val="en-US"/>
        </w:rPr>
        <w:t xml:space="preserve">, </w:t>
      </w:r>
      <w:r w:rsidR="00966C17">
        <w:rPr>
          <w:lang w:val="en-US"/>
        </w:rPr>
        <w:t>Document du Conseil</w:t>
      </w:r>
      <w:r w:rsidRPr="006C2F5A">
        <w:rPr>
          <w:lang w:val="en-US"/>
        </w:rPr>
        <w:t xml:space="preserve"> GEF/C.70/05</w:t>
      </w:r>
    </w:p>
  </w:footnote>
  <w:footnote w:id="140">
    <w:p w14:paraId="21389AB2" w14:textId="4AB6612E" w:rsidR="005B6409" w:rsidRPr="006C2F5A" w:rsidRDefault="005B6409" w:rsidP="000247FC">
      <w:pPr>
        <w:pStyle w:val="FootnoteText"/>
        <w:rPr>
          <w:lang w:val="en-US"/>
        </w:rPr>
      </w:pPr>
      <w:r>
        <w:rPr>
          <w:rStyle w:val="FootnoteReference"/>
          <w:lang w:val="en-US"/>
        </w:rPr>
        <w:footnoteRef/>
      </w:r>
      <w:r w:rsidRPr="006C2F5A">
        <w:rPr>
          <w:lang w:val="en-US"/>
        </w:rPr>
        <w:t xml:space="preserve"> GEF IEO 2025, </w:t>
      </w:r>
      <w:hyperlink r:id="rId101" w:history="1">
        <w:r w:rsidRPr="006C2F5A">
          <w:rPr>
            <w:rStyle w:val="Hyperlink"/>
            <w:i/>
            <w:lang w:val="en-US"/>
          </w:rPr>
          <w:t>The Eighth Comprehensive Evaluation of the GEF</w:t>
        </w:r>
      </w:hyperlink>
      <w:r w:rsidRPr="006C2F5A">
        <w:rPr>
          <w:lang w:val="en-US"/>
        </w:rPr>
        <w:t xml:space="preserve">, </w:t>
      </w:r>
      <w:r w:rsidR="009A229D">
        <w:rPr>
          <w:lang w:val="en-US"/>
        </w:rPr>
        <w:t>d</w:t>
      </w:r>
      <w:r w:rsidR="00966C17">
        <w:rPr>
          <w:lang w:val="en-US"/>
        </w:rPr>
        <w:t>ocument du Conseil</w:t>
      </w:r>
      <w:r w:rsidRPr="006C2F5A">
        <w:rPr>
          <w:lang w:val="en-US"/>
        </w:rPr>
        <w:t xml:space="preserve"> GEF/E/C.70/01.</w:t>
      </w:r>
    </w:p>
  </w:footnote>
  <w:footnote w:id="141">
    <w:p w14:paraId="610F3B9A" w14:textId="6F4284BF" w:rsidR="00CB17A4" w:rsidRPr="006C2F5A" w:rsidRDefault="00CB17A4" w:rsidP="000247FC">
      <w:pPr>
        <w:pStyle w:val="FootnoteText"/>
        <w:rPr>
          <w:lang w:val="en-US"/>
        </w:rPr>
      </w:pPr>
      <w:r>
        <w:rPr>
          <w:rStyle w:val="FootnoteReference"/>
          <w:lang w:val="en-US"/>
        </w:rPr>
        <w:footnoteRef/>
      </w:r>
      <w:r w:rsidRPr="006C2F5A">
        <w:rPr>
          <w:lang w:val="en-US"/>
        </w:rPr>
        <w:t xml:space="preserve"> GEF, 2025, </w:t>
      </w:r>
      <w:hyperlink r:id="rId102" w:history="1">
        <w:r w:rsidRPr="006C2F5A">
          <w:rPr>
            <w:rStyle w:val="Hyperlink"/>
            <w:i/>
            <w:lang w:val="en-US"/>
          </w:rPr>
          <w:t>Management Response to the Evaluation of the Eighth Comprehensive Evaluation of the GEF</w:t>
        </w:r>
      </w:hyperlink>
      <w:r w:rsidRPr="006C2F5A">
        <w:rPr>
          <w:lang w:val="en-US"/>
        </w:rPr>
        <w:t xml:space="preserve">, </w:t>
      </w:r>
      <w:r w:rsidR="002554E7">
        <w:rPr>
          <w:lang w:val="en-US"/>
        </w:rPr>
        <w:t>d</w:t>
      </w:r>
      <w:r w:rsidR="00966C17">
        <w:rPr>
          <w:lang w:val="en-US"/>
        </w:rPr>
        <w:t>ocument du Conseil</w:t>
      </w:r>
      <w:r w:rsidRPr="006C2F5A">
        <w:rPr>
          <w:lang w:val="en-US"/>
        </w:rPr>
        <w:t xml:space="preserve"> GEF/C.70/06/Rev.01</w:t>
      </w:r>
    </w:p>
  </w:footnote>
  <w:footnote w:id="142">
    <w:p w14:paraId="39EB8463" w14:textId="08D75F1A" w:rsidR="000720E7" w:rsidRPr="006C2F5A" w:rsidRDefault="000720E7" w:rsidP="000247FC">
      <w:pPr>
        <w:pStyle w:val="FootnoteText"/>
        <w:rPr>
          <w:lang w:val="en-US"/>
        </w:rPr>
      </w:pPr>
      <w:r>
        <w:rPr>
          <w:rStyle w:val="FootnoteReference"/>
          <w:lang w:val="en-US"/>
        </w:rPr>
        <w:footnoteRef/>
      </w:r>
      <w:r w:rsidRPr="006C2F5A">
        <w:rPr>
          <w:lang w:val="en-US"/>
        </w:rPr>
        <w:t xml:space="preserve"> GEF, 2024, </w:t>
      </w:r>
      <w:hyperlink r:id="rId103" w:history="1">
        <w:r w:rsidRPr="006C2F5A">
          <w:rPr>
            <w:rStyle w:val="Hyperlink"/>
            <w:i/>
            <w:lang w:val="en-US"/>
          </w:rPr>
          <w:t>GEF announces winners of first Innovation Window funds.</w:t>
        </w:r>
      </w:hyperlink>
      <w:r w:rsidRPr="006C2F5A">
        <w:rPr>
          <w:lang w:val="en-US"/>
        </w:rPr>
        <w:t xml:space="preserve"> </w:t>
      </w:r>
    </w:p>
  </w:footnote>
  <w:footnote w:id="143">
    <w:p w14:paraId="2F99A388" w14:textId="5518B2F8" w:rsidR="000041A4" w:rsidRPr="006C2F5A" w:rsidRDefault="000041A4" w:rsidP="000247FC">
      <w:pPr>
        <w:pStyle w:val="FootnoteText"/>
        <w:rPr>
          <w:lang w:val="en-US"/>
        </w:rPr>
      </w:pPr>
      <w:r>
        <w:rPr>
          <w:rStyle w:val="FootnoteReference"/>
          <w:lang w:val="en-US"/>
        </w:rPr>
        <w:footnoteRef/>
      </w:r>
      <w:r w:rsidRPr="006C2F5A">
        <w:rPr>
          <w:lang w:val="en-US"/>
        </w:rPr>
        <w:t xml:space="preserve"> GEF, 2026, </w:t>
      </w:r>
      <w:hyperlink r:id="rId104" w:history="1">
        <w:r w:rsidRPr="006C2F5A">
          <w:rPr>
            <w:rStyle w:val="Hyperlink"/>
            <w:i/>
            <w:lang w:val="en-US"/>
          </w:rPr>
          <w:t>Policy Recommendations for GEF-9</w:t>
        </w:r>
      </w:hyperlink>
      <w:r w:rsidRPr="006C2F5A">
        <w:rPr>
          <w:lang w:val="en-US"/>
        </w:rPr>
        <w:t>, GEF/R.09/22.</w:t>
      </w:r>
    </w:p>
  </w:footnote>
  <w:footnote w:id="144">
    <w:p w14:paraId="35E84AF1" w14:textId="20D7EAFD" w:rsidR="0097540C" w:rsidRPr="006C2F5A" w:rsidRDefault="0097540C" w:rsidP="000247FC">
      <w:pPr>
        <w:pStyle w:val="FootnoteText"/>
        <w:rPr>
          <w:lang w:val="en-US"/>
        </w:rPr>
      </w:pPr>
      <w:r>
        <w:rPr>
          <w:rStyle w:val="FootnoteReference"/>
          <w:lang w:val="en-US"/>
        </w:rPr>
        <w:footnoteRef/>
      </w:r>
      <w:r w:rsidRPr="006C2F5A">
        <w:rPr>
          <w:lang w:val="en-US"/>
        </w:rPr>
        <w:t xml:space="preserve"> GEF/Council Decisions/2025, </w:t>
      </w:r>
      <w:hyperlink r:id="rId105" w:history="1">
        <w:r w:rsidRPr="006C2F5A">
          <w:rPr>
            <w:rStyle w:val="Hyperlink"/>
            <w:i/>
            <w:lang w:val="en-US"/>
          </w:rPr>
          <w:t>GEF Council Decisions 2025</w:t>
        </w:r>
      </w:hyperlink>
      <w:r w:rsidRPr="006C2F5A">
        <w:rPr>
          <w:lang w:val="en-US"/>
        </w:rPr>
        <w:t>, 10 June 2025</w:t>
      </w:r>
    </w:p>
  </w:footnote>
  <w:footnote w:id="145">
    <w:p w14:paraId="5A0784B8" w14:textId="7CCF6FF1" w:rsidR="0017349A" w:rsidRPr="006C2F5A" w:rsidRDefault="0017349A" w:rsidP="000247FC">
      <w:pPr>
        <w:pStyle w:val="FootnoteText"/>
        <w:rPr>
          <w:lang w:val="en-US"/>
        </w:rPr>
      </w:pPr>
      <w:r>
        <w:rPr>
          <w:rStyle w:val="FootnoteReference"/>
          <w:lang w:val="en-US"/>
        </w:rPr>
        <w:footnoteRef/>
      </w:r>
      <w:r w:rsidRPr="006C2F5A">
        <w:rPr>
          <w:lang w:val="en-US"/>
        </w:rPr>
        <w:t xml:space="preserve"> GEF IEO, 2025, </w:t>
      </w:r>
      <w:hyperlink r:id="rId106" w:history="1">
        <w:r w:rsidRPr="006C2F5A">
          <w:rPr>
            <w:rStyle w:val="Hyperlink"/>
            <w:i/>
            <w:lang w:val="en-US"/>
          </w:rPr>
          <w:t>Formative Evaluation of the Global Biodiversity Framework Fund</w:t>
        </w:r>
      </w:hyperlink>
      <w:r w:rsidRPr="006C2F5A">
        <w:rPr>
          <w:lang w:val="en-US"/>
        </w:rPr>
        <w:t xml:space="preserve">, </w:t>
      </w:r>
      <w:r w:rsidR="00966C17">
        <w:rPr>
          <w:lang w:val="en-US"/>
        </w:rPr>
        <w:t>document du Conseil</w:t>
      </w:r>
      <w:r w:rsidR="00CA0589">
        <w:rPr>
          <w:lang w:val="en-US"/>
        </w:rPr>
        <w:t>,</w:t>
      </w:r>
      <w:r w:rsidRPr="006C2F5A">
        <w:rPr>
          <w:lang w:val="en-US"/>
        </w:rPr>
        <w:t xml:space="preserve"> GEF/GBFF/E/C.04/01.</w:t>
      </w:r>
    </w:p>
  </w:footnote>
  <w:footnote w:id="146">
    <w:p w14:paraId="54DAA7C0" w14:textId="4EA1902E" w:rsidR="00A03936" w:rsidRPr="006C2F5A" w:rsidRDefault="00A03936" w:rsidP="000247FC">
      <w:pPr>
        <w:pStyle w:val="FootnoteText"/>
        <w:rPr>
          <w:lang w:val="en-US"/>
        </w:rPr>
      </w:pPr>
      <w:r>
        <w:rPr>
          <w:rStyle w:val="FootnoteReference"/>
          <w:lang w:val="en-US"/>
        </w:rPr>
        <w:footnoteRef/>
      </w:r>
      <w:r w:rsidRPr="006C2F5A">
        <w:rPr>
          <w:lang w:val="en-US"/>
        </w:rPr>
        <w:t xml:space="preserve"> GEF, 2025, </w:t>
      </w:r>
      <w:hyperlink r:id="rId107" w:history="1">
        <w:r w:rsidRPr="006C2F5A">
          <w:rPr>
            <w:rStyle w:val="Hyperlink"/>
            <w:i/>
            <w:lang w:val="en-US"/>
          </w:rPr>
          <w:t>Management Response on the Formative Evaluation of the Global Biodiversity Framework</w:t>
        </w:r>
      </w:hyperlink>
      <w:r w:rsidRPr="006C2F5A">
        <w:rPr>
          <w:lang w:val="en-US"/>
        </w:rPr>
        <w:t xml:space="preserve">, </w:t>
      </w:r>
      <w:r w:rsidR="00DB5927">
        <w:rPr>
          <w:lang w:val="en-US"/>
        </w:rPr>
        <w:t>d</w:t>
      </w:r>
      <w:r w:rsidR="00966C17">
        <w:rPr>
          <w:lang w:val="en-US"/>
        </w:rPr>
        <w:t>ocument du Conseil</w:t>
      </w:r>
      <w:r w:rsidR="00CA0589">
        <w:rPr>
          <w:lang w:val="en-US"/>
        </w:rPr>
        <w:t>,</w:t>
      </w:r>
      <w:r w:rsidRPr="006C2F5A">
        <w:rPr>
          <w:lang w:val="en-US"/>
        </w:rPr>
        <w:t xml:space="preserve"> GEF/GBFF.04/05</w:t>
      </w:r>
    </w:p>
  </w:footnote>
  <w:footnote w:id="147">
    <w:p w14:paraId="4D5D3BA4" w14:textId="65CF54D3" w:rsidR="004C6EF0" w:rsidRPr="006C2F5A" w:rsidRDefault="004C6EF0" w:rsidP="000247FC">
      <w:pPr>
        <w:pStyle w:val="FootnoteText"/>
        <w:rPr>
          <w:lang w:val="en-US"/>
        </w:rPr>
      </w:pPr>
      <w:r>
        <w:rPr>
          <w:rStyle w:val="FootnoteReference"/>
          <w:lang w:val="en-US"/>
        </w:rPr>
        <w:footnoteRef/>
      </w:r>
      <w:r w:rsidRPr="006C2F5A">
        <w:rPr>
          <w:lang w:val="en-US"/>
        </w:rPr>
        <w:t xml:space="preserve"> GEF IEO, 2026, </w:t>
      </w:r>
      <w:hyperlink r:id="rId108" w:history="1">
        <w:r w:rsidRPr="006C2F5A">
          <w:rPr>
            <w:rStyle w:val="Hyperlink"/>
            <w:i/>
            <w:lang w:val="en-US"/>
          </w:rPr>
          <w:t>Second Formative Evaluation of the Global Biodiversity Framework Fund</w:t>
        </w:r>
      </w:hyperlink>
      <w:r w:rsidRPr="006C2F5A">
        <w:rPr>
          <w:lang w:val="en-US"/>
        </w:rPr>
        <w:t xml:space="preserve">, </w:t>
      </w:r>
      <w:r w:rsidR="00966C17">
        <w:rPr>
          <w:lang w:val="en-US"/>
        </w:rPr>
        <w:t>document du Conseil</w:t>
      </w:r>
      <w:r w:rsidR="00CA0589">
        <w:rPr>
          <w:lang w:val="en-US"/>
        </w:rPr>
        <w:t>,</w:t>
      </w:r>
      <w:r w:rsidRPr="006C2F5A">
        <w:rPr>
          <w:lang w:val="en-US"/>
        </w:rPr>
        <w:t xml:space="preserve"> GEF/GBFF/E/C.06/01.</w:t>
      </w:r>
    </w:p>
  </w:footnote>
  <w:footnote w:id="148">
    <w:p w14:paraId="378868DB" w14:textId="0BE172B1" w:rsidR="00325F7A" w:rsidRPr="006C2F5A" w:rsidRDefault="00325F7A" w:rsidP="000247FC">
      <w:pPr>
        <w:pStyle w:val="FootnoteText"/>
        <w:rPr>
          <w:lang w:val="en-US"/>
        </w:rPr>
      </w:pPr>
      <w:r>
        <w:rPr>
          <w:rStyle w:val="FootnoteReference"/>
          <w:lang w:val="en-US"/>
        </w:rPr>
        <w:footnoteRef/>
      </w:r>
      <w:r w:rsidRPr="006C2F5A">
        <w:rPr>
          <w:lang w:val="en-US"/>
        </w:rPr>
        <w:t xml:space="preserve"> GEF, 2026, </w:t>
      </w:r>
      <w:hyperlink r:id="rId109" w:history="1">
        <w:r w:rsidRPr="006C2F5A">
          <w:rPr>
            <w:rStyle w:val="Hyperlink"/>
            <w:i/>
            <w:lang w:val="en-US"/>
          </w:rPr>
          <w:t>Management Response to Second Formative Evaluation of the Global Biodiversity Framework Fund</w:t>
        </w:r>
      </w:hyperlink>
      <w:r w:rsidRPr="006C2F5A">
        <w:rPr>
          <w:i/>
          <w:lang w:val="en-US"/>
        </w:rPr>
        <w:t xml:space="preserve">, </w:t>
      </w:r>
      <w:r w:rsidR="000E1805">
        <w:rPr>
          <w:lang w:val="en-US"/>
        </w:rPr>
        <w:t>d</w:t>
      </w:r>
      <w:r w:rsidR="00966C17">
        <w:rPr>
          <w:lang w:val="en-US"/>
        </w:rPr>
        <w:t>ocument du Conseil</w:t>
      </w:r>
      <w:r w:rsidRPr="006C2F5A">
        <w:rPr>
          <w:lang w:val="en-US"/>
        </w:rPr>
        <w:t xml:space="preserve"> GEF/GBFF.06/07</w:t>
      </w:r>
    </w:p>
  </w:footnote>
  <w:footnote w:id="149">
    <w:p w14:paraId="734BBB00" w14:textId="77777777" w:rsidR="00EC6E00" w:rsidRPr="00C67737" w:rsidRDefault="00EC6E00" w:rsidP="000247FC">
      <w:pPr>
        <w:pStyle w:val="FootnoteText"/>
      </w:pPr>
      <w:r>
        <w:rPr>
          <w:rStyle w:val="FootnoteReference"/>
          <w:lang w:val="en-US"/>
        </w:rPr>
        <w:footnoteRef/>
      </w:r>
      <w:r>
        <w:t xml:space="preserve"> Nations Unies, </w:t>
      </w:r>
      <w:r>
        <w:rPr>
          <w:i/>
          <w:iCs/>
        </w:rPr>
        <w:t>Recueil des Traités</w:t>
      </w:r>
      <w:r>
        <w:t>, vol. 2226, no 30619.</w:t>
      </w:r>
    </w:p>
  </w:footnote>
  <w:footnote w:id="150">
    <w:p w14:paraId="3B51DDF8" w14:textId="77777777" w:rsidR="00EC6E00" w:rsidRPr="00C67737" w:rsidRDefault="00EC6E00" w:rsidP="000247FC">
      <w:pPr>
        <w:pStyle w:val="FootnoteText"/>
      </w:pPr>
      <w:r>
        <w:rPr>
          <w:rStyle w:val="FootnoteReference"/>
          <w:lang w:val="en-US"/>
        </w:rPr>
        <w:footnoteRef/>
      </w:r>
      <w:r>
        <w:t xml:space="preserve"> Décision </w:t>
      </w:r>
      <w:hyperlink r:id="rId110" w:history="1">
        <w:r>
          <w:rPr>
            <w:rStyle w:val="Hyperlink"/>
          </w:rPr>
          <w:t>CP-10/3</w:t>
        </w:r>
      </w:hyperlink>
      <w:r>
        <w:t>, annexe.</w:t>
      </w:r>
    </w:p>
  </w:footnote>
  <w:footnote w:id="151">
    <w:p w14:paraId="4EBD4D62" w14:textId="77777777" w:rsidR="00EC6E00" w:rsidRPr="00C67737" w:rsidRDefault="00EC6E00" w:rsidP="000247FC">
      <w:pPr>
        <w:pStyle w:val="FootnoteText"/>
      </w:pPr>
      <w:r>
        <w:rPr>
          <w:rStyle w:val="FootnoteReference"/>
          <w:lang w:val="en-US"/>
        </w:rPr>
        <w:footnoteRef/>
      </w:r>
      <w:r>
        <w:t xml:space="preserve"> Décision </w:t>
      </w:r>
      <w:hyperlink r:id="rId111" w:history="1">
        <w:r>
          <w:rPr>
            <w:rStyle w:val="Hyperlink"/>
          </w:rPr>
          <w:t>CP-10/4</w:t>
        </w:r>
      </w:hyperlink>
      <w:r>
        <w:t>, annexe.</w:t>
      </w:r>
    </w:p>
  </w:footnote>
  <w:footnote w:id="152">
    <w:p w14:paraId="508707C6" w14:textId="230287E3" w:rsidR="00D915C9" w:rsidRPr="00C67737" w:rsidRDefault="00D915C9" w:rsidP="000247FC">
      <w:pPr>
        <w:pStyle w:val="FootnoteText"/>
      </w:pPr>
      <w:r>
        <w:rPr>
          <w:rStyle w:val="FootnoteReference"/>
          <w:lang w:val="en-US"/>
        </w:rPr>
        <w:footnoteRef/>
      </w:r>
      <w:r>
        <w:t xml:space="preserve"> GEF, 2026,</w:t>
      </w:r>
      <w:hyperlink r:id="rId112" w:history="1">
        <w:r>
          <w:rPr>
            <w:rStyle w:val="Hyperlink"/>
            <w:i/>
          </w:rPr>
          <w:t xml:space="preserve"> GEF-9 </w:t>
        </w:r>
        <w:proofErr w:type="spellStart"/>
        <w:r>
          <w:rPr>
            <w:rStyle w:val="Hyperlink"/>
            <w:i/>
          </w:rPr>
          <w:t>Programming</w:t>
        </w:r>
        <w:proofErr w:type="spellEnd"/>
        <w:r>
          <w:rPr>
            <w:rStyle w:val="Hyperlink"/>
            <w:i/>
          </w:rPr>
          <w:t xml:space="preserve"> Directions</w:t>
        </w:r>
      </w:hyperlink>
      <w:r>
        <w:t>.</w:t>
      </w:r>
    </w:p>
  </w:footnote>
  <w:footnote w:id="153">
    <w:p w14:paraId="6510DF1C" w14:textId="77777777" w:rsidR="005E540F" w:rsidRPr="00C67737" w:rsidRDefault="005E540F" w:rsidP="000247FC">
      <w:pPr>
        <w:pStyle w:val="FootnoteText"/>
      </w:pPr>
      <w:r>
        <w:rPr>
          <w:rStyle w:val="FootnoteReference"/>
          <w:lang w:val="en-US"/>
        </w:rPr>
        <w:footnoteRef/>
      </w:r>
      <w:r>
        <w:t xml:space="preserve"> Nations Unies, </w:t>
      </w:r>
      <w:r>
        <w:rPr>
          <w:i/>
          <w:iCs/>
        </w:rPr>
        <w:t>Recueil des Traités</w:t>
      </w:r>
      <w:r>
        <w:t>, vol. 3008, no 30619.</w:t>
      </w:r>
    </w:p>
  </w:footnote>
  <w:footnote w:id="154">
    <w:p w14:paraId="534C1022" w14:textId="77777777" w:rsidR="005E540F" w:rsidRPr="00FD0A55" w:rsidRDefault="005E540F" w:rsidP="000247FC">
      <w:pPr>
        <w:pStyle w:val="FootnoteText"/>
        <w:rPr>
          <w:lang w:val="en-US"/>
        </w:rPr>
      </w:pPr>
      <w:r>
        <w:rPr>
          <w:rStyle w:val="FootnoteReference"/>
          <w:lang w:val="en-US"/>
        </w:rPr>
        <w:footnoteRef/>
      </w:r>
      <w:r w:rsidRPr="00FD0A55">
        <w:rPr>
          <w:lang w:val="en-US"/>
        </w:rPr>
        <w:t xml:space="preserve"> </w:t>
      </w:r>
      <w:proofErr w:type="spellStart"/>
      <w:r w:rsidRPr="00FD0A55">
        <w:rPr>
          <w:lang w:val="en-US"/>
        </w:rPr>
        <w:t>Décision</w:t>
      </w:r>
      <w:proofErr w:type="spellEnd"/>
      <w:r w:rsidRPr="00FD0A55">
        <w:rPr>
          <w:lang w:val="en-US"/>
        </w:rPr>
        <w:t xml:space="preserve"> </w:t>
      </w:r>
      <w:hyperlink r:id="rId113" w:history="1">
        <w:r w:rsidRPr="00FD0A55">
          <w:rPr>
            <w:rStyle w:val="Hyperlink"/>
            <w:lang w:val="en-US"/>
          </w:rPr>
          <w:t>NP-5/3</w:t>
        </w:r>
      </w:hyperlink>
      <w:r w:rsidRPr="00FD0A55">
        <w:rPr>
          <w:lang w:val="en-US"/>
        </w:rPr>
        <w:t xml:space="preserve">, </w:t>
      </w:r>
      <w:proofErr w:type="spellStart"/>
      <w:r w:rsidRPr="00FD0A55">
        <w:rPr>
          <w:lang w:val="en-US"/>
        </w:rPr>
        <w:t>annexe</w:t>
      </w:r>
      <w:proofErr w:type="spellEnd"/>
      <w:r w:rsidRPr="00FD0A55">
        <w:rPr>
          <w:lang w:val="en-US"/>
        </w:rPr>
        <w:t>.</w:t>
      </w:r>
    </w:p>
  </w:footnote>
  <w:footnote w:id="155">
    <w:p w14:paraId="48740105" w14:textId="6CF8AF0A" w:rsidR="00735381" w:rsidRPr="00FD0A55" w:rsidRDefault="00735381" w:rsidP="000247FC">
      <w:pPr>
        <w:pStyle w:val="FootnoteText"/>
        <w:rPr>
          <w:lang w:val="en-US"/>
        </w:rPr>
      </w:pPr>
      <w:r>
        <w:rPr>
          <w:rStyle w:val="FootnoteReference"/>
          <w:lang w:val="en-US"/>
        </w:rPr>
        <w:footnoteRef/>
      </w:r>
      <w:r w:rsidRPr="00FD0A55">
        <w:rPr>
          <w:lang w:val="en-US"/>
        </w:rPr>
        <w:t xml:space="preserve"> GEF, 2026,</w:t>
      </w:r>
      <w:hyperlink r:id="rId114" w:history="1">
        <w:r w:rsidRPr="00FD0A55">
          <w:rPr>
            <w:rStyle w:val="Hyperlink"/>
            <w:i/>
            <w:lang w:val="en-US"/>
          </w:rPr>
          <w:t xml:space="preserve"> GEF-9 Programming Directions</w:t>
        </w:r>
      </w:hyperlink>
      <w:r w:rsidRPr="00FD0A55">
        <w:rPr>
          <w:lang w:val="en-US"/>
        </w:rPr>
        <w:t>.</w:t>
      </w:r>
    </w:p>
  </w:footnote>
  <w:footnote w:id="156">
    <w:p w14:paraId="34DBB0E3" w14:textId="77777777" w:rsidR="00C0269A" w:rsidRPr="00C67737" w:rsidRDefault="00C0269A" w:rsidP="00C0269A">
      <w:pPr>
        <w:pStyle w:val="FootnoteText"/>
        <w:rPr>
          <w:lang w:val="en-US"/>
        </w:rPr>
      </w:pPr>
      <w:r w:rsidRPr="00C67737">
        <w:rPr>
          <w:rStyle w:val="FootnoteReference"/>
          <w:lang w:val="en-US"/>
        </w:rPr>
        <w:footnoteRef/>
      </w:r>
      <w:r w:rsidRPr="00C67737">
        <w:rPr>
          <w:lang w:val="en-US"/>
        </w:rPr>
        <w:t xml:space="preserve"> This column clarifies which fund(s) within the GEF Family of Funds is supporting the listed projects, which may include the GEF Trust Fund (GET), the Global Biodiversity Framework Fund (GBFF), the Special Climate Change Fund (SCCF)</w:t>
      </w:r>
      <w:proofErr w:type="gramStart"/>
      <w:r w:rsidRPr="00C67737">
        <w:rPr>
          <w:lang w:val="en-US"/>
        </w:rPr>
        <w:t>, the</w:t>
      </w:r>
      <w:proofErr w:type="gramEnd"/>
      <w:r w:rsidRPr="00C67737">
        <w:rPr>
          <w:lang w:val="en-US"/>
        </w:rPr>
        <w:t xml:space="preserve"> Least Developed Countries Fund (LDCF). MTF stands for Multi-Trust Fund and corresponds to project supported by multiple funds.</w:t>
      </w:r>
    </w:p>
  </w:footnote>
  <w:footnote w:id="157">
    <w:p w14:paraId="6B1DC1A4" w14:textId="77777777" w:rsidR="00C0269A" w:rsidRPr="00C67737" w:rsidRDefault="00C0269A" w:rsidP="00C0269A">
      <w:pPr>
        <w:pStyle w:val="FootnoteText"/>
        <w:rPr>
          <w:lang w:val="en-US"/>
        </w:rPr>
      </w:pPr>
      <w:r w:rsidRPr="00C67737">
        <w:rPr>
          <w:rStyle w:val="FootnoteReference"/>
          <w:lang w:val="en-US"/>
        </w:rPr>
        <w:footnoteRef/>
      </w:r>
      <w:r w:rsidRPr="00C67737">
        <w:rPr>
          <w:lang w:val="en-US"/>
        </w:rPr>
        <w:t xml:space="preserve"> This column provides the type of project among GBFF for projects using the single-modality, streamlined GBFF project cycle, and for other funds: Full-sized projects (FSP, above $5 million of GEF project financing) or medium-sized projects (MSP, up to $5 million of GEF project financing). PFD corresponds to Program Framework Document, which is the document describing programs that are composed of multiple child projects (Child MSPs or Child FSPs).  </w:t>
      </w:r>
    </w:p>
  </w:footnote>
  <w:footnote w:id="158">
    <w:p w14:paraId="682B6A89" w14:textId="77777777" w:rsidR="001371C7" w:rsidRPr="002E17EA" w:rsidRDefault="001371C7" w:rsidP="001371C7">
      <w:pPr>
        <w:pStyle w:val="FootnoteText"/>
        <w:rPr>
          <w:lang w:val="en-US"/>
        </w:rPr>
      </w:pPr>
      <w:r>
        <w:rPr>
          <w:rStyle w:val="FootnoteReference"/>
        </w:rPr>
        <w:footnoteRef/>
      </w:r>
      <w:r w:rsidRPr="00366492">
        <w:rPr>
          <w:lang w:val="en-US"/>
        </w:rPr>
        <w:t xml:space="preserve"> Under UNDP financial reporting procedures, expenditure figures may change until the Combined Delivery Report (CDR) is finalized and signed in June of the following year, reflecting normal accounting, reconciliation and IPSAS compliance processes.</w:t>
      </w:r>
    </w:p>
  </w:footnote>
  <w:footnote w:id="159">
    <w:p w14:paraId="5C7D1BF1" w14:textId="77777777" w:rsidR="00065E3F" w:rsidRPr="00C67737" w:rsidRDefault="00065E3F" w:rsidP="00065E3F">
      <w:pPr>
        <w:pStyle w:val="FootnoteText"/>
        <w:rPr>
          <w:lang w:val="en-US"/>
        </w:rPr>
      </w:pPr>
      <w:r w:rsidRPr="00C67737">
        <w:rPr>
          <w:rStyle w:val="FootnoteReference"/>
          <w:lang w:val="en-US"/>
        </w:rPr>
        <w:footnoteRef/>
      </w:r>
      <w:r w:rsidRPr="00C67737">
        <w:rPr>
          <w:lang w:val="en-US"/>
        </w:rPr>
        <w:t xml:space="preserve"> Exclusive of agency fees and inclusive of project management costs</w:t>
      </w:r>
    </w:p>
  </w:footnote>
  <w:footnote w:id="160">
    <w:p w14:paraId="46A5E14A" w14:textId="77777777" w:rsidR="00065E3F" w:rsidRPr="00C67737" w:rsidRDefault="00065E3F" w:rsidP="00065E3F">
      <w:pPr>
        <w:pStyle w:val="FootnoteText"/>
        <w:rPr>
          <w:lang w:val="en-US"/>
        </w:rPr>
      </w:pPr>
      <w:r w:rsidRPr="00C67737">
        <w:rPr>
          <w:rStyle w:val="FootnoteReference"/>
          <w:lang w:val="en-US"/>
        </w:rPr>
        <w:footnoteRef/>
      </w:r>
      <w:r w:rsidRPr="00C67737">
        <w:rPr>
          <w:lang w:val="en-US"/>
        </w:rPr>
        <w:t xml:space="preserve"> </w:t>
      </w:r>
      <w:r w:rsidRPr="00C67737">
        <w:rPr>
          <w:szCs w:val="18"/>
          <w:lang w:val="en-US"/>
        </w:rPr>
        <w:t>Amount exclusive of Direct Project Costs ($14,000 per country) associated with UNDP’s implementation modality.</w:t>
      </w:r>
    </w:p>
  </w:footnote>
  <w:footnote w:id="161">
    <w:p w14:paraId="73ECA8CF" w14:textId="77777777" w:rsidR="00D10503" w:rsidRPr="00C67737" w:rsidRDefault="00D10503" w:rsidP="00D10503">
      <w:pPr>
        <w:pStyle w:val="FootnoteText"/>
        <w:rPr>
          <w:lang w:val="en-US"/>
        </w:rPr>
      </w:pPr>
      <w:r w:rsidRPr="00C67737">
        <w:rPr>
          <w:rStyle w:val="FootnoteReference"/>
          <w:lang w:val="en-US"/>
        </w:rPr>
        <w:footnoteRef/>
      </w:r>
      <w:r w:rsidRPr="00C67737">
        <w:rPr>
          <w:lang w:val="en-US"/>
        </w:rPr>
        <w:t xml:space="preserve"> </w:t>
      </w:r>
      <w:r w:rsidRPr="00C67737">
        <w:rPr>
          <w:szCs w:val="18"/>
          <w:lang w:val="en-US"/>
        </w:rPr>
        <w:t>Exclusive of agency fees and inclusive of project management costs.</w:t>
      </w:r>
    </w:p>
  </w:footnote>
  <w:footnote w:id="162">
    <w:p w14:paraId="5915066F" w14:textId="77777777" w:rsidR="00D10503" w:rsidRPr="00C67737" w:rsidRDefault="00D10503" w:rsidP="00D10503">
      <w:pPr>
        <w:pStyle w:val="FootnoteText"/>
        <w:rPr>
          <w:lang w:val="en-US"/>
        </w:rPr>
      </w:pPr>
      <w:r w:rsidRPr="00C67737">
        <w:rPr>
          <w:rStyle w:val="FootnoteReference"/>
          <w:lang w:val="en-US"/>
        </w:rPr>
        <w:footnoteRef/>
      </w:r>
      <w:r w:rsidRPr="00C67737">
        <w:rPr>
          <w:lang w:val="en-US"/>
        </w:rPr>
        <w:t xml:space="preserve"> </w:t>
      </w:r>
      <w:proofErr w:type="gramStart"/>
      <w:r w:rsidRPr="00C67737">
        <w:rPr>
          <w:lang w:val="en-US"/>
        </w:rPr>
        <w:t>Amount exclusive</w:t>
      </w:r>
      <w:proofErr w:type="gramEnd"/>
      <w:r w:rsidRPr="00C67737">
        <w:rPr>
          <w:lang w:val="en-US"/>
        </w:rPr>
        <w:t xml:space="preserve"> of Project Management Costs (PMC). </w:t>
      </w:r>
      <w:r w:rsidRPr="00C67737">
        <w:rPr>
          <w:szCs w:val="18"/>
          <w:lang w:val="en-US"/>
        </w:rPr>
        <w:t xml:space="preserve">75% of the cumulative PMC </w:t>
      </w:r>
      <w:proofErr w:type="gramStart"/>
      <w:r w:rsidRPr="00C67737">
        <w:rPr>
          <w:szCs w:val="18"/>
          <w:lang w:val="en-US"/>
        </w:rPr>
        <w:t>totaling to</w:t>
      </w:r>
      <w:proofErr w:type="gramEnd"/>
      <w:r w:rsidRPr="00C67737">
        <w:rPr>
          <w:szCs w:val="18"/>
          <w:lang w:val="en-US"/>
        </w:rPr>
        <w:t xml:space="preserve"> $1,370,142.66 has been expended. The remaining 25% will be expended within the extended period and during closure of the project.</w:t>
      </w:r>
    </w:p>
  </w:footnote>
  <w:footnote w:id="163">
    <w:p w14:paraId="16A4A645" w14:textId="77777777" w:rsidR="00D10503" w:rsidRPr="00C67737" w:rsidRDefault="00D10503" w:rsidP="00D10503">
      <w:pPr>
        <w:pStyle w:val="FootnoteText"/>
        <w:rPr>
          <w:lang w:val="en-US"/>
        </w:rPr>
      </w:pPr>
      <w:r w:rsidRPr="00C67737">
        <w:rPr>
          <w:rStyle w:val="FootnoteReference"/>
          <w:lang w:val="en-US"/>
        </w:rPr>
        <w:footnoteRef/>
      </w:r>
      <w:r w:rsidRPr="00C67737">
        <w:rPr>
          <w:lang w:val="en-US"/>
        </w:rPr>
        <w:t xml:space="preserve"> </w:t>
      </w:r>
      <w:r w:rsidRPr="00C67737">
        <w:rPr>
          <w:szCs w:val="18"/>
          <w:lang w:val="en-US"/>
        </w:rPr>
        <w:t>The expenditure rating is based on the total country's approved budget. Country expenditure rating marked as 0.0% means that no expenditures have been reported by the country for UNEP recording.</w:t>
      </w:r>
      <w:r w:rsidRPr="00C67737">
        <w:rPr>
          <w:lang w:val="en-US"/>
        </w:rPr>
        <w:t xml:space="preserve"> </w:t>
      </w:r>
      <w:r w:rsidRPr="00C67737">
        <w:rPr>
          <w:szCs w:val="18"/>
          <w:lang w:val="en-US"/>
        </w:rPr>
        <w:t xml:space="preserve">Per the agreement between UNEP and countries, 5% of total funds is retained and released upon submission and review of final financial, technical, and audit reports. A few countries are thus reported to have spent 5% more than they </w:t>
      </w:r>
      <w:proofErr w:type="gramStart"/>
      <w:r w:rsidRPr="00C67737">
        <w:rPr>
          <w:szCs w:val="18"/>
          <w:lang w:val="en-US"/>
        </w:rPr>
        <w:t>already</w:t>
      </w:r>
      <w:proofErr w:type="gramEnd"/>
      <w:r w:rsidRPr="00C67737">
        <w:rPr>
          <w:szCs w:val="18"/>
          <w:lang w:val="en-US"/>
        </w:rPr>
        <w:t xml:space="preserve"> received, because they have submitted their final expenditure reports and requested for release of the remaining tranche, which UNEP was processing at the time of reporting.</w:t>
      </w:r>
    </w:p>
  </w:footnote>
  <w:footnote w:id="164">
    <w:p w14:paraId="458B65A8" w14:textId="77777777" w:rsidR="00D10503" w:rsidRPr="00C67737" w:rsidRDefault="00D10503" w:rsidP="00D10503">
      <w:pPr>
        <w:pStyle w:val="FootnoteText"/>
        <w:rPr>
          <w:lang w:val="en-US"/>
        </w:rPr>
      </w:pPr>
      <w:r w:rsidRPr="00C67737">
        <w:rPr>
          <w:rStyle w:val="FootnoteReference"/>
          <w:lang w:val="en-US"/>
        </w:rPr>
        <w:footnoteRef/>
      </w:r>
      <w:r w:rsidRPr="00C67737">
        <w:rPr>
          <w:lang w:val="en-US"/>
        </w:rPr>
        <w:t xml:space="preserve"> </w:t>
      </w:r>
      <w:r w:rsidRPr="00C67737">
        <w:rPr>
          <w:szCs w:val="18"/>
          <w:lang w:val="en-US"/>
        </w:rPr>
        <w:t>Under the “Date of submission to CBD of national biodiversity target” column, ESD means Expected Submission Date.</w:t>
      </w:r>
    </w:p>
  </w:footnote>
  <w:footnote w:id="165">
    <w:p w14:paraId="0FC7A78A" w14:textId="77777777" w:rsidR="00D10503" w:rsidRPr="00C67737" w:rsidRDefault="00D10503" w:rsidP="00D10503">
      <w:pPr>
        <w:pStyle w:val="FootnoteText"/>
        <w:rPr>
          <w:lang w:val="en-US"/>
        </w:rPr>
      </w:pPr>
      <w:r w:rsidRPr="00C67737">
        <w:rPr>
          <w:rStyle w:val="FootnoteReference"/>
          <w:lang w:val="en-US"/>
        </w:rPr>
        <w:footnoteRef/>
      </w:r>
      <w:r w:rsidRPr="00C67737">
        <w:rPr>
          <w:lang w:val="en-US"/>
        </w:rPr>
        <w:t xml:space="preserve"> </w:t>
      </w:r>
      <w:r w:rsidRPr="00C67737">
        <w:rPr>
          <w:szCs w:val="18"/>
          <w:lang w:val="en-US"/>
        </w:rPr>
        <w:t>Where reports are still to be received or revised before a full status update can be provided, the status is listed as ‘UNEP following up on reporting requirements. In some instances, status information specific to an individual country is noted. Where information was made available by countries by 13 April 2026, the status of the two key project outputs – the updated NBSAP and 7th National Report, are listed for each country.</w:t>
      </w:r>
    </w:p>
  </w:footnote>
  <w:footnote w:id="166">
    <w:p w14:paraId="0277F8C7" w14:textId="77777777" w:rsidR="00EB7D85" w:rsidRPr="00DB2AD1" w:rsidRDefault="00EB7D85" w:rsidP="00EB7D85">
      <w:pPr>
        <w:pStyle w:val="FootnoteText"/>
        <w:rPr>
          <w:lang w:val="en-US"/>
        </w:rPr>
      </w:pPr>
      <w:r>
        <w:rPr>
          <w:rStyle w:val="FootnoteReference"/>
        </w:rPr>
        <w:footnoteRef/>
      </w:r>
      <w:r w:rsidRPr="00EB7D85">
        <w:rPr>
          <w:lang w:val="en-US"/>
        </w:rPr>
        <w:t xml:space="preserve"> Under UNDP financial reporting procedures, expenditure figures may change until the Combined Delivery Report (CDR) is finalized and signed in June of the following year, reflecting normal accounting, reconciliation and IPSAS compliance processes.</w:t>
      </w:r>
    </w:p>
  </w:footnote>
  <w:footnote w:id="167">
    <w:p w14:paraId="1923904C" w14:textId="77777777" w:rsidR="00FF164B" w:rsidRPr="00C67737" w:rsidRDefault="00FF164B" w:rsidP="00FF164B">
      <w:pPr>
        <w:pStyle w:val="FootnoteText"/>
        <w:rPr>
          <w:lang w:val="en-US"/>
        </w:rPr>
      </w:pPr>
      <w:r w:rsidRPr="00C67737">
        <w:rPr>
          <w:rStyle w:val="FootnoteReference"/>
          <w:lang w:val="en-US"/>
        </w:rPr>
        <w:footnoteRef/>
      </w:r>
      <w:r w:rsidRPr="00C67737">
        <w:rPr>
          <w:lang w:val="en-US"/>
        </w:rPr>
        <w:t xml:space="preserve"> </w:t>
      </w:r>
      <w:r w:rsidRPr="00C67737">
        <w:rPr>
          <w:szCs w:val="18"/>
          <w:lang w:val="en-US"/>
        </w:rPr>
        <w:t>Amount exclusive of Direct Project Costs ($ 20,000 per country) associated with UNDP’s implementation modality.</w:t>
      </w:r>
    </w:p>
  </w:footnote>
  <w:footnote w:id="168">
    <w:p w14:paraId="7358DB66" w14:textId="77777777" w:rsidR="005B0ADB" w:rsidRPr="00C67737" w:rsidRDefault="005B0ADB" w:rsidP="005B0ADB">
      <w:pPr>
        <w:pStyle w:val="FootnoteText"/>
        <w:rPr>
          <w:lang w:val="en-US"/>
        </w:rPr>
      </w:pPr>
      <w:r w:rsidRPr="00C67737">
        <w:rPr>
          <w:rStyle w:val="FootnoteReference"/>
          <w:lang w:val="en-US"/>
        </w:rPr>
        <w:footnoteRef/>
      </w:r>
      <w:r w:rsidRPr="00C67737">
        <w:rPr>
          <w:lang w:val="en-US"/>
        </w:rPr>
        <w:t xml:space="preserve"> </w:t>
      </w:r>
      <w:r w:rsidRPr="00C67737">
        <w:rPr>
          <w:szCs w:val="18"/>
          <w:lang w:val="en-US"/>
        </w:rPr>
        <w:t xml:space="preserve">27% of the cumulative PCM </w:t>
      </w:r>
      <w:proofErr w:type="gramStart"/>
      <w:r w:rsidRPr="00C67737">
        <w:rPr>
          <w:szCs w:val="18"/>
          <w:lang w:val="en-US"/>
        </w:rPr>
        <w:t>totaling to</w:t>
      </w:r>
      <w:proofErr w:type="gramEnd"/>
      <w:r w:rsidRPr="00C67737">
        <w:rPr>
          <w:szCs w:val="18"/>
          <w:lang w:val="en-US"/>
        </w:rPr>
        <w:t xml:space="preserve"> $1,735,000 has been expended. The remaining 73% will be expended within the remaining project period.</w:t>
      </w:r>
    </w:p>
  </w:footnote>
  <w:footnote w:id="169">
    <w:p w14:paraId="32E5D586" w14:textId="77777777" w:rsidR="005B0ADB" w:rsidRPr="00C67737" w:rsidRDefault="005B0ADB" w:rsidP="005B0ADB">
      <w:pPr>
        <w:pStyle w:val="FootnoteText"/>
        <w:rPr>
          <w:lang w:val="en-US"/>
        </w:rPr>
      </w:pPr>
      <w:r w:rsidRPr="00C67737">
        <w:rPr>
          <w:rStyle w:val="FootnoteReference"/>
          <w:lang w:val="en-US"/>
        </w:rPr>
        <w:footnoteRef/>
      </w:r>
      <w:r w:rsidRPr="00C67737">
        <w:rPr>
          <w:lang w:val="en-US"/>
        </w:rPr>
        <w:t xml:space="preserve"> UNEP disburses in installments. This column shows the amount disbursed to the country as of June 15, 2026.</w:t>
      </w:r>
    </w:p>
  </w:footnote>
  <w:footnote w:id="170">
    <w:p w14:paraId="363D427B" w14:textId="77777777" w:rsidR="005B0ADB" w:rsidRPr="00C67737" w:rsidRDefault="005B0ADB" w:rsidP="005B0ADB">
      <w:pPr>
        <w:pStyle w:val="FootnoteText"/>
        <w:rPr>
          <w:lang w:val="en-US"/>
        </w:rPr>
      </w:pPr>
      <w:r w:rsidRPr="00C67737">
        <w:rPr>
          <w:rStyle w:val="FootnoteReference"/>
          <w:lang w:val="en-US"/>
        </w:rPr>
        <w:footnoteRef/>
      </w:r>
      <w:r w:rsidRPr="00C67737">
        <w:rPr>
          <w:lang w:val="en-US"/>
        </w:rPr>
        <w:t xml:space="preserve"> </w:t>
      </w:r>
      <w:r w:rsidRPr="00C67737">
        <w:rPr>
          <w:szCs w:val="18"/>
          <w:lang w:val="en-US"/>
        </w:rPr>
        <w:t xml:space="preserve">Expenditure rating is based on the total country approved budget. Country expenditure rating marked as 0.0% means that no expenditures have been reported by the country for UNEP recording. A few countries are thus reported to have spent 5% more than they </w:t>
      </w:r>
      <w:proofErr w:type="gramStart"/>
      <w:r w:rsidRPr="00C67737">
        <w:rPr>
          <w:szCs w:val="18"/>
          <w:lang w:val="en-US"/>
        </w:rPr>
        <w:t>already</w:t>
      </w:r>
      <w:proofErr w:type="gramEnd"/>
      <w:r w:rsidRPr="00C67737">
        <w:rPr>
          <w:szCs w:val="18"/>
          <w:lang w:val="en-US"/>
        </w:rPr>
        <w:t xml:space="preserve"> received, because they have submitted their final expenditure reports and requested for release of the remaining tranche, which UNEP was processing at the time of reporting.</w:t>
      </w:r>
    </w:p>
  </w:footnote>
  <w:footnote w:id="171">
    <w:p w14:paraId="672C497D" w14:textId="77777777" w:rsidR="005B0ADB" w:rsidRPr="00C67737" w:rsidRDefault="005B0ADB" w:rsidP="005B0ADB">
      <w:pPr>
        <w:pStyle w:val="FootnoteText"/>
        <w:rPr>
          <w:lang w:val="en-US"/>
        </w:rPr>
      </w:pPr>
      <w:r w:rsidRPr="00C67737">
        <w:rPr>
          <w:rStyle w:val="FootnoteReference"/>
          <w:lang w:val="en-US"/>
        </w:rPr>
        <w:footnoteRef/>
      </w:r>
      <w:r w:rsidRPr="00C67737">
        <w:rPr>
          <w:lang w:val="en-US"/>
        </w:rPr>
        <w:t xml:space="preserve"> </w:t>
      </w:r>
      <w:r w:rsidRPr="00C67737">
        <w:rPr>
          <w:szCs w:val="18"/>
          <w:lang w:val="en-US"/>
        </w:rPr>
        <w:t>In this column, ESD means Expected Submission Date.</w:t>
      </w:r>
    </w:p>
  </w:footnote>
  <w:footnote w:id="172">
    <w:p w14:paraId="290C3453" w14:textId="77777777" w:rsidR="005B0ADB" w:rsidRPr="00670408" w:rsidRDefault="005B0ADB" w:rsidP="005B0ADB">
      <w:pPr>
        <w:pStyle w:val="FootnoteText"/>
        <w:rPr>
          <w:lang w:val="en-US"/>
        </w:rPr>
      </w:pPr>
      <w:r w:rsidRPr="00C67737">
        <w:rPr>
          <w:rStyle w:val="FootnoteReference"/>
          <w:lang w:val="en-US"/>
        </w:rPr>
        <w:footnoteRef/>
      </w:r>
      <w:r w:rsidRPr="00C67737">
        <w:rPr>
          <w:lang w:val="en-US"/>
        </w:rPr>
        <w:t xml:space="preserve"> </w:t>
      </w:r>
      <w:r w:rsidRPr="00C67737">
        <w:rPr>
          <w:szCs w:val="18"/>
          <w:lang w:val="en-US"/>
        </w:rPr>
        <w:t>Where reports are still to be received or revised before a full status update can be provided, the status is listed as ‘UNEP following up on reporting requirements. In some instances, status information specific to an individual country is noted. Where information was made available by countries by 13 April 2026, the status of the two key project outputs – the updated NBSAP and 7th National Report, are listed for each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8D59C" w14:textId="752454BF" w:rsidR="00706219" w:rsidRPr="00706219" w:rsidRDefault="00706219" w:rsidP="00706219">
    <w:pPr>
      <w:pStyle w:val="Header"/>
      <w:pBdr>
        <w:bottom w:val="single" w:sz="4" w:space="1" w:color="auto"/>
      </w:pBdr>
      <w:rPr>
        <w:rFonts w:ascii="Times New Roman" w:hAnsi="Times New Roman" w:cs="Times New Roman"/>
        <w:sz w:val="20"/>
        <w:szCs w:val="20"/>
        <w:lang w:val="en-CA"/>
      </w:rPr>
    </w:pPr>
    <w:r w:rsidRPr="00F752A3">
      <w:rPr>
        <w:rFonts w:ascii="Times New Roman" w:hAnsi="Times New Roman" w:cs="Times New Roman"/>
        <w:sz w:val="20"/>
        <w:szCs w:val="20"/>
        <w:lang w:val="en-CA"/>
      </w:rPr>
      <w:t>CBD/COP/17/5/Add.1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68E3A" w14:textId="2BB6ED08" w:rsidR="007700D2" w:rsidRPr="00F752A3" w:rsidRDefault="00F752A3" w:rsidP="00706219">
    <w:pPr>
      <w:pStyle w:val="Header"/>
      <w:pBdr>
        <w:bottom w:val="single" w:sz="4" w:space="1" w:color="auto"/>
      </w:pBdr>
      <w:jc w:val="right"/>
      <w:rPr>
        <w:rFonts w:ascii="Times New Roman" w:hAnsi="Times New Roman" w:cs="Times New Roman"/>
        <w:sz w:val="20"/>
        <w:szCs w:val="20"/>
        <w:lang w:val="en-CA"/>
      </w:rPr>
    </w:pPr>
    <w:r w:rsidRPr="00F752A3">
      <w:rPr>
        <w:rFonts w:ascii="Times New Roman" w:hAnsi="Times New Roman" w:cs="Times New Roman"/>
        <w:sz w:val="20"/>
        <w:szCs w:val="20"/>
        <w:lang w:val="en-CA"/>
      </w:rPr>
      <w:t>CBD/COP/17/5/Add.1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D1BB" w14:textId="77777777" w:rsidR="00706219" w:rsidRDefault="007062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5ECF3" w14:textId="77777777" w:rsidR="002649CB" w:rsidRPr="00C67737" w:rsidRDefault="002649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4C2"/>
    <w:multiLevelType w:val="hybridMultilevel"/>
    <w:tmpl w:val="50FC2DCE"/>
    <w:lvl w:ilvl="0" w:tplc="33CC9EEE">
      <w:start w:val="1"/>
      <w:numFmt w:val="lowerLetter"/>
      <w:lvlText w:val="(%1)"/>
      <w:lvlJc w:val="left"/>
      <w:pPr>
        <w:ind w:left="810" w:hanging="360"/>
      </w:pPr>
      <w:rPr>
        <w:rFonts w:hint="default"/>
      </w:rPr>
    </w:lvl>
    <w:lvl w:ilvl="1" w:tplc="04090019" w:tentative="1">
      <w:start w:val="1"/>
      <w:numFmt w:val="lowerLetter"/>
      <w:pStyle w:val="astyle"/>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57B6101"/>
    <w:multiLevelType w:val="hybridMultilevel"/>
    <w:tmpl w:val="1FEAD54A"/>
    <w:lvl w:ilvl="0" w:tplc="58F6665E">
      <w:start w:val="1"/>
      <w:numFmt w:val="bullet"/>
      <w:pStyle w:val="BulletListat10mm"/>
      <w:lvlText w:val="•"/>
      <w:lvlJc w:val="left"/>
      <w:pPr>
        <w:tabs>
          <w:tab w:val="num" w:pos="227"/>
        </w:tabs>
      </w:pPr>
      <w:rPr>
        <w:rFonts w:ascii="Times New Roman" w:hAnsi="Times New Roman" w:cs="Times New Roman" w:hint="default"/>
      </w:rPr>
    </w:lvl>
    <w:lvl w:ilvl="1" w:tplc="977E6BAA">
      <w:start w:val="1"/>
      <w:numFmt w:val="bullet"/>
      <w:lvlText w:val="o"/>
      <w:lvlJc w:val="left"/>
      <w:pPr>
        <w:tabs>
          <w:tab w:val="num" w:pos="794"/>
        </w:tabs>
        <w:ind w:left="567"/>
      </w:pPr>
      <w:rPr>
        <w:rFonts w:ascii="Courier New" w:hAnsi="Courier New" w:cs="Courier New" w:hint="default"/>
        <w:position w:val="4"/>
        <w:sz w:val="24"/>
        <w:szCs w:val="24"/>
      </w:rPr>
    </w:lvl>
    <w:lvl w:ilvl="2" w:tplc="DC04214C">
      <w:start w:val="1"/>
      <w:numFmt w:val="bullet"/>
      <w:lvlText w:val=""/>
      <w:lvlJc w:val="left"/>
      <w:pPr>
        <w:tabs>
          <w:tab w:val="num" w:pos="1361"/>
        </w:tabs>
        <w:ind w:left="1134"/>
      </w:pPr>
      <w:rPr>
        <w:rFonts w:ascii="Wingdings" w:hAnsi="Wingdings" w:cs="Wingdings" w:hint="default"/>
      </w:rPr>
    </w:lvl>
    <w:lvl w:ilvl="3" w:tplc="AB5EDF32">
      <w:start w:val="1"/>
      <w:numFmt w:val="bullet"/>
      <w:lvlText w:val=""/>
      <w:lvlJc w:val="left"/>
      <w:pPr>
        <w:tabs>
          <w:tab w:val="num" w:pos="1928"/>
        </w:tabs>
        <w:ind w:left="1701"/>
      </w:pPr>
      <w:rPr>
        <w:rFonts w:ascii="Symbol" w:hAnsi="Symbol" w:cs="Symbol" w:hint="default"/>
      </w:rPr>
    </w:lvl>
    <w:lvl w:ilvl="4" w:tplc="01E88284">
      <w:start w:val="1"/>
      <w:numFmt w:val="bullet"/>
      <w:lvlText w:val="o"/>
      <w:lvlJc w:val="left"/>
      <w:pPr>
        <w:tabs>
          <w:tab w:val="num" w:pos="2495"/>
        </w:tabs>
        <w:ind w:left="2268"/>
      </w:pPr>
      <w:rPr>
        <w:rFonts w:ascii="Courier New" w:hAnsi="Courier New" w:cs="Courier New" w:hint="default"/>
      </w:rPr>
    </w:lvl>
    <w:lvl w:ilvl="5" w:tplc="7054BFE0">
      <w:start w:val="1"/>
      <w:numFmt w:val="bullet"/>
      <w:lvlText w:val=""/>
      <w:lvlJc w:val="left"/>
      <w:pPr>
        <w:tabs>
          <w:tab w:val="num" w:pos="3062"/>
        </w:tabs>
        <w:ind w:left="2835"/>
      </w:pPr>
      <w:rPr>
        <w:rFonts w:ascii="Wingdings" w:hAnsi="Wingdings" w:cs="Wingdings" w:hint="default"/>
      </w:rPr>
    </w:lvl>
    <w:lvl w:ilvl="6" w:tplc="84A4001A">
      <w:start w:val="1"/>
      <w:numFmt w:val="bullet"/>
      <w:lvlText w:val=""/>
      <w:lvlJc w:val="left"/>
      <w:pPr>
        <w:tabs>
          <w:tab w:val="num" w:pos="3629"/>
        </w:tabs>
        <w:ind w:left="3402"/>
      </w:pPr>
      <w:rPr>
        <w:rFonts w:ascii="Symbol" w:hAnsi="Symbol" w:cs="Symbol" w:hint="default"/>
      </w:rPr>
    </w:lvl>
    <w:lvl w:ilvl="7" w:tplc="611A92EC">
      <w:start w:val="1"/>
      <w:numFmt w:val="bullet"/>
      <w:lvlText w:val="o"/>
      <w:lvlJc w:val="left"/>
      <w:pPr>
        <w:tabs>
          <w:tab w:val="num" w:pos="4196"/>
        </w:tabs>
        <w:ind w:left="3969"/>
      </w:pPr>
      <w:rPr>
        <w:rFonts w:ascii="Courier New" w:hAnsi="Courier New" w:cs="Courier New" w:hint="default"/>
      </w:rPr>
    </w:lvl>
    <w:lvl w:ilvl="8" w:tplc="EB92CEC6">
      <w:start w:val="1"/>
      <w:numFmt w:val="bullet"/>
      <w:lvlText w:val=""/>
      <w:lvlJc w:val="left"/>
      <w:pPr>
        <w:tabs>
          <w:tab w:val="num" w:pos="4763"/>
        </w:tabs>
        <w:ind w:left="4536"/>
      </w:pPr>
      <w:rPr>
        <w:rFonts w:ascii="Wingdings" w:hAnsi="Wingdings" w:cs="Wingdings" w:hint="default"/>
      </w:rPr>
    </w:lvl>
  </w:abstractNum>
  <w:abstractNum w:abstractNumId="2" w15:restartNumberingAfterBreak="0">
    <w:nsid w:val="083E70B3"/>
    <w:multiLevelType w:val="hybridMultilevel"/>
    <w:tmpl w:val="9004655A"/>
    <w:lvl w:ilvl="0" w:tplc="844A8166">
      <w:start w:val="1"/>
      <w:numFmt w:val="decimal"/>
      <w:pStyle w:val="GEFNumPara"/>
      <w:lvlText w:val="%1."/>
      <w:lvlJc w:val="left"/>
      <w:pPr>
        <w:ind w:left="450" w:hanging="360"/>
      </w:pPr>
      <w:rPr>
        <w:b w:val="0"/>
        <w:lang w:val="en"/>
      </w:rPr>
    </w:lvl>
    <w:lvl w:ilvl="1" w:tplc="A6128C74">
      <w:start w:val="1"/>
      <w:numFmt w:val="lowerRoman"/>
      <w:lvlText w:val="(%2)"/>
      <w:lvlJc w:val="left"/>
      <w:pPr>
        <w:ind w:left="450" w:hanging="720"/>
      </w:pPr>
      <w:rPr>
        <w:rFonts w:hint="default"/>
      </w:rPr>
    </w:lvl>
    <w:lvl w:ilvl="2" w:tplc="0409001B">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3"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91BCC"/>
    <w:multiLevelType w:val="hybridMultilevel"/>
    <w:tmpl w:val="D4182FAE"/>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AAE62F6"/>
    <w:multiLevelType w:val="hybridMultilevel"/>
    <w:tmpl w:val="B406D432"/>
    <w:lvl w:ilvl="0" w:tplc="FFFFFFFF">
      <w:start w:val="1"/>
      <w:numFmt w:val="lowerLetter"/>
      <w:lvlText w:val="(%1)"/>
      <w:lvlJc w:val="left"/>
      <w:pPr>
        <w:ind w:left="1080" w:hanging="360"/>
      </w:pPr>
      <w:rPr>
        <w:rFonts w:hint="default"/>
        <w:b w:val="0"/>
        <w:i w:val="0"/>
        <w:color w:val="auto"/>
        <w:sz w:val="24"/>
      </w:rPr>
    </w:lvl>
    <w:lvl w:ilvl="1" w:tplc="FFFFFFFF">
      <w:start w:val="1"/>
      <w:numFmt w:val="lowerLetter"/>
      <w:pStyle w:val="sub-decision"/>
      <w:lvlText w:val="(%2)"/>
      <w:lvlJc w:val="left"/>
      <w:pPr>
        <w:ind w:left="720" w:hanging="360"/>
      </w:pPr>
      <w:rPr>
        <w:rFonts w:hint="default"/>
      </w:r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start w:val="1"/>
      <w:numFmt w:val="bullet"/>
      <w:lvlText w:val=""/>
      <w:lvlJc w:val="left"/>
      <w:pPr>
        <w:ind w:left="2880" w:hanging="360"/>
      </w:pPr>
      <w:rPr>
        <w:rFonts w:ascii="Wingdings" w:eastAsia="Calibri" w:hAnsi="Wingdings" w:cs="Times New Roman" w:hint="default"/>
      </w:r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6" w15:restartNumberingAfterBreak="0">
    <w:nsid w:val="119B0A68"/>
    <w:multiLevelType w:val="hybridMultilevel"/>
    <w:tmpl w:val="A62C839C"/>
    <w:lvl w:ilvl="0" w:tplc="409C19FE">
      <w:start w:val="1"/>
      <w:numFmt w:val="lowerLetter"/>
      <w:pStyle w:val="Style1"/>
      <w:lvlText w:val="(%1)"/>
      <w:lvlJc w:val="left"/>
      <w:pPr>
        <w:tabs>
          <w:tab w:val="num" w:pos="180"/>
        </w:tabs>
        <w:ind w:left="720" w:firstLine="0"/>
      </w:pPr>
      <w:rPr>
        <w:rFonts w:hint="default"/>
        <w:b w:val="0"/>
        <w:i w:val="0"/>
        <w:color w:val="auto"/>
        <w:position w:val="0"/>
        <w:sz w:val="24"/>
        <w:szCs w:val="24"/>
      </w:rPr>
    </w:lvl>
    <w:lvl w:ilvl="1" w:tplc="695E9E14">
      <w:start w:val="1"/>
      <w:numFmt w:val="lowerLetter"/>
      <w:lvlText w:val="%2."/>
      <w:lvlJc w:val="left"/>
      <w:pPr>
        <w:tabs>
          <w:tab w:val="num" w:pos="360"/>
        </w:tabs>
        <w:ind w:left="360" w:firstLine="1440"/>
      </w:pPr>
      <w:rPr>
        <w:rFonts w:hint="default"/>
        <w:color w:val="000000"/>
        <w:position w:val="0"/>
        <w:sz w:val="22"/>
      </w:rPr>
    </w:lvl>
    <w:lvl w:ilvl="2" w:tplc="D2BC0142">
      <w:start w:val="1"/>
      <w:numFmt w:val="lowerRoman"/>
      <w:lvlText w:val="%3."/>
      <w:lvlJc w:val="left"/>
      <w:pPr>
        <w:tabs>
          <w:tab w:val="num" w:pos="360"/>
        </w:tabs>
        <w:ind w:left="360" w:firstLine="2160"/>
      </w:pPr>
      <w:rPr>
        <w:rFonts w:hint="default"/>
        <w:color w:val="000000"/>
        <w:position w:val="0"/>
        <w:sz w:val="22"/>
      </w:rPr>
    </w:lvl>
    <w:lvl w:ilvl="3" w:tplc="ACC8EF4E">
      <w:start w:val="1"/>
      <w:numFmt w:val="decimal"/>
      <w:isLgl/>
      <w:lvlText w:val="%4."/>
      <w:lvlJc w:val="left"/>
      <w:pPr>
        <w:tabs>
          <w:tab w:val="num" w:pos="360"/>
        </w:tabs>
        <w:ind w:left="360" w:firstLine="2880"/>
      </w:pPr>
      <w:rPr>
        <w:rFonts w:hint="default"/>
        <w:color w:val="000000"/>
        <w:position w:val="0"/>
        <w:sz w:val="22"/>
      </w:rPr>
    </w:lvl>
    <w:lvl w:ilvl="4" w:tplc="28FC9602">
      <w:start w:val="1"/>
      <w:numFmt w:val="lowerLetter"/>
      <w:lvlText w:val="%5."/>
      <w:lvlJc w:val="left"/>
      <w:pPr>
        <w:tabs>
          <w:tab w:val="num" w:pos="360"/>
        </w:tabs>
        <w:ind w:left="360" w:firstLine="3600"/>
      </w:pPr>
      <w:rPr>
        <w:rFonts w:hint="default"/>
        <w:color w:val="000000"/>
        <w:position w:val="0"/>
        <w:sz w:val="22"/>
      </w:rPr>
    </w:lvl>
    <w:lvl w:ilvl="5" w:tplc="4568334A">
      <w:start w:val="1"/>
      <w:numFmt w:val="lowerRoman"/>
      <w:lvlText w:val="%6."/>
      <w:lvlJc w:val="left"/>
      <w:pPr>
        <w:tabs>
          <w:tab w:val="num" w:pos="360"/>
        </w:tabs>
        <w:ind w:left="360" w:firstLine="4320"/>
      </w:pPr>
      <w:rPr>
        <w:rFonts w:hint="default"/>
        <w:color w:val="000000"/>
        <w:position w:val="0"/>
        <w:sz w:val="22"/>
      </w:rPr>
    </w:lvl>
    <w:lvl w:ilvl="6" w:tplc="FAE27E10">
      <w:start w:val="1"/>
      <w:numFmt w:val="decimal"/>
      <w:isLgl/>
      <w:lvlText w:val="%7."/>
      <w:lvlJc w:val="left"/>
      <w:pPr>
        <w:tabs>
          <w:tab w:val="num" w:pos="360"/>
        </w:tabs>
        <w:ind w:left="360" w:firstLine="5040"/>
      </w:pPr>
      <w:rPr>
        <w:rFonts w:hint="default"/>
        <w:color w:val="000000"/>
        <w:position w:val="0"/>
        <w:sz w:val="22"/>
      </w:rPr>
    </w:lvl>
    <w:lvl w:ilvl="7" w:tplc="A26EC6BC">
      <w:start w:val="1"/>
      <w:numFmt w:val="lowerLetter"/>
      <w:lvlText w:val="%8."/>
      <w:lvlJc w:val="left"/>
      <w:pPr>
        <w:tabs>
          <w:tab w:val="num" w:pos="360"/>
        </w:tabs>
        <w:ind w:left="360" w:firstLine="5760"/>
      </w:pPr>
      <w:rPr>
        <w:rFonts w:hint="default"/>
        <w:color w:val="000000"/>
        <w:position w:val="0"/>
        <w:sz w:val="22"/>
      </w:rPr>
    </w:lvl>
    <w:lvl w:ilvl="8" w:tplc="9EEC5976">
      <w:start w:val="1"/>
      <w:numFmt w:val="lowerRoman"/>
      <w:lvlText w:val="%9."/>
      <w:lvlJc w:val="left"/>
      <w:pPr>
        <w:tabs>
          <w:tab w:val="num" w:pos="360"/>
        </w:tabs>
        <w:ind w:left="360" w:firstLine="6480"/>
      </w:pPr>
      <w:rPr>
        <w:rFonts w:hint="default"/>
        <w:color w:val="000000"/>
        <w:position w:val="0"/>
        <w:sz w:val="22"/>
      </w:rPr>
    </w:lvl>
  </w:abstractNum>
  <w:abstractNum w:abstractNumId="7" w15:restartNumberingAfterBreak="0">
    <w:nsid w:val="1650370D"/>
    <w:multiLevelType w:val="hybridMultilevel"/>
    <w:tmpl w:val="1BE2FFB2"/>
    <w:lvl w:ilvl="0" w:tplc="D76E3C06">
      <w:start w:val="1"/>
      <w:numFmt w:val="upperRoman"/>
      <w:suff w:val="space"/>
      <w:lvlText w:val="%1. "/>
      <w:lvlJc w:val="right"/>
      <w:pPr>
        <w:ind w:firstLine="244"/>
      </w:pPr>
      <w:rPr>
        <w:rFonts w:ascii="Times New Roman" w:hAnsi="Times New Roman" w:cs="Times New Roman" w:hint="default"/>
        <w:sz w:val="28"/>
        <w:szCs w:val="28"/>
      </w:rPr>
    </w:lvl>
    <w:lvl w:ilvl="1" w:tplc="17D6EE2A">
      <w:start w:val="1"/>
      <w:numFmt w:val="decimal"/>
      <w:pStyle w:val="AnnoHead2"/>
      <w:suff w:val="space"/>
      <w:lvlText w:val="%2. "/>
      <w:lvlJc w:val="left"/>
      <w:rPr>
        <w:rFonts w:ascii="Times New Roman" w:hAnsi="Times New Roman" w:cs="Times New Roman" w:hint="default"/>
        <w:b/>
        <w:bCs/>
        <w:sz w:val="22"/>
        <w:szCs w:val="22"/>
        <w:u w:val="none"/>
      </w:rPr>
    </w:lvl>
    <w:lvl w:ilvl="2" w:tplc="46C2D3CA">
      <w:start w:val="1"/>
      <w:numFmt w:val="lowerLetter"/>
      <w:pStyle w:val="AnnoHead3"/>
      <w:lvlText w:val="(%3)"/>
      <w:lvlJc w:val="left"/>
      <w:pPr>
        <w:tabs>
          <w:tab w:val="num" w:pos="720"/>
        </w:tabs>
        <w:ind w:left="720" w:hanging="720"/>
      </w:pPr>
      <w:rPr>
        <w:rFonts w:ascii="Times New Roman" w:hAnsi="Times New Roman" w:cs="Times New Roman" w:hint="default"/>
        <w:b w:val="0"/>
        <w:bCs w:val="0"/>
        <w:sz w:val="22"/>
        <w:szCs w:val="22"/>
        <w:u w:val="none"/>
      </w:rPr>
    </w:lvl>
    <w:lvl w:ilvl="3" w:tplc="A2422D00">
      <w:start w:val="1"/>
      <w:numFmt w:val="lowerRoman"/>
      <w:lvlText w:val="(%4)"/>
      <w:lvlJc w:val="right"/>
      <w:pPr>
        <w:tabs>
          <w:tab w:val="num" w:pos="1440"/>
        </w:tabs>
        <w:ind w:left="1440" w:hanging="533"/>
      </w:pPr>
      <w:rPr>
        <w:rFonts w:ascii="Times New Roman" w:hAnsi="Times New Roman" w:cs="Times New Roman" w:hint="default"/>
        <w:b w:val="0"/>
        <w:bCs w:val="0"/>
        <w:sz w:val="22"/>
        <w:szCs w:val="22"/>
        <w:u w:val="none"/>
      </w:rPr>
    </w:lvl>
    <w:lvl w:ilvl="4" w:tplc="CCC6410C">
      <w:start w:val="1"/>
      <w:numFmt w:val="decimal"/>
      <w:pStyle w:val="AnnoPara"/>
      <w:lvlText w:val="%5."/>
      <w:lvlJc w:val="left"/>
      <w:pPr>
        <w:tabs>
          <w:tab w:val="num" w:pos="360"/>
        </w:tabs>
      </w:pPr>
      <w:rPr>
        <w:rFonts w:ascii="Times New Roman" w:hAnsi="Times New Roman" w:cs="Times New Roman" w:hint="default"/>
        <w:b w:val="0"/>
        <w:bCs w:val="0"/>
        <w:sz w:val="22"/>
        <w:szCs w:val="22"/>
        <w:u w:val="none"/>
      </w:rPr>
    </w:lvl>
    <w:lvl w:ilvl="5" w:tplc="EA1E1E3A">
      <w:start w:val="1"/>
      <w:numFmt w:val="lowerLetter"/>
      <w:lvlText w:val="(%6)"/>
      <w:lvlJc w:val="left"/>
      <w:pPr>
        <w:tabs>
          <w:tab w:val="num" w:pos="1440"/>
        </w:tabs>
        <w:ind w:left="1440" w:hanging="720"/>
      </w:pPr>
      <w:rPr>
        <w:rFonts w:ascii="Times New Roman" w:hAnsi="Times New Roman" w:cs="Times New Roman" w:hint="default"/>
        <w:sz w:val="22"/>
        <w:szCs w:val="22"/>
        <w:u w:val="none"/>
      </w:rPr>
    </w:lvl>
    <w:lvl w:ilvl="6" w:tplc="E4867F92">
      <w:start w:val="1"/>
      <w:numFmt w:val="decimal"/>
      <w:lvlText w:val="%7."/>
      <w:lvlJc w:val="left"/>
      <w:pPr>
        <w:tabs>
          <w:tab w:val="num" w:pos="1440"/>
        </w:tabs>
        <w:ind w:left="1440" w:hanging="720"/>
      </w:pPr>
      <w:rPr>
        <w:rFonts w:ascii="Symbol" w:hAnsi="Symbol" w:cs="Symbol" w:hint="default"/>
        <w:sz w:val="22"/>
        <w:szCs w:val="22"/>
        <w:u w:val="none"/>
      </w:rPr>
    </w:lvl>
    <w:lvl w:ilvl="7" w:tplc="6EBA5476">
      <w:start w:val="1"/>
      <w:numFmt w:val="lowerLetter"/>
      <w:lvlText w:val="(%8)"/>
      <w:lvlJc w:val="left"/>
      <w:pPr>
        <w:tabs>
          <w:tab w:val="num" w:pos="2160"/>
        </w:tabs>
        <w:ind w:left="2160" w:hanging="720"/>
      </w:pPr>
      <w:rPr>
        <w:rFonts w:ascii="Times New Roman" w:hAnsi="Times New Roman" w:cs="Times New Roman" w:hint="default"/>
        <w:sz w:val="22"/>
        <w:szCs w:val="22"/>
        <w:u w:val="none"/>
      </w:rPr>
    </w:lvl>
    <w:lvl w:ilvl="8" w:tplc="CCC4F5EA">
      <w:start w:val="1"/>
      <w:numFmt w:val="lowerLetter"/>
      <w:lvlText w:val=""/>
      <w:lvlJc w:val="left"/>
      <w:pPr>
        <w:tabs>
          <w:tab w:val="num" w:pos="2880"/>
        </w:tabs>
        <w:ind w:left="2880" w:hanging="720"/>
      </w:pPr>
      <w:rPr>
        <w:rFonts w:ascii="Symbol" w:hAnsi="Symbol" w:cs="Symbol" w:hint="default"/>
        <w:u w:val="none"/>
      </w:rPr>
    </w:lvl>
  </w:abstractNum>
  <w:abstractNum w:abstractNumId="8" w15:restartNumberingAfterBreak="0">
    <w:nsid w:val="19AD342F"/>
    <w:multiLevelType w:val="hybridMultilevel"/>
    <w:tmpl w:val="59A80D9C"/>
    <w:lvl w:ilvl="0" w:tplc="93747070">
      <w:start w:val="1"/>
      <w:numFmt w:val="lowerLetter"/>
      <w:pStyle w:val="Listindentletter"/>
      <w:lvlText w:val="%1)"/>
      <w:lvlJc w:val="left"/>
      <w:pPr>
        <w:tabs>
          <w:tab w:val="num" w:pos="360"/>
        </w:tabs>
        <w:ind w:left="360" w:hanging="360"/>
      </w:pPr>
      <w:rPr>
        <w:rFonts w:ascii="Times New Roman" w:hAnsi="Times New Roman" w:cs="Times New Roman"/>
      </w:rPr>
    </w:lvl>
    <w:lvl w:ilvl="1" w:tplc="04090019">
      <w:start w:val="1"/>
      <w:numFmt w:val="lowerLetter"/>
      <w:lvlText w:val="%2."/>
      <w:lvlJc w:val="left"/>
      <w:pPr>
        <w:tabs>
          <w:tab w:val="num" w:pos="1080"/>
        </w:tabs>
        <w:ind w:left="1080" w:hanging="360"/>
      </w:pPr>
      <w:rPr>
        <w:rFonts w:ascii="Times New Roman" w:hAnsi="Times New Roman" w:cs="Times New Roman"/>
      </w:rPr>
    </w:lvl>
    <w:lvl w:ilvl="2" w:tplc="0409001B">
      <w:start w:val="1"/>
      <w:numFmt w:val="lowerRoman"/>
      <w:lvlText w:val="%3."/>
      <w:lvlJc w:val="right"/>
      <w:pPr>
        <w:tabs>
          <w:tab w:val="num" w:pos="1800"/>
        </w:tabs>
        <w:ind w:left="1800" w:hanging="18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abstractNum w:abstractNumId="9"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BF0786C"/>
    <w:multiLevelType w:val="hybridMultilevel"/>
    <w:tmpl w:val="F10CF8A8"/>
    <w:lvl w:ilvl="0" w:tplc="C6C873C8">
      <w:start w:val="1"/>
      <w:numFmt w:val="upperRoman"/>
      <w:pStyle w:val="Heading1"/>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11" w15:restartNumberingAfterBreak="0">
    <w:nsid w:val="1CBB6DF5"/>
    <w:multiLevelType w:val="hybridMultilevel"/>
    <w:tmpl w:val="64A45984"/>
    <w:lvl w:ilvl="0" w:tplc="21203C14">
      <w:start w:val="1"/>
      <w:numFmt w:val="lowerLetter"/>
      <w:pStyle w:val="1Paragraph"/>
      <w:lvlText w:val="(%1)"/>
      <w:lvlJc w:val="left"/>
      <w:pPr>
        <w:ind w:left="720" w:hanging="360"/>
      </w:pPr>
      <w:rPr>
        <w:rFonts w:ascii="Times New Roman" w:hAnsi="Times New Roman" w:cs="Times New Roman"/>
        <w:b w:val="0"/>
        <w:b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FF2003"/>
    <w:multiLevelType w:val="hybridMultilevel"/>
    <w:tmpl w:val="D9CC29C8"/>
    <w:styleLink w:val="Normallist"/>
    <w:lvl w:ilvl="0" w:tplc="6714F8F8">
      <w:start w:val="1"/>
      <w:numFmt w:val="lowerLetter"/>
      <w:pStyle w:val="Numberedpara"/>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D4866"/>
    <w:multiLevelType w:val="hybridMultilevel"/>
    <w:tmpl w:val="91B2F4FE"/>
    <w:lvl w:ilvl="0" w:tplc="4B402FD0">
      <w:start w:val="1"/>
      <w:numFmt w:val="lowerLetter"/>
      <w:pStyle w:val="Paragraphwith"/>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6C0DB4"/>
    <w:multiLevelType w:val="hybridMultilevel"/>
    <w:tmpl w:val="D4D44180"/>
    <w:lvl w:ilvl="0" w:tplc="040C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19439E6"/>
    <w:multiLevelType w:val="multilevel"/>
    <w:tmpl w:val="E70672EE"/>
    <w:lvl w:ilvl="0">
      <w:start w:val="1"/>
      <w:numFmt w:val="none"/>
      <w:pStyle w:val="Heading1a"/>
      <w:suff w:val="nothing"/>
      <w:lvlText w:val="%1"/>
      <w:lvlJc w:val="left"/>
      <w:pPr>
        <w:ind w:left="0" w:firstLine="0"/>
      </w:pPr>
      <w:rPr>
        <w:rFonts w:hint="default"/>
      </w:rPr>
    </w:lvl>
    <w:lvl w:ilvl="1">
      <w:start w:val="1"/>
      <w:numFmt w:val="decimal"/>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0C1C86"/>
    <w:multiLevelType w:val="hybridMultilevel"/>
    <w:tmpl w:val="EF2894D0"/>
    <w:lvl w:ilvl="0" w:tplc="04090001">
      <w:start w:val="1"/>
      <w:numFmt w:val="bullet"/>
      <w:lvlText w:val=""/>
      <w:lvlJc w:val="left"/>
      <w:pPr>
        <w:ind w:left="1260" w:hanging="360"/>
      </w:pPr>
      <w:rPr>
        <w:rFonts w:ascii="Symbol" w:hAnsi="Symbol" w:hint="default"/>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9" w15:restartNumberingAfterBreak="0">
    <w:nsid w:val="368B3507"/>
    <w:multiLevelType w:val="hybridMultilevel"/>
    <w:tmpl w:val="38EE8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5E452E"/>
    <w:multiLevelType w:val="hybridMultilevel"/>
    <w:tmpl w:val="A6627414"/>
    <w:lvl w:ilvl="0" w:tplc="04090001">
      <w:start w:val="1"/>
      <w:numFmt w:val="bullet"/>
      <w:lvlText w:val=""/>
      <w:lvlJc w:val="left"/>
      <w:pPr>
        <w:ind w:left="1260" w:hanging="360"/>
      </w:pPr>
      <w:rPr>
        <w:rFonts w:ascii="Symbol" w:hAnsi="Symbol"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21" w15:restartNumberingAfterBreak="0">
    <w:nsid w:val="379939BA"/>
    <w:multiLevelType w:val="hybridMultilevel"/>
    <w:tmpl w:val="A97EF4CC"/>
    <w:lvl w:ilvl="0" w:tplc="040C0011">
      <w:start w:val="1"/>
      <w:numFmt w:val="decimal"/>
      <w:lvlText w:val="%1)"/>
      <w:lvlJc w:val="left"/>
      <w:pPr>
        <w:ind w:left="1800" w:hanging="360"/>
      </w:pPr>
      <w:rPr>
        <w:rFonts w:hint="default"/>
        <w:b w:val="0"/>
        <w:bCs w:val="0"/>
      </w:rPr>
    </w:lvl>
    <w:lvl w:ilvl="1" w:tplc="04090003" w:tentative="1">
      <w:start w:val="1"/>
      <w:numFmt w:val="bullet"/>
      <w:lvlText w:val="o"/>
      <w:lvlJc w:val="left"/>
      <w:pPr>
        <w:ind w:left="2520" w:hanging="360"/>
      </w:pPr>
      <w:rPr>
        <w:rFonts w:ascii="Yu Gothic Light" w:hAnsi="Yu Gothic Light" w:cs="Yu Gothic Light" w:hint="default"/>
      </w:rPr>
    </w:lvl>
    <w:lvl w:ilvl="2" w:tplc="04090005" w:tentative="1">
      <w:start w:val="1"/>
      <w:numFmt w:val="bullet"/>
      <w:lvlText w:val=""/>
      <w:lvlJc w:val="left"/>
      <w:pPr>
        <w:ind w:left="3240" w:hanging="360"/>
      </w:pPr>
      <w:rPr>
        <w:rFonts w:ascii="Helvetica" w:hAnsi="Helvetica" w:hint="default"/>
      </w:rPr>
    </w:lvl>
    <w:lvl w:ilvl="3" w:tplc="04090001" w:tentative="1">
      <w:start w:val="1"/>
      <w:numFmt w:val="bullet"/>
      <w:lvlText w:val=""/>
      <w:lvlJc w:val="left"/>
      <w:pPr>
        <w:ind w:left="3960" w:hanging="360"/>
      </w:pPr>
      <w:rPr>
        <w:rFonts w:ascii="Cambria Math" w:hAnsi="Cambria Math" w:hint="default"/>
      </w:rPr>
    </w:lvl>
    <w:lvl w:ilvl="4" w:tplc="04090003" w:tentative="1">
      <w:start w:val="1"/>
      <w:numFmt w:val="bullet"/>
      <w:lvlText w:val="o"/>
      <w:lvlJc w:val="left"/>
      <w:pPr>
        <w:ind w:left="4680" w:hanging="360"/>
      </w:pPr>
      <w:rPr>
        <w:rFonts w:ascii="Yu Gothic Light" w:hAnsi="Yu Gothic Light" w:cs="Yu Gothic Light" w:hint="default"/>
      </w:rPr>
    </w:lvl>
    <w:lvl w:ilvl="5" w:tplc="04090005" w:tentative="1">
      <w:start w:val="1"/>
      <w:numFmt w:val="bullet"/>
      <w:lvlText w:val=""/>
      <w:lvlJc w:val="left"/>
      <w:pPr>
        <w:ind w:left="5400" w:hanging="360"/>
      </w:pPr>
      <w:rPr>
        <w:rFonts w:ascii="Helvetica" w:hAnsi="Helvetica" w:hint="default"/>
      </w:rPr>
    </w:lvl>
    <w:lvl w:ilvl="6" w:tplc="04090001" w:tentative="1">
      <w:start w:val="1"/>
      <w:numFmt w:val="bullet"/>
      <w:lvlText w:val=""/>
      <w:lvlJc w:val="left"/>
      <w:pPr>
        <w:ind w:left="6120" w:hanging="360"/>
      </w:pPr>
      <w:rPr>
        <w:rFonts w:ascii="Cambria Math" w:hAnsi="Cambria Math" w:hint="default"/>
      </w:rPr>
    </w:lvl>
    <w:lvl w:ilvl="7" w:tplc="04090003" w:tentative="1">
      <w:start w:val="1"/>
      <w:numFmt w:val="bullet"/>
      <w:lvlText w:val="o"/>
      <w:lvlJc w:val="left"/>
      <w:pPr>
        <w:ind w:left="6840" w:hanging="360"/>
      </w:pPr>
      <w:rPr>
        <w:rFonts w:ascii="Yu Gothic Light" w:hAnsi="Yu Gothic Light" w:cs="Yu Gothic Light" w:hint="default"/>
      </w:rPr>
    </w:lvl>
    <w:lvl w:ilvl="8" w:tplc="04090005" w:tentative="1">
      <w:start w:val="1"/>
      <w:numFmt w:val="bullet"/>
      <w:lvlText w:val=""/>
      <w:lvlJc w:val="left"/>
      <w:pPr>
        <w:ind w:left="7560" w:hanging="360"/>
      </w:pPr>
      <w:rPr>
        <w:rFonts w:ascii="Helvetica" w:hAnsi="Helvetica" w:hint="default"/>
      </w:rPr>
    </w:lvl>
  </w:abstractNum>
  <w:abstractNum w:abstractNumId="22" w15:restartNumberingAfterBreak="0">
    <w:nsid w:val="3CE848B0"/>
    <w:multiLevelType w:val="multilevel"/>
    <w:tmpl w:val="62D63CFA"/>
    <w:lvl w:ilvl="0">
      <w:start w:val="1"/>
      <w:numFmt w:val="upperRoman"/>
      <w:pStyle w:val="RegHead1"/>
      <w:suff w:val="space"/>
      <w:lvlText w:val="%1. "/>
      <w:lvlJc w:val="center"/>
      <w:rPr>
        <w:rFonts w:ascii="Times New Roman" w:hAnsi="Times New Roman" w:cs="Times New Roman"/>
        <w:sz w:val="28"/>
        <w:szCs w:val="28"/>
      </w:rPr>
    </w:lvl>
    <w:lvl w:ilvl="1">
      <w:start w:val="1"/>
      <w:numFmt w:val="upperLetter"/>
      <w:pStyle w:val="RegHead2"/>
      <w:suff w:val="space"/>
      <w:lvlText w:val="%2. "/>
      <w:lvlJc w:val="center"/>
      <w:rPr>
        <w:rFonts w:ascii="Times New Roman" w:hAnsi="Times New Roman" w:cs="Times New Roman"/>
        <w:b/>
        <w:bCs/>
        <w:sz w:val="22"/>
        <w:szCs w:val="22"/>
        <w:u w:val="none"/>
      </w:rPr>
    </w:lvl>
    <w:lvl w:ilvl="2">
      <w:start w:val="1"/>
      <w:numFmt w:val="decimal"/>
      <w:pStyle w:val="RegHead3"/>
      <w:suff w:val="space"/>
      <w:lvlText w:val="%3. "/>
      <w:lvlJc w:val="center"/>
      <w:rPr>
        <w:rFonts w:ascii="Times New Roman" w:hAnsi="Times New Roman" w:cs="Times New Roman"/>
        <w:b w:val="0"/>
        <w:bCs w:val="0"/>
        <w:sz w:val="22"/>
        <w:szCs w:val="22"/>
        <w:u w:val="none"/>
      </w:rPr>
    </w:lvl>
    <w:lvl w:ilvl="3">
      <w:start w:val="1"/>
      <w:numFmt w:val="decimal"/>
      <w:lvlRestart w:val="0"/>
      <w:pStyle w:val="RegPara"/>
      <w:lvlText w:val="%4."/>
      <w:lvlJc w:val="left"/>
      <w:pPr>
        <w:tabs>
          <w:tab w:val="num" w:pos="720"/>
        </w:tabs>
      </w:pPr>
      <w:rPr>
        <w:rFonts w:ascii="Times New Roman" w:hAnsi="Times New Roman" w:cs="Times New Roman"/>
        <w:b w:val="0"/>
        <w:bCs w:val="0"/>
        <w:sz w:val="22"/>
        <w:szCs w:val="22"/>
      </w:rPr>
    </w:lvl>
    <w:lvl w:ilvl="4">
      <w:start w:val="1"/>
      <w:numFmt w:val="lowerLetter"/>
      <w:lvlText w:val="(%5)"/>
      <w:lvlJc w:val="left"/>
      <w:pPr>
        <w:tabs>
          <w:tab w:val="num" w:pos="1440"/>
        </w:tabs>
        <w:ind w:left="1440" w:hanging="720"/>
      </w:pPr>
      <w:rPr>
        <w:rFonts w:ascii="Times New Roman" w:hAnsi="Times New Roman" w:cs="Times New Roman"/>
        <w:b w:val="0"/>
        <w:bCs w:val="0"/>
        <w:sz w:val="22"/>
        <w:szCs w:val="22"/>
      </w:rPr>
    </w:lvl>
    <w:lvl w:ilvl="5">
      <w:start w:val="1"/>
      <w:numFmt w:val="lowerRoman"/>
      <w:lvlText w:val="(%6)"/>
      <w:lvlJc w:val="right"/>
      <w:pPr>
        <w:tabs>
          <w:tab w:val="num" w:pos="2160"/>
        </w:tabs>
        <w:ind w:left="2160" w:hanging="573"/>
      </w:pPr>
      <w:rPr>
        <w:rFonts w:ascii="Times New Roman" w:hAnsi="Times New Roman" w:cs="Times New Roman"/>
      </w:rPr>
    </w:lvl>
    <w:lvl w:ilvl="6">
      <w:start w:val="1"/>
      <w:numFmt w:val="lowerLetter"/>
      <w:lvlText w:val=""/>
      <w:lvlJc w:val="left"/>
      <w:pPr>
        <w:tabs>
          <w:tab w:val="num" w:pos="2880"/>
        </w:tabs>
        <w:ind w:left="2880" w:hanging="720"/>
      </w:pPr>
      <w:rPr>
        <w:rFonts w:ascii="Symbol" w:hAnsi="Symbol" w:cs="Symbol" w:hint="default"/>
      </w:rPr>
    </w:lvl>
    <w:lvl w:ilvl="7">
      <w:start w:val="1"/>
      <w:numFmt w:val="none"/>
      <w:lvlText w:val="[%4.%8"/>
      <w:lvlJc w:val="left"/>
      <w:pPr>
        <w:tabs>
          <w:tab w:val="num" w:pos="720"/>
        </w:tabs>
      </w:pPr>
      <w:rPr>
        <w:rFonts w:ascii="Times New Roman" w:hAnsi="Times New Roman" w:cs="Times New Roman"/>
      </w:rPr>
    </w:lvl>
    <w:lvl w:ilvl="8">
      <w:start w:val="1"/>
      <w:numFmt w:val="none"/>
      <w:lvlText w:val="[(%5)%9"/>
      <w:lvlJc w:val="left"/>
      <w:pPr>
        <w:tabs>
          <w:tab w:val="num" w:pos="1440"/>
        </w:tabs>
        <w:ind w:left="1440" w:hanging="720"/>
      </w:pPr>
      <w:rPr>
        <w:rFonts w:ascii="Times New Roman" w:hAnsi="Times New Roman" w:cs="Times New Roman"/>
      </w:rPr>
    </w:lvl>
  </w:abstractNum>
  <w:abstractNum w:abstractNumId="23" w15:restartNumberingAfterBreak="0">
    <w:nsid w:val="3EE099CB"/>
    <w:multiLevelType w:val="hybridMultilevel"/>
    <w:tmpl w:val="FFFFFFFF"/>
    <w:lvl w:ilvl="0" w:tplc="7876A848">
      <w:start w:val="1"/>
      <w:numFmt w:val="bullet"/>
      <w:lvlText w:val="-"/>
      <w:lvlJc w:val="left"/>
      <w:pPr>
        <w:ind w:left="720" w:hanging="360"/>
      </w:pPr>
      <w:rPr>
        <w:rFonts w:ascii="Aptos" w:hAnsi="Aptos" w:hint="default"/>
      </w:rPr>
    </w:lvl>
    <w:lvl w:ilvl="1" w:tplc="53CE751C">
      <w:start w:val="1"/>
      <w:numFmt w:val="bullet"/>
      <w:lvlText w:val="o"/>
      <w:lvlJc w:val="left"/>
      <w:pPr>
        <w:ind w:left="1440" w:hanging="360"/>
      </w:pPr>
      <w:rPr>
        <w:rFonts w:ascii="Courier New" w:hAnsi="Courier New" w:hint="default"/>
      </w:rPr>
    </w:lvl>
    <w:lvl w:ilvl="2" w:tplc="4F12E784">
      <w:start w:val="1"/>
      <w:numFmt w:val="bullet"/>
      <w:lvlText w:val=""/>
      <w:lvlJc w:val="left"/>
      <w:pPr>
        <w:ind w:left="2160" w:hanging="360"/>
      </w:pPr>
      <w:rPr>
        <w:rFonts w:ascii="Wingdings" w:hAnsi="Wingdings" w:hint="default"/>
      </w:rPr>
    </w:lvl>
    <w:lvl w:ilvl="3" w:tplc="4DB460A8">
      <w:start w:val="1"/>
      <w:numFmt w:val="bullet"/>
      <w:lvlText w:val=""/>
      <w:lvlJc w:val="left"/>
      <w:pPr>
        <w:ind w:left="2880" w:hanging="360"/>
      </w:pPr>
      <w:rPr>
        <w:rFonts w:ascii="Symbol" w:hAnsi="Symbol" w:hint="default"/>
      </w:rPr>
    </w:lvl>
    <w:lvl w:ilvl="4" w:tplc="A13C15D4">
      <w:start w:val="1"/>
      <w:numFmt w:val="bullet"/>
      <w:lvlText w:val="o"/>
      <w:lvlJc w:val="left"/>
      <w:pPr>
        <w:ind w:left="3600" w:hanging="360"/>
      </w:pPr>
      <w:rPr>
        <w:rFonts w:ascii="Courier New" w:hAnsi="Courier New" w:hint="default"/>
      </w:rPr>
    </w:lvl>
    <w:lvl w:ilvl="5" w:tplc="B740C48C">
      <w:start w:val="1"/>
      <w:numFmt w:val="bullet"/>
      <w:lvlText w:val=""/>
      <w:lvlJc w:val="left"/>
      <w:pPr>
        <w:ind w:left="4320" w:hanging="360"/>
      </w:pPr>
      <w:rPr>
        <w:rFonts w:ascii="Wingdings" w:hAnsi="Wingdings" w:hint="default"/>
      </w:rPr>
    </w:lvl>
    <w:lvl w:ilvl="6" w:tplc="A34415C4">
      <w:start w:val="1"/>
      <w:numFmt w:val="bullet"/>
      <w:lvlText w:val=""/>
      <w:lvlJc w:val="left"/>
      <w:pPr>
        <w:ind w:left="5040" w:hanging="360"/>
      </w:pPr>
      <w:rPr>
        <w:rFonts w:ascii="Symbol" w:hAnsi="Symbol" w:hint="default"/>
      </w:rPr>
    </w:lvl>
    <w:lvl w:ilvl="7" w:tplc="47B09F76">
      <w:start w:val="1"/>
      <w:numFmt w:val="bullet"/>
      <w:lvlText w:val="o"/>
      <w:lvlJc w:val="left"/>
      <w:pPr>
        <w:ind w:left="5760" w:hanging="360"/>
      </w:pPr>
      <w:rPr>
        <w:rFonts w:ascii="Courier New" w:hAnsi="Courier New" w:hint="default"/>
      </w:rPr>
    </w:lvl>
    <w:lvl w:ilvl="8" w:tplc="E10AEF80">
      <w:start w:val="1"/>
      <w:numFmt w:val="bullet"/>
      <w:lvlText w:val=""/>
      <w:lvlJc w:val="left"/>
      <w:pPr>
        <w:ind w:left="6480" w:hanging="360"/>
      </w:pPr>
      <w:rPr>
        <w:rFonts w:ascii="Wingdings" w:hAnsi="Wingdings" w:hint="default"/>
      </w:rPr>
    </w:lvl>
  </w:abstractNum>
  <w:abstractNum w:abstractNumId="24" w15:restartNumberingAfterBreak="0">
    <w:nsid w:val="41797968"/>
    <w:multiLevelType w:val="hybridMultilevel"/>
    <w:tmpl w:val="6C9894F8"/>
    <w:lvl w:ilvl="0" w:tplc="04090001">
      <w:start w:val="1"/>
      <w:numFmt w:val="bullet"/>
      <w:lvlText w:val=""/>
      <w:lvlJc w:val="left"/>
      <w:pPr>
        <w:ind w:left="1260" w:hanging="360"/>
      </w:pPr>
      <w:rPr>
        <w:rFonts w:ascii="Symbol" w:hAnsi="Symbol"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25" w15:restartNumberingAfterBreak="0">
    <w:nsid w:val="428120B6"/>
    <w:multiLevelType w:val="hybridMultilevel"/>
    <w:tmpl w:val="C3DC604A"/>
    <w:lvl w:ilvl="0" w:tplc="32A42C1C">
      <w:start w:val="1"/>
      <w:numFmt w:val="upperRoman"/>
      <w:pStyle w:val="AnnoHead1"/>
      <w:suff w:val="space"/>
      <w:lvlText w:val="%1. "/>
      <w:lvlJc w:val="right"/>
      <w:pPr>
        <w:ind w:firstLine="244"/>
      </w:pPr>
      <w:rPr>
        <w:rFonts w:ascii="Times New Roman" w:hAnsi="Times New Roman" w:cs="Times New Roman"/>
        <w:sz w:val="28"/>
        <w:szCs w:val="28"/>
      </w:rPr>
    </w:lvl>
    <w:lvl w:ilvl="1" w:tplc="80FE37BA">
      <w:start w:val="1"/>
      <w:numFmt w:val="decimal"/>
      <w:suff w:val="space"/>
      <w:lvlText w:val="%2. "/>
      <w:lvlJc w:val="left"/>
      <w:rPr>
        <w:rFonts w:ascii="Times New Roman" w:hAnsi="Times New Roman" w:cs="Times New Roman"/>
        <w:b/>
        <w:bCs/>
        <w:sz w:val="22"/>
        <w:szCs w:val="22"/>
        <w:u w:val="none"/>
      </w:rPr>
    </w:lvl>
    <w:lvl w:ilvl="2" w:tplc="4E5C9958">
      <w:start w:val="1"/>
      <w:numFmt w:val="lowerLetter"/>
      <w:lvlText w:val="(%3)"/>
      <w:lvlJc w:val="left"/>
      <w:pPr>
        <w:tabs>
          <w:tab w:val="num" w:pos="720"/>
        </w:tabs>
        <w:ind w:left="720" w:hanging="720"/>
      </w:pPr>
      <w:rPr>
        <w:rFonts w:ascii="Times New Roman" w:hAnsi="Times New Roman" w:cs="Times New Roman"/>
        <w:b w:val="0"/>
        <w:bCs w:val="0"/>
        <w:sz w:val="22"/>
        <w:szCs w:val="22"/>
        <w:u w:val="none"/>
      </w:rPr>
    </w:lvl>
    <w:lvl w:ilvl="3" w:tplc="3E70B35A">
      <w:start w:val="1"/>
      <w:numFmt w:val="lowerRoman"/>
      <w:lvlText w:val="(%4)"/>
      <w:lvlJc w:val="right"/>
      <w:pPr>
        <w:tabs>
          <w:tab w:val="num" w:pos="1440"/>
        </w:tabs>
        <w:ind w:left="1440" w:hanging="533"/>
      </w:pPr>
      <w:rPr>
        <w:rFonts w:ascii="Times New Roman" w:hAnsi="Times New Roman" w:cs="Times New Roman"/>
        <w:b w:val="0"/>
        <w:bCs w:val="0"/>
        <w:sz w:val="22"/>
        <w:szCs w:val="22"/>
        <w:u w:val="none"/>
      </w:rPr>
    </w:lvl>
    <w:lvl w:ilvl="4" w:tplc="1E1EEB78">
      <w:start w:val="1"/>
      <w:numFmt w:val="decimal"/>
      <w:lvlText w:val="%5."/>
      <w:lvlJc w:val="left"/>
      <w:pPr>
        <w:tabs>
          <w:tab w:val="num" w:pos="720"/>
        </w:tabs>
        <w:ind w:left="720" w:hanging="720"/>
      </w:pPr>
      <w:rPr>
        <w:rFonts w:ascii="Times New Roman" w:hAnsi="Times New Roman" w:cs="Times New Roman"/>
        <w:b w:val="0"/>
        <w:bCs w:val="0"/>
        <w:sz w:val="22"/>
        <w:szCs w:val="22"/>
        <w:u w:val="none"/>
      </w:rPr>
    </w:lvl>
    <w:lvl w:ilvl="5" w:tplc="E0FE140E">
      <w:start w:val="1"/>
      <w:numFmt w:val="lowerLetter"/>
      <w:lvlText w:val="(%6)"/>
      <w:lvlJc w:val="left"/>
      <w:pPr>
        <w:tabs>
          <w:tab w:val="num" w:pos="1440"/>
        </w:tabs>
        <w:ind w:left="1440" w:hanging="720"/>
      </w:pPr>
      <w:rPr>
        <w:rFonts w:ascii="Times New Roman" w:hAnsi="Times New Roman" w:cs="Times New Roman"/>
        <w:sz w:val="22"/>
        <w:szCs w:val="22"/>
        <w:u w:val="none"/>
      </w:rPr>
    </w:lvl>
    <w:lvl w:ilvl="6" w:tplc="D59E8746">
      <w:start w:val="1"/>
      <w:numFmt w:val="decimal"/>
      <w:lvlText w:val="%7."/>
      <w:lvlJc w:val="left"/>
      <w:pPr>
        <w:tabs>
          <w:tab w:val="num" w:pos="1440"/>
        </w:tabs>
        <w:ind w:left="1440" w:hanging="720"/>
      </w:pPr>
      <w:rPr>
        <w:rFonts w:ascii="Symbol" w:hAnsi="Symbol" w:cs="Symbol" w:hint="default"/>
        <w:sz w:val="22"/>
        <w:szCs w:val="22"/>
        <w:u w:val="none"/>
      </w:rPr>
    </w:lvl>
    <w:lvl w:ilvl="7" w:tplc="2F7E8070">
      <w:start w:val="1"/>
      <w:numFmt w:val="lowerLetter"/>
      <w:lvlText w:val="(%8)"/>
      <w:lvlJc w:val="left"/>
      <w:pPr>
        <w:tabs>
          <w:tab w:val="num" w:pos="2160"/>
        </w:tabs>
        <w:ind w:left="2160" w:hanging="720"/>
      </w:pPr>
      <w:rPr>
        <w:rFonts w:ascii="Times New Roman" w:hAnsi="Times New Roman" w:cs="Times New Roman"/>
        <w:sz w:val="22"/>
        <w:szCs w:val="22"/>
        <w:u w:val="none"/>
      </w:rPr>
    </w:lvl>
    <w:lvl w:ilvl="8" w:tplc="A6D00E8A">
      <w:start w:val="1"/>
      <w:numFmt w:val="lowerLetter"/>
      <w:lvlText w:val=""/>
      <w:lvlJc w:val="left"/>
      <w:pPr>
        <w:tabs>
          <w:tab w:val="num" w:pos="2880"/>
        </w:tabs>
        <w:ind w:left="2880" w:hanging="720"/>
      </w:pPr>
      <w:rPr>
        <w:rFonts w:ascii="Symbol" w:hAnsi="Symbol" w:cs="Symbol" w:hint="default"/>
        <w:u w:val="none"/>
      </w:rPr>
    </w:lvl>
  </w:abstractNum>
  <w:abstractNum w:abstractNumId="26" w15:restartNumberingAfterBreak="0">
    <w:nsid w:val="42C1190A"/>
    <w:multiLevelType w:val="hybridMultilevel"/>
    <w:tmpl w:val="D4324068"/>
    <w:styleLink w:val="AndrewsOutlineStyle"/>
    <w:lvl w:ilvl="0" w:tplc="5B32FD82">
      <w:start w:val="1"/>
      <w:numFmt w:val="decimal"/>
      <w:pStyle w:val="GEFnumPara0"/>
      <w:lvlText w:val="%1."/>
      <w:lvlJc w:val="left"/>
      <w:pPr>
        <w:ind w:left="36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C966C7"/>
    <w:multiLevelType w:val="hybridMultilevel"/>
    <w:tmpl w:val="009C9844"/>
    <w:lvl w:ilvl="0" w:tplc="ABC083D0">
      <w:start w:val="1"/>
      <w:numFmt w:val="decimal"/>
      <w:pStyle w:val="DecPara"/>
      <w:lvlText w:val="%1. "/>
      <w:lvlJc w:val="left"/>
      <w:pPr>
        <w:tabs>
          <w:tab w:val="num" w:pos="1440"/>
        </w:tabs>
        <w:ind w:firstLine="720"/>
      </w:pPr>
      <w:rPr>
        <w:rFonts w:ascii="Times New Roman" w:hAnsi="Times New Roman" w:cs="Times New Roman" w:hint="default"/>
      </w:rPr>
    </w:lvl>
    <w:lvl w:ilvl="1" w:tplc="4AA0570A">
      <w:start w:val="1"/>
      <w:numFmt w:val="lowerLetter"/>
      <w:lvlText w:val="(%2)"/>
      <w:lvlJc w:val="left"/>
      <w:pPr>
        <w:tabs>
          <w:tab w:val="num" w:pos="1440"/>
        </w:tabs>
        <w:ind w:firstLine="720"/>
      </w:pPr>
      <w:rPr>
        <w:rFonts w:ascii="Times New Roman" w:hAnsi="Times New Roman" w:cs="Times New Roman" w:hint="default"/>
        <w:b w:val="0"/>
        <w:bCs w:val="0"/>
      </w:rPr>
    </w:lvl>
    <w:lvl w:ilvl="2" w:tplc="8272AFEC">
      <w:start w:val="1"/>
      <w:numFmt w:val="lowerLetter"/>
      <w:lvlText w:val="(%3)"/>
      <w:lvlJc w:val="left"/>
      <w:pPr>
        <w:tabs>
          <w:tab w:val="num" w:pos="2160"/>
        </w:tabs>
        <w:ind w:left="2160" w:hanging="720"/>
      </w:pPr>
      <w:rPr>
        <w:rFonts w:ascii="Times New Roman" w:hAnsi="Times New Roman" w:cs="Times New Roman" w:hint="default"/>
        <w:b w:val="0"/>
        <w:bCs w:val="0"/>
      </w:rPr>
    </w:lvl>
    <w:lvl w:ilvl="3" w:tplc="6BEEF7A2">
      <w:start w:val="1"/>
      <w:numFmt w:val="decimal"/>
      <w:lvlText w:val="[%4."/>
      <w:lvlJc w:val="left"/>
      <w:pPr>
        <w:tabs>
          <w:tab w:val="num" w:pos="1440"/>
        </w:tabs>
        <w:ind w:firstLine="720"/>
      </w:pPr>
      <w:rPr>
        <w:rFonts w:ascii="Times New Roman" w:hAnsi="Times New Roman" w:cs="Times New Roman" w:hint="default"/>
      </w:rPr>
    </w:lvl>
    <w:lvl w:ilvl="4" w:tplc="901634D0">
      <w:start w:val="1"/>
      <w:numFmt w:val="lowerLetter"/>
      <w:lvlText w:val="[(%5)"/>
      <w:lvlJc w:val="left"/>
      <w:pPr>
        <w:tabs>
          <w:tab w:val="num" w:pos="1440"/>
        </w:tabs>
        <w:ind w:firstLine="720"/>
      </w:pPr>
      <w:rPr>
        <w:rFonts w:ascii="Times New Roman" w:hAnsi="Times New Roman" w:cs="Times New Roman" w:hint="default"/>
      </w:rPr>
    </w:lvl>
    <w:lvl w:ilvl="5" w:tplc="7A8A5C54">
      <w:start w:val="1"/>
      <w:numFmt w:val="lowerLetter"/>
      <w:lvlText w:val="[(%6)"/>
      <w:lvlJc w:val="left"/>
      <w:pPr>
        <w:tabs>
          <w:tab w:val="num" w:pos="2160"/>
        </w:tabs>
        <w:ind w:left="2160" w:hanging="720"/>
      </w:pPr>
      <w:rPr>
        <w:rFonts w:ascii="Times New Roman" w:hAnsi="Times New Roman" w:cs="Times New Roman" w:hint="default"/>
      </w:rPr>
    </w:lvl>
    <w:lvl w:ilvl="6" w:tplc="663A4C24">
      <w:start w:val="1"/>
      <w:numFmt w:val="none"/>
      <w:lvlText w:val=""/>
      <w:lvlJc w:val="left"/>
      <w:pPr>
        <w:tabs>
          <w:tab w:val="num" w:pos="0"/>
        </w:tabs>
      </w:pPr>
      <w:rPr>
        <w:rFonts w:ascii="Times New Roman" w:hAnsi="Times New Roman" w:cs="Times New Roman" w:hint="default"/>
      </w:rPr>
    </w:lvl>
    <w:lvl w:ilvl="7" w:tplc="57769B56">
      <w:start w:val="1"/>
      <w:numFmt w:val="none"/>
      <w:lvlText w:val=""/>
      <w:lvlJc w:val="left"/>
      <w:pPr>
        <w:tabs>
          <w:tab w:val="num" w:pos="0"/>
        </w:tabs>
      </w:pPr>
      <w:rPr>
        <w:rFonts w:ascii="Times New Roman" w:hAnsi="Times New Roman" w:cs="Times New Roman" w:hint="default"/>
      </w:rPr>
    </w:lvl>
    <w:lvl w:ilvl="8" w:tplc="B99E9500">
      <w:start w:val="1"/>
      <w:numFmt w:val="none"/>
      <w:lvlText w:val=""/>
      <w:lvlJc w:val="left"/>
      <w:pPr>
        <w:tabs>
          <w:tab w:val="num" w:pos="0"/>
        </w:tabs>
      </w:pPr>
      <w:rPr>
        <w:rFonts w:ascii="Times New Roman" w:hAnsi="Times New Roman" w:cs="Times New Roman" w:hint="default"/>
      </w:rPr>
    </w:lvl>
  </w:abstractNum>
  <w:abstractNum w:abstractNumId="28" w15:restartNumberingAfterBreak="0">
    <w:nsid w:val="44C62500"/>
    <w:multiLevelType w:val="hybridMultilevel"/>
    <w:tmpl w:val="0AF0F5C0"/>
    <w:lvl w:ilvl="0" w:tplc="74E841D6">
      <w:start w:val="1"/>
      <w:numFmt w:val="lowerRoman"/>
      <w:pStyle w:val="Subparaa"/>
      <w:lvlText w:val="%1."/>
      <w:lvlJc w:val="right"/>
      <w:pPr>
        <w:ind w:left="1080" w:hanging="360"/>
      </w:pPr>
      <w:rPr>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8FE736D"/>
    <w:multiLevelType w:val="hybridMultilevel"/>
    <w:tmpl w:val="31ECB99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9D5F66"/>
    <w:multiLevelType w:val="multilevel"/>
    <w:tmpl w:val="222A08B4"/>
    <w:styleLink w:val="CBDHeadings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CA46C75"/>
    <w:multiLevelType w:val="hybridMultilevel"/>
    <w:tmpl w:val="6AE67FBE"/>
    <w:lvl w:ilvl="0" w:tplc="04090001">
      <w:start w:val="1"/>
      <w:numFmt w:val="bullet"/>
      <w:lvlText w:val=""/>
      <w:lvlJc w:val="left"/>
      <w:pPr>
        <w:ind w:left="1440" w:hanging="360"/>
      </w:pPr>
      <w:rPr>
        <w:rFonts w:ascii="Symbol" w:hAnsi="Symbol" w:hint="default"/>
      </w:rPr>
    </w:lvl>
    <w:lvl w:ilvl="1" w:tplc="3056D17E">
      <w:numFmt w:val="bullet"/>
      <w:lvlText w:val="•"/>
      <w:lvlJc w:val="left"/>
      <w:pPr>
        <w:ind w:left="2160" w:hanging="360"/>
      </w:pPr>
      <w:rPr>
        <w:rFonts w:ascii="Calibri" w:eastAsia="SimSun" w:hAnsi="Calibri" w:cs="Calibri"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6125AD"/>
    <w:multiLevelType w:val="hybridMultilevel"/>
    <w:tmpl w:val="DCA2D7A2"/>
    <w:lvl w:ilvl="0" w:tplc="040C0017">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521A7DE1"/>
    <w:multiLevelType w:val="hybridMultilevel"/>
    <w:tmpl w:val="E5C2DA24"/>
    <w:lvl w:ilvl="0" w:tplc="2B467BCA">
      <w:start w:val="1"/>
      <w:numFmt w:val="bullet"/>
      <w:lvlText w:val=""/>
      <w:lvlJc w:val="left"/>
      <w:pPr>
        <w:ind w:left="1080" w:hanging="360"/>
      </w:pPr>
      <w:rPr>
        <w:rFonts w:ascii="Symbol" w:hAnsi="Symbol" w:hint="default"/>
      </w:rPr>
    </w:lvl>
    <w:lvl w:ilvl="1" w:tplc="04090003" w:tentative="1">
      <w:start w:val="1"/>
      <w:numFmt w:val="bullet"/>
      <w:pStyle w:val="bulletsubparagraph"/>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3A82002"/>
    <w:multiLevelType w:val="hybridMultilevel"/>
    <w:tmpl w:val="83280966"/>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5BA04B78"/>
    <w:multiLevelType w:val="hybridMultilevel"/>
    <w:tmpl w:val="C4A45E4A"/>
    <w:lvl w:ilvl="0" w:tplc="BA4686D2">
      <w:start w:val="1"/>
      <w:numFmt w:val="decimal"/>
      <w:pStyle w:val="ListParagraph"/>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D943BEE"/>
    <w:multiLevelType w:val="multilevel"/>
    <w:tmpl w:val="222A08B4"/>
    <w:lvl w:ilvl="0">
      <w:numFmt w:val="decimal"/>
      <w:pStyle w:val="CBDNormalNumbe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6603816"/>
    <w:multiLevelType w:val="hybridMultilevel"/>
    <w:tmpl w:val="DB96BEEC"/>
    <w:lvl w:ilvl="0" w:tplc="F9724E0C">
      <w:start w:val="1"/>
      <w:numFmt w:val="lowerLetter"/>
      <w:lvlText w:val="(%1)"/>
      <w:lvlJc w:val="left"/>
      <w:pPr>
        <w:ind w:left="1080" w:hanging="360"/>
      </w:pPr>
      <w:rPr>
        <w:rFonts w:ascii="Times New Roman" w:hAnsi="Times New Roman" w:hint="default"/>
        <w:b w:val="0"/>
        <w:i w:val="0"/>
        <w:caps w:val="0"/>
        <w:strike w:val="0"/>
        <w:dstrike w:val="0"/>
        <w:vanish w:val="0"/>
        <w:color w:val="000000"/>
        <w:sz w:val="24"/>
        <w:vertAlign w:val="baseline"/>
      </w:rPr>
    </w:lvl>
    <w:lvl w:ilvl="1" w:tplc="04090019" w:tentative="1">
      <w:start w:val="1"/>
      <w:numFmt w:val="lowerLetter"/>
      <w:pStyle w:val="Subparagra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AA0EA5"/>
    <w:multiLevelType w:val="hybridMultilevel"/>
    <w:tmpl w:val="E31EA6EA"/>
    <w:lvl w:ilvl="0" w:tplc="CFFECC24">
      <w:start w:val="1"/>
      <w:numFmt w:val="lowerLetter"/>
      <w:pStyle w:val="H23GHeading21"/>
      <w:lvlText w:val="%1."/>
      <w:lvlJc w:val="left"/>
      <w:pPr>
        <w:ind w:left="922" w:hanging="360"/>
      </w:pPr>
      <w:rPr>
        <w:rFonts w:ascii="Calibri" w:hAnsi="Calibri" w:cstheme="minorHAnsi" w:hint="default"/>
        <w:b/>
        <w:bCs w:val="0"/>
        <w:i/>
        <w:iCs w:val="0"/>
        <w:caps w:val="0"/>
        <w:smallCaps w:val="0"/>
        <w:strike w:val="0"/>
        <w:dstrike w:val="0"/>
        <w:outline w:val="0"/>
        <w:shadow w:val="0"/>
        <w:emboss w:val="0"/>
        <w:imprint w:val="0"/>
        <w:noProof w:val="0"/>
        <w:vanish w:val="0"/>
        <w:spacing w:val="0"/>
        <w:ker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922" w:hanging="360"/>
      </w:pPr>
    </w:lvl>
    <w:lvl w:ilvl="2" w:tplc="0409001B" w:tentative="1">
      <w:start w:val="1"/>
      <w:numFmt w:val="lowerRoman"/>
      <w:lvlText w:val="%3."/>
      <w:lvlJc w:val="right"/>
      <w:pPr>
        <w:ind w:left="1642" w:hanging="180"/>
      </w:pPr>
    </w:lvl>
    <w:lvl w:ilvl="3" w:tplc="0409000F" w:tentative="1">
      <w:start w:val="1"/>
      <w:numFmt w:val="decimal"/>
      <w:lvlText w:val="%4."/>
      <w:lvlJc w:val="left"/>
      <w:pPr>
        <w:ind w:left="2362" w:hanging="360"/>
      </w:pPr>
    </w:lvl>
    <w:lvl w:ilvl="4" w:tplc="04090019" w:tentative="1">
      <w:start w:val="1"/>
      <w:numFmt w:val="lowerLetter"/>
      <w:lvlText w:val="%5."/>
      <w:lvlJc w:val="left"/>
      <w:pPr>
        <w:ind w:left="3082" w:hanging="360"/>
      </w:pPr>
    </w:lvl>
    <w:lvl w:ilvl="5" w:tplc="0409001B" w:tentative="1">
      <w:start w:val="1"/>
      <w:numFmt w:val="lowerRoman"/>
      <w:lvlText w:val="%6."/>
      <w:lvlJc w:val="right"/>
      <w:pPr>
        <w:ind w:left="3802" w:hanging="180"/>
      </w:pPr>
    </w:lvl>
    <w:lvl w:ilvl="6" w:tplc="0409000F" w:tentative="1">
      <w:start w:val="1"/>
      <w:numFmt w:val="decimal"/>
      <w:lvlText w:val="%7."/>
      <w:lvlJc w:val="left"/>
      <w:pPr>
        <w:ind w:left="4522" w:hanging="360"/>
      </w:pPr>
    </w:lvl>
    <w:lvl w:ilvl="7" w:tplc="04090019" w:tentative="1">
      <w:start w:val="1"/>
      <w:numFmt w:val="lowerLetter"/>
      <w:lvlText w:val="%8."/>
      <w:lvlJc w:val="left"/>
      <w:pPr>
        <w:ind w:left="5242" w:hanging="360"/>
      </w:pPr>
    </w:lvl>
    <w:lvl w:ilvl="8" w:tplc="0409001B" w:tentative="1">
      <w:start w:val="1"/>
      <w:numFmt w:val="lowerRoman"/>
      <w:lvlText w:val="%9."/>
      <w:lvlJc w:val="right"/>
      <w:pPr>
        <w:ind w:left="5962" w:hanging="180"/>
      </w:pPr>
    </w:lvl>
  </w:abstractNum>
  <w:abstractNum w:abstractNumId="4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8C43B34"/>
    <w:multiLevelType w:val="hybridMultilevel"/>
    <w:tmpl w:val="D79AAAC2"/>
    <w:lvl w:ilvl="0" w:tplc="872E6942">
      <w:start w:val="1"/>
      <w:numFmt w:val="bullet"/>
      <w:pStyle w:val="bulletpara"/>
      <w:lvlText w:val=""/>
      <w:lvlJc w:val="left"/>
      <w:pPr>
        <w:ind w:left="360" w:hanging="360"/>
      </w:pPr>
      <w:rPr>
        <w:rFonts w:ascii="Symbol" w:hAnsi="Symbol"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750153713">
    <w:abstractNumId w:val="35"/>
  </w:num>
  <w:num w:numId="2" w16cid:durableId="925115460">
    <w:abstractNumId w:val="13"/>
  </w:num>
  <w:num w:numId="3" w16cid:durableId="1316450726">
    <w:abstractNumId w:val="30"/>
  </w:num>
  <w:num w:numId="4" w16cid:durableId="146288850">
    <w:abstractNumId w:val="29"/>
  </w:num>
  <w:num w:numId="5" w16cid:durableId="1811745551">
    <w:abstractNumId w:val="21"/>
  </w:num>
  <w:num w:numId="6" w16cid:durableId="294338580">
    <w:abstractNumId w:val="9"/>
  </w:num>
  <w:num w:numId="7" w16cid:durableId="224685708">
    <w:abstractNumId w:val="3"/>
  </w:num>
  <w:num w:numId="8" w16cid:durableId="918516541">
    <w:abstractNumId w:val="32"/>
  </w:num>
  <w:num w:numId="9" w16cid:durableId="839544417">
    <w:abstractNumId w:val="17"/>
  </w:num>
  <w:num w:numId="10" w16cid:durableId="265700505">
    <w:abstractNumId w:val="34"/>
  </w:num>
  <w:num w:numId="11" w16cid:durableId="5332948">
    <w:abstractNumId w:val="16"/>
  </w:num>
  <w:num w:numId="12" w16cid:durableId="2135371213">
    <w:abstractNumId w:val="14"/>
  </w:num>
  <w:num w:numId="13" w16cid:durableId="1629237667">
    <w:abstractNumId w:val="41"/>
    <w:lvlOverride w:ilvl="0">
      <w:startOverride w:val="1"/>
    </w:lvlOverride>
  </w:num>
  <w:num w:numId="14" w16cid:durableId="2061443146">
    <w:abstractNumId w:val="28"/>
  </w:num>
  <w:num w:numId="15" w16cid:durableId="1851991031">
    <w:abstractNumId w:val="22"/>
  </w:num>
  <w:num w:numId="16" w16cid:durableId="461850671">
    <w:abstractNumId w:val="27"/>
  </w:num>
  <w:num w:numId="17" w16cid:durableId="229116000">
    <w:abstractNumId w:val="25"/>
  </w:num>
  <w:num w:numId="18" w16cid:durableId="729958745">
    <w:abstractNumId w:val="7"/>
  </w:num>
  <w:num w:numId="19" w16cid:durableId="329871259">
    <w:abstractNumId w:val="1"/>
  </w:num>
  <w:num w:numId="20" w16cid:durableId="3992113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21586239">
    <w:abstractNumId w:val="6"/>
  </w:num>
  <w:num w:numId="22" w16cid:durableId="69542911">
    <w:abstractNumId w:val="37"/>
  </w:num>
  <w:num w:numId="23" w16cid:durableId="472796558">
    <w:abstractNumId w:val="42"/>
    <w:lvlOverride w:ilvl="0">
      <w:startOverride w:val="1"/>
    </w:lvlOverride>
  </w:num>
  <w:num w:numId="24" w16cid:durableId="1142308685">
    <w:abstractNumId w:val="2"/>
  </w:num>
  <w:num w:numId="25" w16cid:durableId="262035576">
    <w:abstractNumId w:val="11"/>
  </w:num>
  <w:num w:numId="26" w16cid:durableId="184175916">
    <w:abstractNumId w:val="26"/>
  </w:num>
  <w:num w:numId="27" w16cid:durableId="646324794">
    <w:abstractNumId w:val="0"/>
  </w:num>
  <w:num w:numId="28" w16cid:durableId="1770852920">
    <w:abstractNumId w:val="12"/>
  </w:num>
  <w:num w:numId="29" w16cid:durableId="504250533">
    <w:abstractNumId w:val="5"/>
  </w:num>
  <w:num w:numId="30" w16cid:durableId="828446528">
    <w:abstractNumId w:val="38"/>
  </w:num>
  <w:num w:numId="31" w16cid:durableId="1944066430">
    <w:abstractNumId w:val="15"/>
  </w:num>
  <w:num w:numId="32" w16cid:durableId="71972857">
    <w:abstractNumId w:val="36"/>
  </w:num>
  <w:num w:numId="33" w16cid:durableId="926813276">
    <w:abstractNumId w:val="20"/>
  </w:num>
  <w:num w:numId="34" w16cid:durableId="1796023379">
    <w:abstractNumId w:val="24"/>
  </w:num>
  <w:num w:numId="35" w16cid:durableId="1133720196">
    <w:abstractNumId w:val="19"/>
  </w:num>
  <w:num w:numId="36" w16cid:durableId="1866017160">
    <w:abstractNumId w:val="18"/>
  </w:num>
  <w:num w:numId="37" w16cid:durableId="1883863251">
    <w:abstractNumId w:val="10"/>
  </w:num>
  <w:num w:numId="38" w16cid:durableId="206181966">
    <w:abstractNumId w:val="4"/>
  </w:num>
  <w:num w:numId="39" w16cid:durableId="1859271868">
    <w:abstractNumId w:val="45"/>
  </w:num>
  <w:num w:numId="40" w16cid:durableId="1310137180">
    <w:abstractNumId w:val="39"/>
  </w:num>
  <w:num w:numId="41" w16cid:durableId="1333221471">
    <w:abstractNumId w:val="44"/>
  </w:num>
  <w:num w:numId="42" w16cid:durableId="960385107">
    <w:abstractNumId w:val="31"/>
  </w:num>
  <w:num w:numId="43" w16cid:durableId="893932166">
    <w:abstractNumId w:val="43"/>
  </w:num>
  <w:num w:numId="44" w16cid:durableId="323945383">
    <w:abstractNumId w:val="40"/>
  </w:num>
  <w:num w:numId="45" w16cid:durableId="1180506793">
    <w:abstractNumId w:val="10"/>
    <w:lvlOverride w:ilvl="0">
      <w:startOverride w:val="1"/>
    </w:lvlOverride>
  </w:num>
  <w:num w:numId="46" w16cid:durableId="1475489329">
    <w:abstractNumId w:val="39"/>
    <w:lvlOverride w:ilvl="0">
      <w:startOverride w:val="1"/>
    </w:lvlOverride>
  </w:num>
  <w:num w:numId="47" w16cid:durableId="1762027672">
    <w:abstractNumId w:val="33"/>
  </w:num>
  <w:num w:numId="48" w16cid:durableId="1595168543">
    <w:abstractNumId w:val="23"/>
  </w:num>
  <w:num w:numId="49" w16cid:durableId="1881744138">
    <w:abstractNumId w:val="3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2A0"/>
    <w:rsid w:val="00000405"/>
    <w:rsid w:val="000004BB"/>
    <w:rsid w:val="0000051E"/>
    <w:rsid w:val="00000611"/>
    <w:rsid w:val="00000614"/>
    <w:rsid w:val="0000072A"/>
    <w:rsid w:val="0000085C"/>
    <w:rsid w:val="000008D5"/>
    <w:rsid w:val="0000093A"/>
    <w:rsid w:val="0000095E"/>
    <w:rsid w:val="00000AC0"/>
    <w:rsid w:val="00000EC4"/>
    <w:rsid w:val="00000FCC"/>
    <w:rsid w:val="000011D4"/>
    <w:rsid w:val="000012F5"/>
    <w:rsid w:val="00001361"/>
    <w:rsid w:val="00001439"/>
    <w:rsid w:val="00001658"/>
    <w:rsid w:val="00001718"/>
    <w:rsid w:val="00001786"/>
    <w:rsid w:val="00001B38"/>
    <w:rsid w:val="00001BE8"/>
    <w:rsid w:val="00001C39"/>
    <w:rsid w:val="00001D89"/>
    <w:rsid w:val="00002012"/>
    <w:rsid w:val="0000217F"/>
    <w:rsid w:val="00002487"/>
    <w:rsid w:val="00002495"/>
    <w:rsid w:val="000026B9"/>
    <w:rsid w:val="00002A90"/>
    <w:rsid w:val="00002AD5"/>
    <w:rsid w:val="00002DA1"/>
    <w:rsid w:val="00002F0D"/>
    <w:rsid w:val="00002FBE"/>
    <w:rsid w:val="00003007"/>
    <w:rsid w:val="0000301F"/>
    <w:rsid w:val="000030E2"/>
    <w:rsid w:val="0000313F"/>
    <w:rsid w:val="00003336"/>
    <w:rsid w:val="000033EE"/>
    <w:rsid w:val="000035BD"/>
    <w:rsid w:val="00003908"/>
    <w:rsid w:val="00003DD4"/>
    <w:rsid w:val="00003FF9"/>
    <w:rsid w:val="000041A4"/>
    <w:rsid w:val="00004817"/>
    <w:rsid w:val="00004C3F"/>
    <w:rsid w:val="00004D25"/>
    <w:rsid w:val="0000500F"/>
    <w:rsid w:val="00005052"/>
    <w:rsid w:val="0000512A"/>
    <w:rsid w:val="00005218"/>
    <w:rsid w:val="000052F1"/>
    <w:rsid w:val="000052F2"/>
    <w:rsid w:val="000054FF"/>
    <w:rsid w:val="000056D0"/>
    <w:rsid w:val="000056F5"/>
    <w:rsid w:val="00005954"/>
    <w:rsid w:val="00005BE9"/>
    <w:rsid w:val="00005C0D"/>
    <w:rsid w:val="000060F1"/>
    <w:rsid w:val="000063B6"/>
    <w:rsid w:val="00006497"/>
    <w:rsid w:val="000066B0"/>
    <w:rsid w:val="000066C9"/>
    <w:rsid w:val="000067F5"/>
    <w:rsid w:val="00006A94"/>
    <w:rsid w:val="00006ADB"/>
    <w:rsid w:val="00006C00"/>
    <w:rsid w:val="00006C62"/>
    <w:rsid w:val="00006D86"/>
    <w:rsid w:val="00006E00"/>
    <w:rsid w:val="00006F82"/>
    <w:rsid w:val="00006FAC"/>
    <w:rsid w:val="0000707A"/>
    <w:rsid w:val="000071ED"/>
    <w:rsid w:val="0000731C"/>
    <w:rsid w:val="0000737E"/>
    <w:rsid w:val="000074B8"/>
    <w:rsid w:val="00007527"/>
    <w:rsid w:val="00007536"/>
    <w:rsid w:val="00007852"/>
    <w:rsid w:val="000078AA"/>
    <w:rsid w:val="00007B82"/>
    <w:rsid w:val="00007D36"/>
    <w:rsid w:val="00010099"/>
    <w:rsid w:val="000101D9"/>
    <w:rsid w:val="0001025C"/>
    <w:rsid w:val="0001043E"/>
    <w:rsid w:val="0001054E"/>
    <w:rsid w:val="000107E6"/>
    <w:rsid w:val="00010A23"/>
    <w:rsid w:val="00010A25"/>
    <w:rsid w:val="00010F22"/>
    <w:rsid w:val="000110CC"/>
    <w:rsid w:val="00011171"/>
    <w:rsid w:val="00011177"/>
    <w:rsid w:val="00011193"/>
    <w:rsid w:val="000111BA"/>
    <w:rsid w:val="000114E8"/>
    <w:rsid w:val="000114EB"/>
    <w:rsid w:val="000115B3"/>
    <w:rsid w:val="00011754"/>
    <w:rsid w:val="00011998"/>
    <w:rsid w:val="00011AB3"/>
    <w:rsid w:val="00011ABF"/>
    <w:rsid w:val="00011BE2"/>
    <w:rsid w:val="00011C8A"/>
    <w:rsid w:val="00011CC4"/>
    <w:rsid w:val="00011EFB"/>
    <w:rsid w:val="000124FE"/>
    <w:rsid w:val="0001267F"/>
    <w:rsid w:val="000128BF"/>
    <w:rsid w:val="00012A7F"/>
    <w:rsid w:val="00012DDF"/>
    <w:rsid w:val="000130D2"/>
    <w:rsid w:val="000131A1"/>
    <w:rsid w:val="0001339E"/>
    <w:rsid w:val="000138E1"/>
    <w:rsid w:val="000138F4"/>
    <w:rsid w:val="00013A84"/>
    <w:rsid w:val="00013D78"/>
    <w:rsid w:val="00013E64"/>
    <w:rsid w:val="00013FAE"/>
    <w:rsid w:val="00014320"/>
    <w:rsid w:val="0001447D"/>
    <w:rsid w:val="00014557"/>
    <w:rsid w:val="000147E2"/>
    <w:rsid w:val="0001491F"/>
    <w:rsid w:val="00014CC8"/>
    <w:rsid w:val="00014D9D"/>
    <w:rsid w:val="00014E8E"/>
    <w:rsid w:val="00014F04"/>
    <w:rsid w:val="00015069"/>
    <w:rsid w:val="000152B9"/>
    <w:rsid w:val="000156E8"/>
    <w:rsid w:val="00015D15"/>
    <w:rsid w:val="00015E01"/>
    <w:rsid w:val="000162E0"/>
    <w:rsid w:val="000163F0"/>
    <w:rsid w:val="000165CC"/>
    <w:rsid w:val="000166E3"/>
    <w:rsid w:val="0001680B"/>
    <w:rsid w:val="0001683E"/>
    <w:rsid w:val="00016910"/>
    <w:rsid w:val="0001696B"/>
    <w:rsid w:val="00016A37"/>
    <w:rsid w:val="00016B44"/>
    <w:rsid w:val="00016B9E"/>
    <w:rsid w:val="000170C9"/>
    <w:rsid w:val="000173BB"/>
    <w:rsid w:val="0001752B"/>
    <w:rsid w:val="00017540"/>
    <w:rsid w:val="000176A6"/>
    <w:rsid w:val="00017C67"/>
    <w:rsid w:val="00017C8C"/>
    <w:rsid w:val="00017D73"/>
    <w:rsid w:val="00017E4E"/>
    <w:rsid w:val="00017E94"/>
    <w:rsid w:val="00017EA3"/>
    <w:rsid w:val="00017F16"/>
    <w:rsid w:val="000200DB"/>
    <w:rsid w:val="000202C7"/>
    <w:rsid w:val="00020881"/>
    <w:rsid w:val="000208A9"/>
    <w:rsid w:val="000208B4"/>
    <w:rsid w:val="0002096E"/>
    <w:rsid w:val="00020A89"/>
    <w:rsid w:val="00020B47"/>
    <w:rsid w:val="00020CB1"/>
    <w:rsid w:val="00020E89"/>
    <w:rsid w:val="00020E95"/>
    <w:rsid w:val="00020ECB"/>
    <w:rsid w:val="00021032"/>
    <w:rsid w:val="000214D9"/>
    <w:rsid w:val="00021644"/>
    <w:rsid w:val="0002167A"/>
    <w:rsid w:val="000216A6"/>
    <w:rsid w:val="00021B35"/>
    <w:rsid w:val="00021F13"/>
    <w:rsid w:val="000220EB"/>
    <w:rsid w:val="00022114"/>
    <w:rsid w:val="00022461"/>
    <w:rsid w:val="00022547"/>
    <w:rsid w:val="00022572"/>
    <w:rsid w:val="000228F0"/>
    <w:rsid w:val="00022A15"/>
    <w:rsid w:val="00022A5C"/>
    <w:rsid w:val="00022AB0"/>
    <w:rsid w:val="00022B22"/>
    <w:rsid w:val="00023073"/>
    <w:rsid w:val="00023193"/>
    <w:rsid w:val="000231BC"/>
    <w:rsid w:val="00023201"/>
    <w:rsid w:val="000233B6"/>
    <w:rsid w:val="000234E3"/>
    <w:rsid w:val="00023611"/>
    <w:rsid w:val="00023700"/>
    <w:rsid w:val="00023886"/>
    <w:rsid w:val="000238D4"/>
    <w:rsid w:val="00023985"/>
    <w:rsid w:val="00023C5C"/>
    <w:rsid w:val="00023CA5"/>
    <w:rsid w:val="00023D52"/>
    <w:rsid w:val="00024022"/>
    <w:rsid w:val="000243D5"/>
    <w:rsid w:val="000247FC"/>
    <w:rsid w:val="00024896"/>
    <w:rsid w:val="00024A06"/>
    <w:rsid w:val="00024A3E"/>
    <w:rsid w:val="00024AF3"/>
    <w:rsid w:val="00024B0B"/>
    <w:rsid w:val="00024C0E"/>
    <w:rsid w:val="00024D51"/>
    <w:rsid w:val="00024E1E"/>
    <w:rsid w:val="00025411"/>
    <w:rsid w:val="00025430"/>
    <w:rsid w:val="000254F6"/>
    <w:rsid w:val="0002563D"/>
    <w:rsid w:val="00025906"/>
    <w:rsid w:val="00025B1C"/>
    <w:rsid w:val="00025C94"/>
    <w:rsid w:val="00025CD6"/>
    <w:rsid w:val="00025EE6"/>
    <w:rsid w:val="00026144"/>
    <w:rsid w:val="000262C3"/>
    <w:rsid w:val="00026394"/>
    <w:rsid w:val="000265B4"/>
    <w:rsid w:val="0002669C"/>
    <w:rsid w:val="00026869"/>
    <w:rsid w:val="000268DB"/>
    <w:rsid w:val="000268F9"/>
    <w:rsid w:val="00026A63"/>
    <w:rsid w:val="00026BD3"/>
    <w:rsid w:val="00026E95"/>
    <w:rsid w:val="00026EE3"/>
    <w:rsid w:val="0002707E"/>
    <w:rsid w:val="000272DB"/>
    <w:rsid w:val="0002737D"/>
    <w:rsid w:val="000273B0"/>
    <w:rsid w:val="00027400"/>
    <w:rsid w:val="000274F3"/>
    <w:rsid w:val="000276E5"/>
    <w:rsid w:val="00027ACB"/>
    <w:rsid w:val="00027EFC"/>
    <w:rsid w:val="00027FBC"/>
    <w:rsid w:val="0003002B"/>
    <w:rsid w:val="00030287"/>
    <w:rsid w:val="000302CE"/>
    <w:rsid w:val="00030408"/>
    <w:rsid w:val="00030576"/>
    <w:rsid w:val="000305AF"/>
    <w:rsid w:val="00030632"/>
    <w:rsid w:val="0003074D"/>
    <w:rsid w:val="00030763"/>
    <w:rsid w:val="00030A60"/>
    <w:rsid w:val="00030AA1"/>
    <w:rsid w:val="00030C9E"/>
    <w:rsid w:val="00030E96"/>
    <w:rsid w:val="00031064"/>
    <w:rsid w:val="00031176"/>
    <w:rsid w:val="00031577"/>
    <w:rsid w:val="00031855"/>
    <w:rsid w:val="00031A99"/>
    <w:rsid w:val="00031D43"/>
    <w:rsid w:val="00031F9C"/>
    <w:rsid w:val="00032047"/>
    <w:rsid w:val="000320B6"/>
    <w:rsid w:val="000321EA"/>
    <w:rsid w:val="0003227A"/>
    <w:rsid w:val="000323BF"/>
    <w:rsid w:val="000326EC"/>
    <w:rsid w:val="00032872"/>
    <w:rsid w:val="00032979"/>
    <w:rsid w:val="00032D02"/>
    <w:rsid w:val="00032D3D"/>
    <w:rsid w:val="00033068"/>
    <w:rsid w:val="00033258"/>
    <w:rsid w:val="00033346"/>
    <w:rsid w:val="000335BB"/>
    <w:rsid w:val="000335D9"/>
    <w:rsid w:val="0003371B"/>
    <w:rsid w:val="000337DA"/>
    <w:rsid w:val="000338F9"/>
    <w:rsid w:val="00033B47"/>
    <w:rsid w:val="00033FE9"/>
    <w:rsid w:val="00034086"/>
    <w:rsid w:val="000341E1"/>
    <w:rsid w:val="00034296"/>
    <w:rsid w:val="000343DF"/>
    <w:rsid w:val="00034439"/>
    <w:rsid w:val="000344C5"/>
    <w:rsid w:val="0003463F"/>
    <w:rsid w:val="0003474F"/>
    <w:rsid w:val="0003486F"/>
    <w:rsid w:val="000348D6"/>
    <w:rsid w:val="000348E5"/>
    <w:rsid w:val="00034935"/>
    <w:rsid w:val="00034B38"/>
    <w:rsid w:val="00034CA9"/>
    <w:rsid w:val="00034EDE"/>
    <w:rsid w:val="00034FF3"/>
    <w:rsid w:val="00035006"/>
    <w:rsid w:val="00035323"/>
    <w:rsid w:val="00035445"/>
    <w:rsid w:val="00035572"/>
    <w:rsid w:val="00035C48"/>
    <w:rsid w:val="00035DB4"/>
    <w:rsid w:val="00035E46"/>
    <w:rsid w:val="00036238"/>
    <w:rsid w:val="000362CC"/>
    <w:rsid w:val="000364CA"/>
    <w:rsid w:val="0003664A"/>
    <w:rsid w:val="00036BB1"/>
    <w:rsid w:val="00036C7C"/>
    <w:rsid w:val="00036CC3"/>
    <w:rsid w:val="00036D8D"/>
    <w:rsid w:val="00036DC4"/>
    <w:rsid w:val="00036F89"/>
    <w:rsid w:val="0003712B"/>
    <w:rsid w:val="0003729A"/>
    <w:rsid w:val="000372A1"/>
    <w:rsid w:val="000375BF"/>
    <w:rsid w:val="000376CC"/>
    <w:rsid w:val="00037899"/>
    <w:rsid w:val="000379F7"/>
    <w:rsid w:val="00037B4C"/>
    <w:rsid w:val="00037C08"/>
    <w:rsid w:val="00037DAD"/>
    <w:rsid w:val="00037EF2"/>
    <w:rsid w:val="00037F75"/>
    <w:rsid w:val="000400D7"/>
    <w:rsid w:val="000403BF"/>
    <w:rsid w:val="000403F2"/>
    <w:rsid w:val="000405B7"/>
    <w:rsid w:val="000406D3"/>
    <w:rsid w:val="000406DE"/>
    <w:rsid w:val="000407B0"/>
    <w:rsid w:val="00040A69"/>
    <w:rsid w:val="00040C66"/>
    <w:rsid w:val="00040D56"/>
    <w:rsid w:val="00040DDF"/>
    <w:rsid w:val="0004112D"/>
    <w:rsid w:val="00041413"/>
    <w:rsid w:val="00041770"/>
    <w:rsid w:val="000417FA"/>
    <w:rsid w:val="00041968"/>
    <w:rsid w:val="000419B2"/>
    <w:rsid w:val="00041D16"/>
    <w:rsid w:val="00041FB7"/>
    <w:rsid w:val="00042435"/>
    <w:rsid w:val="00042832"/>
    <w:rsid w:val="00042BD9"/>
    <w:rsid w:val="00042C8D"/>
    <w:rsid w:val="00042F6E"/>
    <w:rsid w:val="00042FAE"/>
    <w:rsid w:val="000430F7"/>
    <w:rsid w:val="0004312D"/>
    <w:rsid w:val="00043257"/>
    <w:rsid w:val="00043618"/>
    <w:rsid w:val="00043667"/>
    <w:rsid w:val="000438D3"/>
    <w:rsid w:val="00043AAB"/>
    <w:rsid w:val="00043B00"/>
    <w:rsid w:val="00043C27"/>
    <w:rsid w:val="00043D73"/>
    <w:rsid w:val="00043DAB"/>
    <w:rsid w:val="00043E37"/>
    <w:rsid w:val="00043E40"/>
    <w:rsid w:val="00043E70"/>
    <w:rsid w:val="00043ED8"/>
    <w:rsid w:val="00044140"/>
    <w:rsid w:val="000447D4"/>
    <w:rsid w:val="00044860"/>
    <w:rsid w:val="00044A32"/>
    <w:rsid w:val="00044DB6"/>
    <w:rsid w:val="000451EA"/>
    <w:rsid w:val="00045208"/>
    <w:rsid w:val="00045221"/>
    <w:rsid w:val="000453EB"/>
    <w:rsid w:val="00045526"/>
    <w:rsid w:val="0004564B"/>
    <w:rsid w:val="00045652"/>
    <w:rsid w:val="00045719"/>
    <w:rsid w:val="000457A8"/>
    <w:rsid w:val="00045958"/>
    <w:rsid w:val="00045BA7"/>
    <w:rsid w:val="00045C62"/>
    <w:rsid w:val="00045CAC"/>
    <w:rsid w:val="00046027"/>
    <w:rsid w:val="00046047"/>
    <w:rsid w:val="000463BF"/>
    <w:rsid w:val="0004665A"/>
    <w:rsid w:val="000467F0"/>
    <w:rsid w:val="00046A84"/>
    <w:rsid w:val="00046AE0"/>
    <w:rsid w:val="000471D9"/>
    <w:rsid w:val="0004754D"/>
    <w:rsid w:val="000475A9"/>
    <w:rsid w:val="0004783F"/>
    <w:rsid w:val="00050016"/>
    <w:rsid w:val="0005020A"/>
    <w:rsid w:val="0005043D"/>
    <w:rsid w:val="000506D8"/>
    <w:rsid w:val="000506E7"/>
    <w:rsid w:val="00050E58"/>
    <w:rsid w:val="0005107C"/>
    <w:rsid w:val="00051709"/>
    <w:rsid w:val="00051781"/>
    <w:rsid w:val="00051802"/>
    <w:rsid w:val="0005184E"/>
    <w:rsid w:val="000519CA"/>
    <w:rsid w:val="00051A21"/>
    <w:rsid w:val="00051B07"/>
    <w:rsid w:val="00051F23"/>
    <w:rsid w:val="000522FD"/>
    <w:rsid w:val="000526C4"/>
    <w:rsid w:val="00052F52"/>
    <w:rsid w:val="000530D0"/>
    <w:rsid w:val="0005361C"/>
    <w:rsid w:val="00053681"/>
    <w:rsid w:val="000536E8"/>
    <w:rsid w:val="0005371B"/>
    <w:rsid w:val="00053785"/>
    <w:rsid w:val="000537EC"/>
    <w:rsid w:val="0005384B"/>
    <w:rsid w:val="000538E9"/>
    <w:rsid w:val="00053AF1"/>
    <w:rsid w:val="00053BAF"/>
    <w:rsid w:val="00053BEC"/>
    <w:rsid w:val="00053D4A"/>
    <w:rsid w:val="00053DE5"/>
    <w:rsid w:val="00053F8F"/>
    <w:rsid w:val="000541E5"/>
    <w:rsid w:val="0005461A"/>
    <w:rsid w:val="000546A2"/>
    <w:rsid w:val="00054C22"/>
    <w:rsid w:val="000555C1"/>
    <w:rsid w:val="00055675"/>
    <w:rsid w:val="00055AB1"/>
    <w:rsid w:val="00055B4B"/>
    <w:rsid w:val="00055BF9"/>
    <w:rsid w:val="00055DAA"/>
    <w:rsid w:val="00055DCD"/>
    <w:rsid w:val="00055E09"/>
    <w:rsid w:val="00055F82"/>
    <w:rsid w:val="00055FE3"/>
    <w:rsid w:val="000561E6"/>
    <w:rsid w:val="00056385"/>
    <w:rsid w:val="000564A1"/>
    <w:rsid w:val="00056693"/>
    <w:rsid w:val="000567E0"/>
    <w:rsid w:val="00056811"/>
    <w:rsid w:val="00056846"/>
    <w:rsid w:val="0005685F"/>
    <w:rsid w:val="00056A15"/>
    <w:rsid w:val="00056AFA"/>
    <w:rsid w:val="00056B95"/>
    <w:rsid w:val="00056CA9"/>
    <w:rsid w:val="00056F63"/>
    <w:rsid w:val="00057195"/>
    <w:rsid w:val="00057482"/>
    <w:rsid w:val="00057609"/>
    <w:rsid w:val="00057945"/>
    <w:rsid w:val="0005795A"/>
    <w:rsid w:val="00057AD4"/>
    <w:rsid w:val="00057DA9"/>
    <w:rsid w:val="00057DE2"/>
    <w:rsid w:val="00057E6D"/>
    <w:rsid w:val="00060261"/>
    <w:rsid w:val="0006036F"/>
    <w:rsid w:val="00060476"/>
    <w:rsid w:val="00060B1F"/>
    <w:rsid w:val="00060C03"/>
    <w:rsid w:val="00060DCF"/>
    <w:rsid w:val="00060DDA"/>
    <w:rsid w:val="00060E23"/>
    <w:rsid w:val="0006115A"/>
    <w:rsid w:val="00061186"/>
    <w:rsid w:val="00061381"/>
    <w:rsid w:val="00061562"/>
    <w:rsid w:val="00061710"/>
    <w:rsid w:val="00061840"/>
    <w:rsid w:val="00061860"/>
    <w:rsid w:val="000618C6"/>
    <w:rsid w:val="00061927"/>
    <w:rsid w:val="000619D1"/>
    <w:rsid w:val="000619DA"/>
    <w:rsid w:val="00061A10"/>
    <w:rsid w:val="00061BEC"/>
    <w:rsid w:val="00061C5D"/>
    <w:rsid w:val="00061DA1"/>
    <w:rsid w:val="00061E89"/>
    <w:rsid w:val="00061F7D"/>
    <w:rsid w:val="00061FCB"/>
    <w:rsid w:val="00062277"/>
    <w:rsid w:val="00062641"/>
    <w:rsid w:val="000627B0"/>
    <w:rsid w:val="00063017"/>
    <w:rsid w:val="000631ED"/>
    <w:rsid w:val="0006385D"/>
    <w:rsid w:val="00063914"/>
    <w:rsid w:val="00063B1B"/>
    <w:rsid w:val="00063C52"/>
    <w:rsid w:val="00063E44"/>
    <w:rsid w:val="00063F36"/>
    <w:rsid w:val="00064068"/>
    <w:rsid w:val="000642D5"/>
    <w:rsid w:val="00064391"/>
    <w:rsid w:val="00064894"/>
    <w:rsid w:val="0006499E"/>
    <w:rsid w:val="00064B35"/>
    <w:rsid w:val="00064B64"/>
    <w:rsid w:val="00064C22"/>
    <w:rsid w:val="00064C71"/>
    <w:rsid w:val="00064F42"/>
    <w:rsid w:val="00064F9D"/>
    <w:rsid w:val="000650A2"/>
    <w:rsid w:val="000650C1"/>
    <w:rsid w:val="00065108"/>
    <w:rsid w:val="000652D9"/>
    <w:rsid w:val="0006542C"/>
    <w:rsid w:val="00065680"/>
    <w:rsid w:val="000658DD"/>
    <w:rsid w:val="00065B33"/>
    <w:rsid w:val="00065B43"/>
    <w:rsid w:val="00065BC4"/>
    <w:rsid w:val="00065BC7"/>
    <w:rsid w:val="00065C32"/>
    <w:rsid w:val="00065C71"/>
    <w:rsid w:val="00065C93"/>
    <w:rsid w:val="00065DC0"/>
    <w:rsid w:val="00065E3F"/>
    <w:rsid w:val="00066054"/>
    <w:rsid w:val="00066074"/>
    <w:rsid w:val="0006609C"/>
    <w:rsid w:val="0006622E"/>
    <w:rsid w:val="000667F9"/>
    <w:rsid w:val="00066894"/>
    <w:rsid w:val="000669D3"/>
    <w:rsid w:val="00066A1B"/>
    <w:rsid w:val="00066A82"/>
    <w:rsid w:val="00066C73"/>
    <w:rsid w:val="00066FFE"/>
    <w:rsid w:val="0006708A"/>
    <w:rsid w:val="00067201"/>
    <w:rsid w:val="0006727A"/>
    <w:rsid w:val="00067520"/>
    <w:rsid w:val="0006753F"/>
    <w:rsid w:val="000675B4"/>
    <w:rsid w:val="00067964"/>
    <w:rsid w:val="00067A64"/>
    <w:rsid w:val="00067AD8"/>
    <w:rsid w:val="00067CCE"/>
    <w:rsid w:val="00067DA7"/>
    <w:rsid w:val="00067DFB"/>
    <w:rsid w:val="000701D4"/>
    <w:rsid w:val="00070248"/>
    <w:rsid w:val="00070485"/>
    <w:rsid w:val="0007059B"/>
    <w:rsid w:val="0007080A"/>
    <w:rsid w:val="00070C0E"/>
    <w:rsid w:val="00070CFC"/>
    <w:rsid w:val="00071079"/>
    <w:rsid w:val="000714AD"/>
    <w:rsid w:val="000714C7"/>
    <w:rsid w:val="0007164E"/>
    <w:rsid w:val="000717E0"/>
    <w:rsid w:val="000718D3"/>
    <w:rsid w:val="00071B5B"/>
    <w:rsid w:val="00071C1C"/>
    <w:rsid w:val="000720E7"/>
    <w:rsid w:val="00072157"/>
    <w:rsid w:val="000721F7"/>
    <w:rsid w:val="0007222B"/>
    <w:rsid w:val="00072268"/>
    <w:rsid w:val="0007226D"/>
    <w:rsid w:val="000723F3"/>
    <w:rsid w:val="00072457"/>
    <w:rsid w:val="000726EC"/>
    <w:rsid w:val="00072CCB"/>
    <w:rsid w:val="00072E6E"/>
    <w:rsid w:val="00073422"/>
    <w:rsid w:val="0007376A"/>
    <w:rsid w:val="0007381A"/>
    <w:rsid w:val="00073896"/>
    <w:rsid w:val="00073FC4"/>
    <w:rsid w:val="0007402E"/>
    <w:rsid w:val="00074036"/>
    <w:rsid w:val="00074190"/>
    <w:rsid w:val="0007429F"/>
    <w:rsid w:val="00074306"/>
    <w:rsid w:val="0007456C"/>
    <w:rsid w:val="00074730"/>
    <w:rsid w:val="000747E4"/>
    <w:rsid w:val="00074856"/>
    <w:rsid w:val="00074A51"/>
    <w:rsid w:val="00074A75"/>
    <w:rsid w:val="00074CF2"/>
    <w:rsid w:val="00074DAB"/>
    <w:rsid w:val="00074EE9"/>
    <w:rsid w:val="00074EFC"/>
    <w:rsid w:val="00074FA4"/>
    <w:rsid w:val="00075037"/>
    <w:rsid w:val="00075104"/>
    <w:rsid w:val="0007517F"/>
    <w:rsid w:val="00075533"/>
    <w:rsid w:val="0007574A"/>
    <w:rsid w:val="00075860"/>
    <w:rsid w:val="00075CB4"/>
    <w:rsid w:val="00075E72"/>
    <w:rsid w:val="0007603A"/>
    <w:rsid w:val="0007603C"/>
    <w:rsid w:val="000760D7"/>
    <w:rsid w:val="00076A57"/>
    <w:rsid w:val="00076BA8"/>
    <w:rsid w:val="00076D10"/>
    <w:rsid w:val="00076D61"/>
    <w:rsid w:val="0007711B"/>
    <w:rsid w:val="00077319"/>
    <w:rsid w:val="000773C9"/>
    <w:rsid w:val="0007749F"/>
    <w:rsid w:val="0007757A"/>
    <w:rsid w:val="00077582"/>
    <w:rsid w:val="000775B6"/>
    <w:rsid w:val="000779F5"/>
    <w:rsid w:val="00077A99"/>
    <w:rsid w:val="00077B0A"/>
    <w:rsid w:val="00077ED5"/>
    <w:rsid w:val="00077F9A"/>
    <w:rsid w:val="00077FB3"/>
    <w:rsid w:val="000800C1"/>
    <w:rsid w:val="000803C9"/>
    <w:rsid w:val="000805AA"/>
    <w:rsid w:val="000807F9"/>
    <w:rsid w:val="00080BB4"/>
    <w:rsid w:val="00080F09"/>
    <w:rsid w:val="0008109C"/>
    <w:rsid w:val="0008167C"/>
    <w:rsid w:val="00081721"/>
    <w:rsid w:val="000817DB"/>
    <w:rsid w:val="00081967"/>
    <w:rsid w:val="00081D93"/>
    <w:rsid w:val="000821D0"/>
    <w:rsid w:val="00082275"/>
    <w:rsid w:val="0008227B"/>
    <w:rsid w:val="00082420"/>
    <w:rsid w:val="00082B67"/>
    <w:rsid w:val="000830BE"/>
    <w:rsid w:val="000832A6"/>
    <w:rsid w:val="00083519"/>
    <w:rsid w:val="00083997"/>
    <w:rsid w:val="00083BCA"/>
    <w:rsid w:val="00083BCF"/>
    <w:rsid w:val="00083C3A"/>
    <w:rsid w:val="00083CC4"/>
    <w:rsid w:val="00083D45"/>
    <w:rsid w:val="00083F00"/>
    <w:rsid w:val="00083F12"/>
    <w:rsid w:val="00083F90"/>
    <w:rsid w:val="00083FBD"/>
    <w:rsid w:val="00083FD0"/>
    <w:rsid w:val="00084506"/>
    <w:rsid w:val="00084681"/>
    <w:rsid w:val="00084746"/>
    <w:rsid w:val="000849DA"/>
    <w:rsid w:val="00084BDE"/>
    <w:rsid w:val="00084DDC"/>
    <w:rsid w:val="00084E7D"/>
    <w:rsid w:val="00085031"/>
    <w:rsid w:val="00085379"/>
    <w:rsid w:val="00085524"/>
    <w:rsid w:val="0008561D"/>
    <w:rsid w:val="00085630"/>
    <w:rsid w:val="000856C3"/>
    <w:rsid w:val="00085827"/>
    <w:rsid w:val="0008582F"/>
    <w:rsid w:val="000858DB"/>
    <w:rsid w:val="000859BC"/>
    <w:rsid w:val="00085BC6"/>
    <w:rsid w:val="00085D11"/>
    <w:rsid w:val="00085DDE"/>
    <w:rsid w:val="000861D5"/>
    <w:rsid w:val="000864EF"/>
    <w:rsid w:val="000867B6"/>
    <w:rsid w:val="000867BF"/>
    <w:rsid w:val="00086805"/>
    <w:rsid w:val="0008693F"/>
    <w:rsid w:val="00086A1B"/>
    <w:rsid w:val="00086A5C"/>
    <w:rsid w:val="0008705E"/>
    <w:rsid w:val="000870A0"/>
    <w:rsid w:val="000870D4"/>
    <w:rsid w:val="000871BE"/>
    <w:rsid w:val="00087273"/>
    <w:rsid w:val="000874C3"/>
    <w:rsid w:val="00087702"/>
    <w:rsid w:val="00087715"/>
    <w:rsid w:val="000879BB"/>
    <w:rsid w:val="000879FE"/>
    <w:rsid w:val="00087A09"/>
    <w:rsid w:val="00087B47"/>
    <w:rsid w:val="00087C48"/>
    <w:rsid w:val="00087D93"/>
    <w:rsid w:val="00087F79"/>
    <w:rsid w:val="000902F2"/>
    <w:rsid w:val="0009051E"/>
    <w:rsid w:val="000907F3"/>
    <w:rsid w:val="000908B4"/>
    <w:rsid w:val="000908D5"/>
    <w:rsid w:val="00090937"/>
    <w:rsid w:val="000909E1"/>
    <w:rsid w:val="00090AE7"/>
    <w:rsid w:val="00090D4C"/>
    <w:rsid w:val="00090DA6"/>
    <w:rsid w:val="00091006"/>
    <w:rsid w:val="00091139"/>
    <w:rsid w:val="0009120B"/>
    <w:rsid w:val="000914D1"/>
    <w:rsid w:val="000915EB"/>
    <w:rsid w:val="000918A8"/>
    <w:rsid w:val="000918F0"/>
    <w:rsid w:val="00091B59"/>
    <w:rsid w:val="00091CF2"/>
    <w:rsid w:val="00091E48"/>
    <w:rsid w:val="00091F76"/>
    <w:rsid w:val="000920E8"/>
    <w:rsid w:val="0009236B"/>
    <w:rsid w:val="000923EA"/>
    <w:rsid w:val="00092435"/>
    <w:rsid w:val="00092644"/>
    <w:rsid w:val="00092923"/>
    <w:rsid w:val="0009292E"/>
    <w:rsid w:val="00092A41"/>
    <w:rsid w:val="00092B26"/>
    <w:rsid w:val="00092BB0"/>
    <w:rsid w:val="00093053"/>
    <w:rsid w:val="00093155"/>
    <w:rsid w:val="00093309"/>
    <w:rsid w:val="000933CD"/>
    <w:rsid w:val="000935AD"/>
    <w:rsid w:val="00093660"/>
    <w:rsid w:val="00093679"/>
    <w:rsid w:val="000936AE"/>
    <w:rsid w:val="000939C9"/>
    <w:rsid w:val="000939E9"/>
    <w:rsid w:val="00093DA8"/>
    <w:rsid w:val="00093E11"/>
    <w:rsid w:val="00093FCA"/>
    <w:rsid w:val="000943E5"/>
    <w:rsid w:val="000944A2"/>
    <w:rsid w:val="000945ED"/>
    <w:rsid w:val="000947CD"/>
    <w:rsid w:val="0009489D"/>
    <w:rsid w:val="00094A64"/>
    <w:rsid w:val="00094CC5"/>
    <w:rsid w:val="00094FEE"/>
    <w:rsid w:val="000951F6"/>
    <w:rsid w:val="000952A9"/>
    <w:rsid w:val="0009531F"/>
    <w:rsid w:val="00095613"/>
    <w:rsid w:val="000956E2"/>
    <w:rsid w:val="000956F1"/>
    <w:rsid w:val="00095AE9"/>
    <w:rsid w:val="00095BF9"/>
    <w:rsid w:val="00095C6D"/>
    <w:rsid w:val="00095C73"/>
    <w:rsid w:val="00095D08"/>
    <w:rsid w:val="00095D2E"/>
    <w:rsid w:val="00095FE2"/>
    <w:rsid w:val="00096682"/>
    <w:rsid w:val="000967F1"/>
    <w:rsid w:val="00096859"/>
    <w:rsid w:val="00096887"/>
    <w:rsid w:val="00096AE0"/>
    <w:rsid w:val="00096B3D"/>
    <w:rsid w:val="00096BE1"/>
    <w:rsid w:val="00096D99"/>
    <w:rsid w:val="00096F0E"/>
    <w:rsid w:val="00096F71"/>
    <w:rsid w:val="00097108"/>
    <w:rsid w:val="00097229"/>
    <w:rsid w:val="00097390"/>
    <w:rsid w:val="000973A1"/>
    <w:rsid w:val="0009747B"/>
    <w:rsid w:val="000975E1"/>
    <w:rsid w:val="000975F5"/>
    <w:rsid w:val="00097622"/>
    <w:rsid w:val="000976D5"/>
    <w:rsid w:val="00097AFE"/>
    <w:rsid w:val="00097C57"/>
    <w:rsid w:val="00097D19"/>
    <w:rsid w:val="00097FE1"/>
    <w:rsid w:val="000A01DE"/>
    <w:rsid w:val="000A0213"/>
    <w:rsid w:val="000A03DE"/>
    <w:rsid w:val="000A05AB"/>
    <w:rsid w:val="000A0697"/>
    <w:rsid w:val="000A07E4"/>
    <w:rsid w:val="000A0A98"/>
    <w:rsid w:val="000A0D48"/>
    <w:rsid w:val="000A1201"/>
    <w:rsid w:val="000A1266"/>
    <w:rsid w:val="000A1568"/>
    <w:rsid w:val="000A1591"/>
    <w:rsid w:val="000A1642"/>
    <w:rsid w:val="000A17F8"/>
    <w:rsid w:val="000A180F"/>
    <w:rsid w:val="000A1822"/>
    <w:rsid w:val="000A19C2"/>
    <w:rsid w:val="000A1A12"/>
    <w:rsid w:val="000A1A92"/>
    <w:rsid w:val="000A1BF9"/>
    <w:rsid w:val="000A1C33"/>
    <w:rsid w:val="000A1D16"/>
    <w:rsid w:val="000A1E66"/>
    <w:rsid w:val="000A2259"/>
    <w:rsid w:val="000A2262"/>
    <w:rsid w:val="000A251C"/>
    <w:rsid w:val="000A2789"/>
    <w:rsid w:val="000A2A3E"/>
    <w:rsid w:val="000A30C5"/>
    <w:rsid w:val="000A3206"/>
    <w:rsid w:val="000A32F5"/>
    <w:rsid w:val="000A3363"/>
    <w:rsid w:val="000A33E8"/>
    <w:rsid w:val="000A384B"/>
    <w:rsid w:val="000A3896"/>
    <w:rsid w:val="000A38C0"/>
    <w:rsid w:val="000A3A42"/>
    <w:rsid w:val="000A3BA3"/>
    <w:rsid w:val="000A3C56"/>
    <w:rsid w:val="000A3D67"/>
    <w:rsid w:val="000A404C"/>
    <w:rsid w:val="000A41F2"/>
    <w:rsid w:val="000A4218"/>
    <w:rsid w:val="000A4615"/>
    <w:rsid w:val="000A463C"/>
    <w:rsid w:val="000A46B7"/>
    <w:rsid w:val="000A489E"/>
    <w:rsid w:val="000A48D2"/>
    <w:rsid w:val="000A4943"/>
    <w:rsid w:val="000A4BDB"/>
    <w:rsid w:val="000A4C33"/>
    <w:rsid w:val="000A4CC8"/>
    <w:rsid w:val="000A4FFA"/>
    <w:rsid w:val="000A509E"/>
    <w:rsid w:val="000A5415"/>
    <w:rsid w:val="000A549B"/>
    <w:rsid w:val="000A54A0"/>
    <w:rsid w:val="000A55CB"/>
    <w:rsid w:val="000A5706"/>
    <w:rsid w:val="000A581A"/>
    <w:rsid w:val="000A5C56"/>
    <w:rsid w:val="000A5EAF"/>
    <w:rsid w:val="000A5EDF"/>
    <w:rsid w:val="000A6128"/>
    <w:rsid w:val="000A61B5"/>
    <w:rsid w:val="000A65D5"/>
    <w:rsid w:val="000A66B1"/>
    <w:rsid w:val="000A671E"/>
    <w:rsid w:val="000A68BC"/>
    <w:rsid w:val="000A6BBD"/>
    <w:rsid w:val="000A6C5D"/>
    <w:rsid w:val="000A6D53"/>
    <w:rsid w:val="000A6DC8"/>
    <w:rsid w:val="000A6F0C"/>
    <w:rsid w:val="000A702D"/>
    <w:rsid w:val="000A7047"/>
    <w:rsid w:val="000A712B"/>
    <w:rsid w:val="000A742F"/>
    <w:rsid w:val="000A74D6"/>
    <w:rsid w:val="000A7530"/>
    <w:rsid w:val="000A774C"/>
    <w:rsid w:val="000A7AAF"/>
    <w:rsid w:val="000A7C85"/>
    <w:rsid w:val="000B025B"/>
    <w:rsid w:val="000B04D0"/>
    <w:rsid w:val="000B050A"/>
    <w:rsid w:val="000B0554"/>
    <w:rsid w:val="000B0572"/>
    <w:rsid w:val="000B0A53"/>
    <w:rsid w:val="000B0D7C"/>
    <w:rsid w:val="000B0E89"/>
    <w:rsid w:val="000B0EDB"/>
    <w:rsid w:val="000B13CA"/>
    <w:rsid w:val="000B191F"/>
    <w:rsid w:val="000B19D7"/>
    <w:rsid w:val="000B1AB8"/>
    <w:rsid w:val="000B1CCE"/>
    <w:rsid w:val="000B208F"/>
    <w:rsid w:val="000B21D6"/>
    <w:rsid w:val="000B21EA"/>
    <w:rsid w:val="000B22B4"/>
    <w:rsid w:val="000B22C9"/>
    <w:rsid w:val="000B2535"/>
    <w:rsid w:val="000B259B"/>
    <w:rsid w:val="000B25DE"/>
    <w:rsid w:val="000B26FB"/>
    <w:rsid w:val="000B2715"/>
    <w:rsid w:val="000B2F44"/>
    <w:rsid w:val="000B3378"/>
    <w:rsid w:val="000B33CF"/>
    <w:rsid w:val="000B3520"/>
    <w:rsid w:val="000B3643"/>
    <w:rsid w:val="000B36B7"/>
    <w:rsid w:val="000B373A"/>
    <w:rsid w:val="000B37C8"/>
    <w:rsid w:val="000B37DA"/>
    <w:rsid w:val="000B383D"/>
    <w:rsid w:val="000B3BEF"/>
    <w:rsid w:val="000B4027"/>
    <w:rsid w:val="000B465C"/>
    <w:rsid w:val="000B46D6"/>
    <w:rsid w:val="000B47AF"/>
    <w:rsid w:val="000B4BD5"/>
    <w:rsid w:val="000B4CDF"/>
    <w:rsid w:val="000B4D35"/>
    <w:rsid w:val="000B4D7F"/>
    <w:rsid w:val="000B4E14"/>
    <w:rsid w:val="000B4F72"/>
    <w:rsid w:val="000B523A"/>
    <w:rsid w:val="000B529A"/>
    <w:rsid w:val="000B530C"/>
    <w:rsid w:val="000B56F0"/>
    <w:rsid w:val="000B57AB"/>
    <w:rsid w:val="000B59AB"/>
    <w:rsid w:val="000B5A1C"/>
    <w:rsid w:val="000B5D00"/>
    <w:rsid w:val="000B5D17"/>
    <w:rsid w:val="000B5E33"/>
    <w:rsid w:val="000B5E90"/>
    <w:rsid w:val="000B621D"/>
    <w:rsid w:val="000B62EE"/>
    <w:rsid w:val="000B635B"/>
    <w:rsid w:val="000B643D"/>
    <w:rsid w:val="000B64B8"/>
    <w:rsid w:val="000B6572"/>
    <w:rsid w:val="000B65EF"/>
    <w:rsid w:val="000B6665"/>
    <w:rsid w:val="000B66E8"/>
    <w:rsid w:val="000B6767"/>
    <w:rsid w:val="000B6775"/>
    <w:rsid w:val="000B67AF"/>
    <w:rsid w:val="000B6DD3"/>
    <w:rsid w:val="000B6F1F"/>
    <w:rsid w:val="000B7047"/>
    <w:rsid w:val="000B707A"/>
    <w:rsid w:val="000B70DD"/>
    <w:rsid w:val="000B7478"/>
    <w:rsid w:val="000B75AA"/>
    <w:rsid w:val="000B7924"/>
    <w:rsid w:val="000B7938"/>
    <w:rsid w:val="000B7C31"/>
    <w:rsid w:val="000B7D72"/>
    <w:rsid w:val="000B7D98"/>
    <w:rsid w:val="000B7DDA"/>
    <w:rsid w:val="000B7F8F"/>
    <w:rsid w:val="000C0136"/>
    <w:rsid w:val="000C01EB"/>
    <w:rsid w:val="000C034D"/>
    <w:rsid w:val="000C0494"/>
    <w:rsid w:val="000C04EF"/>
    <w:rsid w:val="000C050E"/>
    <w:rsid w:val="000C09D1"/>
    <w:rsid w:val="000C09D8"/>
    <w:rsid w:val="000C0CF1"/>
    <w:rsid w:val="000C0CF5"/>
    <w:rsid w:val="000C0DB9"/>
    <w:rsid w:val="000C1187"/>
    <w:rsid w:val="000C13E7"/>
    <w:rsid w:val="000C16CB"/>
    <w:rsid w:val="000C1C25"/>
    <w:rsid w:val="000C1D44"/>
    <w:rsid w:val="000C1DF7"/>
    <w:rsid w:val="000C1E48"/>
    <w:rsid w:val="000C20EA"/>
    <w:rsid w:val="000C234A"/>
    <w:rsid w:val="000C237F"/>
    <w:rsid w:val="000C23B5"/>
    <w:rsid w:val="000C252F"/>
    <w:rsid w:val="000C25B7"/>
    <w:rsid w:val="000C26AB"/>
    <w:rsid w:val="000C27DC"/>
    <w:rsid w:val="000C28B8"/>
    <w:rsid w:val="000C2B3F"/>
    <w:rsid w:val="000C2D22"/>
    <w:rsid w:val="000C2D71"/>
    <w:rsid w:val="000C2DAC"/>
    <w:rsid w:val="000C3076"/>
    <w:rsid w:val="000C30F8"/>
    <w:rsid w:val="000C3153"/>
    <w:rsid w:val="000C31BE"/>
    <w:rsid w:val="000C3218"/>
    <w:rsid w:val="000C325F"/>
    <w:rsid w:val="000C33DD"/>
    <w:rsid w:val="000C34A7"/>
    <w:rsid w:val="000C39B5"/>
    <w:rsid w:val="000C3CDF"/>
    <w:rsid w:val="000C3D75"/>
    <w:rsid w:val="000C3DFE"/>
    <w:rsid w:val="000C3E78"/>
    <w:rsid w:val="000C3EA7"/>
    <w:rsid w:val="000C3ECF"/>
    <w:rsid w:val="000C3F52"/>
    <w:rsid w:val="000C3F7F"/>
    <w:rsid w:val="000C435B"/>
    <w:rsid w:val="000C4566"/>
    <w:rsid w:val="000C46FA"/>
    <w:rsid w:val="000C47FD"/>
    <w:rsid w:val="000C49A0"/>
    <w:rsid w:val="000C4A5E"/>
    <w:rsid w:val="000C4AA2"/>
    <w:rsid w:val="000C4C05"/>
    <w:rsid w:val="000C4D7A"/>
    <w:rsid w:val="000C4FC6"/>
    <w:rsid w:val="000C50C3"/>
    <w:rsid w:val="000C53E8"/>
    <w:rsid w:val="000C53EC"/>
    <w:rsid w:val="000C5488"/>
    <w:rsid w:val="000C5A0D"/>
    <w:rsid w:val="000C5AEA"/>
    <w:rsid w:val="000C5B27"/>
    <w:rsid w:val="000C5BA6"/>
    <w:rsid w:val="000C5BE3"/>
    <w:rsid w:val="000C5D9D"/>
    <w:rsid w:val="000C5E87"/>
    <w:rsid w:val="000C5ED0"/>
    <w:rsid w:val="000C5FF1"/>
    <w:rsid w:val="000C625B"/>
    <w:rsid w:val="000C642B"/>
    <w:rsid w:val="000C64E3"/>
    <w:rsid w:val="000C6509"/>
    <w:rsid w:val="000C68A6"/>
    <w:rsid w:val="000C69F3"/>
    <w:rsid w:val="000C6BE5"/>
    <w:rsid w:val="000C6C84"/>
    <w:rsid w:val="000C6EC4"/>
    <w:rsid w:val="000C730C"/>
    <w:rsid w:val="000C745F"/>
    <w:rsid w:val="000C763F"/>
    <w:rsid w:val="000C771C"/>
    <w:rsid w:val="000C7949"/>
    <w:rsid w:val="000C7A0F"/>
    <w:rsid w:val="000C7A42"/>
    <w:rsid w:val="000C7A65"/>
    <w:rsid w:val="000C7C96"/>
    <w:rsid w:val="000D06AD"/>
    <w:rsid w:val="000D0855"/>
    <w:rsid w:val="000D08B1"/>
    <w:rsid w:val="000D0969"/>
    <w:rsid w:val="000D0AA6"/>
    <w:rsid w:val="000D0D8F"/>
    <w:rsid w:val="000D0E20"/>
    <w:rsid w:val="000D0EC8"/>
    <w:rsid w:val="000D1201"/>
    <w:rsid w:val="000D1324"/>
    <w:rsid w:val="000D13A7"/>
    <w:rsid w:val="000D15E3"/>
    <w:rsid w:val="000D1C0D"/>
    <w:rsid w:val="000D1DC4"/>
    <w:rsid w:val="000D1E8A"/>
    <w:rsid w:val="000D2196"/>
    <w:rsid w:val="000D21C0"/>
    <w:rsid w:val="000D21F4"/>
    <w:rsid w:val="000D237B"/>
    <w:rsid w:val="000D23DC"/>
    <w:rsid w:val="000D24BF"/>
    <w:rsid w:val="000D2822"/>
    <w:rsid w:val="000D287C"/>
    <w:rsid w:val="000D293E"/>
    <w:rsid w:val="000D2962"/>
    <w:rsid w:val="000D2D0B"/>
    <w:rsid w:val="000D2DC1"/>
    <w:rsid w:val="000D2F27"/>
    <w:rsid w:val="000D2FCF"/>
    <w:rsid w:val="000D321C"/>
    <w:rsid w:val="000D3224"/>
    <w:rsid w:val="000D3321"/>
    <w:rsid w:val="000D3428"/>
    <w:rsid w:val="000D3442"/>
    <w:rsid w:val="000D3459"/>
    <w:rsid w:val="000D348C"/>
    <w:rsid w:val="000D3555"/>
    <w:rsid w:val="000D3569"/>
    <w:rsid w:val="000D36CD"/>
    <w:rsid w:val="000D36CF"/>
    <w:rsid w:val="000D384A"/>
    <w:rsid w:val="000D3939"/>
    <w:rsid w:val="000D395C"/>
    <w:rsid w:val="000D39B5"/>
    <w:rsid w:val="000D3AC1"/>
    <w:rsid w:val="000D3C61"/>
    <w:rsid w:val="000D3F44"/>
    <w:rsid w:val="000D413E"/>
    <w:rsid w:val="000D41D1"/>
    <w:rsid w:val="000D4222"/>
    <w:rsid w:val="000D435A"/>
    <w:rsid w:val="000D443B"/>
    <w:rsid w:val="000D466F"/>
    <w:rsid w:val="000D46C1"/>
    <w:rsid w:val="000D4736"/>
    <w:rsid w:val="000D47F9"/>
    <w:rsid w:val="000D487C"/>
    <w:rsid w:val="000D48FE"/>
    <w:rsid w:val="000D4A80"/>
    <w:rsid w:val="000D4AC0"/>
    <w:rsid w:val="000D4BE0"/>
    <w:rsid w:val="000D4C5C"/>
    <w:rsid w:val="000D4F54"/>
    <w:rsid w:val="000D501A"/>
    <w:rsid w:val="000D5052"/>
    <w:rsid w:val="000D50C5"/>
    <w:rsid w:val="000D51AE"/>
    <w:rsid w:val="000D5285"/>
    <w:rsid w:val="000D53D3"/>
    <w:rsid w:val="000D554C"/>
    <w:rsid w:val="000D55EC"/>
    <w:rsid w:val="000D568C"/>
    <w:rsid w:val="000D568F"/>
    <w:rsid w:val="000D5907"/>
    <w:rsid w:val="000D5A3C"/>
    <w:rsid w:val="000D5A60"/>
    <w:rsid w:val="000D5CD4"/>
    <w:rsid w:val="000D5E92"/>
    <w:rsid w:val="000D6145"/>
    <w:rsid w:val="000D624C"/>
    <w:rsid w:val="000D630C"/>
    <w:rsid w:val="000D6425"/>
    <w:rsid w:val="000D6461"/>
    <w:rsid w:val="000D67DF"/>
    <w:rsid w:val="000D681A"/>
    <w:rsid w:val="000D68D0"/>
    <w:rsid w:val="000D6D2E"/>
    <w:rsid w:val="000D6F16"/>
    <w:rsid w:val="000D6FB5"/>
    <w:rsid w:val="000D7005"/>
    <w:rsid w:val="000D72C6"/>
    <w:rsid w:val="000D72CF"/>
    <w:rsid w:val="000D765D"/>
    <w:rsid w:val="000D76F3"/>
    <w:rsid w:val="000D7ACD"/>
    <w:rsid w:val="000D7D67"/>
    <w:rsid w:val="000D7E54"/>
    <w:rsid w:val="000E01E5"/>
    <w:rsid w:val="000E0201"/>
    <w:rsid w:val="000E03DA"/>
    <w:rsid w:val="000E0446"/>
    <w:rsid w:val="000E0697"/>
    <w:rsid w:val="000E0718"/>
    <w:rsid w:val="000E085C"/>
    <w:rsid w:val="000E09FD"/>
    <w:rsid w:val="000E0B06"/>
    <w:rsid w:val="000E0BB8"/>
    <w:rsid w:val="000E0D32"/>
    <w:rsid w:val="000E103B"/>
    <w:rsid w:val="000E10E9"/>
    <w:rsid w:val="000E11A5"/>
    <w:rsid w:val="000E11F1"/>
    <w:rsid w:val="000E13FF"/>
    <w:rsid w:val="000E1638"/>
    <w:rsid w:val="000E168D"/>
    <w:rsid w:val="000E1796"/>
    <w:rsid w:val="000E1805"/>
    <w:rsid w:val="000E19A5"/>
    <w:rsid w:val="000E1D7E"/>
    <w:rsid w:val="000E20C1"/>
    <w:rsid w:val="000E2159"/>
    <w:rsid w:val="000E2244"/>
    <w:rsid w:val="000E2255"/>
    <w:rsid w:val="000E22D7"/>
    <w:rsid w:val="000E27E1"/>
    <w:rsid w:val="000E29A3"/>
    <w:rsid w:val="000E2A02"/>
    <w:rsid w:val="000E2B66"/>
    <w:rsid w:val="000E2F00"/>
    <w:rsid w:val="000E2F5B"/>
    <w:rsid w:val="000E2FB0"/>
    <w:rsid w:val="000E32CD"/>
    <w:rsid w:val="000E3382"/>
    <w:rsid w:val="000E3573"/>
    <w:rsid w:val="000E36E3"/>
    <w:rsid w:val="000E379B"/>
    <w:rsid w:val="000E3B0E"/>
    <w:rsid w:val="000E3B42"/>
    <w:rsid w:val="000E3B79"/>
    <w:rsid w:val="000E3CA5"/>
    <w:rsid w:val="000E3D79"/>
    <w:rsid w:val="000E3EC1"/>
    <w:rsid w:val="000E3FE6"/>
    <w:rsid w:val="000E4167"/>
    <w:rsid w:val="000E4216"/>
    <w:rsid w:val="000E433F"/>
    <w:rsid w:val="000E4452"/>
    <w:rsid w:val="000E4646"/>
    <w:rsid w:val="000E48B9"/>
    <w:rsid w:val="000E4938"/>
    <w:rsid w:val="000E49C9"/>
    <w:rsid w:val="000E4A94"/>
    <w:rsid w:val="000E4BB1"/>
    <w:rsid w:val="000E4D06"/>
    <w:rsid w:val="000E4FA9"/>
    <w:rsid w:val="000E511D"/>
    <w:rsid w:val="000E5184"/>
    <w:rsid w:val="000E536D"/>
    <w:rsid w:val="000E54A4"/>
    <w:rsid w:val="000E552E"/>
    <w:rsid w:val="000E571D"/>
    <w:rsid w:val="000E5741"/>
    <w:rsid w:val="000E5C6E"/>
    <w:rsid w:val="000E5D0B"/>
    <w:rsid w:val="000E60C2"/>
    <w:rsid w:val="000E6171"/>
    <w:rsid w:val="000E61F1"/>
    <w:rsid w:val="000E62A9"/>
    <w:rsid w:val="000E6337"/>
    <w:rsid w:val="000E65A3"/>
    <w:rsid w:val="000E682C"/>
    <w:rsid w:val="000E68EA"/>
    <w:rsid w:val="000E699F"/>
    <w:rsid w:val="000E69D4"/>
    <w:rsid w:val="000E6BFC"/>
    <w:rsid w:val="000E6E56"/>
    <w:rsid w:val="000E6FA9"/>
    <w:rsid w:val="000E7167"/>
    <w:rsid w:val="000E7264"/>
    <w:rsid w:val="000E7463"/>
    <w:rsid w:val="000E7532"/>
    <w:rsid w:val="000E75A8"/>
    <w:rsid w:val="000E772E"/>
    <w:rsid w:val="000E7932"/>
    <w:rsid w:val="000E7EBF"/>
    <w:rsid w:val="000F0076"/>
    <w:rsid w:val="000F010E"/>
    <w:rsid w:val="000F020A"/>
    <w:rsid w:val="000F0226"/>
    <w:rsid w:val="000F02E2"/>
    <w:rsid w:val="000F02F3"/>
    <w:rsid w:val="000F043E"/>
    <w:rsid w:val="000F0452"/>
    <w:rsid w:val="000F09A0"/>
    <w:rsid w:val="000F0B07"/>
    <w:rsid w:val="000F0B22"/>
    <w:rsid w:val="000F0CF8"/>
    <w:rsid w:val="000F0E11"/>
    <w:rsid w:val="000F0E2C"/>
    <w:rsid w:val="000F0FB5"/>
    <w:rsid w:val="000F1034"/>
    <w:rsid w:val="000F104D"/>
    <w:rsid w:val="000F10BB"/>
    <w:rsid w:val="000F1271"/>
    <w:rsid w:val="000F12A1"/>
    <w:rsid w:val="000F1505"/>
    <w:rsid w:val="000F1575"/>
    <w:rsid w:val="000F15A2"/>
    <w:rsid w:val="000F1607"/>
    <w:rsid w:val="000F16CB"/>
    <w:rsid w:val="000F1A06"/>
    <w:rsid w:val="000F1A57"/>
    <w:rsid w:val="000F1B23"/>
    <w:rsid w:val="000F1D0C"/>
    <w:rsid w:val="000F1D7C"/>
    <w:rsid w:val="000F1DB2"/>
    <w:rsid w:val="000F228D"/>
    <w:rsid w:val="000F2389"/>
    <w:rsid w:val="000F23A0"/>
    <w:rsid w:val="000F2564"/>
    <w:rsid w:val="000F25AB"/>
    <w:rsid w:val="000F265A"/>
    <w:rsid w:val="000F2C49"/>
    <w:rsid w:val="000F2CDA"/>
    <w:rsid w:val="000F2D6A"/>
    <w:rsid w:val="000F2DC0"/>
    <w:rsid w:val="000F33FF"/>
    <w:rsid w:val="000F34B7"/>
    <w:rsid w:val="000F34FE"/>
    <w:rsid w:val="000F3508"/>
    <w:rsid w:val="000F35D1"/>
    <w:rsid w:val="000F3650"/>
    <w:rsid w:val="000F375E"/>
    <w:rsid w:val="000F398C"/>
    <w:rsid w:val="000F39D9"/>
    <w:rsid w:val="000F3A72"/>
    <w:rsid w:val="000F3AEC"/>
    <w:rsid w:val="000F3D8D"/>
    <w:rsid w:val="000F3DD2"/>
    <w:rsid w:val="000F429E"/>
    <w:rsid w:val="000F48B9"/>
    <w:rsid w:val="000F4AB3"/>
    <w:rsid w:val="000F4B0B"/>
    <w:rsid w:val="000F4E12"/>
    <w:rsid w:val="000F4ECA"/>
    <w:rsid w:val="000F4EF7"/>
    <w:rsid w:val="000F4F48"/>
    <w:rsid w:val="000F4FCC"/>
    <w:rsid w:val="000F5056"/>
    <w:rsid w:val="000F5164"/>
    <w:rsid w:val="000F518D"/>
    <w:rsid w:val="000F5257"/>
    <w:rsid w:val="000F5303"/>
    <w:rsid w:val="000F573A"/>
    <w:rsid w:val="000F5887"/>
    <w:rsid w:val="000F5A54"/>
    <w:rsid w:val="000F5C61"/>
    <w:rsid w:val="000F5D9A"/>
    <w:rsid w:val="000F5DF1"/>
    <w:rsid w:val="000F60C6"/>
    <w:rsid w:val="000F619A"/>
    <w:rsid w:val="000F6487"/>
    <w:rsid w:val="000F6A0E"/>
    <w:rsid w:val="000F6EC3"/>
    <w:rsid w:val="000F710F"/>
    <w:rsid w:val="000F71E3"/>
    <w:rsid w:val="000F779F"/>
    <w:rsid w:val="000F7899"/>
    <w:rsid w:val="000F7D40"/>
    <w:rsid w:val="000F7F59"/>
    <w:rsid w:val="000F7F8F"/>
    <w:rsid w:val="00100139"/>
    <w:rsid w:val="0010018C"/>
    <w:rsid w:val="00100283"/>
    <w:rsid w:val="00100493"/>
    <w:rsid w:val="00100594"/>
    <w:rsid w:val="00100862"/>
    <w:rsid w:val="00100A84"/>
    <w:rsid w:val="00100B76"/>
    <w:rsid w:val="00100C4A"/>
    <w:rsid w:val="00100CED"/>
    <w:rsid w:val="00100E57"/>
    <w:rsid w:val="0010120A"/>
    <w:rsid w:val="001012C3"/>
    <w:rsid w:val="0010138C"/>
    <w:rsid w:val="0010149D"/>
    <w:rsid w:val="00101781"/>
    <w:rsid w:val="001017C4"/>
    <w:rsid w:val="00101878"/>
    <w:rsid w:val="001018E8"/>
    <w:rsid w:val="00101AA1"/>
    <w:rsid w:val="00101AD4"/>
    <w:rsid w:val="00101BDC"/>
    <w:rsid w:val="00101C80"/>
    <w:rsid w:val="00101E93"/>
    <w:rsid w:val="00101FFE"/>
    <w:rsid w:val="00102086"/>
    <w:rsid w:val="001020F1"/>
    <w:rsid w:val="00102140"/>
    <w:rsid w:val="001021D9"/>
    <w:rsid w:val="001025F0"/>
    <w:rsid w:val="00102609"/>
    <w:rsid w:val="00102672"/>
    <w:rsid w:val="001028C6"/>
    <w:rsid w:val="00102AA8"/>
    <w:rsid w:val="00102CEC"/>
    <w:rsid w:val="00102D80"/>
    <w:rsid w:val="00102E35"/>
    <w:rsid w:val="0010306A"/>
    <w:rsid w:val="0010352F"/>
    <w:rsid w:val="00103C9B"/>
    <w:rsid w:val="00103E33"/>
    <w:rsid w:val="00103EB9"/>
    <w:rsid w:val="0010400E"/>
    <w:rsid w:val="0010413A"/>
    <w:rsid w:val="00104422"/>
    <w:rsid w:val="001045B5"/>
    <w:rsid w:val="00104622"/>
    <w:rsid w:val="001047C5"/>
    <w:rsid w:val="00104F9D"/>
    <w:rsid w:val="00104FC6"/>
    <w:rsid w:val="0010510B"/>
    <w:rsid w:val="001051A9"/>
    <w:rsid w:val="00105261"/>
    <w:rsid w:val="00105466"/>
    <w:rsid w:val="00105848"/>
    <w:rsid w:val="00105B61"/>
    <w:rsid w:val="00105BE1"/>
    <w:rsid w:val="00105FB1"/>
    <w:rsid w:val="0010608F"/>
    <w:rsid w:val="001060E8"/>
    <w:rsid w:val="00106126"/>
    <w:rsid w:val="00106375"/>
    <w:rsid w:val="0010644B"/>
    <w:rsid w:val="001065A2"/>
    <w:rsid w:val="00106991"/>
    <w:rsid w:val="00106CA4"/>
    <w:rsid w:val="00106F20"/>
    <w:rsid w:val="00106F8B"/>
    <w:rsid w:val="0010703B"/>
    <w:rsid w:val="001070AB"/>
    <w:rsid w:val="0010730C"/>
    <w:rsid w:val="00107383"/>
    <w:rsid w:val="001073E7"/>
    <w:rsid w:val="00107422"/>
    <w:rsid w:val="00107441"/>
    <w:rsid w:val="001075B9"/>
    <w:rsid w:val="0010766E"/>
    <w:rsid w:val="001076BD"/>
    <w:rsid w:val="00107805"/>
    <w:rsid w:val="00107CA6"/>
    <w:rsid w:val="00107F8F"/>
    <w:rsid w:val="00107FF6"/>
    <w:rsid w:val="00110191"/>
    <w:rsid w:val="00110232"/>
    <w:rsid w:val="0011026E"/>
    <w:rsid w:val="00110516"/>
    <w:rsid w:val="0011053B"/>
    <w:rsid w:val="001106BF"/>
    <w:rsid w:val="00110B03"/>
    <w:rsid w:val="00110B3A"/>
    <w:rsid w:val="00110B68"/>
    <w:rsid w:val="00110D52"/>
    <w:rsid w:val="001110CE"/>
    <w:rsid w:val="00111A3C"/>
    <w:rsid w:val="00111BC2"/>
    <w:rsid w:val="00111EA5"/>
    <w:rsid w:val="001120A5"/>
    <w:rsid w:val="00112116"/>
    <w:rsid w:val="0011219A"/>
    <w:rsid w:val="001122CF"/>
    <w:rsid w:val="00112400"/>
    <w:rsid w:val="00112419"/>
    <w:rsid w:val="0011287F"/>
    <w:rsid w:val="00112887"/>
    <w:rsid w:val="00112948"/>
    <w:rsid w:val="00112A96"/>
    <w:rsid w:val="00112AE9"/>
    <w:rsid w:val="00112FA5"/>
    <w:rsid w:val="00113079"/>
    <w:rsid w:val="0011315A"/>
    <w:rsid w:val="0011327F"/>
    <w:rsid w:val="001137E0"/>
    <w:rsid w:val="00113860"/>
    <w:rsid w:val="00113BEA"/>
    <w:rsid w:val="00113DAD"/>
    <w:rsid w:val="0011407A"/>
    <w:rsid w:val="0011432F"/>
    <w:rsid w:val="001143D0"/>
    <w:rsid w:val="0011476A"/>
    <w:rsid w:val="00114C56"/>
    <w:rsid w:val="00114CF3"/>
    <w:rsid w:val="00114FB8"/>
    <w:rsid w:val="001155C1"/>
    <w:rsid w:val="0011566D"/>
    <w:rsid w:val="00115725"/>
    <w:rsid w:val="00115726"/>
    <w:rsid w:val="001158C3"/>
    <w:rsid w:val="00115926"/>
    <w:rsid w:val="00115C73"/>
    <w:rsid w:val="001160C8"/>
    <w:rsid w:val="001161F3"/>
    <w:rsid w:val="00116564"/>
    <w:rsid w:val="00116657"/>
    <w:rsid w:val="00116887"/>
    <w:rsid w:val="00116A86"/>
    <w:rsid w:val="00116C21"/>
    <w:rsid w:val="00116C43"/>
    <w:rsid w:val="00116CA9"/>
    <w:rsid w:val="00116DD8"/>
    <w:rsid w:val="00117046"/>
    <w:rsid w:val="001170F0"/>
    <w:rsid w:val="0011746B"/>
    <w:rsid w:val="00117507"/>
    <w:rsid w:val="00117958"/>
    <w:rsid w:val="00117989"/>
    <w:rsid w:val="001179C1"/>
    <w:rsid w:val="00117A68"/>
    <w:rsid w:val="00117ADB"/>
    <w:rsid w:val="00117B63"/>
    <w:rsid w:val="00117C7F"/>
    <w:rsid w:val="00117E36"/>
    <w:rsid w:val="001202CB"/>
    <w:rsid w:val="00120AE5"/>
    <w:rsid w:val="00120AEF"/>
    <w:rsid w:val="00120B3F"/>
    <w:rsid w:val="00120BAD"/>
    <w:rsid w:val="00120EE0"/>
    <w:rsid w:val="00120F93"/>
    <w:rsid w:val="0012108B"/>
    <w:rsid w:val="00121168"/>
    <w:rsid w:val="00121186"/>
    <w:rsid w:val="00121199"/>
    <w:rsid w:val="00121568"/>
    <w:rsid w:val="0012160C"/>
    <w:rsid w:val="001217F3"/>
    <w:rsid w:val="001218F8"/>
    <w:rsid w:val="001219CF"/>
    <w:rsid w:val="00121B4D"/>
    <w:rsid w:val="00121C6D"/>
    <w:rsid w:val="00121F26"/>
    <w:rsid w:val="00121FA3"/>
    <w:rsid w:val="00122022"/>
    <w:rsid w:val="001220CA"/>
    <w:rsid w:val="00122176"/>
    <w:rsid w:val="001222B0"/>
    <w:rsid w:val="001222F4"/>
    <w:rsid w:val="0012238D"/>
    <w:rsid w:val="00122607"/>
    <w:rsid w:val="00122879"/>
    <w:rsid w:val="001228AF"/>
    <w:rsid w:val="001229E6"/>
    <w:rsid w:val="00122A91"/>
    <w:rsid w:val="00122AFE"/>
    <w:rsid w:val="00122D32"/>
    <w:rsid w:val="00122D79"/>
    <w:rsid w:val="00122DF0"/>
    <w:rsid w:val="0012308B"/>
    <w:rsid w:val="00123138"/>
    <w:rsid w:val="00123174"/>
    <w:rsid w:val="0012345A"/>
    <w:rsid w:val="0012357D"/>
    <w:rsid w:val="001236F8"/>
    <w:rsid w:val="00123823"/>
    <w:rsid w:val="00123C5A"/>
    <w:rsid w:val="00123C5D"/>
    <w:rsid w:val="00123CCF"/>
    <w:rsid w:val="00123EC1"/>
    <w:rsid w:val="00123F1E"/>
    <w:rsid w:val="00124186"/>
    <w:rsid w:val="0012426D"/>
    <w:rsid w:val="001245E2"/>
    <w:rsid w:val="001245FF"/>
    <w:rsid w:val="00124695"/>
    <w:rsid w:val="00124754"/>
    <w:rsid w:val="001248A8"/>
    <w:rsid w:val="001248B4"/>
    <w:rsid w:val="00124A46"/>
    <w:rsid w:val="00124B00"/>
    <w:rsid w:val="00124C2F"/>
    <w:rsid w:val="00124D36"/>
    <w:rsid w:val="00124DCF"/>
    <w:rsid w:val="00124E1E"/>
    <w:rsid w:val="00124F7B"/>
    <w:rsid w:val="001254E0"/>
    <w:rsid w:val="001255E1"/>
    <w:rsid w:val="00125741"/>
    <w:rsid w:val="0012588A"/>
    <w:rsid w:val="00125987"/>
    <w:rsid w:val="001260FF"/>
    <w:rsid w:val="00126212"/>
    <w:rsid w:val="001262E2"/>
    <w:rsid w:val="00126326"/>
    <w:rsid w:val="001264AB"/>
    <w:rsid w:val="0012692B"/>
    <w:rsid w:val="001269E9"/>
    <w:rsid w:val="00126ACE"/>
    <w:rsid w:val="00126BE7"/>
    <w:rsid w:val="00126FC1"/>
    <w:rsid w:val="00126FE0"/>
    <w:rsid w:val="00127008"/>
    <w:rsid w:val="0012718D"/>
    <w:rsid w:val="001271B3"/>
    <w:rsid w:val="0012722E"/>
    <w:rsid w:val="001273A9"/>
    <w:rsid w:val="001273EE"/>
    <w:rsid w:val="0012775D"/>
    <w:rsid w:val="001277E5"/>
    <w:rsid w:val="00127A75"/>
    <w:rsid w:val="00127B3E"/>
    <w:rsid w:val="00127E42"/>
    <w:rsid w:val="00127FF1"/>
    <w:rsid w:val="00130028"/>
    <w:rsid w:val="001301D6"/>
    <w:rsid w:val="00130501"/>
    <w:rsid w:val="0013065A"/>
    <w:rsid w:val="00130863"/>
    <w:rsid w:val="00130F9F"/>
    <w:rsid w:val="00131016"/>
    <w:rsid w:val="0013106F"/>
    <w:rsid w:val="001311AB"/>
    <w:rsid w:val="0013155B"/>
    <w:rsid w:val="001318BF"/>
    <w:rsid w:val="0013193B"/>
    <w:rsid w:val="00131976"/>
    <w:rsid w:val="00131A54"/>
    <w:rsid w:val="00131A9E"/>
    <w:rsid w:val="00131B85"/>
    <w:rsid w:val="00131D07"/>
    <w:rsid w:val="0013209B"/>
    <w:rsid w:val="0013214C"/>
    <w:rsid w:val="0013224C"/>
    <w:rsid w:val="00132263"/>
    <w:rsid w:val="00132658"/>
    <w:rsid w:val="001329F6"/>
    <w:rsid w:val="00132B35"/>
    <w:rsid w:val="00132B60"/>
    <w:rsid w:val="00132C75"/>
    <w:rsid w:val="00132D8B"/>
    <w:rsid w:val="00132F37"/>
    <w:rsid w:val="00132F8B"/>
    <w:rsid w:val="00133208"/>
    <w:rsid w:val="001333E2"/>
    <w:rsid w:val="001334EC"/>
    <w:rsid w:val="0013371B"/>
    <w:rsid w:val="001339E3"/>
    <w:rsid w:val="00133A3C"/>
    <w:rsid w:val="00133B8F"/>
    <w:rsid w:val="00133C47"/>
    <w:rsid w:val="00134079"/>
    <w:rsid w:val="001340DF"/>
    <w:rsid w:val="00134372"/>
    <w:rsid w:val="0013446C"/>
    <w:rsid w:val="001347AA"/>
    <w:rsid w:val="001347BF"/>
    <w:rsid w:val="001347C5"/>
    <w:rsid w:val="001348A3"/>
    <w:rsid w:val="001348ED"/>
    <w:rsid w:val="0013494E"/>
    <w:rsid w:val="001349BA"/>
    <w:rsid w:val="00134AA5"/>
    <w:rsid w:val="00134B2E"/>
    <w:rsid w:val="00134C7F"/>
    <w:rsid w:val="00134D26"/>
    <w:rsid w:val="00134F91"/>
    <w:rsid w:val="00134FFD"/>
    <w:rsid w:val="00135020"/>
    <w:rsid w:val="00135133"/>
    <w:rsid w:val="001351F8"/>
    <w:rsid w:val="001352EE"/>
    <w:rsid w:val="00135363"/>
    <w:rsid w:val="00135371"/>
    <w:rsid w:val="00135695"/>
    <w:rsid w:val="00135871"/>
    <w:rsid w:val="00135A0D"/>
    <w:rsid w:val="00135A47"/>
    <w:rsid w:val="00135AEF"/>
    <w:rsid w:val="00135B64"/>
    <w:rsid w:val="00135D0A"/>
    <w:rsid w:val="00135F86"/>
    <w:rsid w:val="001363CC"/>
    <w:rsid w:val="00136495"/>
    <w:rsid w:val="001364E2"/>
    <w:rsid w:val="001366BD"/>
    <w:rsid w:val="00136962"/>
    <w:rsid w:val="001369F0"/>
    <w:rsid w:val="00136B32"/>
    <w:rsid w:val="00136B9C"/>
    <w:rsid w:val="00136BEC"/>
    <w:rsid w:val="00136CFE"/>
    <w:rsid w:val="00136D43"/>
    <w:rsid w:val="00136FEA"/>
    <w:rsid w:val="00137039"/>
    <w:rsid w:val="00137077"/>
    <w:rsid w:val="001370C9"/>
    <w:rsid w:val="001370E7"/>
    <w:rsid w:val="001371C7"/>
    <w:rsid w:val="0013726D"/>
    <w:rsid w:val="001372D7"/>
    <w:rsid w:val="0013730F"/>
    <w:rsid w:val="001373F9"/>
    <w:rsid w:val="001375EC"/>
    <w:rsid w:val="0013766C"/>
    <w:rsid w:val="001376F9"/>
    <w:rsid w:val="00137884"/>
    <w:rsid w:val="00137910"/>
    <w:rsid w:val="00137A8F"/>
    <w:rsid w:val="00137E24"/>
    <w:rsid w:val="0014002F"/>
    <w:rsid w:val="0014019D"/>
    <w:rsid w:val="001401F5"/>
    <w:rsid w:val="00140217"/>
    <w:rsid w:val="00140283"/>
    <w:rsid w:val="001402E5"/>
    <w:rsid w:val="00140508"/>
    <w:rsid w:val="00140B52"/>
    <w:rsid w:val="00140C13"/>
    <w:rsid w:val="00140C1B"/>
    <w:rsid w:val="00140DB8"/>
    <w:rsid w:val="00140F30"/>
    <w:rsid w:val="00141019"/>
    <w:rsid w:val="001412BA"/>
    <w:rsid w:val="00141323"/>
    <w:rsid w:val="00141444"/>
    <w:rsid w:val="001416E9"/>
    <w:rsid w:val="001416EA"/>
    <w:rsid w:val="001418A8"/>
    <w:rsid w:val="00141A73"/>
    <w:rsid w:val="00141ADE"/>
    <w:rsid w:val="00141DA9"/>
    <w:rsid w:val="00141E53"/>
    <w:rsid w:val="00141F40"/>
    <w:rsid w:val="0014204B"/>
    <w:rsid w:val="00142391"/>
    <w:rsid w:val="00142462"/>
    <w:rsid w:val="001424D9"/>
    <w:rsid w:val="001425F2"/>
    <w:rsid w:val="0014269E"/>
    <w:rsid w:val="00142747"/>
    <w:rsid w:val="0014296A"/>
    <w:rsid w:val="00142B0A"/>
    <w:rsid w:val="00142B0F"/>
    <w:rsid w:val="00142D23"/>
    <w:rsid w:val="00142EB5"/>
    <w:rsid w:val="00143169"/>
    <w:rsid w:val="001432DB"/>
    <w:rsid w:val="00143300"/>
    <w:rsid w:val="001438B2"/>
    <w:rsid w:val="00143BFF"/>
    <w:rsid w:val="001440C5"/>
    <w:rsid w:val="0014410F"/>
    <w:rsid w:val="00144547"/>
    <w:rsid w:val="001445EA"/>
    <w:rsid w:val="0014469E"/>
    <w:rsid w:val="001446EC"/>
    <w:rsid w:val="001448FF"/>
    <w:rsid w:val="001449C0"/>
    <w:rsid w:val="00144CDE"/>
    <w:rsid w:val="00144FDC"/>
    <w:rsid w:val="001450E7"/>
    <w:rsid w:val="001451EA"/>
    <w:rsid w:val="0014549B"/>
    <w:rsid w:val="0014561E"/>
    <w:rsid w:val="001456D3"/>
    <w:rsid w:val="00145832"/>
    <w:rsid w:val="00145C4C"/>
    <w:rsid w:val="00145EC7"/>
    <w:rsid w:val="00145F05"/>
    <w:rsid w:val="00145F28"/>
    <w:rsid w:val="00145F93"/>
    <w:rsid w:val="0014601D"/>
    <w:rsid w:val="0014604D"/>
    <w:rsid w:val="001461C8"/>
    <w:rsid w:val="00146208"/>
    <w:rsid w:val="00146485"/>
    <w:rsid w:val="0014654E"/>
    <w:rsid w:val="001465BF"/>
    <w:rsid w:val="001468DB"/>
    <w:rsid w:val="001468F0"/>
    <w:rsid w:val="00146BE4"/>
    <w:rsid w:val="00146C6E"/>
    <w:rsid w:val="00146CBA"/>
    <w:rsid w:val="00146EF6"/>
    <w:rsid w:val="00146F22"/>
    <w:rsid w:val="00147069"/>
    <w:rsid w:val="001470F2"/>
    <w:rsid w:val="0014722C"/>
    <w:rsid w:val="001472E8"/>
    <w:rsid w:val="00147365"/>
    <w:rsid w:val="00147542"/>
    <w:rsid w:val="001475CD"/>
    <w:rsid w:val="0014777D"/>
    <w:rsid w:val="001477D2"/>
    <w:rsid w:val="001478AB"/>
    <w:rsid w:val="001478C9"/>
    <w:rsid w:val="001479A7"/>
    <w:rsid w:val="00147F89"/>
    <w:rsid w:val="0015063C"/>
    <w:rsid w:val="00150662"/>
    <w:rsid w:val="001506E7"/>
    <w:rsid w:val="00150742"/>
    <w:rsid w:val="00150CB5"/>
    <w:rsid w:val="00150E96"/>
    <w:rsid w:val="0015101D"/>
    <w:rsid w:val="00151051"/>
    <w:rsid w:val="00151052"/>
    <w:rsid w:val="00151240"/>
    <w:rsid w:val="001512C9"/>
    <w:rsid w:val="0015143C"/>
    <w:rsid w:val="0015146A"/>
    <w:rsid w:val="001515C6"/>
    <w:rsid w:val="001518C1"/>
    <w:rsid w:val="001518CD"/>
    <w:rsid w:val="001519F1"/>
    <w:rsid w:val="00151C78"/>
    <w:rsid w:val="00151FD2"/>
    <w:rsid w:val="0015207B"/>
    <w:rsid w:val="00152417"/>
    <w:rsid w:val="001524A7"/>
    <w:rsid w:val="0015264B"/>
    <w:rsid w:val="001527D8"/>
    <w:rsid w:val="0015292D"/>
    <w:rsid w:val="0015295A"/>
    <w:rsid w:val="00152A22"/>
    <w:rsid w:val="00152CAA"/>
    <w:rsid w:val="00152CC1"/>
    <w:rsid w:val="00152EEB"/>
    <w:rsid w:val="0015314B"/>
    <w:rsid w:val="00153242"/>
    <w:rsid w:val="001533B9"/>
    <w:rsid w:val="001534C4"/>
    <w:rsid w:val="00153793"/>
    <w:rsid w:val="001537E5"/>
    <w:rsid w:val="00153940"/>
    <w:rsid w:val="00153999"/>
    <w:rsid w:val="001539E0"/>
    <w:rsid w:val="00153E65"/>
    <w:rsid w:val="00153E98"/>
    <w:rsid w:val="00153FC6"/>
    <w:rsid w:val="00153FF5"/>
    <w:rsid w:val="00154090"/>
    <w:rsid w:val="001545A3"/>
    <w:rsid w:val="00154A34"/>
    <w:rsid w:val="00154B54"/>
    <w:rsid w:val="00154B78"/>
    <w:rsid w:val="00154F36"/>
    <w:rsid w:val="00154FF3"/>
    <w:rsid w:val="0015518A"/>
    <w:rsid w:val="001551B2"/>
    <w:rsid w:val="0015522D"/>
    <w:rsid w:val="001552C4"/>
    <w:rsid w:val="00155711"/>
    <w:rsid w:val="00155893"/>
    <w:rsid w:val="0015596D"/>
    <w:rsid w:val="001559C5"/>
    <w:rsid w:val="00155CB3"/>
    <w:rsid w:val="00155D3C"/>
    <w:rsid w:val="00155D91"/>
    <w:rsid w:val="00156035"/>
    <w:rsid w:val="00156071"/>
    <w:rsid w:val="001560A6"/>
    <w:rsid w:val="001561A9"/>
    <w:rsid w:val="001567A8"/>
    <w:rsid w:val="001568F4"/>
    <w:rsid w:val="0015699D"/>
    <w:rsid w:val="001569FA"/>
    <w:rsid w:val="00156BB1"/>
    <w:rsid w:val="00156FA8"/>
    <w:rsid w:val="001570E0"/>
    <w:rsid w:val="00157251"/>
    <w:rsid w:val="00157382"/>
    <w:rsid w:val="0015744C"/>
    <w:rsid w:val="001576BC"/>
    <w:rsid w:val="0015783B"/>
    <w:rsid w:val="00157C0E"/>
    <w:rsid w:val="00157CC3"/>
    <w:rsid w:val="00157E7E"/>
    <w:rsid w:val="00157F47"/>
    <w:rsid w:val="001603DA"/>
    <w:rsid w:val="00160608"/>
    <w:rsid w:val="00160698"/>
    <w:rsid w:val="001606E7"/>
    <w:rsid w:val="00160A88"/>
    <w:rsid w:val="00160B1C"/>
    <w:rsid w:val="00160C00"/>
    <w:rsid w:val="00160E90"/>
    <w:rsid w:val="00160F76"/>
    <w:rsid w:val="00160F7C"/>
    <w:rsid w:val="00161355"/>
    <w:rsid w:val="0016139C"/>
    <w:rsid w:val="001613A5"/>
    <w:rsid w:val="00161527"/>
    <w:rsid w:val="001616A7"/>
    <w:rsid w:val="00161C4E"/>
    <w:rsid w:val="00161C57"/>
    <w:rsid w:val="00161DE3"/>
    <w:rsid w:val="00161F0F"/>
    <w:rsid w:val="001622AA"/>
    <w:rsid w:val="001623EF"/>
    <w:rsid w:val="0016283F"/>
    <w:rsid w:val="00162F53"/>
    <w:rsid w:val="0016338E"/>
    <w:rsid w:val="00163519"/>
    <w:rsid w:val="001637ED"/>
    <w:rsid w:val="001638EA"/>
    <w:rsid w:val="001639B0"/>
    <w:rsid w:val="00163BD7"/>
    <w:rsid w:val="00163C38"/>
    <w:rsid w:val="00163E19"/>
    <w:rsid w:val="0016400B"/>
    <w:rsid w:val="00164525"/>
    <w:rsid w:val="00164703"/>
    <w:rsid w:val="00164753"/>
    <w:rsid w:val="0016479D"/>
    <w:rsid w:val="001648B8"/>
    <w:rsid w:val="00164AC5"/>
    <w:rsid w:val="00164BBC"/>
    <w:rsid w:val="00164CDF"/>
    <w:rsid w:val="00164D02"/>
    <w:rsid w:val="00164D0C"/>
    <w:rsid w:val="00164D32"/>
    <w:rsid w:val="00164D58"/>
    <w:rsid w:val="00164E01"/>
    <w:rsid w:val="00165001"/>
    <w:rsid w:val="001651E8"/>
    <w:rsid w:val="00165950"/>
    <w:rsid w:val="00165DFE"/>
    <w:rsid w:val="00165F6C"/>
    <w:rsid w:val="001660BD"/>
    <w:rsid w:val="001660F5"/>
    <w:rsid w:val="00166157"/>
    <w:rsid w:val="0016665F"/>
    <w:rsid w:val="0016671A"/>
    <w:rsid w:val="00166BF0"/>
    <w:rsid w:val="00166C62"/>
    <w:rsid w:val="00166C8D"/>
    <w:rsid w:val="00166CC2"/>
    <w:rsid w:val="00166EA5"/>
    <w:rsid w:val="00167453"/>
    <w:rsid w:val="001677E4"/>
    <w:rsid w:val="001679AF"/>
    <w:rsid w:val="00167AE0"/>
    <w:rsid w:val="00167BA8"/>
    <w:rsid w:val="00167E23"/>
    <w:rsid w:val="00170170"/>
    <w:rsid w:val="001704D7"/>
    <w:rsid w:val="00170835"/>
    <w:rsid w:val="0017086D"/>
    <w:rsid w:val="00170884"/>
    <w:rsid w:val="00170AFF"/>
    <w:rsid w:val="00170B91"/>
    <w:rsid w:val="00170DEB"/>
    <w:rsid w:val="0017110A"/>
    <w:rsid w:val="001711B9"/>
    <w:rsid w:val="00171473"/>
    <w:rsid w:val="001717BE"/>
    <w:rsid w:val="00171970"/>
    <w:rsid w:val="00171ACC"/>
    <w:rsid w:val="00171BA0"/>
    <w:rsid w:val="00171E48"/>
    <w:rsid w:val="00171E62"/>
    <w:rsid w:val="00171E77"/>
    <w:rsid w:val="00171F1A"/>
    <w:rsid w:val="00171F6F"/>
    <w:rsid w:val="0017204A"/>
    <w:rsid w:val="00172402"/>
    <w:rsid w:val="001726C9"/>
    <w:rsid w:val="00172B42"/>
    <w:rsid w:val="00172E64"/>
    <w:rsid w:val="00172E91"/>
    <w:rsid w:val="00173141"/>
    <w:rsid w:val="0017315C"/>
    <w:rsid w:val="001731D4"/>
    <w:rsid w:val="001731EE"/>
    <w:rsid w:val="0017322A"/>
    <w:rsid w:val="0017347A"/>
    <w:rsid w:val="0017349A"/>
    <w:rsid w:val="00173545"/>
    <w:rsid w:val="00173631"/>
    <w:rsid w:val="00173728"/>
    <w:rsid w:val="00173988"/>
    <w:rsid w:val="00173A6E"/>
    <w:rsid w:val="00173A75"/>
    <w:rsid w:val="00173AD1"/>
    <w:rsid w:val="00173B28"/>
    <w:rsid w:val="00173DB5"/>
    <w:rsid w:val="00173F17"/>
    <w:rsid w:val="00174163"/>
    <w:rsid w:val="001742E3"/>
    <w:rsid w:val="001742E7"/>
    <w:rsid w:val="00174A3D"/>
    <w:rsid w:val="00174AA4"/>
    <w:rsid w:val="00174BE4"/>
    <w:rsid w:val="00174CF6"/>
    <w:rsid w:val="00174E01"/>
    <w:rsid w:val="0017516C"/>
    <w:rsid w:val="0017550C"/>
    <w:rsid w:val="001757AA"/>
    <w:rsid w:val="001758AF"/>
    <w:rsid w:val="00175D03"/>
    <w:rsid w:val="00175D6E"/>
    <w:rsid w:val="00175E28"/>
    <w:rsid w:val="00175F04"/>
    <w:rsid w:val="00176158"/>
    <w:rsid w:val="0017630E"/>
    <w:rsid w:val="001765EC"/>
    <w:rsid w:val="00176682"/>
    <w:rsid w:val="001766F2"/>
    <w:rsid w:val="001769DF"/>
    <w:rsid w:val="001769EE"/>
    <w:rsid w:val="00176DBE"/>
    <w:rsid w:val="00176E08"/>
    <w:rsid w:val="00176ED4"/>
    <w:rsid w:val="00177031"/>
    <w:rsid w:val="001770BC"/>
    <w:rsid w:val="001774C1"/>
    <w:rsid w:val="00177517"/>
    <w:rsid w:val="00177686"/>
    <w:rsid w:val="0017782D"/>
    <w:rsid w:val="00177ABA"/>
    <w:rsid w:val="00177E50"/>
    <w:rsid w:val="0018044B"/>
    <w:rsid w:val="00180746"/>
    <w:rsid w:val="00180778"/>
    <w:rsid w:val="0018095E"/>
    <w:rsid w:val="00180A9F"/>
    <w:rsid w:val="00180AAC"/>
    <w:rsid w:val="00180AB0"/>
    <w:rsid w:val="00180BB3"/>
    <w:rsid w:val="00180CD0"/>
    <w:rsid w:val="00180DF8"/>
    <w:rsid w:val="00180EC8"/>
    <w:rsid w:val="00180F00"/>
    <w:rsid w:val="00180F30"/>
    <w:rsid w:val="00181004"/>
    <w:rsid w:val="001810C5"/>
    <w:rsid w:val="00181162"/>
    <w:rsid w:val="0018133E"/>
    <w:rsid w:val="00181460"/>
    <w:rsid w:val="00181577"/>
    <w:rsid w:val="00181623"/>
    <w:rsid w:val="001819E2"/>
    <w:rsid w:val="00181A1D"/>
    <w:rsid w:val="00181B4E"/>
    <w:rsid w:val="00181BE7"/>
    <w:rsid w:val="00181C41"/>
    <w:rsid w:val="001820CC"/>
    <w:rsid w:val="00182366"/>
    <w:rsid w:val="001823DE"/>
    <w:rsid w:val="00182574"/>
    <w:rsid w:val="0018269E"/>
    <w:rsid w:val="00182A63"/>
    <w:rsid w:val="00182AB9"/>
    <w:rsid w:val="00182EF1"/>
    <w:rsid w:val="00182F2C"/>
    <w:rsid w:val="0018328B"/>
    <w:rsid w:val="001833A4"/>
    <w:rsid w:val="001834C1"/>
    <w:rsid w:val="00183670"/>
    <w:rsid w:val="0018370A"/>
    <w:rsid w:val="00183C48"/>
    <w:rsid w:val="00183C8F"/>
    <w:rsid w:val="00183D67"/>
    <w:rsid w:val="00183DA0"/>
    <w:rsid w:val="00184189"/>
    <w:rsid w:val="0018425F"/>
    <w:rsid w:val="001842C8"/>
    <w:rsid w:val="0018432F"/>
    <w:rsid w:val="0018443E"/>
    <w:rsid w:val="0018448E"/>
    <w:rsid w:val="0018453F"/>
    <w:rsid w:val="00184685"/>
    <w:rsid w:val="001847AE"/>
    <w:rsid w:val="00184815"/>
    <w:rsid w:val="00184987"/>
    <w:rsid w:val="00184A4E"/>
    <w:rsid w:val="0018507E"/>
    <w:rsid w:val="001852A8"/>
    <w:rsid w:val="001858B4"/>
    <w:rsid w:val="001859CD"/>
    <w:rsid w:val="001860AA"/>
    <w:rsid w:val="00186639"/>
    <w:rsid w:val="001867BB"/>
    <w:rsid w:val="00186A2A"/>
    <w:rsid w:val="00186A41"/>
    <w:rsid w:val="00186ACC"/>
    <w:rsid w:val="00186D40"/>
    <w:rsid w:val="0018702A"/>
    <w:rsid w:val="0018703C"/>
    <w:rsid w:val="001873AF"/>
    <w:rsid w:val="00187A2A"/>
    <w:rsid w:val="00187BC6"/>
    <w:rsid w:val="00190665"/>
    <w:rsid w:val="001906AE"/>
    <w:rsid w:val="001906DC"/>
    <w:rsid w:val="001906E2"/>
    <w:rsid w:val="00190A4B"/>
    <w:rsid w:val="00190DD4"/>
    <w:rsid w:val="00190E23"/>
    <w:rsid w:val="0019105D"/>
    <w:rsid w:val="00191231"/>
    <w:rsid w:val="001914E3"/>
    <w:rsid w:val="001915B0"/>
    <w:rsid w:val="00191978"/>
    <w:rsid w:val="001919E0"/>
    <w:rsid w:val="001919ED"/>
    <w:rsid w:val="00191CC2"/>
    <w:rsid w:val="00191FF0"/>
    <w:rsid w:val="001920D3"/>
    <w:rsid w:val="001921D5"/>
    <w:rsid w:val="00192214"/>
    <w:rsid w:val="00192235"/>
    <w:rsid w:val="0019228B"/>
    <w:rsid w:val="001922FD"/>
    <w:rsid w:val="0019232C"/>
    <w:rsid w:val="001923C1"/>
    <w:rsid w:val="001924B0"/>
    <w:rsid w:val="001927EC"/>
    <w:rsid w:val="00192AA9"/>
    <w:rsid w:val="00192AB5"/>
    <w:rsid w:val="00192C3C"/>
    <w:rsid w:val="00192C81"/>
    <w:rsid w:val="00192CEA"/>
    <w:rsid w:val="00192D8D"/>
    <w:rsid w:val="0019303E"/>
    <w:rsid w:val="001932F7"/>
    <w:rsid w:val="0019331A"/>
    <w:rsid w:val="00193AFA"/>
    <w:rsid w:val="00193E82"/>
    <w:rsid w:val="001942BC"/>
    <w:rsid w:val="0019435B"/>
    <w:rsid w:val="00194416"/>
    <w:rsid w:val="0019466F"/>
    <w:rsid w:val="001946B9"/>
    <w:rsid w:val="00194793"/>
    <w:rsid w:val="001947C9"/>
    <w:rsid w:val="001947F0"/>
    <w:rsid w:val="00194DDF"/>
    <w:rsid w:val="0019531B"/>
    <w:rsid w:val="001955FD"/>
    <w:rsid w:val="00195734"/>
    <w:rsid w:val="001957EB"/>
    <w:rsid w:val="00195A4F"/>
    <w:rsid w:val="00195AC4"/>
    <w:rsid w:val="00195D0D"/>
    <w:rsid w:val="00195DAE"/>
    <w:rsid w:val="00195EFE"/>
    <w:rsid w:val="001960CB"/>
    <w:rsid w:val="0019612B"/>
    <w:rsid w:val="00196144"/>
    <w:rsid w:val="0019625E"/>
    <w:rsid w:val="00196336"/>
    <w:rsid w:val="00196414"/>
    <w:rsid w:val="00196441"/>
    <w:rsid w:val="0019648C"/>
    <w:rsid w:val="001964A1"/>
    <w:rsid w:val="00196559"/>
    <w:rsid w:val="0019663E"/>
    <w:rsid w:val="00196643"/>
    <w:rsid w:val="001967F5"/>
    <w:rsid w:val="0019692F"/>
    <w:rsid w:val="00196C2D"/>
    <w:rsid w:val="00196F9A"/>
    <w:rsid w:val="0019720C"/>
    <w:rsid w:val="001972EB"/>
    <w:rsid w:val="001974BF"/>
    <w:rsid w:val="00197706"/>
    <w:rsid w:val="001977FC"/>
    <w:rsid w:val="00197A5A"/>
    <w:rsid w:val="00197CE8"/>
    <w:rsid w:val="00197DA2"/>
    <w:rsid w:val="00197F5A"/>
    <w:rsid w:val="001A0174"/>
    <w:rsid w:val="001A030B"/>
    <w:rsid w:val="001A0328"/>
    <w:rsid w:val="001A0623"/>
    <w:rsid w:val="001A0D0D"/>
    <w:rsid w:val="001A0DB1"/>
    <w:rsid w:val="001A0E71"/>
    <w:rsid w:val="001A1032"/>
    <w:rsid w:val="001A1059"/>
    <w:rsid w:val="001A11B5"/>
    <w:rsid w:val="001A11BF"/>
    <w:rsid w:val="001A14DA"/>
    <w:rsid w:val="001A182F"/>
    <w:rsid w:val="001A1956"/>
    <w:rsid w:val="001A1D30"/>
    <w:rsid w:val="001A1E38"/>
    <w:rsid w:val="001A1F30"/>
    <w:rsid w:val="001A2062"/>
    <w:rsid w:val="001A21D5"/>
    <w:rsid w:val="001A2206"/>
    <w:rsid w:val="001A239C"/>
    <w:rsid w:val="001A24CE"/>
    <w:rsid w:val="001A2892"/>
    <w:rsid w:val="001A29C9"/>
    <w:rsid w:val="001A2AAB"/>
    <w:rsid w:val="001A2C92"/>
    <w:rsid w:val="001A2C9A"/>
    <w:rsid w:val="001A2D9D"/>
    <w:rsid w:val="001A2E61"/>
    <w:rsid w:val="001A309B"/>
    <w:rsid w:val="001A30DE"/>
    <w:rsid w:val="001A31C9"/>
    <w:rsid w:val="001A31F2"/>
    <w:rsid w:val="001A3273"/>
    <w:rsid w:val="001A3369"/>
    <w:rsid w:val="001A33D2"/>
    <w:rsid w:val="001A3687"/>
    <w:rsid w:val="001A3699"/>
    <w:rsid w:val="001A36DB"/>
    <w:rsid w:val="001A3743"/>
    <w:rsid w:val="001A3937"/>
    <w:rsid w:val="001A3B7A"/>
    <w:rsid w:val="001A3DEA"/>
    <w:rsid w:val="001A3DF4"/>
    <w:rsid w:val="001A41AF"/>
    <w:rsid w:val="001A427B"/>
    <w:rsid w:val="001A46B3"/>
    <w:rsid w:val="001A4843"/>
    <w:rsid w:val="001A4890"/>
    <w:rsid w:val="001A4AA7"/>
    <w:rsid w:val="001A4B3B"/>
    <w:rsid w:val="001A4C76"/>
    <w:rsid w:val="001A4D97"/>
    <w:rsid w:val="001A4DE5"/>
    <w:rsid w:val="001A4E76"/>
    <w:rsid w:val="001A4EB6"/>
    <w:rsid w:val="001A4FE3"/>
    <w:rsid w:val="001A521D"/>
    <w:rsid w:val="001A53F9"/>
    <w:rsid w:val="001A5459"/>
    <w:rsid w:val="001A555B"/>
    <w:rsid w:val="001A55CA"/>
    <w:rsid w:val="001A568B"/>
    <w:rsid w:val="001A56B8"/>
    <w:rsid w:val="001A5B8D"/>
    <w:rsid w:val="001A5BA8"/>
    <w:rsid w:val="001A5BDF"/>
    <w:rsid w:val="001A5C7F"/>
    <w:rsid w:val="001A5C9F"/>
    <w:rsid w:val="001A5CA3"/>
    <w:rsid w:val="001A5CD0"/>
    <w:rsid w:val="001A5D30"/>
    <w:rsid w:val="001A5E71"/>
    <w:rsid w:val="001A5E82"/>
    <w:rsid w:val="001A642C"/>
    <w:rsid w:val="001A6714"/>
    <w:rsid w:val="001A6A90"/>
    <w:rsid w:val="001A6B61"/>
    <w:rsid w:val="001A7041"/>
    <w:rsid w:val="001A70B1"/>
    <w:rsid w:val="001A70EC"/>
    <w:rsid w:val="001A7128"/>
    <w:rsid w:val="001A73E0"/>
    <w:rsid w:val="001A74B5"/>
    <w:rsid w:val="001A7538"/>
    <w:rsid w:val="001A762B"/>
    <w:rsid w:val="001A76B6"/>
    <w:rsid w:val="001A77D6"/>
    <w:rsid w:val="001A7AE8"/>
    <w:rsid w:val="001A7B35"/>
    <w:rsid w:val="001A7C45"/>
    <w:rsid w:val="001A7CAD"/>
    <w:rsid w:val="001A7D02"/>
    <w:rsid w:val="001A7DEC"/>
    <w:rsid w:val="001A7F48"/>
    <w:rsid w:val="001A7FB7"/>
    <w:rsid w:val="001B01B1"/>
    <w:rsid w:val="001B0542"/>
    <w:rsid w:val="001B0550"/>
    <w:rsid w:val="001B061C"/>
    <w:rsid w:val="001B06E2"/>
    <w:rsid w:val="001B0C80"/>
    <w:rsid w:val="001B0ECA"/>
    <w:rsid w:val="001B0F68"/>
    <w:rsid w:val="001B0FDD"/>
    <w:rsid w:val="001B126B"/>
    <w:rsid w:val="001B1283"/>
    <w:rsid w:val="001B137E"/>
    <w:rsid w:val="001B15A1"/>
    <w:rsid w:val="001B15CE"/>
    <w:rsid w:val="001B17B2"/>
    <w:rsid w:val="001B183F"/>
    <w:rsid w:val="001B1970"/>
    <w:rsid w:val="001B1B62"/>
    <w:rsid w:val="001B1C86"/>
    <w:rsid w:val="001B1C8E"/>
    <w:rsid w:val="001B1CE2"/>
    <w:rsid w:val="001B20B5"/>
    <w:rsid w:val="001B20D9"/>
    <w:rsid w:val="001B22A6"/>
    <w:rsid w:val="001B2474"/>
    <w:rsid w:val="001B2758"/>
    <w:rsid w:val="001B27F4"/>
    <w:rsid w:val="001B2931"/>
    <w:rsid w:val="001B2A25"/>
    <w:rsid w:val="001B2B90"/>
    <w:rsid w:val="001B2D47"/>
    <w:rsid w:val="001B2F27"/>
    <w:rsid w:val="001B30C2"/>
    <w:rsid w:val="001B310F"/>
    <w:rsid w:val="001B31E1"/>
    <w:rsid w:val="001B3215"/>
    <w:rsid w:val="001B3371"/>
    <w:rsid w:val="001B343B"/>
    <w:rsid w:val="001B3797"/>
    <w:rsid w:val="001B3D9D"/>
    <w:rsid w:val="001B3DA8"/>
    <w:rsid w:val="001B4089"/>
    <w:rsid w:val="001B41E8"/>
    <w:rsid w:val="001B4271"/>
    <w:rsid w:val="001B42A9"/>
    <w:rsid w:val="001B4522"/>
    <w:rsid w:val="001B4604"/>
    <w:rsid w:val="001B47CF"/>
    <w:rsid w:val="001B47EE"/>
    <w:rsid w:val="001B4826"/>
    <w:rsid w:val="001B4A45"/>
    <w:rsid w:val="001B50D8"/>
    <w:rsid w:val="001B56DE"/>
    <w:rsid w:val="001B56E2"/>
    <w:rsid w:val="001B5939"/>
    <w:rsid w:val="001B5CA0"/>
    <w:rsid w:val="001B5DB4"/>
    <w:rsid w:val="001B5E79"/>
    <w:rsid w:val="001B5FD9"/>
    <w:rsid w:val="001B5FEC"/>
    <w:rsid w:val="001B6113"/>
    <w:rsid w:val="001B621E"/>
    <w:rsid w:val="001B634D"/>
    <w:rsid w:val="001B6417"/>
    <w:rsid w:val="001B6418"/>
    <w:rsid w:val="001B64A8"/>
    <w:rsid w:val="001B64BD"/>
    <w:rsid w:val="001B67B7"/>
    <w:rsid w:val="001B6BEB"/>
    <w:rsid w:val="001B718F"/>
    <w:rsid w:val="001B71FD"/>
    <w:rsid w:val="001B734B"/>
    <w:rsid w:val="001B73E1"/>
    <w:rsid w:val="001B73FC"/>
    <w:rsid w:val="001B75F0"/>
    <w:rsid w:val="001B76DF"/>
    <w:rsid w:val="001B771E"/>
    <w:rsid w:val="001B78E2"/>
    <w:rsid w:val="001B78EF"/>
    <w:rsid w:val="001B7BE7"/>
    <w:rsid w:val="001B7C23"/>
    <w:rsid w:val="001B7DB3"/>
    <w:rsid w:val="001B7DE0"/>
    <w:rsid w:val="001B7F80"/>
    <w:rsid w:val="001B7FEA"/>
    <w:rsid w:val="001C01CB"/>
    <w:rsid w:val="001C0417"/>
    <w:rsid w:val="001C05A3"/>
    <w:rsid w:val="001C0651"/>
    <w:rsid w:val="001C068D"/>
    <w:rsid w:val="001C0A00"/>
    <w:rsid w:val="001C0CEA"/>
    <w:rsid w:val="001C107E"/>
    <w:rsid w:val="001C1860"/>
    <w:rsid w:val="001C1AA0"/>
    <w:rsid w:val="001C1B98"/>
    <w:rsid w:val="001C20D6"/>
    <w:rsid w:val="001C2106"/>
    <w:rsid w:val="001C2113"/>
    <w:rsid w:val="001C223E"/>
    <w:rsid w:val="001C22A3"/>
    <w:rsid w:val="001C22E0"/>
    <w:rsid w:val="001C2310"/>
    <w:rsid w:val="001C24BD"/>
    <w:rsid w:val="001C2615"/>
    <w:rsid w:val="001C27C7"/>
    <w:rsid w:val="001C29BD"/>
    <w:rsid w:val="001C2A1E"/>
    <w:rsid w:val="001C2AC3"/>
    <w:rsid w:val="001C2D09"/>
    <w:rsid w:val="001C2F2A"/>
    <w:rsid w:val="001C2FA0"/>
    <w:rsid w:val="001C3013"/>
    <w:rsid w:val="001C3061"/>
    <w:rsid w:val="001C36A0"/>
    <w:rsid w:val="001C3771"/>
    <w:rsid w:val="001C37AA"/>
    <w:rsid w:val="001C37B2"/>
    <w:rsid w:val="001C3821"/>
    <w:rsid w:val="001C383A"/>
    <w:rsid w:val="001C3BFF"/>
    <w:rsid w:val="001C3C2E"/>
    <w:rsid w:val="001C3C7A"/>
    <w:rsid w:val="001C3CCB"/>
    <w:rsid w:val="001C3EDE"/>
    <w:rsid w:val="001C3F43"/>
    <w:rsid w:val="001C3FE4"/>
    <w:rsid w:val="001C4001"/>
    <w:rsid w:val="001C408F"/>
    <w:rsid w:val="001C4227"/>
    <w:rsid w:val="001C44CF"/>
    <w:rsid w:val="001C4537"/>
    <w:rsid w:val="001C46BD"/>
    <w:rsid w:val="001C472A"/>
    <w:rsid w:val="001C4966"/>
    <w:rsid w:val="001C49F3"/>
    <w:rsid w:val="001C4ABE"/>
    <w:rsid w:val="001C4BCE"/>
    <w:rsid w:val="001C4D52"/>
    <w:rsid w:val="001C4FEE"/>
    <w:rsid w:val="001C5176"/>
    <w:rsid w:val="001C5731"/>
    <w:rsid w:val="001C58EF"/>
    <w:rsid w:val="001C59D9"/>
    <w:rsid w:val="001C5CF6"/>
    <w:rsid w:val="001C5EF8"/>
    <w:rsid w:val="001C5F5E"/>
    <w:rsid w:val="001C6364"/>
    <w:rsid w:val="001C652F"/>
    <w:rsid w:val="001C6604"/>
    <w:rsid w:val="001C66FC"/>
    <w:rsid w:val="001C6D86"/>
    <w:rsid w:val="001C6F0E"/>
    <w:rsid w:val="001C7164"/>
    <w:rsid w:val="001C72C1"/>
    <w:rsid w:val="001C7359"/>
    <w:rsid w:val="001C7519"/>
    <w:rsid w:val="001C767E"/>
    <w:rsid w:val="001C7973"/>
    <w:rsid w:val="001C79E2"/>
    <w:rsid w:val="001C7AEE"/>
    <w:rsid w:val="001C7BCC"/>
    <w:rsid w:val="001C7C1F"/>
    <w:rsid w:val="001D0300"/>
    <w:rsid w:val="001D031C"/>
    <w:rsid w:val="001D0355"/>
    <w:rsid w:val="001D045A"/>
    <w:rsid w:val="001D08D6"/>
    <w:rsid w:val="001D08ED"/>
    <w:rsid w:val="001D0938"/>
    <w:rsid w:val="001D0D41"/>
    <w:rsid w:val="001D0D92"/>
    <w:rsid w:val="001D1069"/>
    <w:rsid w:val="001D109E"/>
    <w:rsid w:val="001D10F0"/>
    <w:rsid w:val="001D127D"/>
    <w:rsid w:val="001D13DF"/>
    <w:rsid w:val="001D15BE"/>
    <w:rsid w:val="001D161F"/>
    <w:rsid w:val="001D163C"/>
    <w:rsid w:val="001D16A8"/>
    <w:rsid w:val="001D1A9F"/>
    <w:rsid w:val="001D1C23"/>
    <w:rsid w:val="001D1D12"/>
    <w:rsid w:val="001D2029"/>
    <w:rsid w:val="001D20AB"/>
    <w:rsid w:val="001D2110"/>
    <w:rsid w:val="001D228E"/>
    <w:rsid w:val="001D22C2"/>
    <w:rsid w:val="001D2604"/>
    <w:rsid w:val="001D28B6"/>
    <w:rsid w:val="001D28E3"/>
    <w:rsid w:val="001D2ACB"/>
    <w:rsid w:val="001D31AC"/>
    <w:rsid w:val="001D31F0"/>
    <w:rsid w:val="001D3340"/>
    <w:rsid w:val="001D3426"/>
    <w:rsid w:val="001D354F"/>
    <w:rsid w:val="001D3692"/>
    <w:rsid w:val="001D369C"/>
    <w:rsid w:val="001D37C1"/>
    <w:rsid w:val="001D3974"/>
    <w:rsid w:val="001D39C6"/>
    <w:rsid w:val="001D3A6D"/>
    <w:rsid w:val="001D3D16"/>
    <w:rsid w:val="001D3D2F"/>
    <w:rsid w:val="001D4159"/>
    <w:rsid w:val="001D4204"/>
    <w:rsid w:val="001D438C"/>
    <w:rsid w:val="001D455B"/>
    <w:rsid w:val="001D47C7"/>
    <w:rsid w:val="001D4837"/>
    <w:rsid w:val="001D4DD2"/>
    <w:rsid w:val="001D509C"/>
    <w:rsid w:val="001D5511"/>
    <w:rsid w:val="001D58A7"/>
    <w:rsid w:val="001D5A09"/>
    <w:rsid w:val="001D5ABE"/>
    <w:rsid w:val="001D5BB2"/>
    <w:rsid w:val="001D60B2"/>
    <w:rsid w:val="001D626F"/>
    <w:rsid w:val="001D6272"/>
    <w:rsid w:val="001D649B"/>
    <w:rsid w:val="001D6525"/>
    <w:rsid w:val="001D67E3"/>
    <w:rsid w:val="001D6812"/>
    <w:rsid w:val="001D6819"/>
    <w:rsid w:val="001D68CF"/>
    <w:rsid w:val="001D6963"/>
    <w:rsid w:val="001D69C1"/>
    <w:rsid w:val="001D6A72"/>
    <w:rsid w:val="001D6C17"/>
    <w:rsid w:val="001D6D9F"/>
    <w:rsid w:val="001D6E2A"/>
    <w:rsid w:val="001D6FD6"/>
    <w:rsid w:val="001D6FE6"/>
    <w:rsid w:val="001D7058"/>
    <w:rsid w:val="001D71FA"/>
    <w:rsid w:val="001D7270"/>
    <w:rsid w:val="001D73BD"/>
    <w:rsid w:val="001D743B"/>
    <w:rsid w:val="001D74DB"/>
    <w:rsid w:val="001D757E"/>
    <w:rsid w:val="001D7CC0"/>
    <w:rsid w:val="001D7DFC"/>
    <w:rsid w:val="001D7E4C"/>
    <w:rsid w:val="001D7FFE"/>
    <w:rsid w:val="001E0100"/>
    <w:rsid w:val="001E0259"/>
    <w:rsid w:val="001E031E"/>
    <w:rsid w:val="001E032E"/>
    <w:rsid w:val="001E07B2"/>
    <w:rsid w:val="001E0866"/>
    <w:rsid w:val="001E09BE"/>
    <w:rsid w:val="001E0A05"/>
    <w:rsid w:val="001E0A65"/>
    <w:rsid w:val="001E0BCC"/>
    <w:rsid w:val="001E0BD2"/>
    <w:rsid w:val="001E0D3E"/>
    <w:rsid w:val="001E0F7D"/>
    <w:rsid w:val="001E1218"/>
    <w:rsid w:val="001E179E"/>
    <w:rsid w:val="001E1A07"/>
    <w:rsid w:val="001E1C1D"/>
    <w:rsid w:val="001E1F90"/>
    <w:rsid w:val="001E2094"/>
    <w:rsid w:val="001E250B"/>
    <w:rsid w:val="001E25F7"/>
    <w:rsid w:val="001E2765"/>
    <w:rsid w:val="001E28E2"/>
    <w:rsid w:val="001E2998"/>
    <w:rsid w:val="001E2C92"/>
    <w:rsid w:val="001E2D89"/>
    <w:rsid w:val="001E2E38"/>
    <w:rsid w:val="001E312F"/>
    <w:rsid w:val="001E3205"/>
    <w:rsid w:val="001E3373"/>
    <w:rsid w:val="001E35B4"/>
    <w:rsid w:val="001E37DE"/>
    <w:rsid w:val="001E3BF4"/>
    <w:rsid w:val="001E3C08"/>
    <w:rsid w:val="001E3DE5"/>
    <w:rsid w:val="001E3E4B"/>
    <w:rsid w:val="001E417E"/>
    <w:rsid w:val="001E41F9"/>
    <w:rsid w:val="001E4228"/>
    <w:rsid w:val="001E43E7"/>
    <w:rsid w:val="001E45FF"/>
    <w:rsid w:val="001E4624"/>
    <w:rsid w:val="001E4AB9"/>
    <w:rsid w:val="001E4C69"/>
    <w:rsid w:val="001E4D1E"/>
    <w:rsid w:val="001E4F82"/>
    <w:rsid w:val="001E4F99"/>
    <w:rsid w:val="001E51CA"/>
    <w:rsid w:val="001E553B"/>
    <w:rsid w:val="001E5675"/>
    <w:rsid w:val="001E5CFD"/>
    <w:rsid w:val="001E5E10"/>
    <w:rsid w:val="001E5F62"/>
    <w:rsid w:val="001E6011"/>
    <w:rsid w:val="001E6169"/>
    <w:rsid w:val="001E624B"/>
    <w:rsid w:val="001E62F0"/>
    <w:rsid w:val="001E6954"/>
    <w:rsid w:val="001E6B6F"/>
    <w:rsid w:val="001E6B70"/>
    <w:rsid w:val="001E6CC5"/>
    <w:rsid w:val="001E6D46"/>
    <w:rsid w:val="001E6DA1"/>
    <w:rsid w:val="001E6E60"/>
    <w:rsid w:val="001E6E8D"/>
    <w:rsid w:val="001E6EF5"/>
    <w:rsid w:val="001E7369"/>
    <w:rsid w:val="001E7496"/>
    <w:rsid w:val="001E7994"/>
    <w:rsid w:val="001E7A54"/>
    <w:rsid w:val="001E7A75"/>
    <w:rsid w:val="001E7DAD"/>
    <w:rsid w:val="001E7DB8"/>
    <w:rsid w:val="001E7E23"/>
    <w:rsid w:val="001E7E73"/>
    <w:rsid w:val="001F0262"/>
    <w:rsid w:val="001F035C"/>
    <w:rsid w:val="001F037C"/>
    <w:rsid w:val="001F06B2"/>
    <w:rsid w:val="001F06E9"/>
    <w:rsid w:val="001F0ACF"/>
    <w:rsid w:val="001F0BF2"/>
    <w:rsid w:val="001F10C8"/>
    <w:rsid w:val="001F128A"/>
    <w:rsid w:val="001F13EE"/>
    <w:rsid w:val="001F16E0"/>
    <w:rsid w:val="001F16E2"/>
    <w:rsid w:val="001F1741"/>
    <w:rsid w:val="001F182F"/>
    <w:rsid w:val="001F1966"/>
    <w:rsid w:val="001F19C7"/>
    <w:rsid w:val="001F19FA"/>
    <w:rsid w:val="001F1D02"/>
    <w:rsid w:val="001F1D0E"/>
    <w:rsid w:val="001F1DF6"/>
    <w:rsid w:val="001F2475"/>
    <w:rsid w:val="001F24BC"/>
    <w:rsid w:val="001F2877"/>
    <w:rsid w:val="001F28C8"/>
    <w:rsid w:val="001F299C"/>
    <w:rsid w:val="001F2A00"/>
    <w:rsid w:val="001F2B22"/>
    <w:rsid w:val="001F2B89"/>
    <w:rsid w:val="001F2B98"/>
    <w:rsid w:val="001F2E93"/>
    <w:rsid w:val="001F303B"/>
    <w:rsid w:val="001F330E"/>
    <w:rsid w:val="001F358D"/>
    <w:rsid w:val="001F3683"/>
    <w:rsid w:val="001F3990"/>
    <w:rsid w:val="001F3BA6"/>
    <w:rsid w:val="001F3DF9"/>
    <w:rsid w:val="001F4239"/>
    <w:rsid w:val="001F441E"/>
    <w:rsid w:val="001F44EE"/>
    <w:rsid w:val="001F482B"/>
    <w:rsid w:val="001F504F"/>
    <w:rsid w:val="001F521C"/>
    <w:rsid w:val="001F522A"/>
    <w:rsid w:val="001F525F"/>
    <w:rsid w:val="001F5287"/>
    <w:rsid w:val="001F53E3"/>
    <w:rsid w:val="001F5549"/>
    <w:rsid w:val="001F55AA"/>
    <w:rsid w:val="001F57E2"/>
    <w:rsid w:val="001F5A97"/>
    <w:rsid w:val="001F5AC9"/>
    <w:rsid w:val="001F5B40"/>
    <w:rsid w:val="001F5D15"/>
    <w:rsid w:val="001F5F17"/>
    <w:rsid w:val="001F6077"/>
    <w:rsid w:val="001F6099"/>
    <w:rsid w:val="001F60F9"/>
    <w:rsid w:val="001F611D"/>
    <w:rsid w:val="001F6341"/>
    <w:rsid w:val="001F672E"/>
    <w:rsid w:val="001F6CB3"/>
    <w:rsid w:val="001F6CF7"/>
    <w:rsid w:val="001F7200"/>
    <w:rsid w:val="001F73FC"/>
    <w:rsid w:val="001F7609"/>
    <w:rsid w:val="001F76C9"/>
    <w:rsid w:val="001F777F"/>
    <w:rsid w:val="001F790F"/>
    <w:rsid w:val="001F7A54"/>
    <w:rsid w:val="001F7B06"/>
    <w:rsid w:val="001F7C1B"/>
    <w:rsid w:val="001F7C7F"/>
    <w:rsid w:val="002000F9"/>
    <w:rsid w:val="00200276"/>
    <w:rsid w:val="002003B1"/>
    <w:rsid w:val="0020081D"/>
    <w:rsid w:val="002008E2"/>
    <w:rsid w:val="00200B4E"/>
    <w:rsid w:val="00200CFD"/>
    <w:rsid w:val="00200E95"/>
    <w:rsid w:val="00200ECB"/>
    <w:rsid w:val="002013AD"/>
    <w:rsid w:val="002013B7"/>
    <w:rsid w:val="002013FC"/>
    <w:rsid w:val="002014D1"/>
    <w:rsid w:val="0020166B"/>
    <w:rsid w:val="002017A5"/>
    <w:rsid w:val="002017A7"/>
    <w:rsid w:val="00201DD3"/>
    <w:rsid w:val="00201E30"/>
    <w:rsid w:val="00201EC9"/>
    <w:rsid w:val="00201ECE"/>
    <w:rsid w:val="00201FF6"/>
    <w:rsid w:val="002024CA"/>
    <w:rsid w:val="00202A0F"/>
    <w:rsid w:val="00202A2E"/>
    <w:rsid w:val="00202B93"/>
    <w:rsid w:val="00202CAC"/>
    <w:rsid w:val="00202D45"/>
    <w:rsid w:val="00202FE0"/>
    <w:rsid w:val="00203029"/>
    <w:rsid w:val="00203134"/>
    <w:rsid w:val="0020342C"/>
    <w:rsid w:val="0020363D"/>
    <w:rsid w:val="0020394A"/>
    <w:rsid w:val="002039B0"/>
    <w:rsid w:val="00203AD8"/>
    <w:rsid w:val="00203B8F"/>
    <w:rsid w:val="00203CAF"/>
    <w:rsid w:val="00203E5E"/>
    <w:rsid w:val="00204018"/>
    <w:rsid w:val="002040EB"/>
    <w:rsid w:val="0020459A"/>
    <w:rsid w:val="00204A0C"/>
    <w:rsid w:val="00204BD6"/>
    <w:rsid w:val="00204D71"/>
    <w:rsid w:val="00204D76"/>
    <w:rsid w:val="00204FD1"/>
    <w:rsid w:val="00204FF2"/>
    <w:rsid w:val="0020506A"/>
    <w:rsid w:val="00205336"/>
    <w:rsid w:val="00205671"/>
    <w:rsid w:val="00205803"/>
    <w:rsid w:val="00205A66"/>
    <w:rsid w:val="00205F52"/>
    <w:rsid w:val="002060FA"/>
    <w:rsid w:val="002063AB"/>
    <w:rsid w:val="002063C8"/>
    <w:rsid w:val="00206482"/>
    <w:rsid w:val="0020654E"/>
    <w:rsid w:val="00206663"/>
    <w:rsid w:val="00206743"/>
    <w:rsid w:val="0020679D"/>
    <w:rsid w:val="00206838"/>
    <w:rsid w:val="00206841"/>
    <w:rsid w:val="00206864"/>
    <w:rsid w:val="00206B86"/>
    <w:rsid w:val="00206ED2"/>
    <w:rsid w:val="00207173"/>
    <w:rsid w:val="0020720C"/>
    <w:rsid w:val="002072E5"/>
    <w:rsid w:val="00207786"/>
    <w:rsid w:val="00207951"/>
    <w:rsid w:val="00207A4E"/>
    <w:rsid w:val="00207A99"/>
    <w:rsid w:val="00207B9E"/>
    <w:rsid w:val="00207EED"/>
    <w:rsid w:val="002100C8"/>
    <w:rsid w:val="0021015C"/>
    <w:rsid w:val="00210194"/>
    <w:rsid w:val="0021066C"/>
    <w:rsid w:val="00210700"/>
    <w:rsid w:val="0021071F"/>
    <w:rsid w:val="002108A6"/>
    <w:rsid w:val="0021097B"/>
    <w:rsid w:val="00210DA3"/>
    <w:rsid w:val="0021164C"/>
    <w:rsid w:val="002116F4"/>
    <w:rsid w:val="00211DC9"/>
    <w:rsid w:val="00211E4B"/>
    <w:rsid w:val="00211E9A"/>
    <w:rsid w:val="00211F1F"/>
    <w:rsid w:val="00211F5D"/>
    <w:rsid w:val="0021236E"/>
    <w:rsid w:val="0021247E"/>
    <w:rsid w:val="0021253D"/>
    <w:rsid w:val="00212684"/>
    <w:rsid w:val="002128A0"/>
    <w:rsid w:val="00212AA8"/>
    <w:rsid w:val="00212C5B"/>
    <w:rsid w:val="00212F02"/>
    <w:rsid w:val="002130E2"/>
    <w:rsid w:val="002130E9"/>
    <w:rsid w:val="0021333A"/>
    <w:rsid w:val="0021352B"/>
    <w:rsid w:val="0021362E"/>
    <w:rsid w:val="00213757"/>
    <w:rsid w:val="00213912"/>
    <w:rsid w:val="00213D71"/>
    <w:rsid w:val="00214174"/>
    <w:rsid w:val="00214307"/>
    <w:rsid w:val="00214590"/>
    <w:rsid w:val="00214643"/>
    <w:rsid w:val="002147C3"/>
    <w:rsid w:val="00214C25"/>
    <w:rsid w:val="00214E36"/>
    <w:rsid w:val="00214EC2"/>
    <w:rsid w:val="002151F4"/>
    <w:rsid w:val="0021536A"/>
    <w:rsid w:val="00215490"/>
    <w:rsid w:val="0021554A"/>
    <w:rsid w:val="00215553"/>
    <w:rsid w:val="002158F1"/>
    <w:rsid w:val="00215F4A"/>
    <w:rsid w:val="00215F8E"/>
    <w:rsid w:val="0021604E"/>
    <w:rsid w:val="00216137"/>
    <w:rsid w:val="00216622"/>
    <w:rsid w:val="002167B3"/>
    <w:rsid w:val="002169DD"/>
    <w:rsid w:val="002169E3"/>
    <w:rsid w:val="00216AC1"/>
    <w:rsid w:val="00216EFE"/>
    <w:rsid w:val="0021706A"/>
    <w:rsid w:val="0021725E"/>
    <w:rsid w:val="002172BA"/>
    <w:rsid w:val="002172CB"/>
    <w:rsid w:val="002174A5"/>
    <w:rsid w:val="002176B7"/>
    <w:rsid w:val="00217A4F"/>
    <w:rsid w:val="00217C99"/>
    <w:rsid w:val="00217F6A"/>
    <w:rsid w:val="00220633"/>
    <w:rsid w:val="0022074B"/>
    <w:rsid w:val="002208D8"/>
    <w:rsid w:val="00220A96"/>
    <w:rsid w:val="00220AC7"/>
    <w:rsid w:val="00220D8C"/>
    <w:rsid w:val="00220E46"/>
    <w:rsid w:val="00220E5C"/>
    <w:rsid w:val="00220FFA"/>
    <w:rsid w:val="00221068"/>
    <w:rsid w:val="00221235"/>
    <w:rsid w:val="002212ED"/>
    <w:rsid w:val="002214FD"/>
    <w:rsid w:val="002215F0"/>
    <w:rsid w:val="0022178A"/>
    <w:rsid w:val="002217F1"/>
    <w:rsid w:val="00221AB0"/>
    <w:rsid w:val="00221B6E"/>
    <w:rsid w:val="00221DCA"/>
    <w:rsid w:val="00221EB2"/>
    <w:rsid w:val="0022202A"/>
    <w:rsid w:val="00222041"/>
    <w:rsid w:val="00222067"/>
    <w:rsid w:val="0022280B"/>
    <w:rsid w:val="00222AD7"/>
    <w:rsid w:val="00222CD4"/>
    <w:rsid w:val="00222CD9"/>
    <w:rsid w:val="00222E2C"/>
    <w:rsid w:val="00222F83"/>
    <w:rsid w:val="00223124"/>
    <w:rsid w:val="002232E3"/>
    <w:rsid w:val="00223401"/>
    <w:rsid w:val="00223417"/>
    <w:rsid w:val="0022342D"/>
    <w:rsid w:val="00223661"/>
    <w:rsid w:val="0022366D"/>
    <w:rsid w:val="00223746"/>
    <w:rsid w:val="002237F2"/>
    <w:rsid w:val="00223B02"/>
    <w:rsid w:val="00223BE3"/>
    <w:rsid w:val="00223C3C"/>
    <w:rsid w:val="00223C54"/>
    <w:rsid w:val="00223F14"/>
    <w:rsid w:val="002240CF"/>
    <w:rsid w:val="0022442E"/>
    <w:rsid w:val="002244FF"/>
    <w:rsid w:val="00224584"/>
    <w:rsid w:val="002246F0"/>
    <w:rsid w:val="00224838"/>
    <w:rsid w:val="002249EC"/>
    <w:rsid w:val="00224AF7"/>
    <w:rsid w:val="00224B2A"/>
    <w:rsid w:val="00224D53"/>
    <w:rsid w:val="00224E04"/>
    <w:rsid w:val="00224ED8"/>
    <w:rsid w:val="00225025"/>
    <w:rsid w:val="0022503C"/>
    <w:rsid w:val="00225063"/>
    <w:rsid w:val="0022521F"/>
    <w:rsid w:val="00225282"/>
    <w:rsid w:val="002252A4"/>
    <w:rsid w:val="002252B7"/>
    <w:rsid w:val="0022557B"/>
    <w:rsid w:val="002256EC"/>
    <w:rsid w:val="0022571D"/>
    <w:rsid w:val="0022572E"/>
    <w:rsid w:val="002257BF"/>
    <w:rsid w:val="00225908"/>
    <w:rsid w:val="0022596A"/>
    <w:rsid w:val="00225DCC"/>
    <w:rsid w:val="00225F66"/>
    <w:rsid w:val="002262CC"/>
    <w:rsid w:val="0022641D"/>
    <w:rsid w:val="0022648E"/>
    <w:rsid w:val="0022661B"/>
    <w:rsid w:val="0022699F"/>
    <w:rsid w:val="00226DE8"/>
    <w:rsid w:val="00226E39"/>
    <w:rsid w:val="002273D4"/>
    <w:rsid w:val="00227580"/>
    <w:rsid w:val="00227CFD"/>
    <w:rsid w:val="002300BF"/>
    <w:rsid w:val="00230368"/>
    <w:rsid w:val="00230416"/>
    <w:rsid w:val="002306B4"/>
    <w:rsid w:val="00230746"/>
    <w:rsid w:val="0023079E"/>
    <w:rsid w:val="0023080F"/>
    <w:rsid w:val="002308C8"/>
    <w:rsid w:val="00230ACE"/>
    <w:rsid w:val="00230B67"/>
    <w:rsid w:val="00230BB9"/>
    <w:rsid w:val="00230EAC"/>
    <w:rsid w:val="00230FC7"/>
    <w:rsid w:val="00231014"/>
    <w:rsid w:val="0023121D"/>
    <w:rsid w:val="002312E1"/>
    <w:rsid w:val="002312FE"/>
    <w:rsid w:val="0023136A"/>
    <w:rsid w:val="00231516"/>
    <w:rsid w:val="00231F8F"/>
    <w:rsid w:val="0023203E"/>
    <w:rsid w:val="002321AD"/>
    <w:rsid w:val="002321E9"/>
    <w:rsid w:val="00232248"/>
    <w:rsid w:val="002325E7"/>
    <w:rsid w:val="00232754"/>
    <w:rsid w:val="002327DC"/>
    <w:rsid w:val="00232822"/>
    <w:rsid w:val="00232834"/>
    <w:rsid w:val="00232851"/>
    <w:rsid w:val="002328DD"/>
    <w:rsid w:val="00232AFA"/>
    <w:rsid w:val="00232B93"/>
    <w:rsid w:val="00232D58"/>
    <w:rsid w:val="00232E6D"/>
    <w:rsid w:val="00232E98"/>
    <w:rsid w:val="002333F0"/>
    <w:rsid w:val="00233426"/>
    <w:rsid w:val="00233B49"/>
    <w:rsid w:val="00233CE3"/>
    <w:rsid w:val="00233DE6"/>
    <w:rsid w:val="00233E7E"/>
    <w:rsid w:val="00233EC4"/>
    <w:rsid w:val="00233F07"/>
    <w:rsid w:val="00234036"/>
    <w:rsid w:val="002340F3"/>
    <w:rsid w:val="002342B1"/>
    <w:rsid w:val="0023435D"/>
    <w:rsid w:val="00234361"/>
    <w:rsid w:val="002343C3"/>
    <w:rsid w:val="002345A6"/>
    <w:rsid w:val="00234621"/>
    <w:rsid w:val="00234727"/>
    <w:rsid w:val="00234770"/>
    <w:rsid w:val="00234A64"/>
    <w:rsid w:val="00234BC8"/>
    <w:rsid w:val="00234C84"/>
    <w:rsid w:val="002350CA"/>
    <w:rsid w:val="00235133"/>
    <w:rsid w:val="00235170"/>
    <w:rsid w:val="00235220"/>
    <w:rsid w:val="00235278"/>
    <w:rsid w:val="0023536C"/>
    <w:rsid w:val="00235393"/>
    <w:rsid w:val="00235912"/>
    <w:rsid w:val="00235991"/>
    <w:rsid w:val="00235B70"/>
    <w:rsid w:val="00235C19"/>
    <w:rsid w:val="00235C58"/>
    <w:rsid w:val="00235CB6"/>
    <w:rsid w:val="00235E31"/>
    <w:rsid w:val="00235EA3"/>
    <w:rsid w:val="00236324"/>
    <w:rsid w:val="002363B0"/>
    <w:rsid w:val="0023645A"/>
    <w:rsid w:val="00236657"/>
    <w:rsid w:val="00236770"/>
    <w:rsid w:val="00236BAB"/>
    <w:rsid w:val="00236DF8"/>
    <w:rsid w:val="00237324"/>
    <w:rsid w:val="00237520"/>
    <w:rsid w:val="00237656"/>
    <w:rsid w:val="0023769D"/>
    <w:rsid w:val="002377C2"/>
    <w:rsid w:val="002377C5"/>
    <w:rsid w:val="00237DDA"/>
    <w:rsid w:val="00240283"/>
    <w:rsid w:val="0024028E"/>
    <w:rsid w:val="002403AD"/>
    <w:rsid w:val="002405D6"/>
    <w:rsid w:val="002406FD"/>
    <w:rsid w:val="00240904"/>
    <w:rsid w:val="00240AAA"/>
    <w:rsid w:val="00240B67"/>
    <w:rsid w:val="00240C27"/>
    <w:rsid w:val="00240F56"/>
    <w:rsid w:val="0024103E"/>
    <w:rsid w:val="00241221"/>
    <w:rsid w:val="002415AC"/>
    <w:rsid w:val="00241710"/>
    <w:rsid w:val="00241A30"/>
    <w:rsid w:val="00241A65"/>
    <w:rsid w:val="00241B82"/>
    <w:rsid w:val="00241B9A"/>
    <w:rsid w:val="00241C1C"/>
    <w:rsid w:val="00241CE8"/>
    <w:rsid w:val="00241D39"/>
    <w:rsid w:val="002420EF"/>
    <w:rsid w:val="0024223B"/>
    <w:rsid w:val="002426AF"/>
    <w:rsid w:val="002427DD"/>
    <w:rsid w:val="00242903"/>
    <w:rsid w:val="00242B92"/>
    <w:rsid w:val="00242BBE"/>
    <w:rsid w:val="00242DF2"/>
    <w:rsid w:val="00242F89"/>
    <w:rsid w:val="00242FCF"/>
    <w:rsid w:val="002430F3"/>
    <w:rsid w:val="0024312E"/>
    <w:rsid w:val="00243131"/>
    <w:rsid w:val="002431FD"/>
    <w:rsid w:val="0024339A"/>
    <w:rsid w:val="00243451"/>
    <w:rsid w:val="00243659"/>
    <w:rsid w:val="00243747"/>
    <w:rsid w:val="002438C0"/>
    <w:rsid w:val="002439D8"/>
    <w:rsid w:val="002439DA"/>
    <w:rsid w:val="00243B0F"/>
    <w:rsid w:val="00243C1C"/>
    <w:rsid w:val="00243D0B"/>
    <w:rsid w:val="00243E15"/>
    <w:rsid w:val="00243F7C"/>
    <w:rsid w:val="0024412A"/>
    <w:rsid w:val="00244132"/>
    <w:rsid w:val="002442E7"/>
    <w:rsid w:val="002445AA"/>
    <w:rsid w:val="00244827"/>
    <w:rsid w:val="00244970"/>
    <w:rsid w:val="00244972"/>
    <w:rsid w:val="00244A62"/>
    <w:rsid w:val="00244BFD"/>
    <w:rsid w:val="00244D1F"/>
    <w:rsid w:val="00244DAC"/>
    <w:rsid w:val="0024529C"/>
    <w:rsid w:val="0024555C"/>
    <w:rsid w:val="0024562D"/>
    <w:rsid w:val="002457BA"/>
    <w:rsid w:val="00245871"/>
    <w:rsid w:val="00245983"/>
    <w:rsid w:val="00245C97"/>
    <w:rsid w:val="0024603A"/>
    <w:rsid w:val="002460CB"/>
    <w:rsid w:val="00246175"/>
    <w:rsid w:val="00246551"/>
    <w:rsid w:val="00246836"/>
    <w:rsid w:val="002469AB"/>
    <w:rsid w:val="00246A9F"/>
    <w:rsid w:val="00246CEC"/>
    <w:rsid w:val="00246E65"/>
    <w:rsid w:val="002470C7"/>
    <w:rsid w:val="0024710B"/>
    <w:rsid w:val="002472D9"/>
    <w:rsid w:val="002474AC"/>
    <w:rsid w:val="002476C8"/>
    <w:rsid w:val="00247801"/>
    <w:rsid w:val="00247860"/>
    <w:rsid w:val="002478C1"/>
    <w:rsid w:val="00247985"/>
    <w:rsid w:val="00247C27"/>
    <w:rsid w:val="00247C9E"/>
    <w:rsid w:val="00247D3C"/>
    <w:rsid w:val="00247DA3"/>
    <w:rsid w:val="00250087"/>
    <w:rsid w:val="0025030A"/>
    <w:rsid w:val="002503E7"/>
    <w:rsid w:val="0025043A"/>
    <w:rsid w:val="002504D3"/>
    <w:rsid w:val="00250882"/>
    <w:rsid w:val="00250ABB"/>
    <w:rsid w:val="00250C03"/>
    <w:rsid w:val="00250F1A"/>
    <w:rsid w:val="00251125"/>
    <w:rsid w:val="00251189"/>
    <w:rsid w:val="002513A0"/>
    <w:rsid w:val="002514FD"/>
    <w:rsid w:val="0025160C"/>
    <w:rsid w:val="002518B4"/>
    <w:rsid w:val="002518C2"/>
    <w:rsid w:val="00251901"/>
    <w:rsid w:val="002519BD"/>
    <w:rsid w:val="002519EA"/>
    <w:rsid w:val="00251A98"/>
    <w:rsid w:val="00251AFC"/>
    <w:rsid w:val="00251B61"/>
    <w:rsid w:val="00251B6A"/>
    <w:rsid w:val="00251D05"/>
    <w:rsid w:val="00251D31"/>
    <w:rsid w:val="00251E6E"/>
    <w:rsid w:val="00251E8A"/>
    <w:rsid w:val="0025210D"/>
    <w:rsid w:val="002524AE"/>
    <w:rsid w:val="002525BA"/>
    <w:rsid w:val="00252873"/>
    <w:rsid w:val="00252927"/>
    <w:rsid w:val="002529E1"/>
    <w:rsid w:val="00252CB9"/>
    <w:rsid w:val="00252DD0"/>
    <w:rsid w:val="00252E5B"/>
    <w:rsid w:val="00253088"/>
    <w:rsid w:val="002531F1"/>
    <w:rsid w:val="0025322A"/>
    <w:rsid w:val="0025332B"/>
    <w:rsid w:val="00253382"/>
    <w:rsid w:val="00253499"/>
    <w:rsid w:val="002536DB"/>
    <w:rsid w:val="0025376D"/>
    <w:rsid w:val="002537ED"/>
    <w:rsid w:val="0025388E"/>
    <w:rsid w:val="00253A31"/>
    <w:rsid w:val="00253A65"/>
    <w:rsid w:val="00253AC3"/>
    <w:rsid w:val="00253D34"/>
    <w:rsid w:val="00253DAE"/>
    <w:rsid w:val="00253EC9"/>
    <w:rsid w:val="002542A5"/>
    <w:rsid w:val="002542B3"/>
    <w:rsid w:val="002543D4"/>
    <w:rsid w:val="002547BB"/>
    <w:rsid w:val="00254A81"/>
    <w:rsid w:val="00254B37"/>
    <w:rsid w:val="00254CF4"/>
    <w:rsid w:val="00254D3F"/>
    <w:rsid w:val="00254D8F"/>
    <w:rsid w:val="00255239"/>
    <w:rsid w:val="0025540B"/>
    <w:rsid w:val="002554E7"/>
    <w:rsid w:val="00255A37"/>
    <w:rsid w:val="00255B15"/>
    <w:rsid w:val="00255C81"/>
    <w:rsid w:val="00255CAF"/>
    <w:rsid w:val="00255DD7"/>
    <w:rsid w:val="00255FFA"/>
    <w:rsid w:val="002566B4"/>
    <w:rsid w:val="002568C9"/>
    <w:rsid w:val="002569BB"/>
    <w:rsid w:val="00256B00"/>
    <w:rsid w:val="00256B9A"/>
    <w:rsid w:val="00256D01"/>
    <w:rsid w:val="00256E20"/>
    <w:rsid w:val="00256E45"/>
    <w:rsid w:val="00257058"/>
    <w:rsid w:val="00257137"/>
    <w:rsid w:val="00257263"/>
    <w:rsid w:val="002577CD"/>
    <w:rsid w:val="0025795D"/>
    <w:rsid w:val="00257A00"/>
    <w:rsid w:val="00257C0B"/>
    <w:rsid w:val="00257D61"/>
    <w:rsid w:val="00257E89"/>
    <w:rsid w:val="00257F1C"/>
    <w:rsid w:val="00260115"/>
    <w:rsid w:val="00260487"/>
    <w:rsid w:val="002604D7"/>
    <w:rsid w:val="002607D6"/>
    <w:rsid w:val="002609CF"/>
    <w:rsid w:val="00260A4A"/>
    <w:rsid w:val="00260C86"/>
    <w:rsid w:val="00260D95"/>
    <w:rsid w:val="0026132C"/>
    <w:rsid w:val="002613CF"/>
    <w:rsid w:val="0026142E"/>
    <w:rsid w:val="002614AC"/>
    <w:rsid w:val="002614CA"/>
    <w:rsid w:val="00261612"/>
    <w:rsid w:val="002619C3"/>
    <w:rsid w:val="00261A5C"/>
    <w:rsid w:val="00261B59"/>
    <w:rsid w:val="00261C93"/>
    <w:rsid w:val="00261E54"/>
    <w:rsid w:val="00262091"/>
    <w:rsid w:val="002620F2"/>
    <w:rsid w:val="00262122"/>
    <w:rsid w:val="002621A4"/>
    <w:rsid w:val="00262446"/>
    <w:rsid w:val="0026276F"/>
    <w:rsid w:val="00262877"/>
    <w:rsid w:val="002629B4"/>
    <w:rsid w:val="002629FB"/>
    <w:rsid w:val="00262E61"/>
    <w:rsid w:val="002638EC"/>
    <w:rsid w:val="002638F2"/>
    <w:rsid w:val="00263AAD"/>
    <w:rsid w:val="00263B63"/>
    <w:rsid w:val="00263FFC"/>
    <w:rsid w:val="002640A6"/>
    <w:rsid w:val="002641E9"/>
    <w:rsid w:val="0026425C"/>
    <w:rsid w:val="00264605"/>
    <w:rsid w:val="002647E2"/>
    <w:rsid w:val="00264908"/>
    <w:rsid w:val="002649CB"/>
    <w:rsid w:val="00264A0F"/>
    <w:rsid w:val="00264AEC"/>
    <w:rsid w:val="0026506A"/>
    <w:rsid w:val="0026519A"/>
    <w:rsid w:val="0026522C"/>
    <w:rsid w:val="0026524A"/>
    <w:rsid w:val="002653D2"/>
    <w:rsid w:val="0026550A"/>
    <w:rsid w:val="00265530"/>
    <w:rsid w:val="00265820"/>
    <w:rsid w:val="00265894"/>
    <w:rsid w:val="0026590D"/>
    <w:rsid w:val="00265A93"/>
    <w:rsid w:val="00265B6E"/>
    <w:rsid w:val="00265D6E"/>
    <w:rsid w:val="0026608B"/>
    <w:rsid w:val="0026618E"/>
    <w:rsid w:val="00266422"/>
    <w:rsid w:val="002664C3"/>
    <w:rsid w:val="0026652E"/>
    <w:rsid w:val="002666B1"/>
    <w:rsid w:val="002668C2"/>
    <w:rsid w:val="00266DC2"/>
    <w:rsid w:val="00266F28"/>
    <w:rsid w:val="00267653"/>
    <w:rsid w:val="002677BC"/>
    <w:rsid w:val="00267878"/>
    <w:rsid w:val="002678B3"/>
    <w:rsid w:val="0026793B"/>
    <w:rsid w:val="00267CDD"/>
    <w:rsid w:val="00267D96"/>
    <w:rsid w:val="00270121"/>
    <w:rsid w:val="002702C8"/>
    <w:rsid w:val="00270309"/>
    <w:rsid w:val="0027037D"/>
    <w:rsid w:val="0027038F"/>
    <w:rsid w:val="002703F3"/>
    <w:rsid w:val="00270602"/>
    <w:rsid w:val="00270AA2"/>
    <w:rsid w:val="00270ABC"/>
    <w:rsid w:val="00270C5A"/>
    <w:rsid w:val="00270D69"/>
    <w:rsid w:val="0027141A"/>
    <w:rsid w:val="002714B3"/>
    <w:rsid w:val="002715AD"/>
    <w:rsid w:val="00271B5E"/>
    <w:rsid w:val="00271C0A"/>
    <w:rsid w:val="00271F4E"/>
    <w:rsid w:val="002720DB"/>
    <w:rsid w:val="00272438"/>
    <w:rsid w:val="002724B0"/>
    <w:rsid w:val="0027252E"/>
    <w:rsid w:val="0027255F"/>
    <w:rsid w:val="00272574"/>
    <w:rsid w:val="0027258D"/>
    <w:rsid w:val="0027276A"/>
    <w:rsid w:val="00272A05"/>
    <w:rsid w:val="00272A0B"/>
    <w:rsid w:val="00272C92"/>
    <w:rsid w:val="00272FDE"/>
    <w:rsid w:val="00273105"/>
    <w:rsid w:val="002731E9"/>
    <w:rsid w:val="00273725"/>
    <w:rsid w:val="00273874"/>
    <w:rsid w:val="00273937"/>
    <w:rsid w:val="00273B2C"/>
    <w:rsid w:val="00273D47"/>
    <w:rsid w:val="00273DE5"/>
    <w:rsid w:val="00273EF3"/>
    <w:rsid w:val="0027421B"/>
    <w:rsid w:val="0027428E"/>
    <w:rsid w:val="00274354"/>
    <w:rsid w:val="002749B4"/>
    <w:rsid w:val="00274B49"/>
    <w:rsid w:val="00274CA8"/>
    <w:rsid w:val="00275090"/>
    <w:rsid w:val="002750C3"/>
    <w:rsid w:val="0027524D"/>
    <w:rsid w:val="00275272"/>
    <w:rsid w:val="002753E6"/>
    <w:rsid w:val="0027560A"/>
    <w:rsid w:val="0027590E"/>
    <w:rsid w:val="00275ADC"/>
    <w:rsid w:val="00275D92"/>
    <w:rsid w:val="00275E06"/>
    <w:rsid w:val="00275E87"/>
    <w:rsid w:val="00275F56"/>
    <w:rsid w:val="00275F81"/>
    <w:rsid w:val="002760AA"/>
    <w:rsid w:val="00276134"/>
    <w:rsid w:val="00276181"/>
    <w:rsid w:val="00276785"/>
    <w:rsid w:val="002767EF"/>
    <w:rsid w:val="00276936"/>
    <w:rsid w:val="00276AD7"/>
    <w:rsid w:val="00276B77"/>
    <w:rsid w:val="00276CB1"/>
    <w:rsid w:val="00276F14"/>
    <w:rsid w:val="00276F74"/>
    <w:rsid w:val="00277238"/>
    <w:rsid w:val="0027723B"/>
    <w:rsid w:val="00277365"/>
    <w:rsid w:val="00277ACC"/>
    <w:rsid w:val="00277CB7"/>
    <w:rsid w:val="00277DD9"/>
    <w:rsid w:val="00280105"/>
    <w:rsid w:val="002803E2"/>
    <w:rsid w:val="002804F9"/>
    <w:rsid w:val="002805D8"/>
    <w:rsid w:val="00280ACF"/>
    <w:rsid w:val="00280B8B"/>
    <w:rsid w:val="00280C6B"/>
    <w:rsid w:val="00280D19"/>
    <w:rsid w:val="00280EE1"/>
    <w:rsid w:val="00280F6B"/>
    <w:rsid w:val="0028105E"/>
    <w:rsid w:val="00281086"/>
    <w:rsid w:val="002810E2"/>
    <w:rsid w:val="00281107"/>
    <w:rsid w:val="0028111A"/>
    <w:rsid w:val="00281209"/>
    <w:rsid w:val="002814D9"/>
    <w:rsid w:val="00281520"/>
    <w:rsid w:val="0028164F"/>
    <w:rsid w:val="00281764"/>
    <w:rsid w:val="00281999"/>
    <w:rsid w:val="002819BC"/>
    <w:rsid w:val="002819C5"/>
    <w:rsid w:val="00281A6F"/>
    <w:rsid w:val="00281CD4"/>
    <w:rsid w:val="00281F74"/>
    <w:rsid w:val="00281FCB"/>
    <w:rsid w:val="00281FE6"/>
    <w:rsid w:val="0028209C"/>
    <w:rsid w:val="002820BC"/>
    <w:rsid w:val="00282210"/>
    <w:rsid w:val="002823D8"/>
    <w:rsid w:val="002825AB"/>
    <w:rsid w:val="0028287C"/>
    <w:rsid w:val="00282967"/>
    <w:rsid w:val="00282CAB"/>
    <w:rsid w:val="002832F8"/>
    <w:rsid w:val="0028360E"/>
    <w:rsid w:val="00283832"/>
    <w:rsid w:val="00283899"/>
    <w:rsid w:val="00283B1D"/>
    <w:rsid w:val="00283B3A"/>
    <w:rsid w:val="00283B9F"/>
    <w:rsid w:val="00283BE4"/>
    <w:rsid w:val="00283D0F"/>
    <w:rsid w:val="00283F1B"/>
    <w:rsid w:val="00283F50"/>
    <w:rsid w:val="00283FAD"/>
    <w:rsid w:val="00284242"/>
    <w:rsid w:val="00284346"/>
    <w:rsid w:val="002846B9"/>
    <w:rsid w:val="00284972"/>
    <w:rsid w:val="002849FD"/>
    <w:rsid w:val="00284BED"/>
    <w:rsid w:val="00284D0C"/>
    <w:rsid w:val="00284D22"/>
    <w:rsid w:val="00284D79"/>
    <w:rsid w:val="00285082"/>
    <w:rsid w:val="00285267"/>
    <w:rsid w:val="00285374"/>
    <w:rsid w:val="002853E9"/>
    <w:rsid w:val="002855CD"/>
    <w:rsid w:val="0028574C"/>
    <w:rsid w:val="002857F7"/>
    <w:rsid w:val="00285BC8"/>
    <w:rsid w:val="00285CF4"/>
    <w:rsid w:val="00285EF2"/>
    <w:rsid w:val="00286025"/>
    <w:rsid w:val="0028615F"/>
    <w:rsid w:val="002861F0"/>
    <w:rsid w:val="0028637D"/>
    <w:rsid w:val="002863E6"/>
    <w:rsid w:val="002864D0"/>
    <w:rsid w:val="002864F3"/>
    <w:rsid w:val="00286718"/>
    <w:rsid w:val="00286980"/>
    <w:rsid w:val="002869CE"/>
    <w:rsid w:val="00286AFC"/>
    <w:rsid w:val="00286B9C"/>
    <w:rsid w:val="00286C41"/>
    <w:rsid w:val="00286C8C"/>
    <w:rsid w:val="00286D76"/>
    <w:rsid w:val="00286D8B"/>
    <w:rsid w:val="00286D98"/>
    <w:rsid w:val="00287318"/>
    <w:rsid w:val="002874C2"/>
    <w:rsid w:val="00287596"/>
    <w:rsid w:val="00287864"/>
    <w:rsid w:val="00287CA8"/>
    <w:rsid w:val="00287DD2"/>
    <w:rsid w:val="00287DF0"/>
    <w:rsid w:val="00287E15"/>
    <w:rsid w:val="00287EF1"/>
    <w:rsid w:val="00287F22"/>
    <w:rsid w:val="00290052"/>
    <w:rsid w:val="00290135"/>
    <w:rsid w:val="00290300"/>
    <w:rsid w:val="0029032E"/>
    <w:rsid w:val="00290354"/>
    <w:rsid w:val="00290615"/>
    <w:rsid w:val="00290891"/>
    <w:rsid w:val="00290C06"/>
    <w:rsid w:val="00290DDB"/>
    <w:rsid w:val="00291074"/>
    <w:rsid w:val="002911AB"/>
    <w:rsid w:val="002913A3"/>
    <w:rsid w:val="00291475"/>
    <w:rsid w:val="002917F4"/>
    <w:rsid w:val="002918CE"/>
    <w:rsid w:val="00291938"/>
    <w:rsid w:val="00291A4F"/>
    <w:rsid w:val="00291A5E"/>
    <w:rsid w:val="00291A72"/>
    <w:rsid w:val="00291C23"/>
    <w:rsid w:val="00291C7C"/>
    <w:rsid w:val="00291D8F"/>
    <w:rsid w:val="00291DEF"/>
    <w:rsid w:val="00291F76"/>
    <w:rsid w:val="00292000"/>
    <w:rsid w:val="00292030"/>
    <w:rsid w:val="002923C9"/>
    <w:rsid w:val="00292503"/>
    <w:rsid w:val="00292825"/>
    <w:rsid w:val="00292922"/>
    <w:rsid w:val="002929E5"/>
    <w:rsid w:val="00292A82"/>
    <w:rsid w:val="00292A8C"/>
    <w:rsid w:val="00292CE8"/>
    <w:rsid w:val="00293051"/>
    <w:rsid w:val="0029308D"/>
    <w:rsid w:val="002931AD"/>
    <w:rsid w:val="0029320E"/>
    <w:rsid w:val="002932DE"/>
    <w:rsid w:val="00293351"/>
    <w:rsid w:val="002934B9"/>
    <w:rsid w:val="0029353D"/>
    <w:rsid w:val="00293542"/>
    <w:rsid w:val="00293719"/>
    <w:rsid w:val="00293892"/>
    <w:rsid w:val="002939BB"/>
    <w:rsid w:val="00293A2F"/>
    <w:rsid w:val="00293D64"/>
    <w:rsid w:val="00293D74"/>
    <w:rsid w:val="00293F15"/>
    <w:rsid w:val="002941C1"/>
    <w:rsid w:val="002941C3"/>
    <w:rsid w:val="002941FE"/>
    <w:rsid w:val="00294272"/>
    <w:rsid w:val="00294316"/>
    <w:rsid w:val="00294334"/>
    <w:rsid w:val="00294335"/>
    <w:rsid w:val="00294532"/>
    <w:rsid w:val="002945CD"/>
    <w:rsid w:val="00294730"/>
    <w:rsid w:val="00294785"/>
    <w:rsid w:val="002949E4"/>
    <w:rsid w:val="00294C6A"/>
    <w:rsid w:val="00294C80"/>
    <w:rsid w:val="00294DD9"/>
    <w:rsid w:val="00294DFF"/>
    <w:rsid w:val="00294E4A"/>
    <w:rsid w:val="00294EA1"/>
    <w:rsid w:val="0029504A"/>
    <w:rsid w:val="002950A8"/>
    <w:rsid w:val="002950CA"/>
    <w:rsid w:val="0029513E"/>
    <w:rsid w:val="00295369"/>
    <w:rsid w:val="0029568B"/>
    <w:rsid w:val="00295A80"/>
    <w:rsid w:val="00295A96"/>
    <w:rsid w:val="00295B1E"/>
    <w:rsid w:val="00295B61"/>
    <w:rsid w:val="00295D2F"/>
    <w:rsid w:val="00295D7D"/>
    <w:rsid w:val="00295DBB"/>
    <w:rsid w:val="00295EC7"/>
    <w:rsid w:val="00295EDF"/>
    <w:rsid w:val="00296574"/>
    <w:rsid w:val="002967A2"/>
    <w:rsid w:val="0029695D"/>
    <w:rsid w:val="00296AA5"/>
    <w:rsid w:val="00296AE7"/>
    <w:rsid w:val="00296E6C"/>
    <w:rsid w:val="00296F38"/>
    <w:rsid w:val="00296F88"/>
    <w:rsid w:val="0029709A"/>
    <w:rsid w:val="002970C4"/>
    <w:rsid w:val="0029731F"/>
    <w:rsid w:val="0029740C"/>
    <w:rsid w:val="0029748E"/>
    <w:rsid w:val="002978D8"/>
    <w:rsid w:val="002978E2"/>
    <w:rsid w:val="002979D3"/>
    <w:rsid w:val="00297A83"/>
    <w:rsid w:val="00297BFF"/>
    <w:rsid w:val="00297DF8"/>
    <w:rsid w:val="00297FEB"/>
    <w:rsid w:val="002A035D"/>
    <w:rsid w:val="002A04DB"/>
    <w:rsid w:val="002A05BE"/>
    <w:rsid w:val="002A0695"/>
    <w:rsid w:val="002A0823"/>
    <w:rsid w:val="002A094F"/>
    <w:rsid w:val="002A09DE"/>
    <w:rsid w:val="002A0BE8"/>
    <w:rsid w:val="002A1311"/>
    <w:rsid w:val="002A1344"/>
    <w:rsid w:val="002A1742"/>
    <w:rsid w:val="002A202B"/>
    <w:rsid w:val="002A2155"/>
    <w:rsid w:val="002A21C8"/>
    <w:rsid w:val="002A24DD"/>
    <w:rsid w:val="002A25DE"/>
    <w:rsid w:val="002A263B"/>
    <w:rsid w:val="002A26B2"/>
    <w:rsid w:val="002A29BC"/>
    <w:rsid w:val="002A29C1"/>
    <w:rsid w:val="002A2A83"/>
    <w:rsid w:val="002A2ADB"/>
    <w:rsid w:val="002A2C5F"/>
    <w:rsid w:val="002A31BF"/>
    <w:rsid w:val="002A3270"/>
    <w:rsid w:val="002A353C"/>
    <w:rsid w:val="002A35E4"/>
    <w:rsid w:val="002A37D2"/>
    <w:rsid w:val="002A3997"/>
    <w:rsid w:val="002A39C5"/>
    <w:rsid w:val="002A3CDC"/>
    <w:rsid w:val="002A3DB7"/>
    <w:rsid w:val="002A3F63"/>
    <w:rsid w:val="002A3FCE"/>
    <w:rsid w:val="002A406E"/>
    <w:rsid w:val="002A40DF"/>
    <w:rsid w:val="002A430A"/>
    <w:rsid w:val="002A4471"/>
    <w:rsid w:val="002A461A"/>
    <w:rsid w:val="002A49A3"/>
    <w:rsid w:val="002A4B66"/>
    <w:rsid w:val="002A4D5E"/>
    <w:rsid w:val="002A4F79"/>
    <w:rsid w:val="002A517D"/>
    <w:rsid w:val="002A51A7"/>
    <w:rsid w:val="002A529E"/>
    <w:rsid w:val="002A5331"/>
    <w:rsid w:val="002A54C7"/>
    <w:rsid w:val="002A583C"/>
    <w:rsid w:val="002A5AD9"/>
    <w:rsid w:val="002A5C32"/>
    <w:rsid w:val="002A5CB7"/>
    <w:rsid w:val="002A5D23"/>
    <w:rsid w:val="002A5D4D"/>
    <w:rsid w:val="002A5F72"/>
    <w:rsid w:val="002A5FD1"/>
    <w:rsid w:val="002A6534"/>
    <w:rsid w:val="002A65A8"/>
    <w:rsid w:val="002A65B4"/>
    <w:rsid w:val="002A65E7"/>
    <w:rsid w:val="002A6865"/>
    <w:rsid w:val="002A696A"/>
    <w:rsid w:val="002A6C4E"/>
    <w:rsid w:val="002A6C7A"/>
    <w:rsid w:val="002A6F1D"/>
    <w:rsid w:val="002A719D"/>
    <w:rsid w:val="002A71D4"/>
    <w:rsid w:val="002A72BC"/>
    <w:rsid w:val="002A734A"/>
    <w:rsid w:val="002A73F6"/>
    <w:rsid w:val="002A7667"/>
    <w:rsid w:val="002A7998"/>
    <w:rsid w:val="002A7AA4"/>
    <w:rsid w:val="002A7AF9"/>
    <w:rsid w:val="002A7C75"/>
    <w:rsid w:val="002A7D2E"/>
    <w:rsid w:val="002A7F9D"/>
    <w:rsid w:val="002B00A7"/>
    <w:rsid w:val="002B016E"/>
    <w:rsid w:val="002B036F"/>
    <w:rsid w:val="002B07F3"/>
    <w:rsid w:val="002B0800"/>
    <w:rsid w:val="002B0940"/>
    <w:rsid w:val="002B0B43"/>
    <w:rsid w:val="002B0EBE"/>
    <w:rsid w:val="002B0F55"/>
    <w:rsid w:val="002B113D"/>
    <w:rsid w:val="002B11D2"/>
    <w:rsid w:val="002B1238"/>
    <w:rsid w:val="002B13F5"/>
    <w:rsid w:val="002B14A5"/>
    <w:rsid w:val="002B15C9"/>
    <w:rsid w:val="002B1734"/>
    <w:rsid w:val="002B1893"/>
    <w:rsid w:val="002B18D4"/>
    <w:rsid w:val="002B18DE"/>
    <w:rsid w:val="002B1ACC"/>
    <w:rsid w:val="002B1F24"/>
    <w:rsid w:val="002B1FF4"/>
    <w:rsid w:val="002B2024"/>
    <w:rsid w:val="002B21F6"/>
    <w:rsid w:val="002B2243"/>
    <w:rsid w:val="002B2304"/>
    <w:rsid w:val="002B2418"/>
    <w:rsid w:val="002B2575"/>
    <w:rsid w:val="002B2721"/>
    <w:rsid w:val="002B2734"/>
    <w:rsid w:val="002B27A6"/>
    <w:rsid w:val="002B2968"/>
    <w:rsid w:val="002B2B24"/>
    <w:rsid w:val="002B2B66"/>
    <w:rsid w:val="002B2C20"/>
    <w:rsid w:val="002B2CC4"/>
    <w:rsid w:val="002B30D2"/>
    <w:rsid w:val="002B31C1"/>
    <w:rsid w:val="002B3413"/>
    <w:rsid w:val="002B35DA"/>
    <w:rsid w:val="002B3768"/>
    <w:rsid w:val="002B3894"/>
    <w:rsid w:val="002B3C61"/>
    <w:rsid w:val="002B3F71"/>
    <w:rsid w:val="002B4264"/>
    <w:rsid w:val="002B42DF"/>
    <w:rsid w:val="002B433E"/>
    <w:rsid w:val="002B472E"/>
    <w:rsid w:val="002B4C58"/>
    <w:rsid w:val="002B4D8D"/>
    <w:rsid w:val="002B4DB4"/>
    <w:rsid w:val="002B4FCB"/>
    <w:rsid w:val="002B50B1"/>
    <w:rsid w:val="002B519A"/>
    <w:rsid w:val="002B52FF"/>
    <w:rsid w:val="002B53E7"/>
    <w:rsid w:val="002B55C4"/>
    <w:rsid w:val="002B5959"/>
    <w:rsid w:val="002B5B3E"/>
    <w:rsid w:val="002B5B58"/>
    <w:rsid w:val="002B5B61"/>
    <w:rsid w:val="002B5D89"/>
    <w:rsid w:val="002B5EB4"/>
    <w:rsid w:val="002B5F07"/>
    <w:rsid w:val="002B6311"/>
    <w:rsid w:val="002B649F"/>
    <w:rsid w:val="002B6B26"/>
    <w:rsid w:val="002B6D1A"/>
    <w:rsid w:val="002B6EF5"/>
    <w:rsid w:val="002B7005"/>
    <w:rsid w:val="002B7134"/>
    <w:rsid w:val="002B7184"/>
    <w:rsid w:val="002B71B4"/>
    <w:rsid w:val="002B71B5"/>
    <w:rsid w:val="002B73E1"/>
    <w:rsid w:val="002B75D2"/>
    <w:rsid w:val="002B75E2"/>
    <w:rsid w:val="002B7640"/>
    <w:rsid w:val="002B791B"/>
    <w:rsid w:val="002B7A29"/>
    <w:rsid w:val="002B7AD2"/>
    <w:rsid w:val="002B7AF9"/>
    <w:rsid w:val="002B7C38"/>
    <w:rsid w:val="002B7D8B"/>
    <w:rsid w:val="002B7E89"/>
    <w:rsid w:val="002C015C"/>
    <w:rsid w:val="002C02BA"/>
    <w:rsid w:val="002C03D3"/>
    <w:rsid w:val="002C0429"/>
    <w:rsid w:val="002C0477"/>
    <w:rsid w:val="002C0617"/>
    <w:rsid w:val="002C081F"/>
    <w:rsid w:val="002C0A10"/>
    <w:rsid w:val="002C0AE6"/>
    <w:rsid w:val="002C0BFC"/>
    <w:rsid w:val="002C0C1F"/>
    <w:rsid w:val="002C13CA"/>
    <w:rsid w:val="002C14F3"/>
    <w:rsid w:val="002C17CE"/>
    <w:rsid w:val="002C181E"/>
    <w:rsid w:val="002C1823"/>
    <w:rsid w:val="002C1836"/>
    <w:rsid w:val="002C1CEA"/>
    <w:rsid w:val="002C1F07"/>
    <w:rsid w:val="002C208B"/>
    <w:rsid w:val="002C24B6"/>
    <w:rsid w:val="002C2812"/>
    <w:rsid w:val="002C29F7"/>
    <w:rsid w:val="002C2B2A"/>
    <w:rsid w:val="002C2B38"/>
    <w:rsid w:val="002C2BF9"/>
    <w:rsid w:val="002C2CD6"/>
    <w:rsid w:val="002C2D11"/>
    <w:rsid w:val="002C2DD9"/>
    <w:rsid w:val="002C2ECF"/>
    <w:rsid w:val="002C2FB9"/>
    <w:rsid w:val="002C3126"/>
    <w:rsid w:val="002C3321"/>
    <w:rsid w:val="002C3450"/>
    <w:rsid w:val="002C3534"/>
    <w:rsid w:val="002C3698"/>
    <w:rsid w:val="002C372D"/>
    <w:rsid w:val="002C3AA1"/>
    <w:rsid w:val="002C3D6F"/>
    <w:rsid w:val="002C4208"/>
    <w:rsid w:val="002C438C"/>
    <w:rsid w:val="002C439F"/>
    <w:rsid w:val="002C442B"/>
    <w:rsid w:val="002C4527"/>
    <w:rsid w:val="002C464B"/>
    <w:rsid w:val="002C4657"/>
    <w:rsid w:val="002C4805"/>
    <w:rsid w:val="002C4883"/>
    <w:rsid w:val="002C488A"/>
    <w:rsid w:val="002C4B46"/>
    <w:rsid w:val="002C4EE7"/>
    <w:rsid w:val="002C524A"/>
    <w:rsid w:val="002C52D6"/>
    <w:rsid w:val="002C5909"/>
    <w:rsid w:val="002C5A79"/>
    <w:rsid w:val="002C5A9D"/>
    <w:rsid w:val="002C5DA3"/>
    <w:rsid w:val="002C602F"/>
    <w:rsid w:val="002C622C"/>
    <w:rsid w:val="002C62A7"/>
    <w:rsid w:val="002C685F"/>
    <w:rsid w:val="002C690D"/>
    <w:rsid w:val="002C6D61"/>
    <w:rsid w:val="002C6D8B"/>
    <w:rsid w:val="002C6DBA"/>
    <w:rsid w:val="002C6ED2"/>
    <w:rsid w:val="002C705B"/>
    <w:rsid w:val="002C70A2"/>
    <w:rsid w:val="002C7150"/>
    <w:rsid w:val="002C725B"/>
    <w:rsid w:val="002C746B"/>
    <w:rsid w:val="002C754A"/>
    <w:rsid w:val="002C78BB"/>
    <w:rsid w:val="002C79B1"/>
    <w:rsid w:val="002C7B63"/>
    <w:rsid w:val="002C7F2B"/>
    <w:rsid w:val="002D03BA"/>
    <w:rsid w:val="002D067D"/>
    <w:rsid w:val="002D06AF"/>
    <w:rsid w:val="002D070B"/>
    <w:rsid w:val="002D0747"/>
    <w:rsid w:val="002D07C2"/>
    <w:rsid w:val="002D0835"/>
    <w:rsid w:val="002D0A1E"/>
    <w:rsid w:val="002D0C52"/>
    <w:rsid w:val="002D0C80"/>
    <w:rsid w:val="002D0EA2"/>
    <w:rsid w:val="002D0FA6"/>
    <w:rsid w:val="002D1099"/>
    <w:rsid w:val="002D1113"/>
    <w:rsid w:val="002D1208"/>
    <w:rsid w:val="002D1499"/>
    <w:rsid w:val="002D17E3"/>
    <w:rsid w:val="002D1A1D"/>
    <w:rsid w:val="002D1AE4"/>
    <w:rsid w:val="002D1B04"/>
    <w:rsid w:val="002D1C0A"/>
    <w:rsid w:val="002D1C32"/>
    <w:rsid w:val="002D1FBF"/>
    <w:rsid w:val="002D225F"/>
    <w:rsid w:val="002D2385"/>
    <w:rsid w:val="002D2A55"/>
    <w:rsid w:val="002D2E43"/>
    <w:rsid w:val="002D332E"/>
    <w:rsid w:val="002D37E2"/>
    <w:rsid w:val="002D37F0"/>
    <w:rsid w:val="002D3A61"/>
    <w:rsid w:val="002D3AAA"/>
    <w:rsid w:val="002D3ED5"/>
    <w:rsid w:val="002D4005"/>
    <w:rsid w:val="002D44E2"/>
    <w:rsid w:val="002D4570"/>
    <w:rsid w:val="002D497A"/>
    <w:rsid w:val="002D4AFE"/>
    <w:rsid w:val="002D4BEA"/>
    <w:rsid w:val="002D4CF0"/>
    <w:rsid w:val="002D50C8"/>
    <w:rsid w:val="002D5259"/>
    <w:rsid w:val="002D5321"/>
    <w:rsid w:val="002D5386"/>
    <w:rsid w:val="002D54AD"/>
    <w:rsid w:val="002D559C"/>
    <w:rsid w:val="002D55B8"/>
    <w:rsid w:val="002D5674"/>
    <w:rsid w:val="002D582B"/>
    <w:rsid w:val="002D5B4F"/>
    <w:rsid w:val="002D5C5D"/>
    <w:rsid w:val="002D5E8C"/>
    <w:rsid w:val="002D5EA8"/>
    <w:rsid w:val="002D5EF7"/>
    <w:rsid w:val="002D5F36"/>
    <w:rsid w:val="002D61DD"/>
    <w:rsid w:val="002D64B7"/>
    <w:rsid w:val="002D6922"/>
    <w:rsid w:val="002D6951"/>
    <w:rsid w:val="002D6A31"/>
    <w:rsid w:val="002D6A77"/>
    <w:rsid w:val="002D6C69"/>
    <w:rsid w:val="002D71D1"/>
    <w:rsid w:val="002D740D"/>
    <w:rsid w:val="002D7664"/>
    <w:rsid w:val="002D7936"/>
    <w:rsid w:val="002D7A0B"/>
    <w:rsid w:val="002E020C"/>
    <w:rsid w:val="002E05A5"/>
    <w:rsid w:val="002E0833"/>
    <w:rsid w:val="002E0A98"/>
    <w:rsid w:val="002E0D17"/>
    <w:rsid w:val="002E0D35"/>
    <w:rsid w:val="002E0D91"/>
    <w:rsid w:val="002E0E7D"/>
    <w:rsid w:val="002E0FBC"/>
    <w:rsid w:val="002E12B4"/>
    <w:rsid w:val="002E1453"/>
    <w:rsid w:val="002E146B"/>
    <w:rsid w:val="002E1766"/>
    <w:rsid w:val="002E17C0"/>
    <w:rsid w:val="002E17EA"/>
    <w:rsid w:val="002E1BE7"/>
    <w:rsid w:val="002E202F"/>
    <w:rsid w:val="002E20E1"/>
    <w:rsid w:val="002E2363"/>
    <w:rsid w:val="002E246D"/>
    <w:rsid w:val="002E2518"/>
    <w:rsid w:val="002E252C"/>
    <w:rsid w:val="002E252F"/>
    <w:rsid w:val="002E2631"/>
    <w:rsid w:val="002E2636"/>
    <w:rsid w:val="002E2714"/>
    <w:rsid w:val="002E27AB"/>
    <w:rsid w:val="002E27F8"/>
    <w:rsid w:val="002E2BD7"/>
    <w:rsid w:val="002E3146"/>
    <w:rsid w:val="002E31D5"/>
    <w:rsid w:val="002E3231"/>
    <w:rsid w:val="002E32BA"/>
    <w:rsid w:val="002E33F0"/>
    <w:rsid w:val="002E354C"/>
    <w:rsid w:val="002E3650"/>
    <w:rsid w:val="002E37C7"/>
    <w:rsid w:val="002E3B0A"/>
    <w:rsid w:val="002E3DD0"/>
    <w:rsid w:val="002E3E59"/>
    <w:rsid w:val="002E3F6E"/>
    <w:rsid w:val="002E406F"/>
    <w:rsid w:val="002E442F"/>
    <w:rsid w:val="002E46B6"/>
    <w:rsid w:val="002E4901"/>
    <w:rsid w:val="002E4B36"/>
    <w:rsid w:val="002E4D91"/>
    <w:rsid w:val="002E4D99"/>
    <w:rsid w:val="002E4E4F"/>
    <w:rsid w:val="002E4EA7"/>
    <w:rsid w:val="002E4EC4"/>
    <w:rsid w:val="002E4ED1"/>
    <w:rsid w:val="002E505A"/>
    <w:rsid w:val="002E537D"/>
    <w:rsid w:val="002E54A8"/>
    <w:rsid w:val="002E54B7"/>
    <w:rsid w:val="002E56CE"/>
    <w:rsid w:val="002E571A"/>
    <w:rsid w:val="002E5786"/>
    <w:rsid w:val="002E5847"/>
    <w:rsid w:val="002E58B5"/>
    <w:rsid w:val="002E59A1"/>
    <w:rsid w:val="002E5F78"/>
    <w:rsid w:val="002E603D"/>
    <w:rsid w:val="002E60C7"/>
    <w:rsid w:val="002E6505"/>
    <w:rsid w:val="002E668C"/>
    <w:rsid w:val="002E6926"/>
    <w:rsid w:val="002E69B8"/>
    <w:rsid w:val="002E6B37"/>
    <w:rsid w:val="002E6BA0"/>
    <w:rsid w:val="002E6C14"/>
    <w:rsid w:val="002E6CBF"/>
    <w:rsid w:val="002E6CFD"/>
    <w:rsid w:val="002E7043"/>
    <w:rsid w:val="002E7096"/>
    <w:rsid w:val="002E70AC"/>
    <w:rsid w:val="002E739A"/>
    <w:rsid w:val="002E7410"/>
    <w:rsid w:val="002E7804"/>
    <w:rsid w:val="002E7C1A"/>
    <w:rsid w:val="002E7C38"/>
    <w:rsid w:val="002E7DEA"/>
    <w:rsid w:val="002E7E41"/>
    <w:rsid w:val="002F03DE"/>
    <w:rsid w:val="002F05BF"/>
    <w:rsid w:val="002F0A91"/>
    <w:rsid w:val="002F0B33"/>
    <w:rsid w:val="002F0BFD"/>
    <w:rsid w:val="002F0CCA"/>
    <w:rsid w:val="002F0E63"/>
    <w:rsid w:val="002F0FA0"/>
    <w:rsid w:val="002F10F4"/>
    <w:rsid w:val="002F12B1"/>
    <w:rsid w:val="002F131A"/>
    <w:rsid w:val="002F14D1"/>
    <w:rsid w:val="002F159C"/>
    <w:rsid w:val="002F166C"/>
    <w:rsid w:val="002F16B3"/>
    <w:rsid w:val="002F173D"/>
    <w:rsid w:val="002F1986"/>
    <w:rsid w:val="002F1B42"/>
    <w:rsid w:val="002F1B67"/>
    <w:rsid w:val="002F1C8A"/>
    <w:rsid w:val="002F2108"/>
    <w:rsid w:val="002F23E5"/>
    <w:rsid w:val="002F2517"/>
    <w:rsid w:val="002F252E"/>
    <w:rsid w:val="002F2885"/>
    <w:rsid w:val="002F2933"/>
    <w:rsid w:val="002F2BD0"/>
    <w:rsid w:val="002F2DC1"/>
    <w:rsid w:val="002F2EFA"/>
    <w:rsid w:val="002F2F36"/>
    <w:rsid w:val="002F3211"/>
    <w:rsid w:val="002F3257"/>
    <w:rsid w:val="002F3470"/>
    <w:rsid w:val="002F3569"/>
    <w:rsid w:val="002F370B"/>
    <w:rsid w:val="002F393E"/>
    <w:rsid w:val="002F3940"/>
    <w:rsid w:val="002F3A3D"/>
    <w:rsid w:val="002F3D47"/>
    <w:rsid w:val="002F3F78"/>
    <w:rsid w:val="002F41B9"/>
    <w:rsid w:val="002F41E8"/>
    <w:rsid w:val="002F438C"/>
    <w:rsid w:val="002F4587"/>
    <w:rsid w:val="002F45CE"/>
    <w:rsid w:val="002F493D"/>
    <w:rsid w:val="002F4B32"/>
    <w:rsid w:val="002F4D92"/>
    <w:rsid w:val="002F4DA9"/>
    <w:rsid w:val="002F5099"/>
    <w:rsid w:val="002F51AF"/>
    <w:rsid w:val="002F51FD"/>
    <w:rsid w:val="002F5833"/>
    <w:rsid w:val="002F583E"/>
    <w:rsid w:val="002F5A89"/>
    <w:rsid w:val="002F5B76"/>
    <w:rsid w:val="002F5B7F"/>
    <w:rsid w:val="002F5DC4"/>
    <w:rsid w:val="002F5E46"/>
    <w:rsid w:val="002F5F16"/>
    <w:rsid w:val="002F6017"/>
    <w:rsid w:val="002F60C7"/>
    <w:rsid w:val="002F626C"/>
    <w:rsid w:val="002F638D"/>
    <w:rsid w:val="002F6A91"/>
    <w:rsid w:val="002F6AA2"/>
    <w:rsid w:val="002F6B4E"/>
    <w:rsid w:val="002F6C00"/>
    <w:rsid w:val="002F6D30"/>
    <w:rsid w:val="002F70F7"/>
    <w:rsid w:val="002F7237"/>
    <w:rsid w:val="002F78CC"/>
    <w:rsid w:val="002F7C7A"/>
    <w:rsid w:val="002F7D10"/>
    <w:rsid w:val="00300035"/>
    <w:rsid w:val="003001A9"/>
    <w:rsid w:val="00300357"/>
    <w:rsid w:val="003005AE"/>
    <w:rsid w:val="00300777"/>
    <w:rsid w:val="0030080D"/>
    <w:rsid w:val="00300B67"/>
    <w:rsid w:val="00300C18"/>
    <w:rsid w:val="00300D08"/>
    <w:rsid w:val="00300EAC"/>
    <w:rsid w:val="00300EB3"/>
    <w:rsid w:val="00300F0A"/>
    <w:rsid w:val="003014E0"/>
    <w:rsid w:val="0030157B"/>
    <w:rsid w:val="003018AE"/>
    <w:rsid w:val="003019AE"/>
    <w:rsid w:val="00301B06"/>
    <w:rsid w:val="00301D50"/>
    <w:rsid w:val="00301DDC"/>
    <w:rsid w:val="00301EF9"/>
    <w:rsid w:val="0030210B"/>
    <w:rsid w:val="003021E3"/>
    <w:rsid w:val="00302228"/>
    <w:rsid w:val="003024BD"/>
    <w:rsid w:val="003025F1"/>
    <w:rsid w:val="0030271D"/>
    <w:rsid w:val="00302A2F"/>
    <w:rsid w:val="00302A7A"/>
    <w:rsid w:val="00302CBF"/>
    <w:rsid w:val="00302CEA"/>
    <w:rsid w:val="00302DC6"/>
    <w:rsid w:val="00302EF4"/>
    <w:rsid w:val="00302F1F"/>
    <w:rsid w:val="00303020"/>
    <w:rsid w:val="00303208"/>
    <w:rsid w:val="00303377"/>
    <w:rsid w:val="003033DC"/>
    <w:rsid w:val="003034C9"/>
    <w:rsid w:val="00303B49"/>
    <w:rsid w:val="00303CF6"/>
    <w:rsid w:val="00303D25"/>
    <w:rsid w:val="00303E95"/>
    <w:rsid w:val="00303EF4"/>
    <w:rsid w:val="00303FEB"/>
    <w:rsid w:val="0030446F"/>
    <w:rsid w:val="003045A7"/>
    <w:rsid w:val="00304BA2"/>
    <w:rsid w:val="00304CDF"/>
    <w:rsid w:val="00304DDD"/>
    <w:rsid w:val="00304DE5"/>
    <w:rsid w:val="00304E21"/>
    <w:rsid w:val="00305029"/>
    <w:rsid w:val="00305033"/>
    <w:rsid w:val="003051FA"/>
    <w:rsid w:val="003052D5"/>
    <w:rsid w:val="00305330"/>
    <w:rsid w:val="003054DA"/>
    <w:rsid w:val="0030567D"/>
    <w:rsid w:val="00305838"/>
    <w:rsid w:val="00305A36"/>
    <w:rsid w:val="00305B68"/>
    <w:rsid w:val="00305C37"/>
    <w:rsid w:val="00305E38"/>
    <w:rsid w:val="00305FDE"/>
    <w:rsid w:val="0030619C"/>
    <w:rsid w:val="003064BD"/>
    <w:rsid w:val="0030650D"/>
    <w:rsid w:val="0030673A"/>
    <w:rsid w:val="0030678E"/>
    <w:rsid w:val="003069DA"/>
    <w:rsid w:val="00306EEE"/>
    <w:rsid w:val="003071B9"/>
    <w:rsid w:val="0030726C"/>
    <w:rsid w:val="0030741F"/>
    <w:rsid w:val="003074E8"/>
    <w:rsid w:val="003076E8"/>
    <w:rsid w:val="00307780"/>
    <w:rsid w:val="0030779F"/>
    <w:rsid w:val="0030783E"/>
    <w:rsid w:val="003078CE"/>
    <w:rsid w:val="003078E5"/>
    <w:rsid w:val="003079D0"/>
    <w:rsid w:val="00307B3C"/>
    <w:rsid w:val="0031016F"/>
    <w:rsid w:val="0031021A"/>
    <w:rsid w:val="003102AA"/>
    <w:rsid w:val="00310375"/>
    <w:rsid w:val="00310440"/>
    <w:rsid w:val="0031072A"/>
    <w:rsid w:val="0031093D"/>
    <w:rsid w:val="00310B83"/>
    <w:rsid w:val="00310C96"/>
    <w:rsid w:val="00311269"/>
    <w:rsid w:val="003112BD"/>
    <w:rsid w:val="003114BB"/>
    <w:rsid w:val="003115A3"/>
    <w:rsid w:val="003115DD"/>
    <w:rsid w:val="00311699"/>
    <w:rsid w:val="0031184C"/>
    <w:rsid w:val="0031199F"/>
    <w:rsid w:val="00311A8A"/>
    <w:rsid w:val="00311AF3"/>
    <w:rsid w:val="00311B96"/>
    <w:rsid w:val="00311FD5"/>
    <w:rsid w:val="003120E7"/>
    <w:rsid w:val="00312201"/>
    <w:rsid w:val="0031233B"/>
    <w:rsid w:val="0031271F"/>
    <w:rsid w:val="0031273C"/>
    <w:rsid w:val="00312787"/>
    <w:rsid w:val="0031299E"/>
    <w:rsid w:val="0031321D"/>
    <w:rsid w:val="0031338C"/>
    <w:rsid w:val="003136DC"/>
    <w:rsid w:val="003138F8"/>
    <w:rsid w:val="00313969"/>
    <w:rsid w:val="00313B7C"/>
    <w:rsid w:val="00313BCB"/>
    <w:rsid w:val="00313E67"/>
    <w:rsid w:val="00314168"/>
    <w:rsid w:val="00314595"/>
    <w:rsid w:val="003149CE"/>
    <w:rsid w:val="00314B18"/>
    <w:rsid w:val="003150A2"/>
    <w:rsid w:val="00315195"/>
    <w:rsid w:val="0031552B"/>
    <w:rsid w:val="00315530"/>
    <w:rsid w:val="003155D2"/>
    <w:rsid w:val="003157AF"/>
    <w:rsid w:val="003158B8"/>
    <w:rsid w:val="00315E11"/>
    <w:rsid w:val="00315E5C"/>
    <w:rsid w:val="00315EE5"/>
    <w:rsid w:val="00315EED"/>
    <w:rsid w:val="00315EF0"/>
    <w:rsid w:val="0031633A"/>
    <w:rsid w:val="00316460"/>
    <w:rsid w:val="00316561"/>
    <w:rsid w:val="003165AE"/>
    <w:rsid w:val="0031676E"/>
    <w:rsid w:val="003167A0"/>
    <w:rsid w:val="00316858"/>
    <w:rsid w:val="003168DA"/>
    <w:rsid w:val="003169FD"/>
    <w:rsid w:val="00316A9E"/>
    <w:rsid w:val="00316C2F"/>
    <w:rsid w:val="00317260"/>
    <w:rsid w:val="003173DC"/>
    <w:rsid w:val="00317436"/>
    <w:rsid w:val="0031760E"/>
    <w:rsid w:val="00317662"/>
    <w:rsid w:val="00317806"/>
    <w:rsid w:val="00317885"/>
    <w:rsid w:val="003178E1"/>
    <w:rsid w:val="0031792E"/>
    <w:rsid w:val="00317B70"/>
    <w:rsid w:val="00317C52"/>
    <w:rsid w:val="00317FAF"/>
    <w:rsid w:val="00317FC7"/>
    <w:rsid w:val="0032004E"/>
    <w:rsid w:val="003202B6"/>
    <w:rsid w:val="0032046E"/>
    <w:rsid w:val="003204E5"/>
    <w:rsid w:val="00320DB6"/>
    <w:rsid w:val="00320F61"/>
    <w:rsid w:val="003213B3"/>
    <w:rsid w:val="003216E8"/>
    <w:rsid w:val="00321A8E"/>
    <w:rsid w:val="00321B0B"/>
    <w:rsid w:val="00321B2F"/>
    <w:rsid w:val="00321CEF"/>
    <w:rsid w:val="00321E4A"/>
    <w:rsid w:val="00321EA4"/>
    <w:rsid w:val="003220DE"/>
    <w:rsid w:val="00322152"/>
    <w:rsid w:val="00322570"/>
    <w:rsid w:val="00322637"/>
    <w:rsid w:val="0032273D"/>
    <w:rsid w:val="00322903"/>
    <w:rsid w:val="00322A43"/>
    <w:rsid w:val="00322E5E"/>
    <w:rsid w:val="00322EC1"/>
    <w:rsid w:val="0032321C"/>
    <w:rsid w:val="003234C2"/>
    <w:rsid w:val="003235C4"/>
    <w:rsid w:val="00323729"/>
    <w:rsid w:val="0032387B"/>
    <w:rsid w:val="003238FD"/>
    <w:rsid w:val="00323983"/>
    <w:rsid w:val="00323BE9"/>
    <w:rsid w:val="00324436"/>
    <w:rsid w:val="00324771"/>
    <w:rsid w:val="00324DC6"/>
    <w:rsid w:val="0032501C"/>
    <w:rsid w:val="0032509C"/>
    <w:rsid w:val="00325517"/>
    <w:rsid w:val="00325893"/>
    <w:rsid w:val="003258CA"/>
    <w:rsid w:val="003258D1"/>
    <w:rsid w:val="00325A29"/>
    <w:rsid w:val="00325B4B"/>
    <w:rsid w:val="00325E13"/>
    <w:rsid w:val="00325EEB"/>
    <w:rsid w:val="00325F54"/>
    <w:rsid w:val="00325F7A"/>
    <w:rsid w:val="003262D0"/>
    <w:rsid w:val="003262DF"/>
    <w:rsid w:val="00326396"/>
    <w:rsid w:val="003263AA"/>
    <w:rsid w:val="00326458"/>
    <w:rsid w:val="00326476"/>
    <w:rsid w:val="00326553"/>
    <w:rsid w:val="00326690"/>
    <w:rsid w:val="003266C0"/>
    <w:rsid w:val="00326704"/>
    <w:rsid w:val="00326719"/>
    <w:rsid w:val="00326770"/>
    <w:rsid w:val="003268C4"/>
    <w:rsid w:val="003269F2"/>
    <w:rsid w:val="00326AC6"/>
    <w:rsid w:val="00326DE6"/>
    <w:rsid w:val="00326DF2"/>
    <w:rsid w:val="003272AB"/>
    <w:rsid w:val="0032734B"/>
    <w:rsid w:val="0032756F"/>
    <w:rsid w:val="0032762A"/>
    <w:rsid w:val="0032778B"/>
    <w:rsid w:val="00327B06"/>
    <w:rsid w:val="00327C34"/>
    <w:rsid w:val="00327C86"/>
    <w:rsid w:val="00327EAE"/>
    <w:rsid w:val="00327ED3"/>
    <w:rsid w:val="003307E5"/>
    <w:rsid w:val="00330986"/>
    <w:rsid w:val="00330A3D"/>
    <w:rsid w:val="00330E3D"/>
    <w:rsid w:val="00331099"/>
    <w:rsid w:val="00331193"/>
    <w:rsid w:val="00331194"/>
    <w:rsid w:val="00331273"/>
    <w:rsid w:val="00331558"/>
    <w:rsid w:val="00331758"/>
    <w:rsid w:val="00331BF7"/>
    <w:rsid w:val="003322F5"/>
    <w:rsid w:val="00332360"/>
    <w:rsid w:val="00332386"/>
    <w:rsid w:val="0033245C"/>
    <w:rsid w:val="003325ED"/>
    <w:rsid w:val="003326E5"/>
    <w:rsid w:val="00332A3F"/>
    <w:rsid w:val="00332ACF"/>
    <w:rsid w:val="00332C06"/>
    <w:rsid w:val="00332CF3"/>
    <w:rsid w:val="00332D71"/>
    <w:rsid w:val="0033303A"/>
    <w:rsid w:val="003333AE"/>
    <w:rsid w:val="003336BD"/>
    <w:rsid w:val="00333762"/>
    <w:rsid w:val="0033389D"/>
    <w:rsid w:val="00333A47"/>
    <w:rsid w:val="00333AE0"/>
    <w:rsid w:val="00333B06"/>
    <w:rsid w:val="003341BE"/>
    <w:rsid w:val="0033437E"/>
    <w:rsid w:val="0033450C"/>
    <w:rsid w:val="003345F1"/>
    <w:rsid w:val="00334613"/>
    <w:rsid w:val="0033465D"/>
    <w:rsid w:val="00334935"/>
    <w:rsid w:val="00334FDA"/>
    <w:rsid w:val="003350DD"/>
    <w:rsid w:val="00335288"/>
    <w:rsid w:val="003352EE"/>
    <w:rsid w:val="00335359"/>
    <w:rsid w:val="00335390"/>
    <w:rsid w:val="0033577D"/>
    <w:rsid w:val="0033579A"/>
    <w:rsid w:val="00335AE9"/>
    <w:rsid w:val="00335B5B"/>
    <w:rsid w:val="00335E11"/>
    <w:rsid w:val="003365BB"/>
    <w:rsid w:val="00336777"/>
    <w:rsid w:val="00336B94"/>
    <w:rsid w:val="00336DE5"/>
    <w:rsid w:val="00336E12"/>
    <w:rsid w:val="00336F05"/>
    <w:rsid w:val="003370C0"/>
    <w:rsid w:val="0033714A"/>
    <w:rsid w:val="00337367"/>
    <w:rsid w:val="0033780D"/>
    <w:rsid w:val="003378CE"/>
    <w:rsid w:val="00337904"/>
    <w:rsid w:val="00337CAD"/>
    <w:rsid w:val="00337FB0"/>
    <w:rsid w:val="00337FE6"/>
    <w:rsid w:val="00340406"/>
    <w:rsid w:val="00340495"/>
    <w:rsid w:val="00340530"/>
    <w:rsid w:val="00340870"/>
    <w:rsid w:val="00340D5F"/>
    <w:rsid w:val="00340D8F"/>
    <w:rsid w:val="00340E57"/>
    <w:rsid w:val="0034111D"/>
    <w:rsid w:val="00341295"/>
    <w:rsid w:val="00341A56"/>
    <w:rsid w:val="00341B68"/>
    <w:rsid w:val="00341B7F"/>
    <w:rsid w:val="00341D4E"/>
    <w:rsid w:val="00341DB9"/>
    <w:rsid w:val="00341DE7"/>
    <w:rsid w:val="00341E37"/>
    <w:rsid w:val="00341E76"/>
    <w:rsid w:val="00341EE1"/>
    <w:rsid w:val="00341FFC"/>
    <w:rsid w:val="00342093"/>
    <w:rsid w:val="003423EC"/>
    <w:rsid w:val="003425EA"/>
    <w:rsid w:val="003426D6"/>
    <w:rsid w:val="00342700"/>
    <w:rsid w:val="003427CE"/>
    <w:rsid w:val="003429E4"/>
    <w:rsid w:val="00342B3D"/>
    <w:rsid w:val="00342C24"/>
    <w:rsid w:val="00342D5F"/>
    <w:rsid w:val="003431DB"/>
    <w:rsid w:val="00343234"/>
    <w:rsid w:val="0034344B"/>
    <w:rsid w:val="00343515"/>
    <w:rsid w:val="00343523"/>
    <w:rsid w:val="00343591"/>
    <w:rsid w:val="0034372F"/>
    <w:rsid w:val="0034385C"/>
    <w:rsid w:val="003438EB"/>
    <w:rsid w:val="00343A7D"/>
    <w:rsid w:val="00343F45"/>
    <w:rsid w:val="0034441F"/>
    <w:rsid w:val="003444CD"/>
    <w:rsid w:val="00344503"/>
    <w:rsid w:val="00344760"/>
    <w:rsid w:val="00344785"/>
    <w:rsid w:val="00344B12"/>
    <w:rsid w:val="00345266"/>
    <w:rsid w:val="003453D3"/>
    <w:rsid w:val="003454A8"/>
    <w:rsid w:val="003456B8"/>
    <w:rsid w:val="0034590E"/>
    <w:rsid w:val="00345933"/>
    <w:rsid w:val="00345956"/>
    <w:rsid w:val="00345ADB"/>
    <w:rsid w:val="00345DA7"/>
    <w:rsid w:val="00345DC8"/>
    <w:rsid w:val="00345F6B"/>
    <w:rsid w:val="0034618C"/>
    <w:rsid w:val="003461AB"/>
    <w:rsid w:val="00346775"/>
    <w:rsid w:val="003467A9"/>
    <w:rsid w:val="00346982"/>
    <w:rsid w:val="003469AF"/>
    <w:rsid w:val="00346A8B"/>
    <w:rsid w:val="00346C1A"/>
    <w:rsid w:val="00346C3B"/>
    <w:rsid w:val="00346C74"/>
    <w:rsid w:val="00346D63"/>
    <w:rsid w:val="00346E21"/>
    <w:rsid w:val="00346F9E"/>
    <w:rsid w:val="00347306"/>
    <w:rsid w:val="0034742D"/>
    <w:rsid w:val="00347915"/>
    <w:rsid w:val="00347ACA"/>
    <w:rsid w:val="00347B9A"/>
    <w:rsid w:val="00347FC4"/>
    <w:rsid w:val="00350228"/>
    <w:rsid w:val="00350644"/>
    <w:rsid w:val="00350699"/>
    <w:rsid w:val="00350828"/>
    <w:rsid w:val="003508B3"/>
    <w:rsid w:val="003508E9"/>
    <w:rsid w:val="003509D3"/>
    <w:rsid w:val="003509D5"/>
    <w:rsid w:val="00350B32"/>
    <w:rsid w:val="00350C86"/>
    <w:rsid w:val="00350D2F"/>
    <w:rsid w:val="00350E87"/>
    <w:rsid w:val="00350FAC"/>
    <w:rsid w:val="00351194"/>
    <w:rsid w:val="003511D1"/>
    <w:rsid w:val="00351204"/>
    <w:rsid w:val="003512E3"/>
    <w:rsid w:val="00351577"/>
    <w:rsid w:val="0035161C"/>
    <w:rsid w:val="003516A3"/>
    <w:rsid w:val="003517D4"/>
    <w:rsid w:val="00351884"/>
    <w:rsid w:val="00351AAB"/>
    <w:rsid w:val="00351BBC"/>
    <w:rsid w:val="00351BBF"/>
    <w:rsid w:val="00351E0E"/>
    <w:rsid w:val="00351E5A"/>
    <w:rsid w:val="00352656"/>
    <w:rsid w:val="003529E7"/>
    <w:rsid w:val="00352A4C"/>
    <w:rsid w:val="00352AB5"/>
    <w:rsid w:val="00352D86"/>
    <w:rsid w:val="00352F71"/>
    <w:rsid w:val="003533E8"/>
    <w:rsid w:val="0035348E"/>
    <w:rsid w:val="00353536"/>
    <w:rsid w:val="00353562"/>
    <w:rsid w:val="00353640"/>
    <w:rsid w:val="0035371B"/>
    <w:rsid w:val="00353843"/>
    <w:rsid w:val="00353979"/>
    <w:rsid w:val="00353C66"/>
    <w:rsid w:val="0035406B"/>
    <w:rsid w:val="003548C7"/>
    <w:rsid w:val="00354CC6"/>
    <w:rsid w:val="00354E62"/>
    <w:rsid w:val="00354E79"/>
    <w:rsid w:val="00354E84"/>
    <w:rsid w:val="00355465"/>
    <w:rsid w:val="00355587"/>
    <w:rsid w:val="003556E5"/>
    <w:rsid w:val="003559FA"/>
    <w:rsid w:val="00355A82"/>
    <w:rsid w:val="00355BD3"/>
    <w:rsid w:val="00355F76"/>
    <w:rsid w:val="00355FE3"/>
    <w:rsid w:val="003560A2"/>
    <w:rsid w:val="003560C8"/>
    <w:rsid w:val="0035643B"/>
    <w:rsid w:val="00356596"/>
    <w:rsid w:val="0035673E"/>
    <w:rsid w:val="003569C3"/>
    <w:rsid w:val="00356CBB"/>
    <w:rsid w:val="00356E23"/>
    <w:rsid w:val="00357031"/>
    <w:rsid w:val="00357060"/>
    <w:rsid w:val="00357196"/>
    <w:rsid w:val="0035720F"/>
    <w:rsid w:val="00357467"/>
    <w:rsid w:val="003576E3"/>
    <w:rsid w:val="003576FC"/>
    <w:rsid w:val="0035792B"/>
    <w:rsid w:val="00357B40"/>
    <w:rsid w:val="00357BA0"/>
    <w:rsid w:val="003600F4"/>
    <w:rsid w:val="0036012F"/>
    <w:rsid w:val="00360145"/>
    <w:rsid w:val="003601BA"/>
    <w:rsid w:val="0036020E"/>
    <w:rsid w:val="0036045C"/>
    <w:rsid w:val="003607C8"/>
    <w:rsid w:val="00360BBF"/>
    <w:rsid w:val="00360D2A"/>
    <w:rsid w:val="00360EDB"/>
    <w:rsid w:val="00360F53"/>
    <w:rsid w:val="00360FBC"/>
    <w:rsid w:val="00361697"/>
    <w:rsid w:val="003617A8"/>
    <w:rsid w:val="00361C04"/>
    <w:rsid w:val="00361D84"/>
    <w:rsid w:val="00362102"/>
    <w:rsid w:val="00362522"/>
    <w:rsid w:val="0036256C"/>
    <w:rsid w:val="0036268C"/>
    <w:rsid w:val="003626B6"/>
    <w:rsid w:val="003628F4"/>
    <w:rsid w:val="00362B5D"/>
    <w:rsid w:val="00362D38"/>
    <w:rsid w:val="00362D3A"/>
    <w:rsid w:val="00362E45"/>
    <w:rsid w:val="00362FE8"/>
    <w:rsid w:val="003630A7"/>
    <w:rsid w:val="003633BD"/>
    <w:rsid w:val="00363644"/>
    <w:rsid w:val="00363A82"/>
    <w:rsid w:val="00363BC6"/>
    <w:rsid w:val="00363BD8"/>
    <w:rsid w:val="00363CA2"/>
    <w:rsid w:val="00363E42"/>
    <w:rsid w:val="0036417B"/>
    <w:rsid w:val="003641E4"/>
    <w:rsid w:val="00364241"/>
    <w:rsid w:val="003642E7"/>
    <w:rsid w:val="00364363"/>
    <w:rsid w:val="003645A2"/>
    <w:rsid w:val="00364741"/>
    <w:rsid w:val="003647FE"/>
    <w:rsid w:val="003648CA"/>
    <w:rsid w:val="003649FA"/>
    <w:rsid w:val="00364A84"/>
    <w:rsid w:val="00364A96"/>
    <w:rsid w:val="00364CDA"/>
    <w:rsid w:val="00364D24"/>
    <w:rsid w:val="00364EA4"/>
    <w:rsid w:val="00365002"/>
    <w:rsid w:val="00365358"/>
    <w:rsid w:val="0036546B"/>
    <w:rsid w:val="00365556"/>
    <w:rsid w:val="00365772"/>
    <w:rsid w:val="003657C6"/>
    <w:rsid w:val="00365A1D"/>
    <w:rsid w:val="00365BE2"/>
    <w:rsid w:val="00365C94"/>
    <w:rsid w:val="003661E4"/>
    <w:rsid w:val="0036625F"/>
    <w:rsid w:val="00366492"/>
    <w:rsid w:val="00366531"/>
    <w:rsid w:val="0036658E"/>
    <w:rsid w:val="003668F0"/>
    <w:rsid w:val="00366EB5"/>
    <w:rsid w:val="00366F61"/>
    <w:rsid w:val="00366F7F"/>
    <w:rsid w:val="00366FFE"/>
    <w:rsid w:val="0036719D"/>
    <w:rsid w:val="003671F7"/>
    <w:rsid w:val="00367246"/>
    <w:rsid w:val="003672D2"/>
    <w:rsid w:val="003674FD"/>
    <w:rsid w:val="0036780D"/>
    <w:rsid w:val="00367922"/>
    <w:rsid w:val="003679DC"/>
    <w:rsid w:val="00367B71"/>
    <w:rsid w:val="00367D00"/>
    <w:rsid w:val="00367E09"/>
    <w:rsid w:val="00367F92"/>
    <w:rsid w:val="003700CC"/>
    <w:rsid w:val="003701E4"/>
    <w:rsid w:val="0037035C"/>
    <w:rsid w:val="0037042C"/>
    <w:rsid w:val="003706F4"/>
    <w:rsid w:val="003707A2"/>
    <w:rsid w:val="00370A02"/>
    <w:rsid w:val="00370A71"/>
    <w:rsid w:val="00370D5A"/>
    <w:rsid w:val="00370DC8"/>
    <w:rsid w:val="00371066"/>
    <w:rsid w:val="00371144"/>
    <w:rsid w:val="003711A7"/>
    <w:rsid w:val="00371391"/>
    <w:rsid w:val="003713B2"/>
    <w:rsid w:val="00371872"/>
    <w:rsid w:val="00371AEC"/>
    <w:rsid w:val="00371D64"/>
    <w:rsid w:val="00371D8F"/>
    <w:rsid w:val="00371EE2"/>
    <w:rsid w:val="00371EE9"/>
    <w:rsid w:val="00372052"/>
    <w:rsid w:val="00372140"/>
    <w:rsid w:val="00372306"/>
    <w:rsid w:val="00372481"/>
    <w:rsid w:val="003725E5"/>
    <w:rsid w:val="00372760"/>
    <w:rsid w:val="00372C33"/>
    <w:rsid w:val="00372D00"/>
    <w:rsid w:val="00372DF0"/>
    <w:rsid w:val="00372E3E"/>
    <w:rsid w:val="00372F62"/>
    <w:rsid w:val="00372FAB"/>
    <w:rsid w:val="003730F8"/>
    <w:rsid w:val="00373343"/>
    <w:rsid w:val="00373538"/>
    <w:rsid w:val="003735F1"/>
    <w:rsid w:val="0037377F"/>
    <w:rsid w:val="00373E26"/>
    <w:rsid w:val="00373F03"/>
    <w:rsid w:val="00373FE7"/>
    <w:rsid w:val="0037453E"/>
    <w:rsid w:val="0037476E"/>
    <w:rsid w:val="00374793"/>
    <w:rsid w:val="00374906"/>
    <w:rsid w:val="0037499C"/>
    <w:rsid w:val="00374B50"/>
    <w:rsid w:val="00374C8D"/>
    <w:rsid w:val="00374D04"/>
    <w:rsid w:val="00374DBB"/>
    <w:rsid w:val="00374E98"/>
    <w:rsid w:val="00374F36"/>
    <w:rsid w:val="0037509E"/>
    <w:rsid w:val="00375217"/>
    <w:rsid w:val="003754CB"/>
    <w:rsid w:val="00375666"/>
    <w:rsid w:val="003756C3"/>
    <w:rsid w:val="00375C50"/>
    <w:rsid w:val="00375CDF"/>
    <w:rsid w:val="00375FFD"/>
    <w:rsid w:val="0037612C"/>
    <w:rsid w:val="003765FD"/>
    <w:rsid w:val="0037663D"/>
    <w:rsid w:val="00376656"/>
    <w:rsid w:val="00376711"/>
    <w:rsid w:val="003769B4"/>
    <w:rsid w:val="003769EE"/>
    <w:rsid w:val="00376C22"/>
    <w:rsid w:val="00376C99"/>
    <w:rsid w:val="00376CAB"/>
    <w:rsid w:val="00376E5D"/>
    <w:rsid w:val="0037713F"/>
    <w:rsid w:val="003771AB"/>
    <w:rsid w:val="0037744D"/>
    <w:rsid w:val="0037784C"/>
    <w:rsid w:val="003778D2"/>
    <w:rsid w:val="003778FD"/>
    <w:rsid w:val="00377CE5"/>
    <w:rsid w:val="003802AD"/>
    <w:rsid w:val="003802C3"/>
    <w:rsid w:val="00380427"/>
    <w:rsid w:val="0038049C"/>
    <w:rsid w:val="003805DB"/>
    <w:rsid w:val="003806CD"/>
    <w:rsid w:val="00380767"/>
    <w:rsid w:val="00380781"/>
    <w:rsid w:val="00380AD8"/>
    <w:rsid w:val="00380AF8"/>
    <w:rsid w:val="00380BAD"/>
    <w:rsid w:val="00380D66"/>
    <w:rsid w:val="00380DEE"/>
    <w:rsid w:val="00381195"/>
    <w:rsid w:val="00381425"/>
    <w:rsid w:val="003817E5"/>
    <w:rsid w:val="003819C7"/>
    <w:rsid w:val="00381DF3"/>
    <w:rsid w:val="00381F51"/>
    <w:rsid w:val="003826EB"/>
    <w:rsid w:val="0038293A"/>
    <w:rsid w:val="00382942"/>
    <w:rsid w:val="00382C58"/>
    <w:rsid w:val="00382DCD"/>
    <w:rsid w:val="00382FC1"/>
    <w:rsid w:val="0038336C"/>
    <w:rsid w:val="0038348D"/>
    <w:rsid w:val="00383686"/>
    <w:rsid w:val="003836DB"/>
    <w:rsid w:val="003838A8"/>
    <w:rsid w:val="003838AF"/>
    <w:rsid w:val="003839E5"/>
    <w:rsid w:val="00383BB4"/>
    <w:rsid w:val="00383D56"/>
    <w:rsid w:val="00383E0D"/>
    <w:rsid w:val="00383E10"/>
    <w:rsid w:val="00383EF8"/>
    <w:rsid w:val="00383F9C"/>
    <w:rsid w:val="00383FE2"/>
    <w:rsid w:val="003840EF"/>
    <w:rsid w:val="003841E9"/>
    <w:rsid w:val="003841EB"/>
    <w:rsid w:val="00384395"/>
    <w:rsid w:val="003844A6"/>
    <w:rsid w:val="00384AF4"/>
    <w:rsid w:val="00384C6D"/>
    <w:rsid w:val="0038502D"/>
    <w:rsid w:val="0038513D"/>
    <w:rsid w:val="003851DD"/>
    <w:rsid w:val="00385207"/>
    <w:rsid w:val="00385551"/>
    <w:rsid w:val="0038557E"/>
    <w:rsid w:val="003855BA"/>
    <w:rsid w:val="003855ED"/>
    <w:rsid w:val="00385B5F"/>
    <w:rsid w:val="00385DBC"/>
    <w:rsid w:val="00386166"/>
    <w:rsid w:val="0038624B"/>
    <w:rsid w:val="00386463"/>
    <w:rsid w:val="00386525"/>
    <w:rsid w:val="00386640"/>
    <w:rsid w:val="00386857"/>
    <w:rsid w:val="0038696A"/>
    <w:rsid w:val="00386B8E"/>
    <w:rsid w:val="003870E8"/>
    <w:rsid w:val="003871A1"/>
    <w:rsid w:val="003872AC"/>
    <w:rsid w:val="003873DB"/>
    <w:rsid w:val="0038752D"/>
    <w:rsid w:val="00387547"/>
    <w:rsid w:val="00387570"/>
    <w:rsid w:val="0038791E"/>
    <w:rsid w:val="00387ACB"/>
    <w:rsid w:val="00387C2E"/>
    <w:rsid w:val="00387CED"/>
    <w:rsid w:val="00387D56"/>
    <w:rsid w:val="00387DCA"/>
    <w:rsid w:val="0039015F"/>
    <w:rsid w:val="00390169"/>
    <w:rsid w:val="00390433"/>
    <w:rsid w:val="00390621"/>
    <w:rsid w:val="003906A2"/>
    <w:rsid w:val="0039080A"/>
    <w:rsid w:val="0039082E"/>
    <w:rsid w:val="00390852"/>
    <w:rsid w:val="003909D5"/>
    <w:rsid w:val="00390D6F"/>
    <w:rsid w:val="00390FB6"/>
    <w:rsid w:val="003911A7"/>
    <w:rsid w:val="00391285"/>
    <w:rsid w:val="003912AB"/>
    <w:rsid w:val="003913A8"/>
    <w:rsid w:val="00391700"/>
    <w:rsid w:val="0039180A"/>
    <w:rsid w:val="00391992"/>
    <w:rsid w:val="00391A1F"/>
    <w:rsid w:val="00391B23"/>
    <w:rsid w:val="00391B4D"/>
    <w:rsid w:val="00391B87"/>
    <w:rsid w:val="00391CD7"/>
    <w:rsid w:val="00391D07"/>
    <w:rsid w:val="00391DD5"/>
    <w:rsid w:val="00391DF7"/>
    <w:rsid w:val="00391F45"/>
    <w:rsid w:val="00392078"/>
    <w:rsid w:val="00392118"/>
    <w:rsid w:val="00392300"/>
    <w:rsid w:val="00392343"/>
    <w:rsid w:val="00392567"/>
    <w:rsid w:val="003928FF"/>
    <w:rsid w:val="00392CB4"/>
    <w:rsid w:val="00393009"/>
    <w:rsid w:val="003931A6"/>
    <w:rsid w:val="00393369"/>
    <w:rsid w:val="003933A6"/>
    <w:rsid w:val="00393608"/>
    <w:rsid w:val="00393768"/>
    <w:rsid w:val="0039376A"/>
    <w:rsid w:val="00393794"/>
    <w:rsid w:val="003938FF"/>
    <w:rsid w:val="00393922"/>
    <w:rsid w:val="00393CA5"/>
    <w:rsid w:val="003940B7"/>
    <w:rsid w:val="003941AE"/>
    <w:rsid w:val="00394437"/>
    <w:rsid w:val="003944C0"/>
    <w:rsid w:val="0039458C"/>
    <w:rsid w:val="0039459C"/>
    <w:rsid w:val="00394E61"/>
    <w:rsid w:val="00394E71"/>
    <w:rsid w:val="0039518C"/>
    <w:rsid w:val="0039522D"/>
    <w:rsid w:val="0039523F"/>
    <w:rsid w:val="003953AE"/>
    <w:rsid w:val="00395675"/>
    <w:rsid w:val="003956FD"/>
    <w:rsid w:val="00395AFF"/>
    <w:rsid w:val="00395B4B"/>
    <w:rsid w:val="00395BCB"/>
    <w:rsid w:val="00395D54"/>
    <w:rsid w:val="00395E7E"/>
    <w:rsid w:val="00396B43"/>
    <w:rsid w:val="00396C95"/>
    <w:rsid w:val="00397033"/>
    <w:rsid w:val="003972C5"/>
    <w:rsid w:val="003974DA"/>
    <w:rsid w:val="0039765D"/>
    <w:rsid w:val="00397951"/>
    <w:rsid w:val="00397A3B"/>
    <w:rsid w:val="00397BBC"/>
    <w:rsid w:val="00397C4E"/>
    <w:rsid w:val="00397F98"/>
    <w:rsid w:val="003A0098"/>
    <w:rsid w:val="003A01F2"/>
    <w:rsid w:val="003A043F"/>
    <w:rsid w:val="003A050E"/>
    <w:rsid w:val="003A07DD"/>
    <w:rsid w:val="003A08BB"/>
    <w:rsid w:val="003A09C5"/>
    <w:rsid w:val="003A0A02"/>
    <w:rsid w:val="003A0F88"/>
    <w:rsid w:val="003A0FA0"/>
    <w:rsid w:val="003A1059"/>
    <w:rsid w:val="003A1167"/>
    <w:rsid w:val="003A139D"/>
    <w:rsid w:val="003A13D5"/>
    <w:rsid w:val="003A141A"/>
    <w:rsid w:val="003A14B2"/>
    <w:rsid w:val="003A1849"/>
    <w:rsid w:val="003A18B0"/>
    <w:rsid w:val="003A198E"/>
    <w:rsid w:val="003A19AF"/>
    <w:rsid w:val="003A1B89"/>
    <w:rsid w:val="003A1CAC"/>
    <w:rsid w:val="003A1FD0"/>
    <w:rsid w:val="003A20CB"/>
    <w:rsid w:val="003A216D"/>
    <w:rsid w:val="003A218D"/>
    <w:rsid w:val="003A21C8"/>
    <w:rsid w:val="003A23B3"/>
    <w:rsid w:val="003A27C6"/>
    <w:rsid w:val="003A29CF"/>
    <w:rsid w:val="003A29F5"/>
    <w:rsid w:val="003A2A65"/>
    <w:rsid w:val="003A2C0E"/>
    <w:rsid w:val="003A2D0E"/>
    <w:rsid w:val="003A2DB4"/>
    <w:rsid w:val="003A33DD"/>
    <w:rsid w:val="003A352A"/>
    <w:rsid w:val="003A368A"/>
    <w:rsid w:val="003A37FF"/>
    <w:rsid w:val="003A4038"/>
    <w:rsid w:val="003A40BA"/>
    <w:rsid w:val="003A4126"/>
    <w:rsid w:val="003A41A7"/>
    <w:rsid w:val="003A42CF"/>
    <w:rsid w:val="003A4470"/>
    <w:rsid w:val="003A451C"/>
    <w:rsid w:val="003A4592"/>
    <w:rsid w:val="003A47FD"/>
    <w:rsid w:val="003A48F4"/>
    <w:rsid w:val="003A49A2"/>
    <w:rsid w:val="003A4B45"/>
    <w:rsid w:val="003A4ED8"/>
    <w:rsid w:val="003A52B6"/>
    <w:rsid w:val="003A54ED"/>
    <w:rsid w:val="003A56AC"/>
    <w:rsid w:val="003A586D"/>
    <w:rsid w:val="003A58FD"/>
    <w:rsid w:val="003A5936"/>
    <w:rsid w:val="003A59FA"/>
    <w:rsid w:val="003A5A7D"/>
    <w:rsid w:val="003A5B83"/>
    <w:rsid w:val="003A5B9B"/>
    <w:rsid w:val="003A5EB4"/>
    <w:rsid w:val="003A6066"/>
    <w:rsid w:val="003A61DD"/>
    <w:rsid w:val="003A61ED"/>
    <w:rsid w:val="003A624E"/>
    <w:rsid w:val="003A6269"/>
    <w:rsid w:val="003A6349"/>
    <w:rsid w:val="003A6352"/>
    <w:rsid w:val="003A6445"/>
    <w:rsid w:val="003A6736"/>
    <w:rsid w:val="003A686C"/>
    <w:rsid w:val="003A68B0"/>
    <w:rsid w:val="003A6967"/>
    <w:rsid w:val="003A69DE"/>
    <w:rsid w:val="003A6A40"/>
    <w:rsid w:val="003A6B84"/>
    <w:rsid w:val="003A6BE0"/>
    <w:rsid w:val="003A6D3C"/>
    <w:rsid w:val="003A6DC9"/>
    <w:rsid w:val="003A6DDB"/>
    <w:rsid w:val="003A6F5D"/>
    <w:rsid w:val="003A6F64"/>
    <w:rsid w:val="003A6FD4"/>
    <w:rsid w:val="003A7290"/>
    <w:rsid w:val="003A7309"/>
    <w:rsid w:val="003A73E4"/>
    <w:rsid w:val="003A7411"/>
    <w:rsid w:val="003A78DD"/>
    <w:rsid w:val="003A7993"/>
    <w:rsid w:val="003A7A9B"/>
    <w:rsid w:val="003A7D61"/>
    <w:rsid w:val="003B0056"/>
    <w:rsid w:val="003B011C"/>
    <w:rsid w:val="003B018E"/>
    <w:rsid w:val="003B043C"/>
    <w:rsid w:val="003B0486"/>
    <w:rsid w:val="003B0809"/>
    <w:rsid w:val="003B085C"/>
    <w:rsid w:val="003B087E"/>
    <w:rsid w:val="003B0B9C"/>
    <w:rsid w:val="003B0F97"/>
    <w:rsid w:val="003B1053"/>
    <w:rsid w:val="003B10C1"/>
    <w:rsid w:val="003B115A"/>
    <w:rsid w:val="003B11AC"/>
    <w:rsid w:val="003B15BE"/>
    <w:rsid w:val="003B166F"/>
    <w:rsid w:val="003B1672"/>
    <w:rsid w:val="003B16DB"/>
    <w:rsid w:val="003B177D"/>
    <w:rsid w:val="003B18F9"/>
    <w:rsid w:val="003B1DD5"/>
    <w:rsid w:val="003B1EE4"/>
    <w:rsid w:val="003B1F70"/>
    <w:rsid w:val="003B2284"/>
    <w:rsid w:val="003B2601"/>
    <w:rsid w:val="003B2779"/>
    <w:rsid w:val="003B2910"/>
    <w:rsid w:val="003B2B43"/>
    <w:rsid w:val="003B2E26"/>
    <w:rsid w:val="003B300F"/>
    <w:rsid w:val="003B305D"/>
    <w:rsid w:val="003B3317"/>
    <w:rsid w:val="003B3523"/>
    <w:rsid w:val="003B366F"/>
    <w:rsid w:val="003B3BFA"/>
    <w:rsid w:val="003B3D19"/>
    <w:rsid w:val="003B41C0"/>
    <w:rsid w:val="003B43B4"/>
    <w:rsid w:val="003B445A"/>
    <w:rsid w:val="003B4657"/>
    <w:rsid w:val="003B4750"/>
    <w:rsid w:val="003B479F"/>
    <w:rsid w:val="003B4834"/>
    <w:rsid w:val="003B4876"/>
    <w:rsid w:val="003B487F"/>
    <w:rsid w:val="003B4897"/>
    <w:rsid w:val="003B4B49"/>
    <w:rsid w:val="003B4B7C"/>
    <w:rsid w:val="003B4BC4"/>
    <w:rsid w:val="003B4EE5"/>
    <w:rsid w:val="003B4FEC"/>
    <w:rsid w:val="003B50A9"/>
    <w:rsid w:val="003B51F1"/>
    <w:rsid w:val="003B52BB"/>
    <w:rsid w:val="003B5377"/>
    <w:rsid w:val="003B545C"/>
    <w:rsid w:val="003B5612"/>
    <w:rsid w:val="003B56E6"/>
    <w:rsid w:val="003B58C2"/>
    <w:rsid w:val="003B59B0"/>
    <w:rsid w:val="003B59CC"/>
    <w:rsid w:val="003B603E"/>
    <w:rsid w:val="003B6324"/>
    <w:rsid w:val="003B64CF"/>
    <w:rsid w:val="003B65B6"/>
    <w:rsid w:val="003B66D6"/>
    <w:rsid w:val="003B68D9"/>
    <w:rsid w:val="003B694D"/>
    <w:rsid w:val="003B69FD"/>
    <w:rsid w:val="003B6BD0"/>
    <w:rsid w:val="003B6C8B"/>
    <w:rsid w:val="003B6DD7"/>
    <w:rsid w:val="003B7244"/>
    <w:rsid w:val="003B7507"/>
    <w:rsid w:val="003B7525"/>
    <w:rsid w:val="003B7554"/>
    <w:rsid w:val="003B75CF"/>
    <w:rsid w:val="003B761A"/>
    <w:rsid w:val="003B7638"/>
    <w:rsid w:val="003B765E"/>
    <w:rsid w:val="003B769B"/>
    <w:rsid w:val="003B7852"/>
    <w:rsid w:val="003B79AA"/>
    <w:rsid w:val="003B7B61"/>
    <w:rsid w:val="003B7CCF"/>
    <w:rsid w:val="003B7DA7"/>
    <w:rsid w:val="003B7E19"/>
    <w:rsid w:val="003B7E4A"/>
    <w:rsid w:val="003B7EAF"/>
    <w:rsid w:val="003B7F59"/>
    <w:rsid w:val="003C01EF"/>
    <w:rsid w:val="003C0230"/>
    <w:rsid w:val="003C0730"/>
    <w:rsid w:val="003C07AE"/>
    <w:rsid w:val="003C0978"/>
    <w:rsid w:val="003C0ACC"/>
    <w:rsid w:val="003C0B4E"/>
    <w:rsid w:val="003C0B7C"/>
    <w:rsid w:val="003C0C8A"/>
    <w:rsid w:val="003C0DE7"/>
    <w:rsid w:val="003C1030"/>
    <w:rsid w:val="003C105A"/>
    <w:rsid w:val="003C10AA"/>
    <w:rsid w:val="003C1309"/>
    <w:rsid w:val="003C15F0"/>
    <w:rsid w:val="003C1A90"/>
    <w:rsid w:val="003C1C18"/>
    <w:rsid w:val="003C1C7D"/>
    <w:rsid w:val="003C1E95"/>
    <w:rsid w:val="003C203B"/>
    <w:rsid w:val="003C207E"/>
    <w:rsid w:val="003C2550"/>
    <w:rsid w:val="003C28E6"/>
    <w:rsid w:val="003C29FF"/>
    <w:rsid w:val="003C2A1C"/>
    <w:rsid w:val="003C2B14"/>
    <w:rsid w:val="003C2B23"/>
    <w:rsid w:val="003C2CA8"/>
    <w:rsid w:val="003C2D6F"/>
    <w:rsid w:val="003C2DC2"/>
    <w:rsid w:val="003C301D"/>
    <w:rsid w:val="003C314C"/>
    <w:rsid w:val="003C316B"/>
    <w:rsid w:val="003C3223"/>
    <w:rsid w:val="003C348B"/>
    <w:rsid w:val="003C3659"/>
    <w:rsid w:val="003C37EB"/>
    <w:rsid w:val="003C37FF"/>
    <w:rsid w:val="003C3AFB"/>
    <w:rsid w:val="003C3F39"/>
    <w:rsid w:val="003C4070"/>
    <w:rsid w:val="003C43FE"/>
    <w:rsid w:val="003C4843"/>
    <w:rsid w:val="003C487E"/>
    <w:rsid w:val="003C4B6E"/>
    <w:rsid w:val="003C4D24"/>
    <w:rsid w:val="003C4D46"/>
    <w:rsid w:val="003C4D56"/>
    <w:rsid w:val="003C4F41"/>
    <w:rsid w:val="003C5251"/>
    <w:rsid w:val="003C525C"/>
    <w:rsid w:val="003C5764"/>
    <w:rsid w:val="003C576D"/>
    <w:rsid w:val="003C5868"/>
    <w:rsid w:val="003C5F45"/>
    <w:rsid w:val="003C60E2"/>
    <w:rsid w:val="003C62B7"/>
    <w:rsid w:val="003C62C3"/>
    <w:rsid w:val="003C6315"/>
    <w:rsid w:val="003C651E"/>
    <w:rsid w:val="003C6541"/>
    <w:rsid w:val="003C6954"/>
    <w:rsid w:val="003C6964"/>
    <w:rsid w:val="003C6B89"/>
    <w:rsid w:val="003C6DF8"/>
    <w:rsid w:val="003C7007"/>
    <w:rsid w:val="003C70B0"/>
    <w:rsid w:val="003C71C0"/>
    <w:rsid w:val="003C72C3"/>
    <w:rsid w:val="003C737E"/>
    <w:rsid w:val="003C7459"/>
    <w:rsid w:val="003C7593"/>
    <w:rsid w:val="003C7702"/>
    <w:rsid w:val="003C77E8"/>
    <w:rsid w:val="003C77F6"/>
    <w:rsid w:val="003C7EC6"/>
    <w:rsid w:val="003C7EF4"/>
    <w:rsid w:val="003C7F80"/>
    <w:rsid w:val="003C7FC4"/>
    <w:rsid w:val="003D0270"/>
    <w:rsid w:val="003D02F9"/>
    <w:rsid w:val="003D0437"/>
    <w:rsid w:val="003D0584"/>
    <w:rsid w:val="003D05C3"/>
    <w:rsid w:val="003D05DF"/>
    <w:rsid w:val="003D0698"/>
    <w:rsid w:val="003D08EA"/>
    <w:rsid w:val="003D096A"/>
    <w:rsid w:val="003D0DAE"/>
    <w:rsid w:val="003D0F1D"/>
    <w:rsid w:val="003D1128"/>
    <w:rsid w:val="003D1682"/>
    <w:rsid w:val="003D174E"/>
    <w:rsid w:val="003D1A26"/>
    <w:rsid w:val="003D1A43"/>
    <w:rsid w:val="003D1C25"/>
    <w:rsid w:val="003D1DAF"/>
    <w:rsid w:val="003D1F7D"/>
    <w:rsid w:val="003D201E"/>
    <w:rsid w:val="003D2081"/>
    <w:rsid w:val="003D2406"/>
    <w:rsid w:val="003D24F7"/>
    <w:rsid w:val="003D2532"/>
    <w:rsid w:val="003D2595"/>
    <w:rsid w:val="003D2689"/>
    <w:rsid w:val="003D26BC"/>
    <w:rsid w:val="003D28D9"/>
    <w:rsid w:val="003D2954"/>
    <w:rsid w:val="003D2BA5"/>
    <w:rsid w:val="003D2C75"/>
    <w:rsid w:val="003D2D0A"/>
    <w:rsid w:val="003D308B"/>
    <w:rsid w:val="003D3099"/>
    <w:rsid w:val="003D30BA"/>
    <w:rsid w:val="003D3319"/>
    <w:rsid w:val="003D3335"/>
    <w:rsid w:val="003D333E"/>
    <w:rsid w:val="003D34F0"/>
    <w:rsid w:val="003D364F"/>
    <w:rsid w:val="003D372A"/>
    <w:rsid w:val="003D3C68"/>
    <w:rsid w:val="003D40C4"/>
    <w:rsid w:val="003D42AD"/>
    <w:rsid w:val="003D436E"/>
    <w:rsid w:val="003D459B"/>
    <w:rsid w:val="003D4635"/>
    <w:rsid w:val="003D48D1"/>
    <w:rsid w:val="003D4AFB"/>
    <w:rsid w:val="003D4E94"/>
    <w:rsid w:val="003D500D"/>
    <w:rsid w:val="003D5148"/>
    <w:rsid w:val="003D518D"/>
    <w:rsid w:val="003D5201"/>
    <w:rsid w:val="003D5590"/>
    <w:rsid w:val="003D575B"/>
    <w:rsid w:val="003D5AC5"/>
    <w:rsid w:val="003D5C46"/>
    <w:rsid w:val="003D5D8F"/>
    <w:rsid w:val="003D5DBB"/>
    <w:rsid w:val="003D5FB9"/>
    <w:rsid w:val="003D600B"/>
    <w:rsid w:val="003D6066"/>
    <w:rsid w:val="003D634B"/>
    <w:rsid w:val="003D63C7"/>
    <w:rsid w:val="003D63CE"/>
    <w:rsid w:val="003D66FF"/>
    <w:rsid w:val="003D7007"/>
    <w:rsid w:val="003D71EB"/>
    <w:rsid w:val="003D735E"/>
    <w:rsid w:val="003D73C2"/>
    <w:rsid w:val="003D75F3"/>
    <w:rsid w:val="003D76B0"/>
    <w:rsid w:val="003D7B3D"/>
    <w:rsid w:val="003D7BBC"/>
    <w:rsid w:val="003D7C11"/>
    <w:rsid w:val="003E0076"/>
    <w:rsid w:val="003E01CE"/>
    <w:rsid w:val="003E023F"/>
    <w:rsid w:val="003E0253"/>
    <w:rsid w:val="003E02F0"/>
    <w:rsid w:val="003E036D"/>
    <w:rsid w:val="003E063B"/>
    <w:rsid w:val="003E074D"/>
    <w:rsid w:val="003E0761"/>
    <w:rsid w:val="003E08DE"/>
    <w:rsid w:val="003E0AD3"/>
    <w:rsid w:val="003E0F45"/>
    <w:rsid w:val="003E134B"/>
    <w:rsid w:val="003E17DE"/>
    <w:rsid w:val="003E17F2"/>
    <w:rsid w:val="003E1AA3"/>
    <w:rsid w:val="003E1B5D"/>
    <w:rsid w:val="003E1E4A"/>
    <w:rsid w:val="003E2116"/>
    <w:rsid w:val="003E219C"/>
    <w:rsid w:val="003E21FD"/>
    <w:rsid w:val="003E277A"/>
    <w:rsid w:val="003E284C"/>
    <w:rsid w:val="003E2941"/>
    <w:rsid w:val="003E2B23"/>
    <w:rsid w:val="003E3130"/>
    <w:rsid w:val="003E346F"/>
    <w:rsid w:val="003E3503"/>
    <w:rsid w:val="003E3785"/>
    <w:rsid w:val="003E38B7"/>
    <w:rsid w:val="003E3A69"/>
    <w:rsid w:val="003E3CE1"/>
    <w:rsid w:val="003E3D0C"/>
    <w:rsid w:val="003E3FB8"/>
    <w:rsid w:val="003E433F"/>
    <w:rsid w:val="003E43C0"/>
    <w:rsid w:val="003E44F3"/>
    <w:rsid w:val="003E4619"/>
    <w:rsid w:val="003E4A2B"/>
    <w:rsid w:val="003E4D2A"/>
    <w:rsid w:val="003E4FBE"/>
    <w:rsid w:val="003E4FCC"/>
    <w:rsid w:val="003E50E9"/>
    <w:rsid w:val="003E5230"/>
    <w:rsid w:val="003E527A"/>
    <w:rsid w:val="003E534E"/>
    <w:rsid w:val="003E595E"/>
    <w:rsid w:val="003E5965"/>
    <w:rsid w:val="003E59F0"/>
    <w:rsid w:val="003E5C19"/>
    <w:rsid w:val="003E5FA1"/>
    <w:rsid w:val="003E600A"/>
    <w:rsid w:val="003E61B0"/>
    <w:rsid w:val="003E6542"/>
    <w:rsid w:val="003E673E"/>
    <w:rsid w:val="003E6779"/>
    <w:rsid w:val="003E680F"/>
    <w:rsid w:val="003E6B1D"/>
    <w:rsid w:val="003E7086"/>
    <w:rsid w:val="003E70EC"/>
    <w:rsid w:val="003E717B"/>
    <w:rsid w:val="003E7451"/>
    <w:rsid w:val="003E7492"/>
    <w:rsid w:val="003E74CC"/>
    <w:rsid w:val="003E74E3"/>
    <w:rsid w:val="003E7626"/>
    <w:rsid w:val="003E777B"/>
    <w:rsid w:val="003E7988"/>
    <w:rsid w:val="003E7A40"/>
    <w:rsid w:val="003E7EF1"/>
    <w:rsid w:val="003F0071"/>
    <w:rsid w:val="003F0379"/>
    <w:rsid w:val="003F03C3"/>
    <w:rsid w:val="003F0A4F"/>
    <w:rsid w:val="003F10AF"/>
    <w:rsid w:val="003F1196"/>
    <w:rsid w:val="003F15FB"/>
    <w:rsid w:val="003F1809"/>
    <w:rsid w:val="003F1846"/>
    <w:rsid w:val="003F1966"/>
    <w:rsid w:val="003F1A0E"/>
    <w:rsid w:val="003F1AE8"/>
    <w:rsid w:val="003F1B2D"/>
    <w:rsid w:val="003F1BFF"/>
    <w:rsid w:val="003F1CDB"/>
    <w:rsid w:val="003F1EC2"/>
    <w:rsid w:val="003F1F1F"/>
    <w:rsid w:val="003F1FCF"/>
    <w:rsid w:val="003F2033"/>
    <w:rsid w:val="003F212D"/>
    <w:rsid w:val="003F2536"/>
    <w:rsid w:val="003F265C"/>
    <w:rsid w:val="003F26B0"/>
    <w:rsid w:val="003F28F2"/>
    <w:rsid w:val="003F2A55"/>
    <w:rsid w:val="003F2B96"/>
    <w:rsid w:val="003F2CCF"/>
    <w:rsid w:val="003F2CE3"/>
    <w:rsid w:val="003F2DE2"/>
    <w:rsid w:val="003F3280"/>
    <w:rsid w:val="003F3318"/>
    <w:rsid w:val="003F3554"/>
    <w:rsid w:val="003F364A"/>
    <w:rsid w:val="003F393D"/>
    <w:rsid w:val="003F3A65"/>
    <w:rsid w:val="003F3BC9"/>
    <w:rsid w:val="003F3C0A"/>
    <w:rsid w:val="003F3C70"/>
    <w:rsid w:val="003F3F5E"/>
    <w:rsid w:val="003F3FAA"/>
    <w:rsid w:val="003F40F8"/>
    <w:rsid w:val="003F4151"/>
    <w:rsid w:val="003F432B"/>
    <w:rsid w:val="003F4433"/>
    <w:rsid w:val="003F44D3"/>
    <w:rsid w:val="003F4649"/>
    <w:rsid w:val="003F4A15"/>
    <w:rsid w:val="003F4FEA"/>
    <w:rsid w:val="003F519D"/>
    <w:rsid w:val="003F56C6"/>
    <w:rsid w:val="003F5B2C"/>
    <w:rsid w:val="003F5B7F"/>
    <w:rsid w:val="003F5B94"/>
    <w:rsid w:val="003F5EEB"/>
    <w:rsid w:val="003F62AA"/>
    <w:rsid w:val="003F65F0"/>
    <w:rsid w:val="003F67A7"/>
    <w:rsid w:val="003F67C3"/>
    <w:rsid w:val="003F6903"/>
    <w:rsid w:val="003F6BE8"/>
    <w:rsid w:val="003F6C19"/>
    <w:rsid w:val="003F6D6B"/>
    <w:rsid w:val="003F6F19"/>
    <w:rsid w:val="003F6F92"/>
    <w:rsid w:val="003F702E"/>
    <w:rsid w:val="003F728C"/>
    <w:rsid w:val="003F7540"/>
    <w:rsid w:val="003F7631"/>
    <w:rsid w:val="003F7917"/>
    <w:rsid w:val="003F7C45"/>
    <w:rsid w:val="003F7CFC"/>
    <w:rsid w:val="003F7E4E"/>
    <w:rsid w:val="003F7EA1"/>
    <w:rsid w:val="003F7ED1"/>
    <w:rsid w:val="0040068F"/>
    <w:rsid w:val="0040078F"/>
    <w:rsid w:val="0040084C"/>
    <w:rsid w:val="004008CB"/>
    <w:rsid w:val="00400959"/>
    <w:rsid w:val="00400F9D"/>
    <w:rsid w:val="0040100B"/>
    <w:rsid w:val="004010BD"/>
    <w:rsid w:val="004011F7"/>
    <w:rsid w:val="004012C5"/>
    <w:rsid w:val="00401317"/>
    <w:rsid w:val="00401356"/>
    <w:rsid w:val="00401431"/>
    <w:rsid w:val="0040157A"/>
    <w:rsid w:val="0040179E"/>
    <w:rsid w:val="004018B1"/>
    <w:rsid w:val="004019C0"/>
    <w:rsid w:val="00401A62"/>
    <w:rsid w:val="00401B0E"/>
    <w:rsid w:val="00402073"/>
    <w:rsid w:val="0040213C"/>
    <w:rsid w:val="004024C6"/>
    <w:rsid w:val="004024D4"/>
    <w:rsid w:val="00402513"/>
    <w:rsid w:val="00402915"/>
    <w:rsid w:val="00402AB7"/>
    <w:rsid w:val="00402B54"/>
    <w:rsid w:val="00402B69"/>
    <w:rsid w:val="00402BF2"/>
    <w:rsid w:val="00402C92"/>
    <w:rsid w:val="00402D1F"/>
    <w:rsid w:val="00402DEB"/>
    <w:rsid w:val="00402E44"/>
    <w:rsid w:val="00402FF7"/>
    <w:rsid w:val="00403027"/>
    <w:rsid w:val="00403162"/>
    <w:rsid w:val="0040347B"/>
    <w:rsid w:val="00403489"/>
    <w:rsid w:val="0040349C"/>
    <w:rsid w:val="00403621"/>
    <w:rsid w:val="004036CA"/>
    <w:rsid w:val="0040383B"/>
    <w:rsid w:val="004038FC"/>
    <w:rsid w:val="004039FB"/>
    <w:rsid w:val="00403A79"/>
    <w:rsid w:val="00403AB8"/>
    <w:rsid w:val="00403BCF"/>
    <w:rsid w:val="00403D80"/>
    <w:rsid w:val="00403EED"/>
    <w:rsid w:val="00403FCE"/>
    <w:rsid w:val="00404091"/>
    <w:rsid w:val="00404535"/>
    <w:rsid w:val="00404575"/>
    <w:rsid w:val="00404766"/>
    <w:rsid w:val="00404785"/>
    <w:rsid w:val="00404E58"/>
    <w:rsid w:val="00404FFE"/>
    <w:rsid w:val="004057C8"/>
    <w:rsid w:val="00405A40"/>
    <w:rsid w:val="00405A68"/>
    <w:rsid w:val="00405B88"/>
    <w:rsid w:val="00405BD8"/>
    <w:rsid w:val="00405F3D"/>
    <w:rsid w:val="0040636D"/>
    <w:rsid w:val="004063BA"/>
    <w:rsid w:val="00406424"/>
    <w:rsid w:val="004067FC"/>
    <w:rsid w:val="00406840"/>
    <w:rsid w:val="00406BFB"/>
    <w:rsid w:val="00406C11"/>
    <w:rsid w:val="00406DA4"/>
    <w:rsid w:val="004070D0"/>
    <w:rsid w:val="004070E3"/>
    <w:rsid w:val="00407213"/>
    <w:rsid w:val="004072FF"/>
    <w:rsid w:val="00407772"/>
    <w:rsid w:val="004078DA"/>
    <w:rsid w:val="0040790E"/>
    <w:rsid w:val="00407918"/>
    <w:rsid w:val="0040794A"/>
    <w:rsid w:val="004079E5"/>
    <w:rsid w:val="00407CFE"/>
    <w:rsid w:val="00407E2C"/>
    <w:rsid w:val="00407EFA"/>
    <w:rsid w:val="00410051"/>
    <w:rsid w:val="0041030E"/>
    <w:rsid w:val="00410310"/>
    <w:rsid w:val="00410454"/>
    <w:rsid w:val="0041049D"/>
    <w:rsid w:val="004105BA"/>
    <w:rsid w:val="00410612"/>
    <w:rsid w:val="004106C4"/>
    <w:rsid w:val="004106F4"/>
    <w:rsid w:val="00410A48"/>
    <w:rsid w:val="00410A4D"/>
    <w:rsid w:val="00410A9B"/>
    <w:rsid w:val="00410ADF"/>
    <w:rsid w:val="00410B60"/>
    <w:rsid w:val="00410E52"/>
    <w:rsid w:val="00410EA3"/>
    <w:rsid w:val="00410EC4"/>
    <w:rsid w:val="004110D7"/>
    <w:rsid w:val="00411126"/>
    <w:rsid w:val="00411309"/>
    <w:rsid w:val="0041136C"/>
    <w:rsid w:val="004113BB"/>
    <w:rsid w:val="004113F9"/>
    <w:rsid w:val="0041162A"/>
    <w:rsid w:val="00411789"/>
    <w:rsid w:val="004117B9"/>
    <w:rsid w:val="0041184D"/>
    <w:rsid w:val="004119FD"/>
    <w:rsid w:val="00411C2A"/>
    <w:rsid w:val="00411DF4"/>
    <w:rsid w:val="00411EA9"/>
    <w:rsid w:val="00411F1F"/>
    <w:rsid w:val="0041204C"/>
    <w:rsid w:val="004121CA"/>
    <w:rsid w:val="00412213"/>
    <w:rsid w:val="004123D8"/>
    <w:rsid w:val="004124A4"/>
    <w:rsid w:val="0041263E"/>
    <w:rsid w:val="00412812"/>
    <w:rsid w:val="0041285A"/>
    <w:rsid w:val="00412878"/>
    <w:rsid w:val="00412998"/>
    <w:rsid w:val="004129DE"/>
    <w:rsid w:val="00412B00"/>
    <w:rsid w:val="00412E14"/>
    <w:rsid w:val="00413168"/>
    <w:rsid w:val="0041319F"/>
    <w:rsid w:val="00413516"/>
    <w:rsid w:val="004135A7"/>
    <w:rsid w:val="004136E7"/>
    <w:rsid w:val="0041379D"/>
    <w:rsid w:val="00413826"/>
    <w:rsid w:val="0041393A"/>
    <w:rsid w:val="00413A14"/>
    <w:rsid w:val="00413A24"/>
    <w:rsid w:val="00413A65"/>
    <w:rsid w:val="00413D4D"/>
    <w:rsid w:val="00413D7A"/>
    <w:rsid w:val="00413DE4"/>
    <w:rsid w:val="00413E70"/>
    <w:rsid w:val="00413E96"/>
    <w:rsid w:val="00413F54"/>
    <w:rsid w:val="00413F6F"/>
    <w:rsid w:val="004140CB"/>
    <w:rsid w:val="00414221"/>
    <w:rsid w:val="0041438F"/>
    <w:rsid w:val="004143A0"/>
    <w:rsid w:val="004143CC"/>
    <w:rsid w:val="00414559"/>
    <w:rsid w:val="004145E7"/>
    <w:rsid w:val="0041490F"/>
    <w:rsid w:val="00414A46"/>
    <w:rsid w:val="00414C38"/>
    <w:rsid w:val="00414D11"/>
    <w:rsid w:val="00414E08"/>
    <w:rsid w:val="00414EA8"/>
    <w:rsid w:val="0041518D"/>
    <w:rsid w:val="004154D3"/>
    <w:rsid w:val="004154D4"/>
    <w:rsid w:val="004154E2"/>
    <w:rsid w:val="004157F2"/>
    <w:rsid w:val="0041591E"/>
    <w:rsid w:val="00415B59"/>
    <w:rsid w:val="00415BF2"/>
    <w:rsid w:val="00415C6A"/>
    <w:rsid w:val="00415D4B"/>
    <w:rsid w:val="00415F8E"/>
    <w:rsid w:val="00416013"/>
    <w:rsid w:val="00416280"/>
    <w:rsid w:val="004163C1"/>
    <w:rsid w:val="00416453"/>
    <w:rsid w:val="00416524"/>
    <w:rsid w:val="0041693B"/>
    <w:rsid w:val="00416C1A"/>
    <w:rsid w:val="00416C22"/>
    <w:rsid w:val="00416CF4"/>
    <w:rsid w:val="00417320"/>
    <w:rsid w:val="00417450"/>
    <w:rsid w:val="004174CA"/>
    <w:rsid w:val="0041781F"/>
    <w:rsid w:val="004179A3"/>
    <w:rsid w:val="00417A78"/>
    <w:rsid w:val="00417A90"/>
    <w:rsid w:val="00417B0A"/>
    <w:rsid w:val="00420508"/>
    <w:rsid w:val="00420516"/>
    <w:rsid w:val="004205DF"/>
    <w:rsid w:val="004205FA"/>
    <w:rsid w:val="00420ACF"/>
    <w:rsid w:val="00420B40"/>
    <w:rsid w:val="00420BAA"/>
    <w:rsid w:val="00420CC6"/>
    <w:rsid w:val="00420D6A"/>
    <w:rsid w:val="00421428"/>
    <w:rsid w:val="00421457"/>
    <w:rsid w:val="0042185C"/>
    <w:rsid w:val="00421945"/>
    <w:rsid w:val="004219D2"/>
    <w:rsid w:val="00421B04"/>
    <w:rsid w:val="00421FD2"/>
    <w:rsid w:val="0042203E"/>
    <w:rsid w:val="004220F7"/>
    <w:rsid w:val="00422205"/>
    <w:rsid w:val="004222A8"/>
    <w:rsid w:val="0042230A"/>
    <w:rsid w:val="004223EE"/>
    <w:rsid w:val="004224B8"/>
    <w:rsid w:val="0042265F"/>
    <w:rsid w:val="00422821"/>
    <w:rsid w:val="00422A68"/>
    <w:rsid w:val="00422B28"/>
    <w:rsid w:val="00422E0D"/>
    <w:rsid w:val="00422F2A"/>
    <w:rsid w:val="0042302D"/>
    <w:rsid w:val="004232DB"/>
    <w:rsid w:val="0042356A"/>
    <w:rsid w:val="00423769"/>
    <w:rsid w:val="004237B0"/>
    <w:rsid w:val="00423843"/>
    <w:rsid w:val="00423875"/>
    <w:rsid w:val="00423999"/>
    <w:rsid w:val="00423A8E"/>
    <w:rsid w:val="00423B6D"/>
    <w:rsid w:val="00423CC8"/>
    <w:rsid w:val="00423E7A"/>
    <w:rsid w:val="00424269"/>
    <w:rsid w:val="00424576"/>
    <w:rsid w:val="00424902"/>
    <w:rsid w:val="00424BE0"/>
    <w:rsid w:val="004250CC"/>
    <w:rsid w:val="004250E9"/>
    <w:rsid w:val="004252EB"/>
    <w:rsid w:val="00425AF5"/>
    <w:rsid w:val="00425B87"/>
    <w:rsid w:val="00425D60"/>
    <w:rsid w:val="00425F20"/>
    <w:rsid w:val="0042616B"/>
    <w:rsid w:val="00426170"/>
    <w:rsid w:val="00426264"/>
    <w:rsid w:val="00426388"/>
    <w:rsid w:val="0042639E"/>
    <w:rsid w:val="004264DF"/>
    <w:rsid w:val="00426740"/>
    <w:rsid w:val="004267C5"/>
    <w:rsid w:val="00426907"/>
    <w:rsid w:val="004269AE"/>
    <w:rsid w:val="00426AF7"/>
    <w:rsid w:val="00426B06"/>
    <w:rsid w:val="00426BC3"/>
    <w:rsid w:val="00426C1D"/>
    <w:rsid w:val="004278B4"/>
    <w:rsid w:val="00427903"/>
    <w:rsid w:val="00427B57"/>
    <w:rsid w:val="00427BD7"/>
    <w:rsid w:val="00427C62"/>
    <w:rsid w:val="00427D1E"/>
    <w:rsid w:val="00427E5C"/>
    <w:rsid w:val="004301E7"/>
    <w:rsid w:val="004302DF"/>
    <w:rsid w:val="004303AF"/>
    <w:rsid w:val="004309CE"/>
    <w:rsid w:val="00430BDC"/>
    <w:rsid w:val="00430C0F"/>
    <w:rsid w:val="00430F38"/>
    <w:rsid w:val="004311D8"/>
    <w:rsid w:val="0043128C"/>
    <w:rsid w:val="004313F4"/>
    <w:rsid w:val="0043143A"/>
    <w:rsid w:val="00431558"/>
    <w:rsid w:val="0043177C"/>
    <w:rsid w:val="004317AB"/>
    <w:rsid w:val="00431881"/>
    <w:rsid w:val="004318C4"/>
    <w:rsid w:val="00431928"/>
    <w:rsid w:val="00431AEB"/>
    <w:rsid w:val="00431CA4"/>
    <w:rsid w:val="00431D70"/>
    <w:rsid w:val="00431EEA"/>
    <w:rsid w:val="00431F27"/>
    <w:rsid w:val="00431FE2"/>
    <w:rsid w:val="00432393"/>
    <w:rsid w:val="004325E9"/>
    <w:rsid w:val="00432657"/>
    <w:rsid w:val="004326AC"/>
    <w:rsid w:val="00432751"/>
    <w:rsid w:val="00432770"/>
    <w:rsid w:val="00432967"/>
    <w:rsid w:val="00432BB3"/>
    <w:rsid w:val="00432D2B"/>
    <w:rsid w:val="00432E2E"/>
    <w:rsid w:val="00432EA4"/>
    <w:rsid w:val="00432F8B"/>
    <w:rsid w:val="004331B2"/>
    <w:rsid w:val="00433298"/>
    <w:rsid w:val="00433311"/>
    <w:rsid w:val="00433440"/>
    <w:rsid w:val="00433465"/>
    <w:rsid w:val="00433836"/>
    <w:rsid w:val="00433853"/>
    <w:rsid w:val="00433896"/>
    <w:rsid w:val="004339C0"/>
    <w:rsid w:val="00433C4F"/>
    <w:rsid w:val="00433D91"/>
    <w:rsid w:val="00433FEF"/>
    <w:rsid w:val="0043439B"/>
    <w:rsid w:val="0043452C"/>
    <w:rsid w:val="004345AC"/>
    <w:rsid w:val="004345EF"/>
    <w:rsid w:val="0043466A"/>
    <w:rsid w:val="00434908"/>
    <w:rsid w:val="0043494D"/>
    <w:rsid w:val="00434A2E"/>
    <w:rsid w:val="00435379"/>
    <w:rsid w:val="004353D7"/>
    <w:rsid w:val="00435834"/>
    <w:rsid w:val="0043587E"/>
    <w:rsid w:val="00435972"/>
    <w:rsid w:val="0043622C"/>
    <w:rsid w:val="00436430"/>
    <w:rsid w:val="0043654A"/>
    <w:rsid w:val="004365A7"/>
    <w:rsid w:val="00436678"/>
    <w:rsid w:val="0043694E"/>
    <w:rsid w:val="0043696C"/>
    <w:rsid w:val="00436A0F"/>
    <w:rsid w:val="00436C83"/>
    <w:rsid w:val="00436CA5"/>
    <w:rsid w:val="00436DE5"/>
    <w:rsid w:val="00436E24"/>
    <w:rsid w:val="00437217"/>
    <w:rsid w:val="00437257"/>
    <w:rsid w:val="0043747E"/>
    <w:rsid w:val="0043786A"/>
    <w:rsid w:val="00437ACF"/>
    <w:rsid w:val="00437C0E"/>
    <w:rsid w:val="00437E88"/>
    <w:rsid w:val="00437F74"/>
    <w:rsid w:val="00437FF8"/>
    <w:rsid w:val="0044006E"/>
    <w:rsid w:val="004405B3"/>
    <w:rsid w:val="004408E1"/>
    <w:rsid w:val="00440C27"/>
    <w:rsid w:val="00440EA2"/>
    <w:rsid w:val="00441196"/>
    <w:rsid w:val="00441238"/>
    <w:rsid w:val="0044145A"/>
    <w:rsid w:val="0044157B"/>
    <w:rsid w:val="0044173C"/>
    <w:rsid w:val="00441839"/>
    <w:rsid w:val="004419BD"/>
    <w:rsid w:val="00441BE7"/>
    <w:rsid w:val="00441E1C"/>
    <w:rsid w:val="004420A4"/>
    <w:rsid w:val="004420F1"/>
    <w:rsid w:val="00442351"/>
    <w:rsid w:val="004423BD"/>
    <w:rsid w:val="004428C6"/>
    <w:rsid w:val="00442B68"/>
    <w:rsid w:val="00442C6E"/>
    <w:rsid w:val="00442DE8"/>
    <w:rsid w:val="00442E90"/>
    <w:rsid w:val="00442E91"/>
    <w:rsid w:val="00442F31"/>
    <w:rsid w:val="0044301C"/>
    <w:rsid w:val="00443078"/>
    <w:rsid w:val="004430E1"/>
    <w:rsid w:val="004431A1"/>
    <w:rsid w:val="0044330D"/>
    <w:rsid w:val="0044330F"/>
    <w:rsid w:val="0044356A"/>
    <w:rsid w:val="004436BF"/>
    <w:rsid w:val="00443A5C"/>
    <w:rsid w:val="00443CAE"/>
    <w:rsid w:val="00443E20"/>
    <w:rsid w:val="00444050"/>
    <w:rsid w:val="004443A8"/>
    <w:rsid w:val="00444414"/>
    <w:rsid w:val="0044447D"/>
    <w:rsid w:val="00444ADA"/>
    <w:rsid w:val="00444B1F"/>
    <w:rsid w:val="00444BE0"/>
    <w:rsid w:val="00444C18"/>
    <w:rsid w:val="00444C19"/>
    <w:rsid w:val="00445146"/>
    <w:rsid w:val="004451D7"/>
    <w:rsid w:val="004451ED"/>
    <w:rsid w:val="00445238"/>
    <w:rsid w:val="004452CD"/>
    <w:rsid w:val="004452D4"/>
    <w:rsid w:val="0044535C"/>
    <w:rsid w:val="0044550F"/>
    <w:rsid w:val="004455B7"/>
    <w:rsid w:val="00445763"/>
    <w:rsid w:val="004457F7"/>
    <w:rsid w:val="00445AD5"/>
    <w:rsid w:val="0044647E"/>
    <w:rsid w:val="004464CF"/>
    <w:rsid w:val="004464FA"/>
    <w:rsid w:val="00446623"/>
    <w:rsid w:val="00446719"/>
    <w:rsid w:val="0044685F"/>
    <w:rsid w:val="004468F4"/>
    <w:rsid w:val="004469FD"/>
    <w:rsid w:val="00446C31"/>
    <w:rsid w:val="00446D25"/>
    <w:rsid w:val="00446DC9"/>
    <w:rsid w:val="00446EC4"/>
    <w:rsid w:val="00446F28"/>
    <w:rsid w:val="0044734D"/>
    <w:rsid w:val="00447663"/>
    <w:rsid w:val="004478F7"/>
    <w:rsid w:val="00447C75"/>
    <w:rsid w:val="004500D5"/>
    <w:rsid w:val="0045021E"/>
    <w:rsid w:val="0045036A"/>
    <w:rsid w:val="004504D9"/>
    <w:rsid w:val="0045051C"/>
    <w:rsid w:val="0045056B"/>
    <w:rsid w:val="004506A1"/>
    <w:rsid w:val="00450BAF"/>
    <w:rsid w:val="0045129D"/>
    <w:rsid w:val="004512CF"/>
    <w:rsid w:val="00451427"/>
    <w:rsid w:val="0045149C"/>
    <w:rsid w:val="004514C6"/>
    <w:rsid w:val="004515B8"/>
    <w:rsid w:val="004517FC"/>
    <w:rsid w:val="0045194F"/>
    <w:rsid w:val="004519B0"/>
    <w:rsid w:val="00451A44"/>
    <w:rsid w:val="00451D87"/>
    <w:rsid w:val="00451E12"/>
    <w:rsid w:val="00451F5E"/>
    <w:rsid w:val="004522F7"/>
    <w:rsid w:val="0045246A"/>
    <w:rsid w:val="00452524"/>
    <w:rsid w:val="0045259D"/>
    <w:rsid w:val="004528AA"/>
    <w:rsid w:val="004528FA"/>
    <w:rsid w:val="004529D0"/>
    <w:rsid w:val="00452A5E"/>
    <w:rsid w:val="00452B7F"/>
    <w:rsid w:val="00452C64"/>
    <w:rsid w:val="00452D19"/>
    <w:rsid w:val="00453125"/>
    <w:rsid w:val="004533C8"/>
    <w:rsid w:val="004534C2"/>
    <w:rsid w:val="0045369B"/>
    <w:rsid w:val="00453D4E"/>
    <w:rsid w:val="00454147"/>
    <w:rsid w:val="0045421F"/>
    <w:rsid w:val="0045424D"/>
    <w:rsid w:val="00454274"/>
    <w:rsid w:val="0045430B"/>
    <w:rsid w:val="004546B1"/>
    <w:rsid w:val="00454912"/>
    <w:rsid w:val="0045496B"/>
    <w:rsid w:val="00454BE2"/>
    <w:rsid w:val="00454E2D"/>
    <w:rsid w:val="004551CC"/>
    <w:rsid w:val="004551E6"/>
    <w:rsid w:val="004554E8"/>
    <w:rsid w:val="00455596"/>
    <w:rsid w:val="0045589B"/>
    <w:rsid w:val="00455A94"/>
    <w:rsid w:val="00455DEB"/>
    <w:rsid w:val="004561B4"/>
    <w:rsid w:val="004561DC"/>
    <w:rsid w:val="00456222"/>
    <w:rsid w:val="0045626A"/>
    <w:rsid w:val="00456463"/>
    <w:rsid w:val="0045684C"/>
    <w:rsid w:val="00456A9A"/>
    <w:rsid w:val="00456BD8"/>
    <w:rsid w:val="00456C6D"/>
    <w:rsid w:val="00456D3B"/>
    <w:rsid w:val="00456F0A"/>
    <w:rsid w:val="00456FAD"/>
    <w:rsid w:val="00456FF3"/>
    <w:rsid w:val="00457028"/>
    <w:rsid w:val="00457140"/>
    <w:rsid w:val="004573CA"/>
    <w:rsid w:val="004573EA"/>
    <w:rsid w:val="0045763E"/>
    <w:rsid w:val="004576DA"/>
    <w:rsid w:val="00457B94"/>
    <w:rsid w:val="00457BF3"/>
    <w:rsid w:val="00457E6E"/>
    <w:rsid w:val="00457EAD"/>
    <w:rsid w:val="0045C77A"/>
    <w:rsid w:val="004600D1"/>
    <w:rsid w:val="004600EF"/>
    <w:rsid w:val="00460217"/>
    <w:rsid w:val="0046039C"/>
    <w:rsid w:val="004604A9"/>
    <w:rsid w:val="00460643"/>
    <w:rsid w:val="00460665"/>
    <w:rsid w:val="004606B0"/>
    <w:rsid w:val="00460845"/>
    <w:rsid w:val="004608D2"/>
    <w:rsid w:val="00460AD1"/>
    <w:rsid w:val="00460B0B"/>
    <w:rsid w:val="00460D20"/>
    <w:rsid w:val="00460D62"/>
    <w:rsid w:val="00460F53"/>
    <w:rsid w:val="00461018"/>
    <w:rsid w:val="00461081"/>
    <w:rsid w:val="004610B1"/>
    <w:rsid w:val="0046151B"/>
    <w:rsid w:val="00461597"/>
    <w:rsid w:val="0046179B"/>
    <w:rsid w:val="004617C4"/>
    <w:rsid w:val="004618A9"/>
    <w:rsid w:val="0046191E"/>
    <w:rsid w:val="004619F0"/>
    <w:rsid w:val="00461AE3"/>
    <w:rsid w:val="00461C5E"/>
    <w:rsid w:val="00461CBF"/>
    <w:rsid w:val="00461F5C"/>
    <w:rsid w:val="00462228"/>
    <w:rsid w:val="0046241E"/>
    <w:rsid w:val="00462577"/>
    <w:rsid w:val="004625E1"/>
    <w:rsid w:val="0046263A"/>
    <w:rsid w:val="00462B6B"/>
    <w:rsid w:val="00462D0D"/>
    <w:rsid w:val="00462F65"/>
    <w:rsid w:val="004630E3"/>
    <w:rsid w:val="0046319B"/>
    <w:rsid w:val="00463647"/>
    <w:rsid w:val="00463BBF"/>
    <w:rsid w:val="00463C1B"/>
    <w:rsid w:val="00463CFB"/>
    <w:rsid w:val="00463DE7"/>
    <w:rsid w:val="00464071"/>
    <w:rsid w:val="0046441E"/>
    <w:rsid w:val="00464753"/>
    <w:rsid w:val="0046479C"/>
    <w:rsid w:val="00464925"/>
    <w:rsid w:val="00464BAB"/>
    <w:rsid w:val="00464C43"/>
    <w:rsid w:val="00464C81"/>
    <w:rsid w:val="0046503F"/>
    <w:rsid w:val="004651A3"/>
    <w:rsid w:val="00465258"/>
    <w:rsid w:val="00465390"/>
    <w:rsid w:val="00465495"/>
    <w:rsid w:val="004655A2"/>
    <w:rsid w:val="0046578F"/>
    <w:rsid w:val="004658F3"/>
    <w:rsid w:val="00465C97"/>
    <w:rsid w:val="00465F68"/>
    <w:rsid w:val="00466079"/>
    <w:rsid w:val="004660A8"/>
    <w:rsid w:val="004660EC"/>
    <w:rsid w:val="004666E4"/>
    <w:rsid w:val="00466A74"/>
    <w:rsid w:val="00466B2C"/>
    <w:rsid w:val="00466D44"/>
    <w:rsid w:val="00466DF0"/>
    <w:rsid w:val="004671F6"/>
    <w:rsid w:val="004674A9"/>
    <w:rsid w:val="004677A6"/>
    <w:rsid w:val="00467A24"/>
    <w:rsid w:val="00467A84"/>
    <w:rsid w:val="00467BBA"/>
    <w:rsid w:val="00467E36"/>
    <w:rsid w:val="00467E45"/>
    <w:rsid w:val="004700CD"/>
    <w:rsid w:val="00470943"/>
    <w:rsid w:val="00470C9A"/>
    <w:rsid w:val="00470EA1"/>
    <w:rsid w:val="0047115F"/>
    <w:rsid w:val="00471226"/>
    <w:rsid w:val="00471633"/>
    <w:rsid w:val="004717B7"/>
    <w:rsid w:val="004717B9"/>
    <w:rsid w:val="00471911"/>
    <w:rsid w:val="004719B1"/>
    <w:rsid w:val="00471A76"/>
    <w:rsid w:val="00471B14"/>
    <w:rsid w:val="00471B38"/>
    <w:rsid w:val="00471D2D"/>
    <w:rsid w:val="00471E26"/>
    <w:rsid w:val="0047201E"/>
    <w:rsid w:val="0047203C"/>
    <w:rsid w:val="0047206E"/>
    <w:rsid w:val="00472080"/>
    <w:rsid w:val="004720F7"/>
    <w:rsid w:val="00472253"/>
    <w:rsid w:val="00472388"/>
    <w:rsid w:val="004723D9"/>
    <w:rsid w:val="004724A3"/>
    <w:rsid w:val="004725A7"/>
    <w:rsid w:val="004726A4"/>
    <w:rsid w:val="0047271C"/>
    <w:rsid w:val="004728D3"/>
    <w:rsid w:val="00472AD1"/>
    <w:rsid w:val="00472CFD"/>
    <w:rsid w:val="00472E37"/>
    <w:rsid w:val="00473557"/>
    <w:rsid w:val="004735E8"/>
    <w:rsid w:val="00473626"/>
    <w:rsid w:val="00473966"/>
    <w:rsid w:val="00473D56"/>
    <w:rsid w:val="00473DAB"/>
    <w:rsid w:val="00474184"/>
    <w:rsid w:val="004741BD"/>
    <w:rsid w:val="004742BE"/>
    <w:rsid w:val="004742E0"/>
    <w:rsid w:val="0047438B"/>
    <w:rsid w:val="004745C5"/>
    <w:rsid w:val="00474BEB"/>
    <w:rsid w:val="00474D00"/>
    <w:rsid w:val="00474F24"/>
    <w:rsid w:val="00474F38"/>
    <w:rsid w:val="00474F4E"/>
    <w:rsid w:val="00474F81"/>
    <w:rsid w:val="00475060"/>
    <w:rsid w:val="00475185"/>
    <w:rsid w:val="004751C3"/>
    <w:rsid w:val="004752EA"/>
    <w:rsid w:val="004753A2"/>
    <w:rsid w:val="004753FC"/>
    <w:rsid w:val="0047543E"/>
    <w:rsid w:val="00475895"/>
    <w:rsid w:val="00475975"/>
    <w:rsid w:val="00475BA4"/>
    <w:rsid w:val="00475C98"/>
    <w:rsid w:val="00475D34"/>
    <w:rsid w:val="00475D68"/>
    <w:rsid w:val="00475E87"/>
    <w:rsid w:val="00475ED7"/>
    <w:rsid w:val="00476039"/>
    <w:rsid w:val="0047606E"/>
    <w:rsid w:val="00476087"/>
    <w:rsid w:val="004764F9"/>
    <w:rsid w:val="00476601"/>
    <w:rsid w:val="00476A80"/>
    <w:rsid w:val="00476BCB"/>
    <w:rsid w:val="00476BE3"/>
    <w:rsid w:val="00476C95"/>
    <w:rsid w:val="00476D39"/>
    <w:rsid w:val="00476ECD"/>
    <w:rsid w:val="004771CE"/>
    <w:rsid w:val="004774D1"/>
    <w:rsid w:val="00477AFD"/>
    <w:rsid w:val="00477B3A"/>
    <w:rsid w:val="00477C61"/>
    <w:rsid w:val="00477CA3"/>
    <w:rsid w:val="0048006F"/>
    <w:rsid w:val="004807E6"/>
    <w:rsid w:val="00480B54"/>
    <w:rsid w:val="00480D5D"/>
    <w:rsid w:val="00480F5F"/>
    <w:rsid w:val="00480FD1"/>
    <w:rsid w:val="0048109E"/>
    <w:rsid w:val="00481184"/>
    <w:rsid w:val="00481295"/>
    <w:rsid w:val="0048151F"/>
    <w:rsid w:val="0048171A"/>
    <w:rsid w:val="0048185E"/>
    <w:rsid w:val="004818D5"/>
    <w:rsid w:val="00481D61"/>
    <w:rsid w:val="00482469"/>
    <w:rsid w:val="004829ED"/>
    <w:rsid w:val="00482B15"/>
    <w:rsid w:val="00482DBE"/>
    <w:rsid w:val="00482EC4"/>
    <w:rsid w:val="00482F81"/>
    <w:rsid w:val="004830A0"/>
    <w:rsid w:val="004830EE"/>
    <w:rsid w:val="0048334D"/>
    <w:rsid w:val="0048338B"/>
    <w:rsid w:val="00483492"/>
    <w:rsid w:val="004834C6"/>
    <w:rsid w:val="00483769"/>
    <w:rsid w:val="00483838"/>
    <w:rsid w:val="00483B8C"/>
    <w:rsid w:val="00483C88"/>
    <w:rsid w:val="00483FC9"/>
    <w:rsid w:val="00484196"/>
    <w:rsid w:val="0048447E"/>
    <w:rsid w:val="004844F3"/>
    <w:rsid w:val="00484622"/>
    <w:rsid w:val="004846CC"/>
    <w:rsid w:val="004847BE"/>
    <w:rsid w:val="004849DB"/>
    <w:rsid w:val="00484A36"/>
    <w:rsid w:val="00484A90"/>
    <w:rsid w:val="00484AE3"/>
    <w:rsid w:val="00484B0C"/>
    <w:rsid w:val="00484B3C"/>
    <w:rsid w:val="00484B7E"/>
    <w:rsid w:val="00484C24"/>
    <w:rsid w:val="00484D9B"/>
    <w:rsid w:val="00485633"/>
    <w:rsid w:val="00485A69"/>
    <w:rsid w:val="00485A71"/>
    <w:rsid w:val="00485E7F"/>
    <w:rsid w:val="00485E96"/>
    <w:rsid w:val="00485EDA"/>
    <w:rsid w:val="00485F83"/>
    <w:rsid w:val="00485FEC"/>
    <w:rsid w:val="00486099"/>
    <w:rsid w:val="004861DC"/>
    <w:rsid w:val="004862DE"/>
    <w:rsid w:val="0048662E"/>
    <w:rsid w:val="00486944"/>
    <w:rsid w:val="00486A9D"/>
    <w:rsid w:val="00486B00"/>
    <w:rsid w:val="00486E62"/>
    <w:rsid w:val="00486F51"/>
    <w:rsid w:val="00486F64"/>
    <w:rsid w:val="00487312"/>
    <w:rsid w:val="0048741C"/>
    <w:rsid w:val="00487468"/>
    <w:rsid w:val="0048752E"/>
    <w:rsid w:val="004875C2"/>
    <w:rsid w:val="0048768C"/>
    <w:rsid w:val="004878E9"/>
    <w:rsid w:val="00487D64"/>
    <w:rsid w:val="00487D98"/>
    <w:rsid w:val="00487E7F"/>
    <w:rsid w:val="00487EBC"/>
    <w:rsid w:val="00487F6B"/>
    <w:rsid w:val="00490008"/>
    <w:rsid w:val="00490061"/>
    <w:rsid w:val="004900FF"/>
    <w:rsid w:val="004901A1"/>
    <w:rsid w:val="004902D0"/>
    <w:rsid w:val="004904E5"/>
    <w:rsid w:val="00490508"/>
    <w:rsid w:val="004906D8"/>
    <w:rsid w:val="00490DB0"/>
    <w:rsid w:val="00490DC1"/>
    <w:rsid w:val="00491136"/>
    <w:rsid w:val="004911BB"/>
    <w:rsid w:val="00491248"/>
    <w:rsid w:val="00491446"/>
    <w:rsid w:val="0049155F"/>
    <w:rsid w:val="0049166C"/>
    <w:rsid w:val="00491C40"/>
    <w:rsid w:val="00491F47"/>
    <w:rsid w:val="0049200F"/>
    <w:rsid w:val="004920E5"/>
    <w:rsid w:val="0049231A"/>
    <w:rsid w:val="004924B9"/>
    <w:rsid w:val="00492586"/>
    <w:rsid w:val="00492673"/>
    <w:rsid w:val="004927F6"/>
    <w:rsid w:val="0049297A"/>
    <w:rsid w:val="00492BB0"/>
    <w:rsid w:val="00492C36"/>
    <w:rsid w:val="00492DFD"/>
    <w:rsid w:val="004939D5"/>
    <w:rsid w:val="00493A78"/>
    <w:rsid w:val="00493B2F"/>
    <w:rsid w:val="00493CA6"/>
    <w:rsid w:val="00493E93"/>
    <w:rsid w:val="00493F1B"/>
    <w:rsid w:val="00493F6C"/>
    <w:rsid w:val="00494132"/>
    <w:rsid w:val="0049497D"/>
    <w:rsid w:val="0049498C"/>
    <w:rsid w:val="00494BAE"/>
    <w:rsid w:val="00494F04"/>
    <w:rsid w:val="00495144"/>
    <w:rsid w:val="00495224"/>
    <w:rsid w:val="00495317"/>
    <w:rsid w:val="004953CB"/>
    <w:rsid w:val="00495437"/>
    <w:rsid w:val="0049550B"/>
    <w:rsid w:val="00495607"/>
    <w:rsid w:val="0049567A"/>
    <w:rsid w:val="004956ED"/>
    <w:rsid w:val="004957DB"/>
    <w:rsid w:val="00495845"/>
    <w:rsid w:val="004958B7"/>
    <w:rsid w:val="00495C77"/>
    <w:rsid w:val="00495EFF"/>
    <w:rsid w:val="00495F0A"/>
    <w:rsid w:val="00495F76"/>
    <w:rsid w:val="00495FB3"/>
    <w:rsid w:val="0049614C"/>
    <w:rsid w:val="004962F8"/>
    <w:rsid w:val="00496489"/>
    <w:rsid w:val="004964F7"/>
    <w:rsid w:val="0049661B"/>
    <w:rsid w:val="00496633"/>
    <w:rsid w:val="00496661"/>
    <w:rsid w:val="00496697"/>
    <w:rsid w:val="0049674C"/>
    <w:rsid w:val="00496825"/>
    <w:rsid w:val="00496990"/>
    <w:rsid w:val="00496A45"/>
    <w:rsid w:val="00496BF5"/>
    <w:rsid w:val="00496C6B"/>
    <w:rsid w:val="00496CB8"/>
    <w:rsid w:val="00496CBA"/>
    <w:rsid w:val="00496DEF"/>
    <w:rsid w:val="0049708B"/>
    <w:rsid w:val="0049737E"/>
    <w:rsid w:val="0049755D"/>
    <w:rsid w:val="0049777F"/>
    <w:rsid w:val="00497AEA"/>
    <w:rsid w:val="00497B7E"/>
    <w:rsid w:val="004A0088"/>
    <w:rsid w:val="004A00B7"/>
    <w:rsid w:val="004A00D9"/>
    <w:rsid w:val="004A01AE"/>
    <w:rsid w:val="004A01BD"/>
    <w:rsid w:val="004A0673"/>
    <w:rsid w:val="004A0F1C"/>
    <w:rsid w:val="004A0F5A"/>
    <w:rsid w:val="004A1029"/>
    <w:rsid w:val="004A126E"/>
    <w:rsid w:val="004A133D"/>
    <w:rsid w:val="004A1566"/>
    <w:rsid w:val="004A15E4"/>
    <w:rsid w:val="004A16E2"/>
    <w:rsid w:val="004A1827"/>
    <w:rsid w:val="004A1AA4"/>
    <w:rsid w:val="004A1B41"/>
    <w:rsid w:val="004A1C6E"/>
    <w:rsid w:val="004A1EB3"/>
    <w:rsid w:val="004A1F2C"/>
    <w:rsid w:val="004A1FB1"/>
    <w:rsid w:val="004A2255"/>
    <w:rsid w:val="004A2331"/>
    <w:rsid w:val="004A2440"/>
    <w:rsid w:val="004A2494"/>
    <w:rsid w:val="004A249E"/>
    <w:rsid w:val="004A25F8"/>
    <w:rsid w:val="004A26B2"/>
    <w:rsid w:val="004A279A"/>
    <w:rsid w:val="004A28BE"/>
    <w:rsid w:val="004A28F3"/>
    <w:rsid w:val="004A2ABE"/>
    <w:rsid w:val="004A2AFE"/>
    <w:rsid w:val="004A2DF3"/>
    <w:rsid w:val="004A2F1E"/>
    <w:rsid w:val="004A2FCD"/>
    <w:rsid w:val="004A32F8"/>
    <w:rsid w:val="004A3424"/>
    <w:rsid w:val="004A3427"/>
    <w:rsid w:val="004A3820"/>
    <w:rsid w:val="004A385C"/>
    <w:rsid w:val="004A39B6"/>
    <w:rsid w:val="004A3AC7"/>
    <w:rsid w:val="004A3AE1"/>
    <w:rsid w:val="004A3C7D"/>
    <w:rsid w:val="004A3F53"/>
    <w:rsid w:val="004A40BB"/>
    <w:rsid w:val="004A41A0"/>
    <w:rsid w:val="004A49EB"/>
    <w:rsid w:val="004A4BA7"/>
    <w:rsid w:val="004A4CBA"/>
    <w:rsid w:val="004A4DF3"/>
    <w:rsid w:val="004A5087"/>
    <w:rsid w:val="004A5300"/>
    <w:rsid w:val="004A5438"/>
    <w:rsid w:val="004A5803"/>
    <w:rsid w:val="004A58ED"/>
    <w:rsid w:val="004A5945"/>
    <w:rsid w:val="004A596A"/>
    <w:rsid w:val="004A5A73"/>
    <w:rsid w:val="004A5F52"/>
    <w:rsid w:val="004A641A"/>
    <w:rsid w:val="004A64A4"/>
    <w:rsid w:val="004A6632"/>
    <w:rsid w:val="004A6659"/>
    <w:rsid w:val="004A66B6"/>
    <w:rsid w:val="004A66F8"/>
    <w:rsid w:val="004A6BA2"/>
    <w:rsid w:val="004A6C80"/>
    <w:rsid w:val="004A6D9A"/>
    <w:rsid w:val="004A719E"/>
    <w:rsid w:val="004A730E"/>
    <w:rsid w:val="004A734B"/>
    <w:rsid w:val="004A7435"/>
    <w:rsid w:val="004A7499"/>
    <w:rsid w:val="004A75A7"/>
    <w:rsid w:val="004A75B1"/>
    <w:rsid w:val="004A76B5"/>
    <w:rsid w:val="004A7788"/>
    <w:rsid w:val="004A7933"/>
    <w:rsid w:val="004A7985"/>
    <w:rsid w:val="004A799C"/>
    <w:rsid w:val="004A7C21"/>
    <w:rsid w:val="004A7C53"/>
    <w:rsid w:val="004A7D6D"/>
    <w:rsid w:val="004A7DB8"/>
    <w:rsid w:val="004A7EA9"/>
    <w:rsid w:val="004A7F4E"/>
    <w:rsid w:val="004A7FF7"/>
    <w:rsid w:val="004B0077"/>
    <w:rsid w:val="004B014E"/>
    <w:rsid w:val="004B0481"/>
    <w:rsid w:val="004B049E"/>
    <w:rsid w:val="004B0836"/>
    <w:rsid w:val="004B0ADD"/>
    <w:rsid w:val="004B0B0E"/>
    <w:rsid w:val="004B0B65"/>
    <w:rsid w:val="004B0D50"/>
    <w:rsid w:val="004B0F48"/>
    <w:rsid w:val="004B12B1"/>
    <w:rsid w:val="004B162D"/>
    <w:rsid w:val="004B1838"/>
    <w:rsid w:val="004B18BB"/>
    <w:rsid w:val="004B18EE"/>
    <w:rsid w:val="004B1B71"/>
    <w:rsid w:val="004B1BC2"/>
    <w:rsid w:val="004B1C44"/>
    <w:rsid w:val="004B1CDE"/>
    <w:rsid w:val="004B2213"/>
    <w:rsid w:val="004B2689"/>
    <w:rsid w:val="004B27FF"/>
    <w:rsid w:val="004B2922"/>
    <w:rsid w:val="004B2A9A"/>
    <w:rsid w:val="004B2ADE"/>
    <w:rsid w:val="004B2D46"/>
    <w:rsid w:val="004B2FBF"/>
    <w:rsid w:val="004B32A8"/>
    <w:rsid w:val="004B3494"/>
    <w:rsid w:val="004B35BF"/>
    <w:rsid w:val="004B35CB"/>
    <w:rsid w:val="004B36A4"/>
    <w:rsid w:val="004B38C2"/>
    <w:rsid w:val="004B3B28"/>
    <w:rsid w:val="004B3B4D"/>
    <w:rsid w:val="004B3C4F"/>
    <w:rsid w:val="004B421C"/>
    <w:rsid w:val="004B42D4"/>
    <w:rsid w:val="004B43BE"/>
    <w:rsid w:val="004B4432"/>
    <w:rsid w:val="004B4470"/>
    <w:rsid w:val="004B4877"/>
    <w:rsid w:val="004B493C"/>
    <w:rsid w:val="004B49F8"/>
    <w:rsid w:val="004B4E9A"/>
    <w:rsid w:val="004B4F20"/>
    <w:rsid w:val="004B5002"/>
    <w:rsid w:val="004B539A"/>
    <w:rsid w:val="004B5689"/>
    <w:rsid w:val="004B5761"/>
    <w:rsid w:val="004B5904"/>
    <w:rsid w:val="004B5D57"/>
    <w:rsid w:val="004B5D77"/>
    <w:rsid w:val="004B5D89"/>
    <w:rsid w:val="004B5F88"/>
    <w:rsid w:val="004B6356"/>
    <w:rsid w:val="004B640E"/>
    <w:rsid w:val="004B647D"/>
    <w:rsid w:val="004B6865"/>
    <w:rsid w:val="004B6873"/>
    <w:rsid w:val="004B6885"/>
    <w:rsid w:val="004B68CE"/>
    <w:rsid w:val="004B692F"/>
    <w:rsid w:val="004B6B65"/>
    <w:rsid w:val="004B6B7C"/>
    <w:rsid w:val="004B6D6B"/>
    <w:rsid w:val="004B7011"/>
    <w:rsid w:val="004B7185"/>
    <w:rsid w:val="004B72CA"/>
    <w:rsid w:val="004B77D4"/>
    <w:rsid w:val="004B788D"/>
    <w:rsid w:val="004B7A17"/>
    <w:rsid w:val="004B7AEC"/>
    <w:rsid w:val="004B7BA9"/>
    <w:rsid w:val="004B7D03"/>
    <w:rsid w:val="004C03A8"/>
    <w:rsid w:val="004C03D0"/>
    <w:rsid w:val="004C0888"/>
    <w:rsid w:val="004C0A06"/>
    <w:rsid w:val="004C0AF2"/>
    <w:rsid w:val="004C0BF9"/>
    <w:rsid w:val="004C0D0D"/>
    <w:rsid w:val="004C0D37"/>
    <w:rsid w:val="004C0E12"/>
    <w:rsid w:val="004C0F08"/>
    <w:rsid w:val="004C0F49"/>
    <w:rsid w:val="004C0FC4"/>
    <w:rsid w:val="004C1100"/>
    <w:rsid w:val="004C1179"/>
    <w:rsid w:val="004C1959"/>
    <w:rsid w:val="004C1970"/>
    <w:rsid w:val="004C1DEA"/>
    <w:rsid w:val="004C1E7E"/>
    <w:rsid w:val="004C1F6B"/>
    <w:rsid w:val="004C235A"/>
    <w:rsid w:val="004C240A"/>
    <w:rsid w:val="004C24D8"/>
    <w:rsid w:val="004C2664"/>
    <w:rsid w:val="004C273D"/>
    <w:rsid w:val="004C2833"/>
    <w:rsid w:val="004C28A3"/>
    <w:rsid w:val="004C28FA"/>
    <w:rsid w:val="004C29B2"/>
    <w:rsid w:val="004C2BC9"/>
    <w:rsid w:val="004C2F62"/>
    <w:rsid w:val="004C31C0"/>
    <w:rsid w:val="004C32E0"/>
    <w:rsid w:val="004C370F"/>
    <w:rsid w:val="004C38D2"/>
    <w:rsid w:val="004C3B1C"/>
    <w:rsid w:val="004C3C41"/>
    <w:rsid w:val="004C3C99"/>
    <w:rsid w:val="004C3CD0"/>
    <w:rsid w:val="004C3CD4"/>
    <w:rsid w:val="004C3F85"/>
    <w:rsid w:val="004C4152"/>
    <w:rsid w:val="004C4177"/>
    <w:rsid w:val="004C4275"/>
    <w:rsid w:val="004C43FC"/>
    <w:rsid w:val="004C4465"/>
    <w:rsid w:val="004C460A"/>
    <w:rsid w:val="004C4680"/>
    <w:rsid w:val="004C48A0"/>
    <w:rsid w:val="004C492E"/>
    <w:rsid w:val="004C4ADD"/>
    <w:rsid w:val="004C4B59"/>
    <w:rsid w:val="004C4BED"/>
    <w:rsid w:val="004C4DCC"/>
    <w:rsid w:val="004C50E8"/>
    <w:rsid w:val="004C52EE"/>
    <w:rsid w:val="004C5CD1"/>
    <w:rsid w:val="004C5CE4"/>
    <w:rsid w:val="004C6151"/>
    <w:rsid w:val="004C617D"/>
    <w:rsid w:val="004C6229"/>
    <w:rsid w:val="004C6369"/>
    <w:rsid w:val="004C6419"/>
    <w:rsid w:val="004C64E6"/>
    <w:rsid w:val="004C64E9"/>
    <w:rsid w:val="004C6575"/>
    <w:rsid w:val="004C6589"/>
    <w:rsid w:val="004C66C4"/>
    <w:rsid w:val="004C6741"/>
    <w:rsid w:val="004C6A89"/>
    <w:rsid w:val="004C6D68"/>
    <w:rsid w:val="004C6EF0"/>
    <w:rsid w:val="004C6FE3"/>
    <w:rsid w:val="004C7230"/>
    <w:rsid w:val="004C7487"/>
    <w:rsid w:val="004C7488"/>
    <w:rsid w:val="004C749B"/>
    <w:rsid w:val="004C78BA"/>
    <w:rsid w:val="004C7A0B"/>
    <w:rsid w:val="004C7AB1"/>
    <w:rsid w:val="004C7ABB"/>
    <w:rsid w:val="004C7D41"/>
    <w:rsid w:val="004C7DB8"/>
    <w:rsid w:val="004C7E57"/>
    <w:rsid w:val="004CBB9B"/>
    <w:rsid w:val="004D01AD"/>
    <w:rsid w:val="004D02AA"/>
    <w:rsid w:val="004D03B8"/>
    <w:rsid w:val="004D05D1"/>
    <w:rsid w:val="004D07D3"/>
    <w:rsid w:val="004D084C"/>
    <w:rsid w:val="004D08A7"/>
    <w:rsid w:val="004D08EC"/>
    <w:rsid w:val="004D09BD"/>
    <w:rsid w:val="004D0BAF"/>
    <w:rsid w:val="004D0C18"/>
    <w:rsid w:val="004D0F54"/>
    <w:rsid w:val="004D1114"/>
    <w:rsid w:val="004D1234"/>
    <w:rsid w:val="004D1332"/>
    <w:rsid w:val="004D1528"/>
    <w:rsid w:val="004D154C"/>
    <w:rsid w:val="004D16A9"/>
    <w:rsid w:val="004D18A7"/>
    <w:rsid w:val="004D1A52"/>
    <w:rsid w:val="004D1D52"/>
    <w:rsid w:val="004D1EBE"/>
    <w:rsid w:val="004D1EE4"/>
    <w:rsid w:val="004D203F"/>
    <w:rsid w:val="004D2090"/>
    <w:rsid w:val="004D252E"/>
    <w:rsid w:val="004D255B"/>
    <w:rsid w:val="004D25EE"/>
    <w:rsid w:val="004D2843"/>
    <w:rsid w:val="004D2BCB"/>
    <w:rsid w:val="004D2D09"/>
    <w:rsid w:val="004D2E4B"/>
    <w:rsid w:val="004D31BD"/>
    <w:rsid w:val="004D3272"/>
    <w:rsid w:val="004D3353"/>
    <w:rsid w:val="004D3447"/>
    <w:rsid w:val="004D3B4B"/>
    <w:rsid w:val="004D3C15"/>
    <w:rsid w:val="004D3CD6"/>
    <w:rsid w:val="004D3F6D"/>
    <w:rsid w:val="004D3F8D"/>
    <w:rsid w:val="004D41C7"/>
    <w:rsid w:val="004D41CD"/>
    <w:rsid w:val="004D45D1"/>
    <w:rsid w:val="004D4649"/>
    <w:rsid w:val="004D48A4"/>
    <w:rsid w:val="004D4A55"/>
    <w:rsid w:val="004D4ABD"/>
    <w:rsid w:val="004D4BED"/>
    <w:rsid w:val="004D50F1"/>
    <w:rsid w:val="004D536B"/>
    <w:rsid w:val="004D547F"/>
    <w:rsid w:val="004D597E"/>
    <w:rsid w:val="004D5A6A"/>
    <w:rsid w:val="004D6050"/>
    <w:rsid w:val="004D6112"/>
    <w:rsid w:val="004D6563"/>
    <w:rsid w:val="004D66A6"/>
    <w:rsid w:val="004D66DE"/>
    <w:rsid w:val="004D687D"/>
    <w:rsid w:val="004D6936"/>
    <w:rsid w:val="004D6B9C"/>
    <w:rsid w:val="004D6C50"/>
    <w:rsid w:val="004D6CF4"/>
    <w:rsid w:val="004D6E5F"/>
    <w:rsid w:val="004D7136"/>
    <w:rsid w:val="004D714B"/>
    <w:rsid w:val="004D72DD"/>
    <w:rsid w:val="004D73D5"/>
    <w:rsid w:val="004D7428"/>
    <w:rsid w:val="004D7536"/>
    <w:rsid w:val="004D770A"/>
    <w:rsid w:val="004D7914"/>
    <w:rsid w:val="004E00FC"/>
    <w:rsid w:val="004E0170"/>
    <w:rsid w:val="004E09F8"/>
    <w:rsid w:val="004E0A93"/>
    <w:rsid w:val="004E0ADE"/>
    <w:rsid w:val="004E0AEF"/>
    <w:rsid w:val="004E0C8E"/>
    <w:rsid w:val="004E0D59"/>
    <w:rsid w:val="004E0D78"/>
    <w:rsid w:val="004E0D79"/>
    <w:rsid w:val="004E0E0B"/>
    <w:rsid w:val="004E0E65"/>
    <w:rsid w:val="004E0EC8"/>
    <w:rsid w:val="004E0F69"/>
    <w:rsid w:val="004E1227"/>
    <w:rsid w:val="004E1397"/>
    <w:rsid w:val="004E14F5"/>
    <w:rsid w:val="004E1747"/>
    <w:rsid w:val="004E1813"/>
    <w:rsid w:val="004E1A70"/>
    <w:rsid w:val="004E1CDC"/>
    <w:rsid w:val="004E1E1A"/>
    <w:rsid w:val="004E20BB"/>
    <w:rsid w:val="004E216A"/>
    <w:rsid w:val="004E2192"/>
    <w:rsid w:val="004E2216"/>
    <w:rsid w:val="004E225C"/>
    <w:rsid w:val="004E22C4"/>
    <w:rsid w:val="004E2427"/>
    <w:rsid w:val="004E2550"/>
    <w:rsid w:val="004E29B5"/>
    <w:rsid w:val="004E2A1B"/>
    <w:rsid w:val="004E2A5F"/>
    <w:rsid w:val="004E2E09"/>
    <w:rsid w:val="004E2E2C"/>
    <w:rsid w:val="004E3145"/>
    <w:rsid w:val="004E317B"/>
    <w:rsid w:val="004E31B7"/>
    <w:rsid w:val="004E32F7"/>
    <w:rsid w:val="004E338C"/>
    <w:rsid w:val="004E346A"/>
    <w:rsid w:val="004E3A7A"/>
    <w:rsid w:val="004E3AFE"/>
    <w:rsid w:val="004E3B35"/>
    <w:rsid w:val="004E4028"/>
    <w:rsid w:val="004E421F"/>
    <w:rsid w:val="004E4238"/>
    <w:rsid w:val="004E44D2"/>
    <w:rsid w:val="004E46BE"/>
    <w:rsid w:val="004E46D9"/>
    <w:rsid w:val="004E47C7"/>
    <w:rsid w:val="004E48D5"/>
    <w:rsid w:val="004E4BE5"/>
    <w:rsid w:val="004E4F3D"/>
    <w:rsid w:val="004E4F77"/>
    <w:rsid w:val="004E50F3"/>
    <w:rsid w:val="004E5140"/>
    <w:rsid w:val="004E5384"/>
    <w:rsid w:val="004E55A8"/>
    <w:rsid w:val="004E5A66"/>
    <w:rsid w:val="004E5ADD"/>
    <w:rsid w:val="004E5C27"/>
    <w:rsid w:val="004E5C28"/>
    <w:rsid w:val="004E6261"/>
    <w:rsid w:val="004E62F4"/>
    <w:rsid w:val="004E6322"/>
    <w:rsid w:val="004E6524"/>
    <w:rsid w:val="004E66BF"/>
    <w:rsid w:val="004E69F7"/>
    <w:rsid w:val="004E6B6B"/>
    <w:rsid w:val="004E6C8E"/>
    <w:rsid w:val="004E6D14"/>
    <w:rsid w:val="004E6DCE"/>
    <w:rsid w:val="004E6E01"/>
    <w:rsid w:val="004E6EB2"/>
    <w:rsid w:val="004E6F9C"/>
    <w:rsid w:val="004E6FB6"/>
    <w:rsid w:val="004E6FB8"/>
    <w:rsid w:val="004E73E4"/>
    <w:rsid w:val="004E7711"/>
    <w:rsid w:val="004E7796"/>
    <w:rsid w:val="004E7799"/>
    <w:rsid w:val="004E786A"/>
    <w:rsid w:val="004E7BBA"/>
    <w:rsid w:val="004E7CD4"/>
    <w:rsid w:val="004E7E7E"/>
    <w:rsid w:val="004F008A"/>
    <w:rsid w:val="004F010B"/>
    <w:rsid w:val="004F012D"/>
    <w:rsid w:val="004F0153"/>
    <w:rsid w:val="004F02E7"/>
    <w:rsid w:val="004F03B1"/>
    <w:rsid w:val="004F04F6"/>
    <w:rsid w:val="004F0535"/>
    <w:rsid w:val="004F0545"/>
    <w:rsid w:val="004F0683"/>
    <w:rsid w:val="004F0850"/>
    <w:rsid w:val="004F099E"/>
    <w:rsid w:val="004F0D75"/>
    <w:rsid w:val="004F0DA0"/>
    <w:rsid w:val="004F0ECA"/>
    <w:rsid w:val="004F11C2"/>
    <w:rsid w:val="004F14A1"/>
    <w:rsid w:val="004F15A6"/>
    <w:rsid w:val="004F1872"/>
    <w:rsid w:val="004F1B93"/>
    <w:rsid w:val="004F1C9B"/>
    <w:rsid w:val="004F1CA8"/>
    <w:rsid w:val="004F1DC0"/>
    <w:rsid w:val="004F1F85"/>
    <w:rsid w:val="004F2168"/>
    <w:rsid w:val="004F2219"/>
    <w:rsid w:val="004F22E7"/>
    <w:rsid w:val="004F2443"/>
    <w:rsid w:val="004F2461"/>
    <w:rsid w:val="004F24AA"/>
    <w:rsid w:val="004F26A6"/>
    <w:rsid w:val="004F26E3"/>
    <w:rsid w:val="004F28E0"/>
    <w:rsid w:val="004F2D10"/>
    <w:rsid w:val="004F2D62"/>
    <w:rsid w:val="004F2ED6"/>
    <w:rsid w:val="004F32B2"/>
    <w:rsid w:val="004F32D4"/>
    <w:rsid w:val="004F32DB"/>
    <w:rsid w:val="004F351A"/>
    <w:rsid w:val="004F3677"/>
    <w:rsid w:val="004F37B8"/>
    <w:rsid w:val="004F3978"/>
    <w:rsid w:val="004F39C6"/>
    <w:rsid w:val="004F3A22"/>
    <w:rsid w:val="004F3CBD"/>
    <w:rsid w:val="004F3D8B"/>
    <w:rsid w:val="004F3DC6"/>
    <w:rsid w:val="004F3E99"/>
    <w:rsid w:val="004F3F14"/>
    <w:rsid w:val="004F3F1C"/>
    <w:rsid w:val="004F4332"/>
    <w:rsid w:val="004F44A2"/>
    <w:rsid w:val="004F459E"/>
    <w:rsid w:val="004F46D3"/>
    <w:rsid w:val="004F475A"/>
    <w:rsid w:val="004F47FA"/>
    <w:rsid w:val="004F49D8"/>
    <w:rsid w:val="004F506D"/>
    <w:rsid w:val="004F5469"/>
    <w:rsid w:val="004F583C"/>
    <w:rsid w:val="004F596E"/>
    <w:rsid w:val="004F59B9"/>
    <w:rsid w:val="004F59BE"/>
    <w:rsid w:val="004F5A12"/>
    <w:rsid w:val="004F5A1D"/>
    <w:rsid w:val="004F5BE5"/>
    <w:rsid w:val="004F5C3F"/>
    <w:rsid w:val="004F5CD1"/>
    <w:rsid w:val="004F5E71"/>
    <w:rsid w:val="004F5F39"/>
    <w:rsid w:val="004F60B9"/>
    <w:rsid w:val="004F63F8"/>
    <w:rsid w:val="004F678C"/>
    <w:rsid w:val="004F6883"/>
    <w:rsid w:val="004F69A3"/>
    <w:rsid w:val="004F7205"/>
    <w:rsid w:val="004F724C"/>
    <w:rsid w:val="004F72D6"/>
    <w:rsid w:val="004F7509"/>
    <w:rsid w:val="004F7647"/>
    <w:rsid w:val="004F76B9"/>
    <w:rsid w:val="004F7A33"/>
    <w:rsid w:val="004F7B42"/>
    <w:rsid w:val="004F7BF2"/>
    <w:rsid w:val="004F7C83"/>
    <w:rsid w:val="004F7CC5"/>
    <w:rsid w:val="004F7DB5"/>
    <w:rsid w:val="0050031F"/>
    <w:rsid w:val="0050036B"/>
    <w:rsid w:val="00500618"/>
    <w:rsid w:val="00500794"/>
    <w:rsid w:val="00500AAF"/>
    <w:rsid w:val="00500BD6"/>
    <w:rsid w:val="00500DBD"/>
    <w:rsid w:val="005010D8"/>
    <w:rsid w:val="005010DF"/>
    <w:rsid w:val="00501360"/>
    <w:rsid w:val="0050139A"/>
    <w:rsid w:val="0050153F"/>
    <w:rsid w:val="005017F1"/>
    <w:rsid w:val="00501990"/>
    <w:rsid w:val="00501B63"/>
    <w:rsid w:val="00501C34"/>
    <w:rsid w:val="00501D60"/>
    <w:rsid w:val="00501D8B"/>
    <w:rsid w:val="005020D0"/>
    <w:rsid w:val="005020E2"/>
    <w:rsid w:val="00502282"/>
    <w:rsid w:val="005029F8"/>
    <w:rsid w:val="00502BF4"/>
    <w:rsid w:val="00502C42"/>
    <w:rsid w:val="00502D42"/>
    <w:rsid w:val="00502E49"/>
    <w:rsid w:val="00502F0B"/>
    <w:rsid w:val="0050339B"/>
    <w:rsid w:val="005036DA"/>
    <w:rsid w:val="00503A48"/>
    <w:rsid w:val="00503B15"/>
    <w:rsid w:val="00503D75"/>
    <w:rsid w:val="00503E0F"/>
    <w:rsid w:val="00503FFF"/>
    <w:rsid w:val="0050444B"/>
    <w:rsid w:val="005045C8"/>
    <w:rsid w:val="005048A3"/>
    <w:rsid w:val="0050535A"/>
    <w:rsid w:val="005056A2"/>
    <w:rsid w:val="00505808"/>
    <w:rsid w:val="005058D3"/>
    <w:rsid w:val="005059CA"/>
    <w:rsid w:val="00505B91"/>
    <w:rsid w:val="00505BA6"/>
    <w:rsid w:val="00505E4E"/>
    <w:rsid w:val="00505EFA"/>
    <w:rsid w:val="00506145"/>
    <w:rsid w:val="0050617B"/>
    <w:rsid w:val="005067DE"/>
    <w:rsid w:val="00506807"/>
    <w:rsid w:val="00506C7F"/>
    <w:rsid w:val="00506D37"/>
    <w:rsid w:val="00506D7B"/>
    <w:rsid w:val="00506FDD"/>
    <w:rsid w:val="0050712C"/>
    <w:rsid w:val="00507207"/>
    <w:rsid w:val="0050743F"/>
    <w:rsid w:val="005079BB"/>
    <w:rsid w:val="005079FF"/>
    <w:rsid w:val="00507F2D"/>
    <w:rsid w:val="005100AA"/>
    <w:rsid w:val="00510259"/>
    <w:rsid w:val="0051039C"/>
    <w:rsid w:val="00510552"/>
    <w:rsid w:val="005106FD"/>
    <w:rsid w:val="00510704"/>
    <w:rsid w:val="0051075B"/>
    <w:rsid w:val="005108B9"/>
    <w:rsid w:val="0051092E"/>
    <w:rsid w:val="00510984"/>
    <w:rsid w:val="00510A2C"/>
    <w:rsid w:val="00510C1F"/>
    <w:rsid w:val="00510C36"/>
    <w:rsid w:val="005111D7"/>
    <w:rsid w:val="00511318"/>
    <w:rsid w:val="005113E7"/>
    <w:rsid w:val="005118F5"/>
    <w:rsid w:val="005119A9"/>
    <w:rsid w:val="00511A15"/>
    <w:rsid w:val="00511B45"/>
    <w:rsid w:val="00511B47"/>
    <w:rsid w:val="00511D2B"/>
    <w:rsid w:val="00511DC3"/>
    <w:rsid w:val="00511F25"/>
    <w:rsid w:val="005123F9"/>
    <w:rsid w:val="00512490"/>
    <w:rsid w:val="0051251F"/>
    <w:rsid w:val="0051272B"/>
    <w:rsid w:val="00512742"/>
    <w:rsid w:val="00512793"/>
    <w:rsid w:val="00512CE8"/>
    <w:rsid w:val="005131BB"/>
    <w:rsid w:val="005132AB"/>
    <w:rsid w:val="00513317"/>
    <w:rsid w:val="00513856"/>
    <w:rsid w:val="00513B84"/>
    <w:rsid w:val="00513C2B"/>
    <w:rsid w:val="00513F0D"/>
    <w:rsid w:val="005141BF"/>
    <w:rsid w:val="0051421A"/>
    <w:rsid w:val="005145B3"/>
    <w:rsid w:val="00514643"/>
    <w:rsid w:val="005147E5"/>
    <w:rsid w:val="005148AB"/>
    <w:rsid w:val="00514A9E"/>
    <w:rsid w:val="00514D86"/>
    <w:rsid w:val="00514EDB"/>
    <w:rsid w:val="00514F9A"/>
    <w:rsid w:val="00515053"/>
    <w:rsid w:val="00515261"/>
    <w:rsid w:val="0051542B"/>
    <w:rsid w:val="00515431"/>
    <w:rsid w:val="00515768"/>
    <w:rsid w:val="0051583B"/>
    <w:rsid w:val="00515852"/>
    <w:rsid w:val="00515956"/>
    <w:rsid w:val="0051597E"/>
    <w:rsid w:val="00515DE4"/>
    <w:rsid w:val="00515E03"/>
    <w:rsid w:val="00515E4F"/>
    <w:rsid w:val="00515F9C"/>
    <w:rsid w:val="005163CF"/>
    <w:rsid w:val="00516445"/>
    <w:rsid w:val="005164C8"/>
    <w:rsid w:val="00516A92"/>
    <w:rsid w:val="00516F8B"/>
    <w:rsid w:val="005170AF"/>
    <w:rsid w:val="0051727C"/>
    <w:rsid w:val="0051738A"/>
    <w:rsid w:val="0051746D"/>
    <w:rsid w:val="005174D3"/>
    <w:rsid w:val="00517538"/>
    <w:rsid w:val="00517796"/>
    <w:rsid w:val="005177BE"/>
    <w:rsid w:val="00517862"/>
    <w:rsid w:val="00517A75"/>
    <w:rsid w:val="00517BC3"/>
    <w:rsid w:val="00517D85"/>
    <w:rsid w:val="0052021D"/>
    <w:rsid w:val="005203DD"/>
    <w:rsid w:val="005205BE"/>
    <w:rsid w:val="005205BF"/>
    <w:rsid w:val="005207E3"/>
    <w:rsid w:val="00520978"/>
    <w:rsid w:val="00520E84"/>
    <w:rsid w:val="0052119F"/>
    <w:rsid w:val="00521246"/>
    <w:rsid w:val="00521335"/>
    <w:rsid w:val="0052159E"/>
    <w:rsid w:val="0052163F"/>
    <w:rsid w:val="005216B0"/>
    <w:rsid w:val="005218D5"/>
    <w:rsid w:val="00521960"/>
    <w:rsid w:val="00521965"/>
    <w:rsid w:val="005219F1"/>
    <w:rsid w:val="00521A7B"/>
    <w:rsid w:val="00521B45"/>
    <w:rsid w:val="00521EA7"/>
    <w:rsid w:val="00521F04"/>
    <w:rsid w:val="005220F5"/>
    <w:rsid w:val="00522239"/>
    <w:rsid w:val="00522242"/>
    <w:rsid w:val="00522353"/>
    <w:rsid w:val="0052236E"/>
    <w:rsid w:val="00522372"/>
    <w:rsid w:val="00522494"/>
    <w:rsid w:val="005225BD"/>
    <w:rsid w:val="00522873"/>
    <w:rsid w:val="00522D49"/>
    <w:rsid w:val="00522DF4"/>
    <w:rsid w:val="00522F79"/>
    <w:rsid w:val="00522FFA"/>
    <w:rsid w:val="00523008"/>
    <w:rsid w:val="005230B7"/>
    <w:rsid w:val="005230E1"/>
    <w:rsid w:val="00523117"/>
    <w:rsid w:val="00523129"/>
    <w:rsid w:val="0052322B"/>
    <w:rsid w:val="005233D6"/>
    <w:rsid w:val="0052340B"/>
    <w:rsid w:val="005235F1"/>
    <w:rsid w:val="0052381B"/>
    <w:rsid w:val="00523841"/>
    <w:rsid w:val="00523A45"/>
    <w:rsid w:val="00524214"/>
    <w:rsid w:val="00524237"/>
    <w:rsid w:val="00524506"/>
    <w:rsid w:val="00524830"/>
    <w:rsid w:val="00524861"/>
    <w:rsid w:val="00524F6F"/>
    <w:rsid w:val="00525060"/>
    <w:rsid w:val="005252D8"/>
    <w:rsid w:val="0052533F"/>
    <w:rsid w:val="005253A9"/>
    <w:rsid w:val="0052540B"/>
    <w:rsid w:val="0052576A"/>
    <w:rsid w:val="00525AF8"/>
    <w:rsid w:val="00525BB8"/>
    <w:rsid w:val="00525C7F"/>
    <w:rsid w:val="00525CE2"/>
    <w:rsid w:val="00526121"/>
    <w:rsid w:val="005261F7"/>
    <w:rsid w:val="0052623E"/>
    <w:rsid w:val="005263B3"/>
    <w:rsid w:val="00526A06"/>
    <w:rsid w:val="00526B5A"/>
    <w:rsid w:val="00527215"/>
    <w:rsid w:val="00527435"/>
    <w:rsid w:val="00527E5F"/>
    <w:rsid w:val="005301A7"/>
    <w:rsid w:val="005303AC"/>
    <w:rsid w:val="00530694"/>
    <w:rsid w:val="00530C0D"/>
    <w:rsid w:val="00530F36"/>
    <w:rsid w:val="00530FD4"/>
    <w:rsid w:val="005311E5"/>
    <w:rsid w:val="00531201"/>
    <w:rsid w:val="00531354"/>
    <w:rsid w:val="005313DC"/>
    <w:rsid w:val="005314F2"/>
    <w:rsid w:val="0053176A"/>
    <w:rsid w:val="0053190A"/>
    <w:rsid w:val="00531AEA"/>
    <w:rsid w:val="00531C7F"/>
    <w:rsid w:val="00531CA0"/>
    <w:rsid w:val="00531CFC"/>
    <w:rsid w:val="00531D22"/>
    <w:rsid w:val="00531DCF"/>
    <w:rsid w:val="00531ED2"/>
    <w:rsid w:val="00531F83"/>
    <w:rsid w:val="00532141"/>
    <w:rsid w:val="00532807"/>
    <w:rsid w:val="005329CA"/>
    <w:rsid w:val="00532A07"/>
    <w:rsid w:val="00532AB6"/>
    <w:rsid w:val="00532BB1"/>
    <w:rsid w:val="00532D65"/>
    <w:rsid w:val="00532ECD"/>
    <w:rsid w:val="00532EF3"/>
    <w:rsid w:val="00532F3E"/>
    <w:rsid w:val="00532F48"/>
    <w:rsid w:val="005330D2"/>
    <w:rsid w:val="00533104"/>
    <w:rsid w:val="0053317C"/>
    <w:rsid w:val="00533428"/>
    <w:rsid w:val="005334F0"/>
    <w:rsid w:val="005336DE"/>
    <w:rsid w:val="005337EC"/>
    <w:rsid w:val="00533923"/>
    <w:rsid w:val="00533BD0"/>
    <w:rsid w:val="00533C0E"/>
    <w:rsid w:val="00533D7B"/>
    <w:rsid w:val="0053410A"/>
    <w:rsid w:val="005341E9"/>
    <w:rsid w:val="0053427B"/>
    <w:rsid w:val="005342AA"/>
    <w:rsid w:val="005345CB"/>
    <w:rsid w:val="00534775"/>
    <w:rsid w:val="00534807"/>
    <w:rsid w:val="00534E0E"/>
    <w:rsid w:val="00534E83"/>
    <w:rsid w:val="005350A1"/>
    <w:rsid w:val="005352FC"/>
    <w:rsid w:val="00535492"/>
    <w:rsid w:val="005357D6"/>
    <w:rsid w:val="0053587B"/>
    <w:rsid w:val="00535AC5"/>
    <w:rsid w:val="00535CA4"/>
    <w:rsid w:val="00535D49"/>
    <w:rsid w:val="00535DDB"/>
    <w:rsid w:val="00535E0C"/>
    <w:rsid w:val="00536025"/>
    <w:rsid w:val="0053604D"/>
    <w:rsid w:val="00536170"/>
    <w:rsid w:val="0053621F"/>
    <w:rsid w:val="00536354"/>
    <w:rsid w:val="00536649"/>
    <w:rsid w:val="00536828"/>
    <w:rsid w:val="00536AAE"/>
    <w:rsid w:val="00536E1B"/>
    <w:rsid w:val="00536E2A"/>
    <w:rsid w:val="00536E6F"/>
    <w:rsid w:val="00537001"/>
    <w:rsid w:val="005372EC"/>
    <w:rsid w:val="00537365"/>
    <w:rsid w:val="00537545"/>
    <w:rsid w:val="0053767B"/>
    <w:rsid w:val="00537712"/>
    <w:rsid w:val="00537899"/>
    <w:rsid w:val="005378E2"/>
    <w:rsid w:val="005379A6"/>
    <w:rsid w:val="00537BEC"/>
    <w:rsid w:val="00537C8D"/>
    <w:rsid w:val="00537E03"/>
    <w:rsid w:val="00537E30"/>
    <w:rsid w:val="00537EE7"/>
    <w:rsid w:val="00540070"/>
    <w:rsid w:val="00540083"/>
    <w:rsid w:val="00540152"/>
    <w:rsid w:val="00540300"/>
    <w:rsid w:val="00540367"/>
    <w:rsid w:val="005404D8"/>
    <w:rsid w:val="0054073B"/>
    <w:rsid w:val="00540C5C"/>
    <w:rsid w:val="00540D02"/>
    <w:rsid w:val="00540D38"/>
    <w:rsid w:val="00541203"/>
    <w:rsid w:val="0054140B"/>
    <w:rsid w:val="005416E3"/>
    <w:rsid w:val="0054171C"/>
    <w:rsid w:val="00541825"/>
    <w:rsid w:val="00541845"/>
    <w:rsid w:val="00541C62"/>
    <w:rsid w:val="00541CCC"/>
    <w:rsid w:val="0054217B"/>
    <w:rsid w:val="00542212"/>
    <w:rsid w:val="0054228F"/>
    <w:rsid w:val="00542619"/>
    <w:rsid w:val="00542686"/>
    <w:rsid w:val="005427A8"/>
    <w:rsid w:val="00542821"/>
    <w:rsid w:val="00542892"/>
    <w:rsid w:val="00542DAF"/>
    <w:rsid w:val="00542E1D"/>
    <w:rsid w:val="00542EA2"/>
    <w:rsid w:val="00542EEF"/>
    <w:rsid w:val="0054309E"/>
    <w:rsid w:val="005430DF"/>
    <w:rsid w:val="00543126"/>
    <w:rsid w:val="005433A6"/>
    <w:rsid w:val="00543498"/>
    <w:rsid w:val="0054353C"/>
    <w:rsid w:val="00543A1F"/>
    <w:rsid w:val="00543B12"/>
    <w:rsid w:val="00543B54"/>
    <w:rsid w:val="00543BBA"/>
    <w:rsid w:val="00543C45"/>
    <w:rsid w:val="00543CFF"/>
    <w:rsid w:val="00543EEF"/>
    <w:rsid w:val="005444F3"/>
    <w:rsid w:val="00544541"/>
    <w:rsid w:val="0054483A"/>
    <w:rsid w:val="005449A8"/>
    <w:rsid w:val="005449C8"/>
    <w:rsid w:val="00544A56"/>
    <w:rsid w:val="00544C00"/>
    <w:rsid w:val="00544C83"/>
    <w:rsid w:val="00544F5C"/>
    <w:rsid w:val="00545162"/>
    <w:rsid w:val="005452AF"/>
    <w:rsid w:val="00545329"/>
    <w:rsid w:val="00545725"/>
    <w:rsid w:val="00545771"/>
    <w:rsid w:val="00545936"/>
    <w:rsid w:val="00545ADD"/>
    <w:rsid w:val="00545EBD"/>
    <w:rsid w:val="00545FA1"/>
    <w:rsid w:val="0054600F"/>
    <w:rsid w:val="0054614F"/>
    <w:rsid w:val="0054618B"/>
    <w:rsid w:val="00546375"/>
    <w:rsid w:val="00546400"/>
    <w:rsid w:val="0054644B"/>
    <w:rsid w:val="00546451"/>
    <w:rsid w:val="0054673F"/>
    <w:rsid w:val="00546AB3"/>
    <w:rsid w:val="00546B04"/>
    <w:rsid w:val="00546B0D"/>
    <w:rsid w:val="00546F89"/>
    <w:rsid w:val="00546FD9"/>
    <w:rsid w:val="00547005"/>
    <w:rsid w:val="00547035"/>
    <w:rsid w:val="005470E6"/>
    <w:rsid w:val="005471CA"/>
    <w:rsid w:val="00547263"/>
    <w:rsid w:val="005472E7"/>
    <w:rsid w:val="00547422"/>
    <w:rsid w:val="00547513"/>
    <w:rsid w:val="0054774C"/>
    <w:rsid w:val="005477A0"/>
    <w:rsid w:val="0054782A"/>
    <w:rsid w:val="005479A4"/>
    <w:rsid w:val="005479D5"/>
    <w:rsid w:val="00547AC0"/>
    <w:rsid w:val="00547CB7"/>
    <w:rsid w:val="00547D6A"/>
    <w:rsid w:val="005502A3"/>
    <w:rsid w:val="00550411"/>
    <w:rsid w:val="0055045D"/>
    <w:rsid w:val="0055051D"/>
    <w:rsid w:val="00550651"/>
    <w:rsid w:val="00550795"/>
    <w:rsid w:val="005507E5"/>
    <w:rsid w:val="0055093D"/>
    <w:rsid w:val="00550B85"/>
    <w:rsid w:val="00550E9F"/>
    <w:rsid w:val="00550FE4"/>
    <w:rsid w:val="00551295"/>
    <w:rsid w:val="005513BA"/>
    <w:rsid w:val="005513DA"/>
    <w:rsid w:val="005514FE"/>
    <w:rsid w:val="0055150E"/>
    <w:rsid w:val="0055154F"/>
    <w:rsid w:val="005515F1"/>
    <w:rsid w:val="005516F1"/>
    <w:rsid w:val="005518AC"/>
    <w:rsid w:val="005518B8"/>
    <w:rsid w:val="005518EE"/>
    <w:rsid w:val="00551B7A"/>
    <w:rsid w:val="00551C5F"/>
    <w:rsid w:val="00551ED6"/>
    <w:rsid w:val="00551FAE"/>
    <w:rsid w:val="00552027"/>
    <w:rsid w:val="005525D6"/>
    <w:rsid w:val="005525F2"/>
    <w:rsid w:val="00552675"/>
    <w:rsid w:val="0055283A"/>
    <w:rsid w:val="0055286C"/>
    <w:rsid w:val="00552952"/>
    <w:rsid w:val="00552ACC"/>
    <w:rsid w:val="00552AD2"/>
    <w:rsid w:val="00552C19"/>
    <w:rsid w:val="00552C5D"/>
    <w:rsid w:val="00552C72"/>
    <w:rsid w:val="00552EDB"/>
    <w:rsid w:val="00552FFB"/>
    <w:rsid w:val="005530E8"/>
    <w:rsid w:val="005531E2"/>
    <w:rsid w:val="00553366"/>
    <w:rsid w:val="005533DB"/>
    <w:rsid w:val="00553443"/>
    <w:rsid w:val="0055369B"/>
    <w:rsid w:val="0055379B"/>
    <w:rsid w:val="00553844"/>
    <w:rsid w:val="0055384D"/>
    <w:rsid w:val="005538F0"/>
    <w:rsid w:val="00553981"/>
    <w:rsid w:val="00553A18"/>
    <w:rsid w:val="00553AE8"/>
    <w:rsid w:val="00553D08"/>
    <w:rsid w:val="00553D0A"/>
    <w:rsid w:val="00553E04"/>
    <w:rsid w:val="00554216"/>
    <w:rsid w:val="0055445F"/>
    <w:rsid w:val="00554781"/>
    <w:rsid w:val="00554A0E"/>
    <w:rsid w:val="00554ACF"/>
    <w:rsid w:val="00554B65"/>
    <w:rsid w:val="00554E15"/>
    <w:rsid w:val="00554EBA"/>
    <w:rsid w:val="005550BC"/>
    <w:rsid w:val="005551D2"/>
    <w:rsid w:val="0055552B"/>
    <w:rsid w:val="005555CC"/>
    <w:rsid w:val="005556E0"/>
    <w:rsid w:val="0055585C"/>
    <w:rsid w:val="00555AF4"/>
    <w:rsid w:val="00555B6C"/>
    <w:rsid w:val="00555BE6"/>
    <w:rsid w:val="00555C10"/>
    <w:rsid w:val="00555DBC"/>
    <w:rsid w:val="00555E17"/>
    <w:rsid w:val="0055600F"/>
    <w:rsid w:val="00556107"/>
    <w:rsid w:val="00556177"/>
    <w:rsid w:val="005568CD"/>
    <w:rsid w:val="00556926"/>
    <w:rsid w:val="00556B87"/>
    <w:rsid w:val="00556B91"/>
    <w:rsid w:val="00556D68"/>
    <w:rsid w:val="00556D75"/>
    <w:rsid w:val="00556F9B"/>
    <w:rsid w:val="0055700B"/>
    <w:rsid w:val="00557165"/>
    <w:rsid w:val="00557223"/>
    <w:rsid w:val="00557283"/>
    <w:rsid w:val="005572A8"/>
    <w:rsid w:val="005573F6"/>
    <w:rsid w:val="0055741D"/>
    <w:rsid w:val="005574BF"/>
    <w:rsid w:val="005574EC"/>
    <w:rsid w:val="0055757D"/>
    <w:rsid w:val="005576FA"/>
    <w:rsid w:val="005577B0"/>
    <w:rsid w:val="00557A70"/>
    <w:rsid w:val="00557A89"/>
    <w:rsid w:val="00557B72"/>
    <w:rsid w:val="00557C04"/>
    <w:rsid w:val="00557CD1"/>
    <w:rsid w:val="00557CE2"/>
    <w:rsid w:val="00557E02"/>
    <w:rsid w:val="00557ECB"/>
    <w:rsid w:val="0056012C"/>
    <w:rsid w:val="00560292"/>
    <w:rsid w:val="005602C3"/>
    <w:rsid w:val="00560599"/>
    <w:rsid w:val="00560713"/>
    <w:rsid w:val="00560741"/>
    <w:rsid w:val="00560B72"/>
    <w:rsid w:val="00560F49"/>
    <w:rsid w:val="00561141"/>
    <w:rsid w:val="005614E9"/>
    <w:rsid w:val="00561503"/>
    <w:rsid w:val="005616FB"/>
    <w:rsid w:val="00561C00"/>
    <w:rsid w:val="00561D88"/>
    <w:rsid w:val="00561DC1"/>
    <w:rsid w:val="00561FF2"/>
    <w:rsid w:val="00562317"/>
    <w:rsid w:val="00562467"/>
    <w:rsid w:val="00562565"/>
    <w:rsid w:val="005625AA"/>
    <w:rsid w:val="00562BD5"/>
    <w:rsid w:val="00562BF2"/>
    <w:rsid w:val="00562C23"/>
    <w:rsid w:val="00562FC3"/>
    <w:rsid w:val="0056301E"/>
    <w:rsid w:val="0056317A"/>
    <w:rsid w:val="00563609"/>
    <w:rsid w:val="00563851"/>
    <w:rsid w:val="0056391A"/>
    <w:rsid w:val="005639DA"/>
    <w:rsid w:val="00563C71"/>
    <w:rsid w:val="00563D5B"/>
    <w:rsid w:val="0056403F"/>
    <w:rsid w:val="0056497D"/>
    <w:rsid w:val="00564A0A"/>
    <w:rsid w:val="00564AE1"/>
    <w:rsid w:val="00564E02"/>
    <w:rsid w:val="00564EFD"/>
    <w:rsid w:val="005652D6"/>
    <w:rsid w:val="0056557D"/>
    <w:rsid w:val="00565730"/>
    <w:rsid w:val="00565741"/>
    <w:rsid w:val="00565848"/>
    <w:rsid w:val="005658D8"/>
    <w:rsid w:val="00565B79"/>
    <w:rsid w:val="00565BF9"/>
    <w:rsid w:val="00565C70"/>
    <w:rsid w:val="00565D2E"/>
    <w:rsid w:val="00565D73"/>
    <w:rsid w:val="00565DE2"/>
    <w:rsid w:val="00565FCB"/>
    <w:rsid w:val="0056602B"/>
    <w:rsid w:val="00566650"/>
    <w:rsid w:val="00566A7F"/>
    <w:rsid w:val="00566A9E"/>
    <w:rsid w:val="0056740C"/>
    <w:rsid w:val="00567492"/>
    <w:rsid w:val="0056756F"/>
    <w:rsid w:val="00567620"/>
    <w:rsid w:val="0056763E"/>
    <w:rsid w:val="00567A29"/>
    <w:rsid w:val="00567A9E"/>
    <w:rsid w:val="00567F6B"/>
    <w:rsid w:val="00567F92"/>
    <w:rsid w:val="005704C5"/>
    <w:rsid w:val="005705F8"/>
    <w:rsid w:val="00570615"/>
    <w:rsid w:val="005706E3"/>
    <w:rsid w:val="00570DEB"/>
    <w:rsid w:val="00570E87"/>
    <w:rsid w:val="00570ECF"/>
    <w:rsid w:val="00570F9E"/>
    <w:rsid w:val="00571130"/>
    <w:rsid w:val="0057148F"/>
    <w:rsid w:val="00571541"/>
    <w:rsid w:val="005717E4"/>
    <w:rsid w:val="005719A7"/>
    <w:rsid w:val="00571A24"/>
    <w:rsid w:val="00571B90"/>
    <w:rsid w:val="00571B94"/>
    <w:rsid w:val="00571C13"/>
    <w:rsid w:val="00571FC9"/>
    <w:rsid w:val="0057201F"/>
    <w:rsid w:val="0057210F"/>
    <w:rsid w:val="00572241"/>
    <w:rsid w:val="005724C3"/>
    <w:rsid w:val="005728A1"/>
    <w:rsid w:val="005728F8"/>
    <w:rsid w:val="00572B04"/>
    <w:rsid w:val="00572B1E"/>
    <w:rsid w:val="00572E74"/>
    <w:rsid w:val="00572E8C"/>
    <w:rsid w:val="00572F91"/>
    <w:rsid w:val="00573074"/>
    <w:rsid w:val="00573114"/>
    <w:rsid w:val="00573327"/>
    <w:rsid w:val="00573572"/>
    <w:rsid w:val="00573579"/>
    <w:rsid w:val="005737AF"/>
    <w:rsid w:val="00573F3B"/>
    <w:rsid w:val="005740D8"/>
    <w:rsid w:val="00574143"/>
    <w:rsid w:val="00574397"/>
    <w:rsid w:val="00574B9C"/>
    <w:rsid w:val="00574D7A"/>
    <w:rsid w:val="00574DDC"/>
    <w:rsid w:val="00575231"/>
    <w:rsid w:val="00575977"/>
    <w:rsid w:val="00575A01"/>
    <w:rsid w:val="00575A67"/>
    <w:rsid w:val="00576040"/>
    <w:rsid w:val="005767A8"/>
    <w:rsid w:val="005767F3"/>
    <w:rsid w:val="00576883"/>
    <w:rsid w:val="0057695E"/>
    <w:rsid w:val="00576A1B"/>
    <w:rsid w:val="00576CAE"/>
    <w:rsid w:val="00577034"/>
    <w:rsid w:val="0057704D"/>
    <w:rsid w:val="005770EA"/>
    <w:rsid w:val="005771F7"/>
    <w:rsid w:val="005772B6"/>
    <w:rsid w:val="005773B8"/>
    <w:rsid w:val="005775CC"/>
    <w:rsid w:val="0057779E"/>
    <w:rsid w:val="005778A6"/>
    <w:rsid w:val="00577A3F"/>
    <w:rsid w:val="00577B0A"/>
    <w:rsid w:val="00577B87"/>
    <w:rsid w:val="00577C2D"/>
    <w:rsid w:val="00577CC1"/>
    <w:rsid w:val="00577D5C"/>
    <w:rsid w:val="00577F1D"/>
    <w:rsid w:val="00577F26"/>
    <w:rsid w:val="005801C6"/>
    <w:rsid w:val="005801F8"/>
    <w:rsid w:val="00580377"/>
    <w:rsid w:val="005803BE"/>
    <w:rsid w:val="0058055E"/>
    <w:rsid w:val="0058068E"/>
    <w:rsid w:val="005806D2"/>
    <w:rsid w:val="0058076A"/>
    <w:rsid w:val="00580824"/>
    <w:rsid w:val="00580916"/>
    <w:rsid w:val="00580958"/>
    <w:rsid w:val="0058095E"/>
    <w:rsid w:val="00580CD2"/>
    <w:rsid w:val="00580DA1"/>
    <w:rsid w:val="00580FB6"/>
    <w:rsid w:val="00581030"/>
    <w:rsid w:val="005811E6"/>
    <w:rsid w:val="00581588"/>
    <w:rsid w:val="00581BBB"/>
    <w:rsid w:val="00581EE0"/>
    <w:rsid w:val="00582012"/>
    <w:rsid w:val="005820D1"/>
    <w:rsid w:val="00582148"/>
    <w:rsid w:val="005822F8"/>
    <w:rsid w:val="005824BA"/>
    <w:rsid w:val="005825EA"/>
    <w:rsid w:val="00582D13"/>
    <w:rsid w:val="00582D83"/>
    <w:rsid w:val="00582F46"/>
    <w:rsid w:val="00583289"/>
    <w:rsid w:val="0058346E"/>
    <w:rsid w:val="00583628"/>
    <w:rsid w:val="0058363E"/>
    <w:rsid w:val="00583A3F"/>
    <w:rsid w:val="00583A4B"/>
    <w:rsid w:val="00583FF6"/>
    <w:rsid w:val="0058424A"/>
    <w:rsid w:val="0058449B"/>
    <w:rsid w:val="005846EC"/>
    <w:rsid w:val="00584828"/>
    <w:rsid w:val="00584AD7"/>
    <w:rsid w:val="00584CD5"/>
    <w:rsid w:val="00584D50"/>
    <w:rsid w:val="00584D5F"/>
    <w:rsid w:val="00584DDE"/>
    <w:rsid w:val="00585102"/>
    <w:rsid w:val="005852A7"/>
    <w:rsid w:val="0058537E"/>
    <w:rsid w:val="005853FF"/>
    <w:rsid w:val="005858F4"/>
    <w:rsid w:val="00585972"/>
    <w:rsid w:val="00585BCA"/>
    <w:rsid w:val="00585CAC"/>
    <w:rsid w:val="00585CB6"/>
    <w:rsid w:val="0058617F"/>
    <w:rsid w:val="005862F3"/>
    <w:rsid w:val="0058632A"/>
    <w:rsid w:val="0058644E"/>
    <w:rsid w:val="0058662A"/>
    <w:rsid w:val="00586648"/>
    <w:rsid w:val="005867C3"/>
    <w:rsid w:val="005867FC"/>
    <w:rsid w:val="005868EE"/>
    <w:rsid w:val="005868FC"/>
    <w:rsid w:val="00586953"/>
    <w:rsid w:val="00586989"/>
    <w:rsid w:val="00586A72"/>
    <w:rsid w:val="00586AA7"/>
    <w:rsid w:val="00586D9C"/>
    <w:rsid w:val="00586ED8"/>
    <w:rsid w:val="00586F95"/>
    <w:rsid w:val="0058727C"/>
    <w:rsid w:val="005876DB"/>
    <w:rsid w:val="00587754"/>
    <w:rsid w:val="005877DF"/>
    <w:rsid w:val="005878F5"/>
    <w:rsid w:val="005879AF"/>
    <w:rsid w:val="005879E2"/>
    <w:rsid w:val="00587BF1"/>
    <w:rsid w:val="00587CEC"/>
    <w:rsid w:val="00587DBC"/>
    <w:rsid w:val="00587DC2"/>
    <w:rsid w:val="005900C5"/>
    <w:rsid w:val="00590166"/>
    <w:rsid w:val="00590232"/>
    <w:rsid w:val="005902CD"/>
    <w:rsid w:val="005902D4"/>
    <w:rsid w:val="005902F2"/>
    <w:rsid w:val="0059036E"/>
    <w:rsid w:val="0059040A"/>
    <w:rsid w:val="00590420"/>
    <w:rsid w:val="0059056D"/>
    <w:rsid w:val="005905CA"/>
    <w:rsid w:val="00590862"/>
    <w:rsid w:val="005909ED"/>
    <w:rsid w:val="00590A61"/>
    <w:rsid w:val="00590A67"/>
    <w:rsid w:val="00590C77"/>
    <w:rsid w:val="00590DF9"/>
    <w:rsid w:val="00590E8C"/>
    <w:rsid w:val="00590FEE"/>
    <w:rsid w:val="00591134"/>
    <w:rsid w:val="00591200"/>
    <w:rsid w:val="005918B5"/>
    <w:rsid w:val="00591925"/>
    <w:rsid w:val="005919A7"/>
    <w:rsid w:val="00591ABE"/>
    <w:rsid w:val="00591AE3"/>
    <w:rsid w:val="00591B1B"/>
    <w:rsid w:val="00591BB8"/>
    <w:rsid w:val="00591E46"/>
    <w:rsid w:val="00591E8B"/>
    <w:rsid w:val="00591FD7"/>
    <w:rsid w:val="00591FDA"/>
    <w:rsid w:val="00592003"/>
    <w:rsid w:val="005920C2"/>
    <w:rsid w:val="00592378"/>
    <w:rsid w:val="00592744"/>
    <w:rsid w:val="00592839"/>
    <w:rsid w:val="0059284A"/>
    <w:rsid w:val="0059296F"/>
    <w:rsid w:val="00592BA4"/>
    <w:rsid w:val="00592C0B"/>
    <w:rsid w:val="00592C6C"/>
    <w:rsid w:val="00592C75"/>
    <w:rsid w:val="00592E03"/>
    <w:rsid w:val="00593361"/>
    <w:rsid w:val="00593657"/>
    <w:rsid w:val="005937A1"/>
    <w:rsid w:val="0059394F"/>
    <w:rsid w:val="00593988"/>
    <w:rsid w:val="00593C4F"/>
    <w:rsid w:val="00593D22"/>
    <w:rsid w:val="00593D86"/>
    <w:rsid w:val="00593EAF"/>
    <w:rsid w:val="00593FE9"/>
    <w:rsid w:val="0059430F"/>
    <w:rsid w:val="00594421"/>
    <w:rsid w:val="00594535"/>
    <w:rsid w:val="00594640"/>
    <w:rsid w:val="00594670"/>
    <w:rsid w:val="00594861"/>
    <w:rsid w:val="00594C14"/>
    <w:rsid w:val="00594D27"/>
    <w:rsid w:val="00594F5E"/>
    <w:rsid w:val="00594F5F"/>
    <w:rsid w:val="00595332"/>
    <w:rsid w:val="005954B1"/>
    <w:rsid w:val="005955B7"/>
    <w:rsid w:val="005956A3"/>
    <w:rsid w:val="005956EE"/>
    <w:rsid w:val="00595A94"/>
    <w:rsid w:val="00595AE6"/>
    <w:rsid w:val="00595D2B"/>
    <w:rsid w:val="00595E0D"/>
    <w:rsid w:val="005960B1"/>
    <w:rsid w:val="00596196"/>
    <w:rsid w:val="00596312"/>
    <w:rsid w:val="0059656C"/>
    <w:rsid w:val="00596696"/>
    <w:rsid w:val="005966BE"/>
    <w:rsid w:val="00596814"/>
    <w:rsid w:val="005968A8"/>
    <w:rsid w:val="00596F7B"/>
    <w:rsid w:val="00597429"/>
    <w:rsid w:val="005975C3"/>
    <w:rsid w:val="00597952"/>
    <w:rsid w:val="00597A3B"/>
    <w:rsid w:val="00597B32"/>
    <w:rsid w:val="00597CD1"/>
    <w:rsid w:val="00597F1D"/>
    <w:rsid w:val="00597F69"/>
    <w:rsid w:val="005A0158"/>
    <w:rsid w:val="005A0504"/>
    <w:rsid w:val="005A058B"/>
    <w:rsid w:val="005A05F0"/>
    <w:rsid w:val="005A0678"/>
    <w:rsid w:val="005A07DB"/>
    <w:rsid w:val="005A0B27"/>
    <w:rsid w:val="005A0B85"/>
    <w:rsid w:val="005A0C01"/>
    <w:rsid w:val="005A0CAB"/>
    <w:rsid w:val="005A0D4D"/>
    <w:rsid w:val="005A0FA2"/>
    <w:rsid w:val="005A1006"/>
    <w:rsid w:val="005A10EC"/>
    <w:rsid w:val="005A10EE"/>
    <w:rsid w:val="005A1547"/>
    <w:rsid w:val="005A16AD"/>
    <w:rsid w:val="005A1848"/>
    <w:rsid w:val="005A18D7"/>
    <w:rsid w:val="005A1C36"/>
    <w:rsid w:val="005A1C8F"/>
    <w:rsid w:val="005A1E5A"/>
    <w:rsid w:val="005A1E5F"/>
    <w:rsid w:val="005A208C"/>
    <w:rsid w:val="005A2369"/>
    <w:rsid w:val="005A23FE"/>
    <w:rsid w:val="005A2B8E"/>
    <w:rsid w:val="005A2C0A"/>
    <w:rsid w:val="005A2C74"/>
    <w:rsid w:val="005A2F21"/>
    <w:rsid w:val="005A2F4C"/>
    <w:rsid w:val="005A31B4"/>
    <w:rsid w:val="005A31F8"/>
    <w:rsid w:val="005A34DD"/>
    <w:rsid w:val="005A3505"/>
    <w:rsid w:val="005A3530"/>
    <w:rsid w:val="005A3544"/>
    <w:rsid w:val="005A3567"/>
    <w:rsid w:val="005A35F5"/>
    <w:rsid w:val="005A36A0"/>
    <w:rsid w:val="005A37D9"/>
    <w:rsid w:val="005A3978"/>
    <w:rsid w:val="005A3D72"/>
    <w:rsid w:val="005A3DFD"/>
    <w:rsid w:val="005A3E75"/>
    <w:rsid w:val="005A3F1A"/>
    <w:rsid w:val="005A402E"/>
    <w:rsid w:val="005A4093"/>
    <w:rsid w:val="005A41FE"/>
    <w:rsid w:val="005A42DB"/>
    <w:rsid w:val="005A4346"/>
    <w:rsid w:val="005A4893"/>
    <w:rsid w:val="005A48CB"/>
    <w:rsid w:val="005A4908"/>
    <w:rsid w:val="005A49F2"/>
    <w:rsid w:val="005A4B15"/>
    <w:rsid w:val="005A4EA4"/>
    <w:rsid w:val="005A4FD1"/>
    <w:rsid w:val="005A522D"/>
    <w:rsid w:val="005A58C7"/>
    <w:rsid w:val="005A5C11"/>
    <w:rsid w:val="005A5C47"/>
    <w:rsid w:val="005A5CA7"/>
    <w:rsid w:val="005A5CAD"/>
    <w:rsid w:val="005A5E08"/>
    <w:rsid w:val="005A61D9"/>
    <w:rsid w:val="005A6616"/>
    <w:rsid w:val="005A6661"/>
    <w:rsid w:val="005A667B"/>
    <w:rsid w:val="005A6767"/>
    <w:rsid w:val="005A6EDD"/>
    <w:rsid w:val="005A6EDE"/>
    <w:rsid w:val="005A6F43"/>
    <w:rsid w:val="005A705E"/>
    <w:rsid w:val="005A7110"/>
    <w:rsid w:val="005A71D5"/>
    <w:rsid w:val="005A754E"/>
    <w:rsid w:val="005A7D76"/>
    <w:rsid w:val="005A7F80"/>
    <w:rsid w:val="005B038F"/>
    <w:rsid w:val="005B07DF"/>
    <w:rsid w:val="005B0A7B"/>
    <w:rsid w:val="005B0ADB"/>
    <w:rsid w:val="005B0BD8"/>
    <w:rsid w:val="005B1052"/>
    <w:rsid w:val="005B111B"/>
    <w:rsid w:val="005B117C"/>
    <w:rsid w:val="005B11ED"/>
    <w:rsid w:val="005B12A1"/>
    <w:rsid w:val="005B1302"/>
    <w:rsid w:val="005B1311"/>
    <w:rsid w:val="005B147E"/>
    <w:rsid w:val="005B14A4"/>
    <w:rsid w:val="005B1538"/>
    <w:rsid w:val="005B15F8"/>
    <w:rsid w:val="005B169B"/>
    <w:rsid w:val="005B190E"/>
    <w:rsid w:val="005B198A"/>
    <w:rsid w:val="005B1DB5"/>
    <w:rsid w:val="005B243B"/>
    <w:rsid w:val="005B252B"/>
    <w:rsid w:val="005B25B3"/>
    <w:rsid w:val="005B2765"/>
    <w:rsid w:val="005B28D9"/>
    <w:rsid w:val="005B2C50"/>
    <w:rsid w:val="005B2C9A"/>
    <w:rsid w:val="005B2E6F"/>
    <w:rsid w:val="005B2E78"/>
    <w:rsid w:val="005B2F67"/>
    <w:rsid w:val="005B2FCA"/>
    <w:rsid w:val="005B3148"/>
    <w:rsid w:val="005B332A"/>
    <w:rsid w:val="005B334D"/>
    <w:rsid w:val="005B3508"/>
    <w:rsid w:val="005B35B8"/>
    <w:rsid w:val="005B3826"/>
    <w:rsid w:val="005B38F1"/>
    <w:rsid w:val="005B3927"/>
    <w:rsid w:val="005B3D95"/>
    <w:rsid w:val="005B3F95"/>
    <w:rsid w:val="005B4288"/>
    <w:rsid w:val="005B44BC"/>
    <w:rsid w:val="005B4509"/>
    <w:rsid w:val="005B4896"/>
    <w:rsid w:val="005B4A6B"/>
    <w:rsid w:val="005B4D0B"/>
    <w:rsid w:val="005B4EE2"/>
    <w:rsid w:val="005B501A"/>
    <w:rsid w:val="005B510E"/>
    <w:rsid w:val="005B53DE"/>
    <w:rsid w:val="005B5541"/>
    <w:rsid w:val="005B55F2"/>
    <w:rsid w:val="005B56DB"/>
    <w:rsid w:val="005B56F4"/>
    <w:rsid w:val="005B56FE"/>
    <w:rsid w:val="005B5911"/>
    <w:rsid w:val="005B5932"/>
    <w:rsid w:val="005B59EB"/>
    <w:rsid w:val="005B5B6E"/>
    <w:rsid w:val="005B5C3A"/>
    <w:rsid w:val="005B5CA4"/>
    <w:rsid w:val="005B5F0A"/>
    <w:rsid w:val="005B5FE7"/>
    <w:rsid w:val="005B6064"/>
    <w:rsid w:val="005B6099"/>
    <w:rsid w:val="005B612D"/>
    <w:rsid w:val="005B6355"/>
    <w:rsid w:val="005B6409"/>
    <w:rsid w:val="005B64E4"/>
    <w:rsid w:val="005B65AA"/>
    <w:rsid w:val="005B6619"/>
    <w:rsid w:val="005B68C1"/>
    <w:rsid w:val="005B68D9"/>
    <w:rsid w:val="005B6977"/>
    <w:rsid w:val="005B6D60"/>
    <w:rsid w:val="005B6EF6"/>
    <w:rsid w:val="005B6FDA"/>
    <w:rsid w:val="005B7019"/>
    <w:rsid w:val="005B72EC"/>
    <w:rsid w:val="005B7349"/>
    <w:rsid w:val="005B74F5"/>
    <w:rsid w:val="005B7741"/>
    <w:rsid w:val="005B77E4"/>
    <w:rsid w:val="005B77F4"/>
    <w:rsid w:val="005B784B"/>
    <w:rsid w:val="005B7A30"/>
    <w:rsid w:val="005B7C2B"/>
    <w:rsid w:val="005B7CFC"/>
    <w:rsid w:val="005B7F0C"/>
    <w:rsid w:val="005C025C"/>
    <w:rsid w:val="005C0271"/>
    <w:rsid w:val="005C02DE"/>
    <w:rsid w:val="005C0515"/>
    <w:rsid w:val="005C059F"/>
    <w:rsid w:val="005C0641"/>
    <w:rsid w:val="005C0B7A"/>
    <w:rsid w:val="005C0C14"/>
    <w:rsid w:val="005C0C24"/>
    <w:rsid w:val="005C10E3"/>
    <w:rsid w:val="005C1326"/>
    <w:rsid w:val="005C14BC"/>
    <w:rsid w:val="005C15C7"/>
    <w:rsid w:val="005C1723"/>
    <w:rsid w:val="005C1ADD"/>
    <w:rsid w:val="005C1D2D"/>
    <w:rsid w:val="005C1E25"/>
    <w:rsid w:val="005C1EE5"/>
    <w:rsid w:val="005C21DD"/>
    <w:rsid w:val="005C2285"/>
    <w:rsid w:val="005C2689"/>
    <w:rsid w:val="005C26F1"/>
    <w:rsid w:val="005C276E"/>
    <w:rsid w:val="005C290D"/>
    <w:rsid w:val="005C2BAB"/>
    <w:rsid w:val="005C2DC9"/>
    <w:rsid w:val="005C2E91"/>
    <w:rsid w:val="005C2EBB"/>
    <w:rsid w:val="005C2FCF"/>
    <w:rsid w:val="005C3031"/>
    <w:rsid w:val="005C308A"/>
    <w:rsid w:val="005C3257"/>
    <w:rsid w:val="005C3314"/>
    <w:rsid w:val="005C342E"/>
    <w:rsid w:val="005C3854"/>
    <w:rsid w:val="005C3EC9"/>
    <w:rsid w:val="005C3FC6"/>
    <w:rsid w:val="005C4169"/>
    <w:rsid w:val="005C4416"/>
    <w:rsid w:val="005C4627"/>
    <w:rsid w:val="005C463A"/>
    <w:rsid w:val="005C467A"/>
    <w:rsid w:val="005C4749"/>
    <w:rsid w:val="005C4AF1"/>
    <w:rsid w:val="005C4C32"/>
    <w:rsid w:val="005C4C8C"/>
    <w:rsid w:val="005C5139"/>
    <w:rsid w:val="005C535D"/>
    <w:rsid w:val="005C5366"/>
    <w:rsid w:val="005C5404"/>
    <w:rsid w:val="005C5551"/>
    <w:rsid w:val="005C566D"/>
    <w:rsid w:val="005C5993"/>
    <w:rsid w:val="005C59AD"/>
    <w:rsid w:val="005C5A61"/>
    <w:rsid w:val="005C5D2B"/>
    <w:rsid w:val="005C5FB1"/>
    <w:rsid w:val="005C6234"/>
    <w:rsid w:val="005C631F"/>
    <w:rsid w:val="005C635F"/>
    <w:rsid w:val="005C63FD"/>
    <w:rsid w:val="005C64F9"/>
    <w:rsid w:val="005C65AB"/>
    <w:rsid w:val="005C65F1"/>
    <w:rsid w:val="005C67B8"/>
    <w:rsid w:val="005C6D43"/>
    <w:rsid w:val="005C6E01"/>
    <w:rsid w:val="005C6E4B"/>
    <w:rsid w:val="005C6F40"/>
    <w:rsid w:val="005C7269"/>
    <w:rsid w:val="005C72CA"/>
    <w:rsid w:val="005C7550"/>
    <w:rsid w:val="005C7609"/>
    <w:rsid w:val="005C776D"/>
    <w:rsid w:val="005C781C"/>
    <w:rsid w:val="005C7E73"/>
    <w:rsid w:val="005D0088"/>
    <w:rsid w:val="005D009F"/>
    <w:rsid w:val="005D0151"/>
    <w:rsid w:val="005D0428"/>
    <w:rsid w:val="005D0469"/>
    <w:rsid w:val="005D0574"/>
    <w:rsid w:val="005D06FC"/>
    <w:rsid w:val="005D0A4B"/>
    <w:rsid w:val="005D0C18"/>
    <w:rsid w:val="005D0D03"/>
    <w:rsid w:val="005D10DA"/>
    <w:rsid w:val="005D13A8"/>
    <w:rsid w:val="005D17E4"/>
    <w:rsid w:val="005D1A48"/>
    <w:rsid w:val="005D1A8F"/>
    <w:rsid w:val="005D1E9A"/>
    <w:rsid w:val="005D2122"/>
    <w:rsid w:val="005D2160"/>
    <w:rsid w:val="005D21C5"/>
    <w:rsid w:val="005D2237"/>
    <w:rsid w:val="005D2687"/>
    <w:rsid w:val="005D2748"/>
    <w:rsid w:val="005D2A0C"/>
    <w:rsid w:val="005D2BDC"/>
    <w:rsid w:val="005D2DEA"/>
    <w:rsid w:val="005D2E01"/>
    <w:rsid w:val="005D2E94"/>
    <w:rsid w:val="005D2F0A"/>
    <w:rsid w:val="005D322F"/>
    <w:rsid w:val="005D346D"/>
    <w:rsid w:val="005D34D5"/>
    <w:rsid w:val="005D35C0"/>
    <w:rsid w:val="005D3888"/>
    <w:rsid w:val="005D38C2"/>
    <w:rsid w:val="005D3D8A"/>
    <w:rsid w:val="005D3EB2"/>
    <w:rsid w:val="005D42B1"/>
    <w:rsid w:val="005D438C"/>
    <w:rsid w:val="005D4434"/>
    <w:rsid w:val="005D44AA"/>
    <w:rsid w:val="005D453D"/>
    <w:rsid w:val="005D4624"/>
    <w:rsid w:val="005D463F"/>
    <w:rsid w:val="005D4BEA"/>
    <w:rsid w:val="005D50E5"/>
    <w:rsid w:val="005D51F0"/>
    <w:rsid w:val="005D52D9"/>
    <w:rsid w:val="005D5373"/>
    <w:rsid w:val="005D5578"/>
    <w:rsid w:val="005D57F4"/>
    <w:rsid w:val="005D586B"/>
    <w:rsid w:val="005D5AD3"/>
    <w:rsid w:val="005D5F66"/>
    <w:rsid w:val="005D61D1"/>
    <w:rsid w:val="005D61F9"/>
    <w:rsid w:val="005D6261"/>
    <w:rsid w:val="005D63AF"/>
    <w:rsid w:val="005D6518"/>
    <w:rsid w:val="005D6579"/>
    <w:rsid w:val="005D666B"/>
    <w:rsid w:val="005D66CE"/>
    <w:rsid w:val="005D6701"/>
    <w:rsid w:val="005D6736"/>
    <w:rsid w:val="005D67CA"/>
    <w:rsid w:val="005D6823"/>
    <w:rsid w:val="005D695C"/>
    <w:rsid w:val="005D6DB6"/>
    <w:rsid w:val="005D6DFC"/>
    <w:rsid w:val="005D6FFB"/>
    <w:rsid w:val="005D7196"/>
    <w:rsid w:val="005D733B"/>
    <w:rsid w:val="005D76F4"/>
    <w:rsid w:val="005D7861"/>
    <w:rsid w:val="005D7A2D"/>
    <w:rsid w:val="005D7C57"/>
    <w:rsid w:val="005E015F"/>
    <w:rsid w:val="005E01FD"/>
    <w:rsid w:val="005E095F"/>
    <w:rsid w:val="005E0B1D"/>
    <w:rsid w:val="005E0B42"/>
    <w:rsid w:val="005E0C2D"/>
    <w:rsid w:val="005E0D31"/>
    <w:rsid w:val="005E0E3D"/>
    <w:rsid w:val="005E0F6E"/>
    <w:rsid w:val="005E1001"/>
    <w:rsid w:val="005E114E"/>
    <w:rsid w:val="005E1250"/>
    <w:rsid w:val="005E1268"/>
    <w:rsid w:val="005E1353"/>
    <w:rsid w:val="005E1CB5"/>
    <w:rsid w:val="005E1D29"/>
    <w:rsid w:val="005E2145"/>
    <w:rsid w:val="005E2165"/>
    <w:rsid w:val="005E2169"/>
    <w:rsid w:val="005E21C5"/>
    <w:rsid w:val="005E22A2"/>
    <w:rsid w:val="005E23E0"/>
    <w:rsid w:val="005E2AA1"/>
    <w:rsid w:val="005E2D0D"/>
    <w:rsid w:val="005E2F21"/>
    <w:rsid w:val="005E2FC5"/>
    <w:rsid w:val="005E307D"/>
    <w:rsid w:val="005E30B0"/>
    <w:rsid w:val="005E30B9"/>
    <w:rsid w:val="005E3305"/>
    <w:rsid w:val="005E340B"/>
    <w:rsid w:val="005E34A6"/>
    <w:rsid w:val="005E359B"/>
    <w:rsid w:val="005E3637"/>
    <w:rsid w:val="005E3689"/>
    <w:rsid w:val="005E3B0B"/>
    <w:rsid w:val="005E3BC9"/>
    <w:rsid w:val="005E3FF8"/>
    <w:rsid w:val="005E4415"/>
    <w:rsid w:val="005E4491"/>
    <w:rsid w:val="005E4779"/>
    <w:rsid w:val="005E4783"/>
    <w:rsid w:val="005E47A3"/>
    <w:rsid w:val="005E4DB6"/>
    <w:rsid w:val="005E4E99"/>
    <w:rsid w:val="005E50B6"/>
    <w:rsid w:val="005E50FB"/>
    <w:rsid w:val="005E513A"/>
    <w:rsid w:val="005E51D3"/>
    <w:rsid w:val="005E5339"/>
    <w:rsid w:val="005E540F"/>
    <w:rsid w:val="005E550C"/>
    <w:rsid w:val="005E56F3"/>
    <w:rsid w:val="005E572C"/>
    <w:rsid w:val="005E5934"/>
    <w:rsid w:val="005E5A0E"/>
    <w:rsid w:val="005E5B33"/>
    <w:rsid w:val="005E5DFA"/>
    <w:rsid w:val="005E6026"/>
    <w:rsid w:val="005E60D7"/>
    <w:rsid w:val="005E615D"/>
    <w:rsid w:val="005E617A"/>
    <w:rsid w:val="005E681A"/>
    <w:rsid w:val="005E68C4"/>
    <w:rsid w:val="005E6992"/>
    <w:rsid w:val="005E6C91"/>
    <w:rsid w:val="005E6E51"/>
    <w:rsid w:val="005E6EBB"/>
    <w:rsid w:val="005E6F5E"/>
    <w:rsid w:val="005E753F"/>
    <w:rsid w:val="005E75FB"/>
    <w:rsid w:val="005E762B"/>
    <w:rsid w:val="005E76E1"/>
    <w:rsid w:val="005E76F3"/>
    <w:rsid w:val="005E7775"/>
    <w:rsid w:val="005E7D47"/>
    <w:rsid w:val="005E7E20"/>
    <w:rsid w:val="005E7E55"/>
    <w:rsid w:val="005E7F46"/>
    <w:rsid w:val="005F014D"/>
    <w:rsid w:val="005F01CF"/>
    <w:rsid w:val="005F01D1"/>
    <w:rsid w:val="005F0260"/>
    <w:rsid w:val="005F03C0"/>
    <w:rsid w:val="005F0462"/>
    <w:rsid w:val="005F058C"/>
    <w:rsid w:val="005F0714"/>
    <w:rsid w:val="005F09B4"/>
    <w:rsid w:val="005F09DC"/>
    <w:rsid w:val="005F0D4E"/>
    <w:rsid w:val="005F0DF3"/>
    <w:rsid w:val="005F1076"/>
    <w:rsid w:val="005F13D1"/>
    <w:rsid w:val="005F14A0"/>
    <w:rsid w:val="005F1540"/>
    <w:rsid w:val="005F1544"/>
    <w:rsid w:val="005F173F"/>
    <w:rsid w:val="005F192E"/>
    <w:rsid w:val="005F1D64"/>
    <w:rsid w:val="005F1D78"/>
    <w:rsid w:val="005F1D8C"/>
    <w:rsid w:val="005F2379"/>
    <w:rsid w:val="005F266D"/>
    <w:rsid w:val="005F27CB"/>
    <w:rsid w:val="005F28DF"/>
    <w:rsid w:val="005F294F"/>
    <w:rsid w:val="005F2A48"/>
    <w:rsid w:val="005F2CD8"/>
    <w:rsid w:val="005F2D53"/>
    <w:rsid w:val="005F2E44"/>
    <w:rsid w:val="005F3057"/>
    <w:rsid w:val="005F30E5"/>
    <w:rsid w:val="005F343A"/>
    <w:rsid w:val="005F364F"/>
    <w:rsid w:val="005F37CE"/>
    <w:rsid w:val="005F3900"/>
    <w:rsid w:val="005F39CA"/>
    <w:rsid w:val="005F39E6"/>
    <w:rsid w:val="005F3AC0"/>
    <w:rsid w:val="005F3C8B"/>
    <w:rsid w:val="005F42B5"/>
    <w:rsid w:val="005F45E5"/>
    <w:rsid w:val="005F46DC"/>
    <w:rsid w:val="005F4A52"/>
    <w:rsid w:val="005F4BB9"/>
    <w:rsid w:val="005F4FC0"/>
    <w:rsid w:val="005F4FF6"/>
    <w:rsid w:val="005F518E"/>
    <w:rsid w:val="005F5862"/>
    <w:rsid w:val="005F59F8"/>
    <w:rsid w:val="005F5A8C"/>
    <w:rsid w:val="005F5CB2"/>
    <w:rsid w:val="005F5D4B"/>
    <w:rsid w:val="005F5F2C"/>
    <w:rsid w:val="005F62DB"/>
    <w:rsid w:val="005F6558"/>
    <w:rsid w:val="005F688A"/>
    <w:rsid w:val="005F68F9"/>
    <w:rsid w:val="005F69C2"/>
    <w:rsid w:val="005F6A8E"/>
    <w:rsid w:val="005F6AF7"/>
    <w:rsid w:val="005F6B17"/>
    <w:rsid w:val="005F6EA6"/>
    <w:rsid w:val="005F6F1C"/>
    <w:rsid w:val="005F73C3"/>
    <w:rsid w:val="005F74F7"/>
    <w:rsid w:val="005F75B4"/>
    <w:rsid w:val="005F76D9"/>
    <w:rsid w:val="005F7940"/>
    <w:rsid w:val="005F7953"/>
    <w:rsid w:val="005F7A72"/>
    <w:rsid w:val="005F7B4E"/>
    <w:rsid w:val="005F7BC9"/>
    <w:rsid w:val="005F7C14"/>
    <w:rsid w:val="005F7DFD"/>
    <w:rsid w:val="005F7E05"/>
    <w:rsid w:val="00600276"/>
    <w:rsid w:val="0060028D"/>
    <w:rsid w:val="006007AB"/>
    <w:rsid w:val="00600873"/>
    <w:rsid w:val="006009C7"/>
    <w:rsid w:val="00600AED"/>
    <w:rsid w:val="00600B23"/>
    <w:rsid w:val="00600B3C"/>
    <w:rsid w:val="00600D36"/>
    <w:rsid w:val="00600DD8"/>
    <w:rsid w:val="00601180"/>
    <w:rsid w:val="00601297"/>
    <w:rsid w:val="0060138B"/>
    <w:rsid w:val="0060145C"/>
    <w:rsid w:val="006014A0"/>
    <w:rsid w:val="0060153F"/>
    <w:rsid w:val="00601646"/>
    <w:rsid w:val="006018EB"/>
    <w:rsid w:val="00601A2B"/>
    <w:rsid w:val="00601D83"/>
    <w:rsid w:val="00601D9B"/>
    <w:rsid w:val="00601EF1"/>
    <w:rsid w:val="00602111"/>
    <w:rsid w:val="00602570"/>
    <w:rsid w:val="00602722"/>
    <w:rsid w:val="006027FA"/>
    <w:rsid w:val="00602B7A"/>
    <w:rsid w:val="00602DE5"/>
    <w:rsid w:val="00602F82"/>
    <w:rsid w:val="0060321F"/>
    <w:rsid w:val="006032BC"/>
    <w:rsid w:val="00603357"/>
    <w:rsid w:val="006033E4"/>
    <w:rsid w:val="0060382F"/>
    <w:rsid w:val="006038F4"/>
    <w:rsid w:val="006039D3"/>
    <w:rsid w:val="00603B08"/>
    <w:rsid w:val="00603D90"/>
    <w:rsid w:val="00603DDF"/>
    <w:rsid w:val="00603E22"/>
    <w:rsid w:val="00604050"/>
    <w:rsid w:val="006040DB"/>
    <w:rsid w:val="0060421C"/>
    <w:rsid w:val="0060424E"/>
    <w:rsid w:val="00604663"/>
    <w:rsid w:val="00604755"/>
    <w:rsid w:val="00604B02"/>
    <w:rsid w:val="00604BD4"/>
    <w:rsid w:val="00604D4D"/>
    <w:rsid w:val="00604E30"/>
    <w:rsid w:val="00604E45"/>
    <w:rsid w:val="00604FC1"/>
    <w:rsid w:val="00605284"/>
    <w:rsid w:val="006052D4"/>
    <w:rsid w:val="006058AF"/>
    <w:rsid w:val="006059F8"/>
    <w:rsid w:val="00605C83"/>
    <w:rsid w:val="00605CAB"/>
    <w:rsid w:val="00605CCD"/>
    <w:rsid w:val="00605E59"/>
    <w:rsid w:val="00606123"/>
    <w:rsid w:val="00606290"/>
    <w:rsid w:val="006062B4"/>
    <w:rsid w:val="00606308"/>
    <w:rsid w:val="0060633E"/>
    <w:rsid w:val="00606351"/>
    <w:rsid w:val="006063AB"/>
    <w:rsid w:val="006064E7"/>
    <w:rsid w:val="0060664F"/>
    <w:rsid w:val="0060681E"/>
    <w:rsid w:val="0060682D"/>
    <w:rsid w:val="006069C4"/>
    <w:rsid w:val="00606D3D"/>
    <w:rsid w:val="00606D83"/>
    <w:rsid w:val="00607001"/>
    <w:rsid w:val="006070A7"/>
    <w:rsid w:val="006073ED"/>
    <w:rsid w:val="0060762B"/>
    <w:rsid w:val="006077FD"/>
    <w:rsid w:val="00607AA4"/>
    <w:rsid w:val="00607B41"/>
    <w:rsid w:val="00607B85"/>
    <w:rsid w:val="00607C3E"/>
    <w:rsid w:val="00607D22"/>
    <w:rsid w:val="00610095"/>
    <w:rsid w:val="0061023D"/>
    <w:rsid w:val="006102C7"/>
    <w:rsid w:val="006104E2"/>
    <w:rsid w:val="0061063B"/>
    <w:rsid w:val="00610668"/>
    <w:rsid w:val="006106AA"/>
    <w:rsid w:val="00610840"/>
    <w:rsid w:val="006108C1"/>
    <w:rsid w:val="0061090E"/>
    <w:rsid w:val="00610917"/>
    <w:rsid w:val="00610990"/>
    <w:rsid w:val="006109DD"/>
    <w:rsid w:val="00610B89"/>
    <w:rsid w:val="00610BB3"/>
    <w:rsid w:val="00610D04"/>
    <w:rsid w:val="00610EA2"/>
    <w:rsid w:val="0061111E"/>
    <w:rsid w:val="0061119A"/>
    <w:rsid w:val="00611476"/>
    <w:rsid w:val="00611611"/>
    <w:rsid w:val="00611733"/>
    <w:rsid w:val="006118E8"/>
    <w:rsid w:val="00611AE2"/>
    <w:rsid w:val="00611BA1"/>
    <w:rsid w:val="00611BA5"/>
    <w:rsid w:val="00611CA5"/>
    <w:rsid w:val="00612198"/>
    <w:rsid w:val="006123AA"/>
    <w:rsid w:val="0061285B"/>
    <w:rsid w:val="00612A7D"/>
    <w:rsid w:val="00612AEB"/>
    <w:rsid w:val="00612C28"/>
    <w:rsid w:val="0061311F"/>
    <w:rsid w:val="00613148"/>
    <w:rsid w:val="006131E4"/>
    <w:rsid w:val="0061357E"/>
    <w:rsid w:val="006135B8"/>
    <w:rsid w:val="006135CB"/>
    <w:rsid w:val="00613677"/>
    <w:rsid w:val="0061381F"/>
    <w:rsid w:val="00613B67"/>
    <w:rsid w:val="00613CDA"/>
    <w:rsid w:val="00613D10"/>
    <w:rsid w:val="0061414E"/>
    <w:rsid w:val="00614365"/>
    <w:rsid w:val="00614431"/>
    <w:rsid w:val="00614584"/>
    <w:rsid w:val="006145F4"/>
    <w:rsid w:val="006148E9"/>
    <w:rsid w:val="0061490C"/>
    <w:rsid w:val="00614B19"/>
    <w:rsid w:val="00614D0C"/>
    <w:rsid w:val="00614E07"/>
    <w:rsid w:val="00614E91"/>
    <w:rsid w:val="00614E95"/>
    <w:rsid w:val="00615068"/>
    <w:rsid w:val="006152AE"/>
    <w:rsid w:val="006156B2"/>
    <w:rsid w:val="006156D2"/>
    <w:rsid w:val="0061579E"/>
    <w:rsid w:val="00615B04"/>
    <w:rsid w:val="00615DA4"/>
    <w:rsid w:val="00615EAF"/>
    <w:rsid w:val="0061638D"/>
    <w:rsid w:val="00616399"/>
    <w:rsid w:val="006164E8"/>
    <w:rsid w:val="006164F0"/>
    <w:rsid w:val="0061668B"/>
    <w:rsid w:val="006168CB"/>
    <w:rsid w:val="00616A51"/>
    <w:rsid w:val="00616A87"/>
    <w:rsid w:val="00616A99"/>
    <w:rsid w:val="00616B5C"/>
    <w:rsid w:val="00616E1A"/>
    <w:rsid w:val="006170D9"/>
    <w:rsid w:val="0061722A"/>
    <w:rsid w:val="0061733C"/>
    <w:rsid w:val="006174F5"/>
    <w:rsid w:val="00617509"/>
    <w:rsid w:val="00617822"/>
    <w:rsid w:val="006178AF"/>
    <w:rsid w:val="00620450"/>
    <w:rsid w:val="00620580"/>
    <w:rsid w:val="006206D1"/>
    <w:rsid w:val="006209AA"/>
    <w:rsid w:val="00620CEE"/>
    <w:rsid w:val="00620E68"/>
    <w:rsid w:val="00621586"/>
    <w:rsid w:val="006215B4"/>
    <w:rsid w:val="0062164F"/>
    <w:rsid w:val="006217C7"/>
    <w:rsid w:val="00621915"/>
    <w:rsid w:val="006219B0"/>
    <w:rsid w:val="00621B23"/>
    <w:rsid w:val="00621B7E"/>
    <w:rsid w:val="00621DBE"/>
    <w:rsid w:val="00621E32"/>
    <w:rsid w:val="00621E77"/>
    <w:rsid w:val="00621E79"/>
    <w:rsid w:val="00621FB1"/>
    <w:rsid w:val="00621FB2"/>
    <w:rsid w:val="00622095"/>
    <w:rsid w:val="00622153"/>
    <w:rsid w:val="006221E1"/>
    <w:rsid w:val="00622224"/>
    <w:rsid w:val="00622252"/>
    <w:rsid w:val="006222C9"/>
    <w:rsid w:val="0062238A"/>
    <w:rsid w:val="00622418"/>
    <w:rsid w:val="00622432"/>
    <w:rsid w:val="006226AE"/>
    <w:rsid w:val="00622773"/>
    <w:rsid w:val="0062282E"/>
    <w:rsid w:val="006229A6"/>
    <w:rsid w:val="00622A98"/>
    <w:rsid w:val="00622BA6"/>
    <w:rsid w:val="00622F6C"/>
    <w:rsid w:val="00623052"/>
    <w:rsid w:val="00623099"/>
    <w:rsid w:val="0062314C"/>
    <w:rsid w:val="006231D9"/>
    <w:rsid w:val="0062341F"/>
    <w:rsid w:val="0062351F"/>
    <w:rsid w:val="00623B38"/>
    <w:rsid w:val="00623BA5"/>
    <w:rsid w:val="00623BD5"/>
    <w:rsid w:val="00623C7B"/>
    <w:rsid w:val="00623D0B"/>
    <w:rsid w:val="00623E40"/>
    <w:rsid w:val="00623EA0"/>
    <w:rsid w:val="00624039"/>
    <w:rsid w:val="006240FD"/>
    <w:rsid w:val="006242D1"/>
    <w:rsid w:val="0062430D"/>
    <w:rsid w:val="0062435F"/>
    <w:rsid w:val="006247E9"/>
    <w:rsid w:val="00624877"/>
    <w:rsid w:val="00624C99"/>
    <w:rsid w:val="00624CE6"/>
    <w:rsid w:val="00625054"/>
    <w:rsid w:val="006254D0"/>
    <w:rsid w:val="0062570E"/>
    <w:rsid w:val="00625756"/>
    <w:rsid w:val="006257F6"/>
    <w:rsid w:val="00625AA7"/>
    <w:rsid w:val="00625ABC"/>
    <w:rsid w:val="00625C06"/>
    <w:rsid w:val="00625D0F"/>
    <w:rsid w:val="00625D2A"/>
    <w:rsid w:val="00625EBC"/>
    <w:rsid w:val="0062618F"/>
    <w:rsid w:val="006263F8"/>
    <w:rsid w:val="00626641"/>
    <w:rsid w:val="00626C5A"/>
    <w:rsid w:val="00626C8B"/>
    <w:rsid w:val="00626DA9"/>
    <w:rsid w:val="00626E55"/>
    <w:rsid w:val="00626F4D"/>
    <w:rsid w:val="00627381"/>
    <w:rsid w:val="006273D7"/>
    <w:rsid w:val="006274BC"/>
    <w:rsid w:val="00627745"/>
    <w:rsid w:val="00627821"/>
    <w:rsid w:val="00627A36"/>
    <w:rsid w:val="00627CB0"/>
    <w:rsid w:val="0063019D"/>
    <w:rsid w:val="00630251"/>
    <w:rsid w:val="0063056D"/>
    <w:rsid w:val="00630594"/>
    <w:rsid w:val="0063082A"/>
    <w:rsid w:val="0063096D"/>
    <w:rsid w:val="00631053"/>
    <w:rsid w:val="006311DE"/>
    <w:rsid w:val="0063147D"/>
    <w:rsid w:val="00631614"/>
    <w:rsid w:val="006316FC"/>
    <w:rsid w:val="00631A33"/>
    <w:rsid w:val="00631A7C"/>
    <w:rsid w:val="00631DCD"/>
    <w:rsid w:val="00631E54"/>
    <w:rsid w:val="00631E83"/>
    <w:rsid w:val="00631F5C"/>
    <w:rsid w:val="00631F7D"/>
    <w:rsid w:val="006320CE"/>
    <w:rsid w:val="00632BF7"/>
    <w:rsid w:val="00632C17"/>
    <w:rsid w:val="00633500"/>
    <w:rsid w:val="00633565"/>
    <w:rsid w:val="006335C1"/>
    <w:rsid w:val="006336D0"/>
    <w:rsid w:val="0063392C"/>
    <w:rsid w:val="0063398B"/>
    <w:rsid w:val="00633A97"/>
    <w:rsid w:val="00633CB1"/>
    <w:rsid w:val="00633D4A"/>
    <w:rsid w:val="00633D5D"/>
    <w:rsid w:val="00634341"/>
    <w:rsid w:val="0063458C"/>
    <w:rsid w:val="00634617"/>
    <w:rsid w:val="0063499C"/>
    <w:rsid w:val="00634A35"/>
    <w:rsid w:val="00634B20"/>
    <w:rsid w:val="00634B7A"/>
    <w:rsid w:val="00634C68"/>
    <w:rsid w:val="00634CA2"/>
    <w:rsid w:val="00634F78"/>
    <w:rsid w:val="00635085"/>
    <w:rsid w:val="006350E3"/>
    <w:rsid w:val="0063510A"/>
    <w:rsid w:val="00635152"/>
    <w:rsid w:val="00635166"/>
    <w:rsid w:val="00635242"/>
    <w:rsid w:val="006353A4"/>
    <w:rsid w:val="00635438"/>
    <w:rsid w:val="00635517"/>
    <w:rsid w:val="00635648"/>
    <w:rsid w:val="006356B2"/>
    <w:rsid w:val="00635836"/>
    <w:rsid w:val="0063589D"/>
    <w:rsid w:val="00635992"/>
    <w:rsid w:val="00635ADB"/>
    <w:rsid w:val="00635B98"/>
    <w:rsid w:val="00635C49"/>
    <w:rsid w:val="00635E6D"/>
    <w:rsid w:val="00635E8C"/>
    <w:rsid w:val="00636076"/>
    <w:rsid w:val="00636134"/>
    <w:rsid w:val="006363CC"/>
    <w:rsid w:val="0063672C"/>
    <w:rsid w:val="00636963"/>
    <w:rsid w:val="00636A24"/>
    <w:rsid w:val="00636B76"/>
    <w:rsid w:val="00636E6F"/>
    <w:rsid w:val="00636FF1"/>
    <w:rsid w:val="006370F1"/>
    <w:rsid w:val="006373D4"/>
    <w:rsid w:val="0063757F"/>
    <w:rsid w:val="00637666"/>
    <w:rsid w:val="006378A5"/>
    <w:rsid w:val="006379A0"/>
    <w:rsid w:val="00637A06"/>
    <w:rsid w:val="00637D59"/>
    <w:rsid w:val="00637E2C"/>
    <w:rsid w:val="00640003"/>
    <w:rsid w:val="00640178"/>
    <w:rsid w:val="00640188"/>
    <w:rsid w:val="006401D7"/>
    <w:rsid w:val="00640330"/>
    <w:rsid w:val="006403B6"/>
    <w:rsid w:val="006403D0"/>
    <w:rsid w:val="00640729"/>
    <w:rsid w:val="00640956"/>
    <w:rsid w:val="00640CBE"/>
    <w:rsid w:val="00640F33"/>
    <w:rsid w:val="00640F63"/>
    <w:rsid w:val="00640F65"/>
    <w:rsid w:val="00641A3D"/>
    <w:rsid w:val="00641D37"/>
    <w:rsid w:val="00641DFF"/>
    <w:rsid w:val="00641E6C"/>
    <w:rsid w:val="00641F48"/>
    <w:rsid w:val="00641F59"/>
    <w:rsid w:val="006425ED"/>
    <w:rsid w:val="0064264B"/>
    <w:rsid w:val="00642986"/>
    <w:rsid w:val="00642D9F"/>
    <w:rsid w:val="00643374"/>
    <w:rsid w:val="006433B9"/>
    <w:rsid w:val="00643449"/>
    <w:rsid w:val="00643516"/>
    <w:rsid w:val="006435D1"/>
    <w:rsid w:val="0064366F"/>
    <w:rsid w:val="006438DF"/>
    <w:rsid w:val="00643913"/>
    <w:rsid w:val="006439D8"/>
    <w:rsid w:val="00643AF4"/>
    <w:rsid w:val="00643D75"/>
    <w:rsid w:val="00644155"/>
    <w:rsid w:val="006441CE"/>
    <w:rsid w:val="006442B5"/>
    <w:rsid w:val="00644493"/>
    <w:rsid w:val="006446F1"/>
    <w:rsid w:val="0064483B"/>
    <w:rsid w:val="00644840"/>
    <w:rsid w:val="0064496B"/>
    <w:rsid w:val="006449F9"/>
    <w:rsid w:val="00644A3C"/>
    <w:rsid w:val="00644B93"/>
    <w:rsid w:val="00644BA9"/>
    <w:rsid w:val="006452BC"/>
    <w:rsid w:val="00645395"/>
    <w:rsid w:val="00645B9F"/>
    <w:rsid w:val="00645C39"/>
    <w:rsid w:val="00645C47"/>
    <w:rsid w:val="006461A9"/>
    <w:rsid w:val="00646303"/>
    <w:rsid w:val="006464B7"/>
    <w:rsid w:val="006469F1"/>
    <w:rsid w:val="00646A58"/>
    <w:rsid w:val="00646B6D"/>
    <w:rsid w:val="00646F8C"/>
    <w:rsid w:val="006470CB"/>
    <w:rsid w:val="0064731F"/>
    <w:rsid w:val="0064736B"/>
    <w:rsid w:val="00647549"/>
    <w:rsid w:val="006477DF"/>
    <w:rsid w:val="00647A11"/>
    <w:rsid w:val="00647A8E"/>
    <w:rsid w:val="00647BC3"/>
    <w:rsid w:val="00647E0F"/>
    <w:rsid w:val="0065019C"/>
    <w:rsid w:val="006503A0"/>
    <w:rsid w:val="0065094F"/>
    <w:rsid w:val="00650963"/>
    <w:rsid w:val="00650B35"/>
    <w:rsid w:val="00651110"/>
    <w:rsid w:val="006511DA"/>
    <w:rsid w:val="0065141F"/>
    <w:rsid w:val="00651570"/>
    <w:rsid w:val="0065157D"/>
    <w:rsid w:val="00651C5E"/>
    <w:rsid w:val="00651C70"/>
    <w:rsid w:val="006521E5"/>
    <w:rsid w:val="0065232C"/>
    <w:rsid w:val="006523FA"/>
    <w:rsid w:val="00652541"/>
    <w:rsid w:val="0065259D"/>
    <w:rsid w:val="00652801"/>
    <w:rsid w:val="00652BD3"/>
    <w:rsid w:val="00652E28"/>
    <w:rsid w:val="00652F20"/>
    <w:rsid w:val="006530C2"/>
    <w:rsid w:val="0065310C"/>
    <w:rsid w:val="0065327D"/>
    <w:rsid w:val="00653294"/>
    <w:rsid w:val="006532EF"/>
    <w:rsid w:val="006532F8"/>
    <w:rsid w:val="006533F2"/>
    <w:rsid w:val="00653472"/>
    <w:rsid w:val="00653667"/>
    <w:rsid w:val="006537FB"/>
    <w:rsid w:val="00653AEC"/>
    <w:rsid w:val="00653B9B"/>
    <w:rsid w:val="00653C02"/>
    <w:rsid w:val="00653E75"/>
    <w:rsid w:val="00653FBE"/>
    <w:rsid w:val="00653FCB"/>
    <w:rsid w:val="00654099"/>
    <w:rsid w:val="006542F8"/>
    <w:rsid w:val="00654302"/>
    <w:rsid w:val="006543A9"/>
    <w:rsid w:val="006545D3"/>
    <w:rsid w:val="006546D5"/>
    <w:rsid w:val="0065486B"/>
    <w:rsid w:val="00654948"/>
    <w:rsid w:val="0065498C"/>
    <w:rsid w:val="00654A86"/>
    <w:rsid w:val="00654B1F"/>
    <w:rsid w:val="00654EBC"/>
    <w:rsid w:val="00654FCC"/>
    <w:rsid w:val="00655107"/>
    <w:rsid w:val="0065521F"/>
    <w:rsid w:val="00655498"/>
    <w:rsid w:val="006554D6"/>
    <w:rsid w:val="006556B2"/>
    <w:rsid w:val="006558B5"/>
    <w:rsid w:val="00655E6D"/>
    <w:rsid w:val="00655F60"/>
    <w:rsid w:val="0065603A"/>
    <w:rsid w:val="006561D2"/>
    <w:rsid w:val="00656456"/>
    <w:rsid w:val="006569BD"/>
    <w:rsid w:val="00656ABC"/>
    <w:rsid w:val="00656DE6"/>
    <w:rsid w:val="00656E4D"/>
    <w:rsid w:val="0065718E"/>
    <w:rsid w:val="006572B9"/>
    <w:rsid w:val="00657700"/>
    <w:rsid w:val="006578A9"/>
    <w:rsid w:val="00657AD0"/>
    <w:rsid w:val="00657E79"/>
    <w:rsid w:val="00657FBB"/>
    <w:rsid w:val="0066004C"/>
    <w:rsid w:val="006600F7"/>
    <w:rsid w:val="006602E6"/>
    <w:rsid w:val="00660390"/>
    <w:rsid w:val="0066045B"/>
    <w:rsid w:val="0066057E"/>
    <w:rsid w:val="006605AD"/>
    <w:rsid w:val="0066079C"/>
    <w:rsid w:val="00660A5F"/>
    <w:rsid w:val="00660ACC"/>
    <w:rsid w:val="00660C71"/>
    <w:rsid w:val="00660CEA"/>
    <w:rsid w:val="00661047"/>
    <w:rsid w:val="006610C8"/>
    <w:rsid w:val="00661153"/>
    <w:rsid w:val="00661220"/>
    <w:rsid w:val="00661466"/>
    <w:rsid w:val="006614D5"/>
    <w:rsid w:val="006614DA"/>
    <w:rsid w:val="006617F2"/>
    <w:rsid w:val="006618DD"/>
    <w:rsid w:val="00661DFB"/>
    <w:rsid w:val="0066220B"/>
    <w:rsid w:val="0066226E"/>
    <w:rsid w:val="006622DC"/>
    <w:rsid w:val="0066230E"/>
    <w:rsid w:val="0066232B"/>
    <w:rsid w:val="006623BE"/>
    <w:rsid w:val="00662441"/>
    <w:rsid w:val="0066254A"/>
    <w:rsid w:val="00662561"/>
    <w:rsid w:val="00662633"/>
    <w:rsid w:val="0066268D"/>
    <w:rsid w:val="006626A2"/>
    <w:rsid w:val="0066271A"/>
    <w:rsid w:val="00662B75"/>
    <w:rsid w:val="00663160"/>
    <w:rsid w:val="0066317A"/>
    <w:rsid w:val="006633BB"/>
    <w:rsid w:val="0066342E"/>
    <w:rsid w:val="006635C6"/>
    <w:rsid w:val="0066395E"/>
    <w:rsid w:val="006639A7"/>
    <w:rsid w:val="006639C2"/>
    <w:rsid w:val="006639F9"/>
    <w:rsid w:val="00663ABF"/>
    <w:rsid w:val="0066426A"/>
    <w:rsid w:val="00664290"/>
    <w:rsid w:val="006642EC"/>
    <w:rsid w:val="0066436A"/>
    <w:rsid w:val="006648CF"/>
    <w:rsid w:val="00664B36"/>
    <w:rsid w:val="006650D2"/>
    <w:rsid w:val="006650E5"/>
    <w:rsid w:val="0066547A"/>
    <w:rsid w:val="006656F2"/>
    <w:rsid w:val="00665B3C"/>
    <w:rsid w:val="00665C26"/>
    <w:rsid w:val="00665E66"/>
    <w:rsid w:val="00665ECD"/>
    <w:rsid w:val="0066607B"/>
    <w:rsid w:val="006662C2"/>
    <w:rsid w:val="006662DB"/>
    <w:rsid w:val="006665A3"/>
    <w:rsid w:val="00666B6A"/>
    <w:rsid w:val="00666C4A"/>
    <w:rsid w:val="00666D8B"/>
    <w:rsid w:val="00667122"/>
    <w:rsid w:val="00667352"/>
    <w:rsid w:val="0066745C"/>
    <w:rsid w:val="00667665"/>
    <w:rsid w:val="006678E8"/>
    <w:rsid w:val="00667B8E"/>
    <w:rsid w:val="00667CBC"/>
    <w:rsid w:val="00667ED0"/>
    <w:rsid w:val="00667EEF"/>
    <w:rsid w:val="00670408"/>
    <w:rsid w:val="00670630"/>
    <w:rsid w:val="006707E2"/>
    <w:rsid w:val="0067093C"/>
    <w:rsid w:val="00670EAB"/>
    <w:rsid w:val="00670EED"/>
    <w:rsid w:val="0067102C"/>
    <w:rsid w:val="00671060"/>
    <w:rsid w:val="0067113C"/>
    <w:rsid w:val="006716B9"/>
    <w:rsid w:val="006717BB"/>
    <w:rsid w:val="00671948"/>
    <w:rsid w:val="00671965"/>
    <w:rsid w:val="006719AD"/>
    <w:rsid w:val="00671A0B"/>
    <w:rsid w:val="00671AC6"/>
    <w:rsid w:val="00671B6B"/>
    <w:rsid w:val="00671E17"/>
    <w:rsid w:val="00671ED7"/>
    <w:rsid w:val="00672072"/>
    <w:rsid w:val="00672124"/>
    <w:rsid w:val="006721A1"/>
    <w:rsid w:val="006724CC"/>
    <w:rsid w:val="006725A5"/>
    <w:rsid w:val="0067282F"/>
    <w:rsid w:val="00672DF0"/>
    <w:rsid w:val="00673228"/>
    <w:rsid w:val="00673430"/>
    <w:rsid w:val="0067348F"/>
    <w:rsid w:val="006734E1"/>
    <w:rsid w:val="00673999"/>
    <w:rsid w:val="006739B6"/>
    <w:rsid w:val="00673CCC"/>
    <w:rsid w:val="00674091"/>
    <w:rsid w:val="006740FF"/>
    <w:rsid w:val="0067420B"/>
    <w:rsid w:val="00674225"/>
    <w:rsid w:val="0067481E"/>
    <w:rsid w:val="00674850"/>
    <w:rsid w:val="0067485A"/>
    <w:rsid w:val="00674984"/>
    <w:rsid w:val="006749E6"/>
    <w:rsid w:val="00674D53"/>
    <w:rsid w:val="00674D6A"/>
    <w:rsid w:val="00674D70"/>
    <w:rsid w:val="00674F0D"/>
    <w:rsid w:val="00674F1A"/>
    <w:rsid w:val="00674FC3"/>
    <w:rsid w:val="006750DF"/>
    <w:rsid w:val="006751B1"/>
    <w:rsid w:val="0067545E"/>
    <w:rsid w:val="006755FA"/>
    <w:rsid w:val="006757A0"/>
    <w:rsid w:val="00675871"/>
    <w:rsid w:val="00675AFE"/>
    <w:rsid w:val="00675C5C"/>
    <w:rsid w:val="00676005"/>
    <w:rsid w:val="00676028"/>
    <w:rsid w:val="00676638"/>
    <w:rsid w:val="006766A7"/>
    <w:rsid w:val="006766CF"/>
    <w:rsid w:val="00676705"/>
    <w:rsid w:val="006769A0"/>
    <w:rsid w:val="006769D7"/>
    <w:rsid w:val="00676A38"/>
    <w:rsid w:val="00676B40"/>
    <w:rsid w:val="00676B7F"/>
    <w:rsid w:val="00676C26"/>
    <w:rsid w:val="00676C28"/>
    <w:rsid w:val="0067703C"/>
    <w:rsid w:val="00677339"/>
    <w:rsid w:val="006774F8"/>
    <w:rsid w:val="0067760C"/>
    <w:rsid w:val="006776C5"/>
    <w:rsid w:val="00677760"/>
    <w:rsid w:val="006778DC"/>
    <w:rsid w:val="00677AE5"/>
    <w:rsid w:val="00677BD5"/>
    <w:rsid w:val="00677C69"/>
    <w:rsid w:val="006801C3"/>
    <w:rsid w:val="006802A3"/>
    <w:rsid w:val="00680359"/>
    <w:rsid w:val="00680831"/>
    <w:rsid w:val="006808AD"/>
    <w:rsid w:val="00680E38"/>
    <w:rsid w:val="00680EF3"/>
    <w:rsid w:val="00681153"/>
    <w:rsid w:val="006816B8"/>
    <w:rsid w:val="00681936"/>
    <w:rsid w:val="00681A42"/>
    <w:rsid w:val="00681ACB"/>
    <w:rsid w:val="00681BD8"/>
    <w:rsid w:val="00681C20"/>
    <w:rsid w:val="00682069"/>
    <w:rsid w:val="0068217F"/>
    <w:rsid w:val="0068219A"/>
    <w:rsid w:val="0068222F"/>
    <w:rsid w:val="00682290"/>
    <w:rsid w:val="0068239F"/>
    <w:rsid w:val="00682570"/>
    <w:rsid w:val="00682767"/>
    <w:rsid w:val="00682910"/>
    <w:rsid w:val="0068298D"/>
    <w:rsid w:val="00682B70"/>
    <w:rsid w:val="00682C61"/>
    <w:rsid w:val="00682D59"/>
    <w:rsid w:val="00682E91"/>
    <w:rsid w:val="00682F45"/>
    <w:rsid w:val="00683085"/>
    <w:rsid w:val="006830B7"/>
    <w:rsid w:val="0068313D"/>
    <w:rsid w:val="00683179"/>
    <w:rsid w:val="00683428"/>
    <w:rsid w:val="0068383E"/>
    <w:rsid w:val="00683B63"/>
    <w:rsid w:val="00683B95"/>
    <w:rsid w:val="00683BCA"/>
    <w:rsid w:val="00683BDA"/>
    <w:rsid w:val="00683C13"/>
    <w:rsid w:val="00683CEC"/>
    <w:rsid w:val="00683DDE"/>
    <w:rsid w:val="00684191"/>
    <w:rsid w:val="006841BB"/>
    <w:rsid w:val="0068428B"/>
    <w:rsid w:val="006842E3"/>
    <w:rsid w:val="006843C0"/>
    <w:rsid w:val="00684413"/>
    <w:rsid w:val="0068452A"/>
    <w:rsid w:val="0068461C"/>
    <w:rsid w:val="006847A2"/>
    <w:rsid w:val="006849F2"/>
    <w:rsid w:val="00684DEE"/>
    <w:rsid w:val="0068529C"/>
    <w:rsid w:val="0068558A"/>
    <w:rsid w:val="00685633"/>
    <w:rsid w:val="006856EE"/>
    <w:rsid w:val="00685855"/>
    <w:rsid w:val="0068598E"/>
    <w:rsid w:val="00685A2C"/>
    <w:rsid w:val="00685A2F"/>
    <w:rsid w:val="00685AA1"/>
    <w:rsid w:val="00685B86"/>
    <w:rsid w:val="00685C8C"/>
    <w:rsid w:val="00685E0D"/>
    <w:rsid w:val="00685EA5"/>
    <w:rsid w:val="00685EF3"/>
    <w:rsid w:val="006866ED"/>
    <w:rsid w:val="006867C2"/>
    <w:rsid w:val="0068689D"/>
    <w:rsid w:val="00686944"/>
    <w:rsid w:val="00686B5E"/>
    <w:rsid w:val="00686C68"/>
    <w:rsid w:val="00686C81"/>
    <w:rsid w:val="0068710E"/>
    <w:rsid w:val="0068710F"/>
    <w:rsid w:val="0068717D"/>
    <w:rsid w:val="006873F1"/>
    <w:rsid w:val="006875A2"/>
    <w:rsid w:val="00687F10"/>
    <w:rsid w:val="00687FB3"/>
    <w:rsid w:val="0069018E"/>
    <w:rsid w:val="00690226"/>
    <w:rsid w:val="0069055A"/>
    <w:rsid w:val="006907E0"/>
    <w:rsid w:val="00690DE0"/>
    <w:rsid w:val="00690E61"/>
    <w:rsid w:val="00690EA0"/>
    <w:rsid w:val="00691024"/>
    <w:rsid w:val="006911D5"/>
    <w:rsid w:val="0069128A"/>
    <w:rsid w:val="006914DA"/>
    <w:rsid w:val="00691863"/>
    <w:rsid w:val="00691B71"/>
    <w:rsid w:val="00691EF2"/>
    <w:rsid w:val="00692024"/>
    <w:rsid w:val="0069245A"/>
    <w:rsid w:val="0069277E"/>
    <w:rsid w:val="00692790"/>
    <w:rsid w:val="00692A52"/>
    <w:rsid w:val="00692B9A"/>
    <w:rsid w:val="00692C29"/>
    <w:rsid w:val="00692D6E"/>
    <w:rsid w:val="00692F8C"/>
    <w:rsid w:val="00693042"/>
    <w:rsid w:val="006930EC"/>
    <w:rsid w:val="00693144"/>
    <w:rsid w:val="006932C5"/>
    <w:rsid w:val="0069339D"/>
    <w:rsid w:val="006933A3"/>
    <w:rsid w:val="0069362E"/>
    <w:rsid w:val="0069368A"/>
    <w:rsid w:val="00693738"/>
    <w:rsid w:val="00693744"/>
    <w:rsid w:val="00693814"/>
    <w:rsid w:val="0069394F"/>
    <w:rsid w:val="00693963"/>
    <w:rsid w:val="00693B41"/>
    <w:rsid w:val="00693D29"/>
    <w:rsid w:val="00693D9C"/>
    <w:rsid w:val="00693DB0"/>
    <w:rsid w:val="00693DFA"/>
    <w:rsid w:val="00693E6F"/>
    <w:rsid w:val="00693EBB"/>
    <w:rsid w:val="006942E5"/>
    <w:rsid w:val="00694306"/>
    <w:rsid w:val="00694562"/>
    <w:rsid w:val="00694BB2"/>
    <w:rsid w:val="00694BDB"/>
    <w:rsid w:val="00694D9E"/>
    <w:rsid w:val="00694DD0"/>
    <w:rsid w:val="00694DDA"/>
    <w:rsid w:val="00694E06"/>
    <w:rsid w:val="00694ED1"/>
    <w:rsid w:val="00694FF9"/>
    <w:rsid w:val="00694FFE"/>
    <w:rsid w:val="00695064"/>
    <w:rsid w:val="00695311"/>
    <w:rsid w:val="00695568"/>
    <w:rsid w:val="006955FB"/>
    <w:rsid w:val="00695662"/>
    <w:rsid w:val="00695664"/>
    <w:rsid w:val="0069586E"/>
    <w:rsid w:val="006959F1"/>
    <w:rsid w:val="00695AC5"/>
    <w:rsid w:val="00695DF9"/>
    <w:rsid w:val="00695F40"/>
    <w:rsid w:val="00695F48"/>
    <w:rsid w:val="00696174"/>
    <w:rsid w:val="006961B0"/>
    <w:rsid w:val="00696385"/>
    <w:rsid w:val="006965D5"/>
    <w:rsid w:val="006966FA"/>
    <w:rsid w:val="00696ABD"/>
    <w:rsid w:val="00696DDD"/>
    <w:rsid w:val="00696E5E"/>
    <w:rsid w:val="00696FEF"/>
    <w:rsid w:val="00697409"/>
    <w:rsid w:val="00697534"/>
    <w:rsid w:val="00697908"/>
    <w:rsid w:val="00697C9C"/>
    <w:rsid w:val="00697DFA"/>
    <w:rsid w:val="006A013F"/>
    <w:rsid w:val="006A0378"/>
    <w:rsid w:val="006A03BA"/>
    <w:rsid w:val="006A060B"/>
    <w:rsid w:val="006A088E"/>
    <w:rsid w:val="006A0950"/>
    <w:rsid w:val="006A0983"/>
    <w:rsid w:val="006A09D9"/>
    <w:rsid w:val="006A0CE5"/>
    <w:rsid w:val="006A0E06"/>
    <w:rsid w:val="006A0E76"/>
    <w:rsid w:val="006A11B3"/>
    <w:rsid w:val="006A1311"/>
    <w:rsid w:val="006A140A"/>
    <w:rsid w:val="006A192A"/>
    <w:rsid w:val="006A192E"/>
    <w:rsid w:val="006A1B9B"/>
    <w:rsid w:val="006A1C10"/>
    <w:rsid w:val="006A1D03"/>
    <w:rsid w:val="006A1D76"/>
    <w:rsid w:val="006A1EBF"/>
    <w:rsid w:val="006A1F0A"/>
    <w:rsid w:val="006A20E8"/>
    <w:rsid w:val="006A21EC"/>
    <w:rsid w:val="006A2228"/>
    <w:rsid w:val="006A23F2"/>
    <w:rsid w:val="006A2472"/>
    <w:rsid w:val="006A2629"/>
    <w:rsid w:val="006A2910"/>
    <w:rsid w:val="006A2A5B"/>
    <w:rsid w:val="006A2ADD"/>
    <w:rsid w:val="006A2B3E"/>
    <w:rsid w:val="006A2B96"/>
    <w:rsid w:val="006A2FA2"/>
    <w:rsid w:val="006A3788"/>
    <w:rsid w:val="006A38A8"/>
    <w:rsid w:val="006A39E6"/>
    <w:rsid w:val="006A3A48"/>
    <w:rsid w:val="006A3E29"/>
    <w:rsid w:val="006A3F48"/>
    <w:rsid w:val="006A40A2"/>
    <w:rsid w:val="006A4203"/>
    <w:rsid w:val="006A422B"/>
    <w:rsid w:val="006A42C5"/>
    <w:rsid w:val="006A4323"/>
    <w:rsid w:val="006A441F"/>
    <w:rsid w:val="006A472C"/>
    <w:rsid w:val="006A4786"/>
    <w:rsid w:val="006A48B8"/>
    <w:rsid w:val="006A49F9"/>
    <w:rsid w:val="006A4B4F"/>
    <w:rsid w:val="006A4F0D"/>
    <w:rsid w:val="006A500E"/>
    <w:rsid w:val="006A520C"/>
    <w:rsid w:val="006A5323"/>
    <w:rsid w:val="006A5362"/>
    <w:rsid w:val="006A5374"/>
    <w:rsid w:val="006A551E"/>
    <w:rsid w:val="006A5745"/>
    <w:rsid w:val="006A576B"/>
    <w:rsid w:val="006A5835"/>
    <w:rsid w:val="006A58EA"/>
    <w:rsid w:val="006A58EE"/>
    <w:rsid w:val="006A5949"/>
    <w:rsid w:val="006A59A2"/>
    <w:rsid w:val="006A59CA"/>
    <w:rsid w:val="006A5B2B"/>
    <w:rsid w:val="006A5CB6"/>
    <w:rsid w:val="006A5CE4"/>
    <w:rsid w:val="006A5CF7"/>
    <w:rsid w:val="006A5E42"/>
    <w:rsid w:val="006A60A5"/>
    <w:rsid w:val="006A61A1"/>
    <w:rsid w:val="006A6218"/>
    <w:rsid w:val="006A62B8"/>
    <w:rsid w:val="006A6326"/>
    <w:rsid w:val="006A664C"/>
    <w:rsid w:val="006A6710"/>
    <w:rsid w:val="006A6749"/>
    <w:rsid w:val="006A68B9"/>
    <w:rsid w:val="006A6C10"/>
    <w:rsid w:val="006A6E47"/>
    <w:rsid w:val="006A6F12"/>
    <w:rsid w:val="006A6F56"/>
    <w:rsid w:val="006A70B7"/>
    <w:rsid w:val="006A71A6"/>
    <w:rsid w:val="006A7266"/>
    <w:rsid w:val="006A73A4"/>
    <w:rsid w:val="006A74CC"/>
    <w:rsid w:val="006A75E0"/>
    <w:rsid w:val="006A75FA"/>
    <w:rsid w:val="006A76B2"/>
    <w:rsid w:val="006A7814"/>
    <w:rsid w:val="006A7C63"/>
    <w:rsid w:val="006B070E"/>
    <w:rsid w:val="006B07BC"/>
    <w:rsid w:val="006B0928"/>
    <w:rsid w:val="006B0998"/>
    <w:rsid w:val="006B09BD"/>
    <w:rsid w:val="006B0B1E"/>
    <w:rsid w:val="006B0C24"/>
    <w:rsid w:val="006B0E33"/>
    <w:rsid w:val="006B1014"/>
    <w:rsid w:val="006B1098"/>
    <w:rsid w:val="006B110A"/>
    <w:rsid w:val="006B1267"/>
    <w:rsid w:val="006B152F"/>
    <w:rsid w:val="006B17C2"/>
    <w:rsid w:val="006B184F"/>
    <w:rsid w:val="006B1923"/>
    <w:rsid w:val="006B1AB0"/>
    <w:rsid w:val="006B1C4B"/>
    <w:rsid w:val="006B1C57"/>
    <w:rsid w:val="006B1C7F"/>
    <w:rsid w:val="006B1D58"/>
    <w:rsid w:val="006B1D95"/>
    <w:rsid w:val="006B1E7F"/>
    <w:rsid w:val="006B1EA6"/>
    <w:rsid w:val="006B2103"/>
    <w:rsid w:val="006B225D"/>
    <w:rsid w:val="006B22D6"/>
    <w:rsid w:val="006B2363"/>
    <w:rsid w:val="006B2593"/>
    <w:rsid w:val="006B26B6"/>
    <w:rsid w:val="006B26D1"/>
    <w:rsid w:val="006B2911"/>
    <w:rsid w:val="006B2C9C"/>
    <w:rsid w:val="006B2E9A"/>
    <w:rsid w:val="006B2F27"/>
    <w:rsid w:val="006B344E"/>
    <w:rsid w:val="006B34C0"/>
    <w:rsid w:val="006B35D2"/>
    <w:rsid w:val="006B384E"/>
    <w:rsid w:val="006B3990"/>
    <w:rsid w:val="006B3B30"/>
    <w:rsid w:val="006B3BCF"/>
    <w:rsid w:val="006B3E6D"/>
    <w:rsid w:val="006B423D"/>
    <w:rsid w:val="006B44CC"/>
    <w:rsid w:val="006B46AE"/>
    <w:rsid w:val="006B475B"/>
    <w:rsid w:val="006B47DB"/>
    <w:rsid w:val="006B4A56"/>
    <w:rsid w:val="006B4A5A"/>
    <w:rsid w:val="006B4F07"/>
    <w:rsid w:val="006B4F11"/>
    <w:rsid w:val="006B4F4C"/>
    <w:rsid w:val="006B52E7"/>
    <w:rsid w:val="006B55D1"/>
    <w:rsid w:val="006B5702"/>
    <w:rsid w:val="006B5BC6"/>
    <w:rsid w:val="006B5E07"/>
    <w:rsid w:val="006B6098"/>
    <w:rsid w:val="006B60F0"/>
    <w:rsid w:val="006B616D"/>
    <w:rsid w:val="006B668F"/>
    <w:rsid w:val="006B6C41"/>
    <w:rsid w:val="006B6D57"/>
    <w:rsid w:val="006B7096"/>
    <w:rsid w:val="006B73CA"/>
    <w:rsid w:val="006B754A"/>
    <w:rsid w:val="006B76A5"/>
    <w:rsid w:val="006B7B81"/>
    <w:rsid w:val="006B7FE4"/>
    <w:rsid w:val="006C0171"/>
    <w:rsid w:val="006C0191"/>
    <w:rsid w:val="006C03F2"/>
    <w:rsid w:val="006C0400"/>
    <w:rsid w:val="006C044B"/>
    <w:rsid w:val="006C0635"/>
    <w:rsid w:val="006C06AC"/>
    <w:rsid w:val="006C086E"/>
    <w:rsid w:val="006C1063"/>
    <w:rsid w:val="006C134B"/>
    <w:rsid w:val="006C13A6"/>
    <w:rsid w:val="006C1416"/>
    <w:rsid w:val="006C15CC"/>
    <w:rsid w:val="006C1717"/>
    <w:rsid w:val="006C1981"/>
    <w:rsid w:val="006C1AA2"/>
    <w:rsid w:val="006C1AE8"/>
    <w:rsid w:val="006C1C4E"/>
    <w:rsid w:val="006C1D0A"/>
    <w:rsid w:val="006C1D7B"/>
    <w:rsid w:val="006C1FB4"/>
    <w:rsid w:val="006C208E"/>
    <w:rsid w:val="006C20C0"/>
    <w:rsid w:val="006C212D"/>
    <w:rsid w:val="006C2227"/>
    <w:rsid w:val="006C2489"/>
    <w:rsid w:val="006C264D"/>
    <w:rsid w:val="006C2715"/>
    <w:rsid w:val="006C27AD"/>
    <w:rsid w:val="006C2A48"/>
    <w:rsid w:val="006C2BDC"/>
    <w:rsid w:val="006C2D75"/>
    <w:rsid w:val="006C2D86"/>
    <w:rsid w:val="006C2E9D"/>
    <w:rsid w:val="006C2F5A"/>
    <w:rsid w:val="006C32F8"/>
    <w:rsid w:val="006C3394"/>
    <w:rsid w:val="006C37E1"/>
    <w:rsid w:val="006C3804"/>
    <w:rsid w:val="006C383E"/>
    <w:rsid w:val="006C3844"/>
    <w:rsid w:val="006C385A"/>
    <w:rsid w:val="006C387D"/>
    <w:rsid w:val="006C38D1"/>
    <w:rsid w:val="006C3A5D"/>
    <w:rsid w:val="006C3B03"/>
    <w:rsid w:val="006C3C40"/>
    <w:rsid w:val="006C3C6C"/>
    <w:rsid w:val="006C3ECC"/>
    <w:rsid w:val="006C3F9B"/>
    <w:rsid w:val="006C40C0"/>
    <w:rsid w:val="006C4327"/>
    <w:rsid w:val="006C484C"/>
    <w:rsid w:val="006C4B5F"/>
    <w:rsid w:val="006C4C32"/>
    <w:rsid w:val="006C5285"/>
    <w:rsid w:val="006C5357"/>
    <w:rsid w:val="006C56CA"/>
    <w:rsid w:val="006C5BD6"/>
    <w:rsid w:val="006C5D9B"/>
    <w:rsid w:val="006C62F8"/>
    <w:rsid w:val="006C64C2"/>
    <w:rsid w:val="006C6741"/>
    <w:rsid w:val="006C679F"/>
    <w:rsid w:val="006C6955"/>
    <w:rsid w:val="006C6AEA"/>
    <w:rsid w:val="006C6B84"/>
    <w:rsid w:val="006C6D08"/>
    <w:rsid w:val="006C6EC1"/>
    <w:rsid w:val="006C6ED2"/>
    <w:rsid w:val="006C6FD5"/>
    <w:rsid w:val="006C7029"/>
    <w:rsid w:val="006C70BE"/>
    <w:rsid w:val="006C7209"/>
    <w:rsid w:val="006C72EC"/>
    <w:rsid w:val="006C7385"/>
    <w:rsid w:val="006C73D6"/>
    <w:rsid w:val="006C7485"/>
    <w:rsid w:val="006C7488"/>
    <w:rsid w:val="006C7530"/>
    <w:rsid w:val="006C77B1"/>
    <w:rsid w:val="006C783F"/>
    <w:rsid w:val="006C7C1D"/>
    <w:rsid w:val="006C7C8E"/>
    <w:rsid w:val="006D0090"/>
    <w:rsid w:val="006D012C"/>
    <w:rsid w:val="006D036D"/>
    <w:rsid w:val="006D0403"/>
    <w:rsid w:val="006D0465"/>
    <w:rsid w:val="006D04A2"/>
    <w:rsid w:val="006D0567"/>
    <w:rsid w:val="006D09AC"/>
    <w:rsid w:val="006D0B41"/>
    <w:rsid w:val="006D0CED"/>
    <w:rsid w:val="006D0D6B"/>
    <w:rsid w:val="006D0D7C"/>
    <w:rsid w:val="006D0DB1"/>
    <w:rsid w:val="006D0E25"/>
    <w:rsid w:val="006D0E69"/>
    <w:rsid w:val="006D148B"/>
    <w:rsid w:val="006D1682"/>
    <w:rsid w:val="006D19FF"/>
    <w:rsid w:val="006D1B32"/>
    <w:rsid w:val="006D1E5A"/>
    <w:rsid w:val="006D1F2A"/>
    <w:rsid w:val="006D1F89"/>
    <w:rsid w:val="006D2177"/>
    <w:rsid w:val="006D2329"/>
    <w:rsid w:val="006D2491"/>
    <w:rsid w:val="006D2520"/>
    <w:rsid w:val="006D26A3"/>
    <w:rsid w:val="006D280C"/>
    <w:rsid w:val="006D2B4A"/>
    <w:rsid w:val="006D2B61"/>
    <w:rsid w:val="006D2B7A"/>
    <w:rsid w:val="006D2C5B"/>
    <w:rsid w:val="006D2E13"/>
    <w:rsid w:val="006D2F16"/>
    <w:rsid w:val="006D303A"/>
    <w:rsid w:val="006D3B6B"/>
    <w:rsid w:val="006D3D90"/>
    <w:rsid w:val="006D3DF5"/>
    <w:rsid w:val="006D3EDF"/>
    <w:rsid w:val="006D3FE4"/>
    <w:rsid w:val="006D411D"/>
    <w:rsid w:val="006D43DD"/>
    <w:rsid w:val="006D45BF"/>
    <w:rsid w:val="006D4655"/>
    <w:rsid w:val="006D4711"/>
    <w:rsid w:val="006D4773"/>
    <w:rsid w:val="006D4801"/>
    <w:rsid w:val="006D4847"/>
    <w:rsid w:val="006D4B40"/>
    <w:rsid w:val="006D4BEE"/>
    <w:rsid w:val="006D531A"/>
    <w:rsid w:val="006D5501"/>
    <w:rsid w:val="006D58ED"/>
    <w:rsid w:val="006D591B"/>
    <w:rsid w:val="006D593B"/>
    <w:rsid w:val="006D5BDB"/>
    <w:rsid w:val="006D5C05"/>
    <w:rsid w:val="006D5F2E"/>
    <w:rsid w:val="006D602F"/>
    <w:rsid w:val="006D669F"/>
    <w:rsid w:val="006D679C"/>
    <w:rsid w:val="006D6876"/>
    <w:rsid w:val="006D6920"/>
    <w:rsid w:val="006D69DA"/>
    <w:rsid w:val="006D69F9"/>
    <w:rsid w:val="006D6A36"/>
    <w:rsid w:val="006D6B42"/>
    <w:rsid w:val="006D6C30"/>
    <w:rsid w:val="006D6CBF"/>
    <w:rsid w:val="006D6FBA"/>
    <w:rsid w:val="006D7006"/>
    <w:rsid w:val="006D739F"/>
    <w:rsid w:val="006D7423"/>
    <w:rsid w:val="006D7453"/>
    <w:rsid w:val="006D777A"/>
    <w:rsid w:val="006D78C1"/>
    <w:rsid w:val="006D7A0A"/>
    <w:rsid w:val="006D7E0B"/>
    <w:rsid w:val="006D7EFE"/>
    <w:rsid w:val="006E01D2"/>
    <w:rsid w:val="006E0573"/>
    <w:rsid w:val="006E05AD"/>
    <w:rsid w:val="006E079D"/>
    <w:rsid w:val="006E0849"/>
    <w:rsid w:val="006E08BB"/>
    <w:rsid w:val="006E0C53"/>
    <w:rsid w:val="006E0C5E"/>
    <w:rsid w:val="006E0F54"/>
    <w:rsid w:val="006E1057"/>
    <w:rsid w:val="006E126B"/>
    <w:rsid w:val="006E12A8"/>
    <w:rsid w:val="006E13C5"/>
    <w:rsid w:val="006E1535"/>
    <w:rsid w:val="006E1587"/>
    <w:rsid w:val="006E1745"/>
    <w:rsid w:val="006E1917"/>
    <w:rsid w:val="006E19E1"/>
    <w:rsid w:val="006E1BDC"/>
    <w:rsid w:val="006E1BE7"/>
    <w:rsid w:val="006E1E3E"/>
    <w:rsid w:val="006E1E92"/>
    <w:rsid w:val="006E1FDE"/>
    <w:rsid w:val="006E21F9"/>
    <w:rsid w:val="006E24A5"/>
    <w:rsid w:val="006E25E3"/>
    <w:rsid w:val="006E26C2"/>
    <w:rsid w:val="006E2729"/>
    <w:rsid w:val="006E27C4"/>
    <w:rsid w:val="006E286F"/>
    <w:rsid w:val="006E28CB"/>
    <w:rsid w:val="006E29E6"/>
    <w:rsid w:val="006E2A21"/>
    <w:rsid w:val="006E2B57"/>
    <w:rsid w:val="006E2FD0"/>
    <w:rsid w:val="006E301A"/>
    <w:rsid w:val="006E32A0"/>
    <w:rsid w:val="006E33C4"/>
    <w:rsid w:val="006E341C"/>
    <w:rsid w:val="006E36FE"/>
    <w:rsid w:val="006E386D"/>
    <w:rsid w:val="006E3A42"/>
    <w:rsid w:val="006E3B3C"/>
    <w:rsid w:val="006E3CC8"/>
    <w:rsid w:val="006E3D14"/>
    <w:rsid w:val="006E3E6B"/>
    <w:rsid w:val="006E3E76"/>
    <w:rsid w:val="006E43B5"/>
    <w:rsid w:val="006E44FF"/>
    <w:rsid w:val="006E4526"/>
    <w:rsid w:val="006E46E4"/>
    <w:rsid w:val="006E474B"/>
    <w:rsid w:val="006E4804"/>
    <w:rsid w:val="006E486E"/>
    <w:rsid w:val="006E4C25"/>
    <w:rsid w:val="006E4C58"/>
    <w:rsid w:val="006E4CB2"/>
    <w:rsid w:val="006E4EB2"/>
    <w:rsid w:val="006E4FF4"/>
    <w:rsid w:val="006E5003"/>
    <w:rsid w:val="006E5241"/>
    <w:rsid w:val="006E52C6"/>
    <w:rsid w:val="006E54C7"/>
    <w:rsid w:val="006E5580"/>
    <w:rsid w:val="006E5645"/>
    <w:rsid w:val="006E573E"/>
    <w:rsid w:val="006E583D"/>
    <w:rsid w:val="006E5868"/>
    <w:rsid w:val="006E58CC"/>
    <w:rsid w:val="006E5934"/>
    <w:rsid w:val="006E59EC"/>
    <w:rsid w:val="006E5E41"/>
    <w:rsid w:val="006E6025"/>
    <w:rsid w:val="006E61F0"/>
    <w:rsid w:val="006E634F"/>
    <w:rsid w:val="006E6407"/>
    <w:rsid w:val="006E6420"/>
    <w:rsid w:val="006E6AD0"/>
    <w:rsid w:val="006E6B40"/>
    <w:rsid w:val="006E6D4D"/>
    <w:rsid w:val="006E6D87"/>
    <w:rsid w:val="006E70AD"/>
    <w:rsid w:val="006E7687"/>
    <w:rsid w:val="006E76ED"/>
    <w:rsid w:val="006E7AB6"/>
    <w:rsid w:val="006E7ACB"/>
    <w:rsid w:val="006F00EB"/>
    <w:rsid w:val="006F011F"/>
    <w:rsid w:val="006F048F"/>
    <w:rsid w:val="006F08F4"/>
    <w:rsid w:val="006F09C5"/>
    <w:rsid w:val="006F0B1C"/>
    <w:rsid w:val="006F0C4E"/>
    <w:rsid w:val="006F0D68"/>
    <w:rsid w:val="006F0D89"/>
    <w:rsid w:val="006F0DA7"/>
    <w:rsid w:val="006F1722"/>
    <w:rsid w:val="006F1843"/>
    <w:rsid w:val="006F18D2"/>
    <w:rsid w:val="006F1AEF"/>
    <w:rsid w:val="006F1BD6"/>
    <w:rsid w:val="006F1C9B"/>
    <w:rsid w:val="006F1F62"/>
    <w:rsid w:val="006F25FC"/>
    <w:rsid w:val="006F26E8"/>
    <w:rsid w:val="006F2885"/>
    <w:rsid w:val="006F28E4"/>
    <w:rsid w:val="006F2B43"/>
    <w:rsid w:val="006F2C32"/>
    <w:rsid w:val="006F2C3E"/>
    <w:rsid w:val="006F2DA7"/>
    <w:rsid w:val="006F2EB5"/>
    <w:rsid w:val="006F2F1B"/>
    <w:rsid w:val="006F3530"/>
    <w:rsid w:val="006F3607"/>
    <w:rsid w:val="006F3749"/>
    <w:rsid w:val="006F3752"/>
    <w:rsid w:val="006F38EE"/>
    <w:rsid w:val="006F3925"/>
    <w:rsid w:val="006F39C9"/>
    <w:rsid w:val="006F3ABC"/>
    <w:rsid w:val="006F3B38"/>
    <w:rsid w:val="006F3D7F"/>
    <w:rsid w:val="006F406A"/>
    <w:rsid w:val="006F4254"/>
    <w:rsid w:val="006F47D7"/>
    <w:rsid w:val="006F483D"/>
    <w:rsid w:val="006F4A08"/>
    <w:rsid w:val="006F4BFC"/>
    <w:rsid w:val="006F4D94"/>
    <w:rsid w:val="006F507F"/>
    <w:rsid w:val="006F512A"/>
    <w:rsid w:val="006F515B"/>
    <w:rsid w:val="006F5338"/>
    <w:rsid w:val="006F5603"/>
    <w:rsid w:val="006F56FC"/>
    <w:rsid w:val="006F57EA"/>
    <w:rsid w:val="006F5825"/>
    <w:rsid w:val="006F5B28"/>
    <w:rsid w:val="006F5B40"/>
    <w:rsid w:val="006F5B83"/>
    <w:rsid w:val="006F5C37"/>
    <w:rsid w:val="006F631C"/>
    <w:rsid w:val="006F6607"/>
    <w:rsid w:val="006F671C"/>
    <w:rsid w:val="006F6973"/>
    <w:rsid w:val="006F6C6F"/>
    <w:rsid w:val="006F6CF7"/>
    <w:rsid w:val="006F6D50"/>
    <w:rsid w:val="006F6E17"/>
    <w:rsid w:val="006F6EB5"/>
    <w:rsid w:val="006F77E1"/>
    <w:rsid w:val="006F7855"/>
    <w:rsid w:val="006F79F9"/>
    <w:rsid w:val="0070007F"/>
    <w:rsid w:val="00700321"/>
    <w:rsid w:val="00700421"/>
    <w:rsid w:val="00700468"/>
    <w:rsid w:val="007004DB"/>
    <w:rsid w:val="00700639"/>
    <w:rsid w:val="00700666"/>
    <w:rsid w:val="00700939"/>
    <w:rsid w:val="00700ADF"/>
    <w:rsid w:val="00700CDE"/>
    <w:rsid w:val="00700DD8"/>
    <w:rsid w:val="00701046"/>
    <w:rsid w:val="00701215"/>
    <w:rsid w:val="00701249"/>
    <w:rsid w:val="007015CC"/>
    <w:rsid w:val="007016A7"/>
    <w:rsid w:val="0070188E"/>
    <w:rsid w:val="00701A64"/>
    <w:rsid w:val="00701B0D"/>
    <w:rsid w:val="00701D79"/>
    <w:rsid w:val="00701EA4"/>
    <w:rsid w:val="0070200A"/>
    <w:rsid w:val="00702056"/>
    <w:rsid w:val="0070208A"/>
    <w:rsid w:val="007020EF"/>
    <w:rsid w:val="00702158"/>
    <w:rsid w:val="00702166"/>
    <w:rsid w:val="00702254"/>
    <w:rsid w:val="00702658"/>
    <w:rsid w:val="007029B9"/>
    <w:rsid w:val="00702D99"/>
    <w:rsid w:val="00703005"/>
    <w:rsid w:val="00703098"/>
    <w:rsid w:val="00703193"/>
    <w:rsid w:val="00703460"/>
    <w:rsid w:val="0070348D"/>
    <w:rsid w:val="00703847"/>
    <w:rsid w:val="00703891"/>
    <w:rsid w:val="00703941"/>
    <w:rsid w:val="0070398F"/>
    <w:rsid w:val="00703A29"/>
    <w:rsid w:val="00703CFA"/>
    <w:rsid w:val="00703EB9"/>
    <w:rsid w:val="007042A9"/>
    <w:rsid w:val="00704392"/>
    <w:rsid w:val="007044A1"/>
    <w:rsid w:val="00704684"/>
    <w:rsid w:val="007046FA"/>
    <w:rsid w:val="00704813"/>
    <w:rsid w:val="00704A6E"/>
    <w:rsid w:val="00704C5F"/>
    <w:rsid w:val="00704D61"/>
    <w:rsid w:val="00704E99"/>
    <w:rsid w:val="00704F1A"/>
    <w:rsid w:val="00704FBF"/>
    <w:rsid w:val="007051D9"/>
    <w:rsid w:val="00705641"/>
    <w:rsid w:val="007057E7"/>
    <w:rsid w:val="0070592D"/>
    <w:rsid w:val="0070599E"/>
    <w:rsid w:val="00705A2D"/>
    <w:rsid w:val="00705AE7"/>
    <w:rsid w:val="00705C3D"/>
    <w:rsid w:val="00705D40"/>
    <w:rsid w:val="00705E3F"/>
    <w:rsid w:val="007060DD"/>
    <w:rsid w:val="00706219"/>
    <w:rsid w:val="007062AE"/>
    <w:rsid w:val="00706490"/>
    <w:rsid w:val="00706719"/>
    <w:rsid w:val="00706851"/>
    <w:rsid w:val="00706B5A"/>
    <w:rsid w:val="00706BC4"/>
    <w:rsid w:val="00706C02"/>
    <w:rsid w:val="00706F61"/>
    <w:rsid w:val="00707113"/>
    <w:rsid w:val="00707CDE"/>
    <w:rsid w:val="00707D0A"/>
    <w:rsid w:val="00707E40"/>
    <w:rsid w:val="00707FBC"/>
    <w:rsid w:val="007107D6"/>
    <w:rsid w:val="00710DB5"/>
    <w:rsid w:val="00710E94"/>
    <w:rsid w:val="00711881"/>
    <w:rsid w:val="007118D9"/>
    <w:rsid w:val="00711AC7"/>
    <w:rsid w:val="00711B71"/>
    <w:rsid w:val="00711CA1"/>
    <w:rsid w:val="00711EFD"/>
    <w:rsid w:val="00712298"/>
    <w:rsid w:val="00712331"/>
    <w:rsid w:val="007123D1"/>
    <w:rsid w:val="007126EB"/>
    <w:rsid w:val="00712730"/>
    <w:rsid w:val="00712C0A"/>
    <w:rsid w:val="00712C7A"/>
    <w:rsid w:val="00712D4C"/>
    <w:rsid w:val="00712E85"/>
    <w:rsid w:val="00712ED2"/>
    <w:rsid w:val="00712F63"/>
    <w:rsid w:val="0071306F"/>
    <w:rsid w:val="00713116"/>
    <w:rsid w:val="007132FB"/>
    <w:rsid w:val="007133D8"/>
    <w:rsid w:val="00713536"/>
    <w:rsid w:val="007135DC"/>
    <w:rsid w:val="00713B1F"/>
    <w:rsid w:val="00713CEA"/>
    <w:rsid w:val="00713EBE"/>
    <w:rsid w:val="00713EBF"/>
    <w:rsid w:val="00713F58"/>
    <w:rsid w:val="00713FAE"/>
    <w:rsid w:val="0071402C"/>
    <w:rsid w:val="00714074"/>
    <w:rsid w:val="007143DE"/>
    <w:rsid w:val="0071458C"/>
    <w:rsid w:val="00714863"/>
    <w:rsid w:val="00714F01"/>
    <w:rsid w:val="00715112"/>
    <w:rsid w:val="00715114"/>
    <w:rsid w:val="007151AA"/>
    <w:rsid w:val="0071529A"/>
    <w:rsid w:val="0071531F"/>
    <w:rsid w:val="00715458"/>
    <w:rsid w:val="0071562D"/>
    <w:rsid w:val="00715951"/>
    <w:rsid w:val="00715AA3"/>
    <w:rsid w:val="00715AB7"/>
    <w:rsid w:val="00715AEB"/>
    <w:rsid w:val="00715C73"/>
    <w:rsid w:val="00715F27"/>
    <w:rsid w:val="00716035"/>
    <w:rsid w:val="007160B7"/>
    <w:rsid w:val="00716347"/>
    <w:rsid w:val="00716569"/>
    <w:rsid w:val="007166DD"/>
    <w:rsid w:val="00716758"/>
    <w:rsid w:val="00716775"/>
    <w:rsid w:val="00716793"/>
    <w:rsid w:val="00716A77"/>
    <w:rsid w:val="00716AB1"/>
    <w:rsid w:val="00716B96"/>
    <w:rsid w:val="00716C19"/>
    <w:rsid w:val="007171C7"/>
    <w:rsid w:val="00717452"/>
    <w:rsid w:val="007176FC"/>
    <w:rsid w:val="00717954"/>
    <w:rsid w:val="00717BED"/>
    <w:rsid w:val="00720036"/>
    <w:rsid w:val="007204B3"/>
    <w:rsid w:val="007204B5"/>
    <w:rsid w:val="007207AF"/>
    <w:rsid w:val="00720A30"/>
    <w:rsid w:val="00720A32"/>
    <w:rsid w:val="00720ADA"/>
    <w:rsid w:val="00720B6E"/>
    <w:rsid w:val="0072103D"/>
    <w:rsid w:val="007213BD"/>
    <w:rsid w:val="0072178B"/>
    <w:rsid w:val="007217AF"/>
    <w:rsid w:val="00721AED"/>
    <w:rsid w:val="00721BAA"/>
    <w:rsid w:val="00721C79"/>
    <w:rsid w:val="00722320"/>
    <w:rsid w:val="0072247A"/>
    <w:rsid w:val="00722625"/>
    <w:rsid w:val="00722659"/>
    <w:rsid w:val="0072296A"/>
    <w:rsid w:val="00722D97"/>
    <w:rsid w:val="007232DF"/>
    <w:rsid w:val="00723438"/>
    <w:rsid w:val="00723454"/>
    <w:rsid w:val="00723548"/>
    <w:rsid w:val="00723860"/>
    <w:rsid w:val="00723867"/>
    <w:rsid w:val="00723958"/>
    <w:rsid w:val="00723A3C"/>
    <w:rsid w:val="00723B0A"/>
    <w:rsid w:val="00723E2B"/>
    <w:rsid w:val="00723E76"/>
    <w:rsid w:val="007247F4"/>
    <w:rsid w:val="00724A18"/>
    <w:rsid w:val="00724A8A"/>
    <w:rsid w:val="00724AE3"/>
    <w:rsid w:val="00724DAA"/>
    <w:rsid w:val="00725150"/>
    <w:rsid w:val="0072530D"/>
    <w:rsid w:val="00725388"/>
    <w:rsid w:val="007253AB"/>
    <w:rsid w:val="00725450"/>
    <w:rsid w:val="0072560D"/>
    <w:rsid w:val="0072575B"/>
    <w:rsid w:val="00725780"/>
    <w:rsid w:val="0072582D"/>
    <w:rsid w:val="00725EFF"/>
    <w:rsid w:val="0072629C"/>
    <w:rsid w:val="0072672C"/>
    <w:rsid w:val="007268D5"/>
    <w:rsid w:val="007269B2"/>
    <w:rsid w:val="00726A04"/>
    <w:rsid w:val="00726C7F"/>
    <w:rsid w:val="00726E67"/>
    <w:rsid w:val="007272D1"/>
    <w:rsid w:val="0072766A"/>
    <w:rsid w:val="007277E7"/>
    <w:rsid w:val="00727A5E"/>
    <w:rsid w:val="00727D2A"/>
    <w:rsid w:val="00727E2E"/>
    <w:rsid w:val="007300F5"/>
    <w:rsid w:val="00730690"/>
    <w:rsid w:val="00730B42"/>
    <w:rsid w:val="00730C4D"/>
    <w:rsid w:val="00730D68"/>
    <w:rsid w:val="00730E3B"/>
    <w:rsid w:val="00730F2E"/>
    <w:rsid w:val="0073101D"/>
    <w:rsid w:val="007313E3"/>
    <w:rsid w:val="00731508"/>
    <w:rsid w:val="00731653"/>
    <w:rsid w:val="00731668"/>
    <w:rsid w:val="007318EF"/>
    <w:rsid w:val="00731B0D"/>
    <w:rsid w:val="00731B11"/>
    <w:rsid w:val="00731DBC"/>
    <w:rsid w:val="00731FB4"/>
    <w:rsid w:val="00732061"/>
    <w:rsid w:val="007322CA"/>
    <w:rsid w:val="00732493"/>
    <w:rsid w:val="007324FB"/>
    <w:rsid w:val="0073253A"/>
    <w:rsid w:val="00732572"/>
    <w:rsid w:val="007326AB"/>
    <w:rsid w:val="00732764"/>
    <w:rsid w:val="00732853"/>
    <w:rsid w:val="00732A4E"/>
    <w:rsid w:val="00732AEF"/>
    <w:rsid w:val="00732F02"/>
    <w:rsid w:val="0073318F"/>
    <w:rsid w:val="0073322D"/>
    <w:rsid w:val="00733375"/>
    <w:rsid w:val="00733ACA"/>
    <w:rsid w:val="00733BE3"/>
    <w:rsid w:val="00733CE8"/>
    <w:rsid w:val="00733FD2"/>
    <w:rsid w:val="00734191"/>
    <w:rsid w:val="007341AF"/>
    <w:rsid w:val="00734530"/>
    <w:rsid w:val="0073467F"/>
    <w:rsid w:val="007347FC"/>
    <w:rsid w:val="0073484A"/>
    <w:rsid w:val="00734948"/>
    <w:rsid w:val="00734AFA"/>
    <w:rsid w:val="00734EFB"/>
    <w:rsid w:val="00735143"/>
    <w:rsid w:val="0073528F"/>
    <w:rsid w:val="0073532A"/>
    <w:rsid w:val="00735381"/>
    <w:rsid w:val="00735584"/>
    <w:rsid w:val="007355BD"/>
    <w:rsid w:val="007355FC"/>
    <w:rsid w:val="0073582F"/>
    <w:rsid w:val="00735E96"/>
    <w:rsid w:val="0073607A"/>
    <w:rsid w:val="007363FF"/>
    <w:rsid w:val="0073682E"/>
    <w:rsid w:val="00736869"/>
    <w:rsid w:val="00736E87"/>
    <w:rsid w:val="007370CB"/>
    <w:rsid w:val="0073712C"/>
    <w:rsid w:val="0073727D"/>
    <w:rsid w:val="007373A7"/>
    <w:rsid w:val="007375CF"/>
    <w:rsid w:val="00737656"/>
    <w:rsid w:val="007377A3"/>
    <w:rsid w:val="00737954"/>
    <w:rsid w:val="007379D0"/>
    <w:rsid w:val="00737A34"/>
    <w:rsid w:val="00737B7B"/>
    <w:rsid w:val="00737CD6"/>
    <w:rsid w:val="00737D8F"/>
    <w:rsid w:val="00737DE6"/>
    <w:rsid w:val="00737E02"/>
    <w:rsid w:val="00740397"/>
    <w:rsid w:val="0074095E"/>
    <w:rsid w:val="00740A4B"/>
    <w:rsid w:val="00740BB8"/>
    <w:rsid w:val="00740C6F"/>
    <w:rsid w:val="007410A5"/>
    <w:rsid w:val="007410B5"/>
    <w:rsid w:val="007412D0"/>
    <w:rsid w:val="00741336"/>
    <w:rsid w:val="007414D5"/>
    <w:rsid w:val="007415CA"/>
    <w:rsid w:val="007417A8"/>
    <w:rsid w:val="00741950"/>
    <w:rsid w:val="00741C98"/>
    <w:rsid w:val="00741EBB"/>
    <w:rsid w:val="0074202E"/>
    <w:rsid w:val="00742035"/>
    <w:rsid w:val="0074224F"/>
    <w:rsid w:val="00742358"/>
    <w:rsid w:val="00742411"/>
    <w:rsid w:val="0074251F"/>
    <w:rsid w:val="007425D6"/>
    <w:rsid w:val="007426BA"/>
    <w:rsid w:val="007427D5"/>
    <w:rsid w:val="00742833"/>
    <w:rsid w:val="00742AF3"/>
    <w:rsid w:val="00742BDE"/>
    <w:rsid w:val="00742E0B"/>
    <w:rsid w:val="0074313A"/>
    <w:rsid w:val="00743285"/>
    <w:rsid w:val="00743309"/>
    <w:rsid w:val="0074356E"/>
    <w:rsid w:val="00743ABB"/>
    <w:rsid w:val="00743BE2"/>
    <w:rsid w:val="00743E64"/>
    <w:rsid w:val="00743FDD"/>
    <w:rsid w:val="007441DC"/>
    <w:rsid w:val="00744336"/>
    <w:rsid w:val="00744422"/>
    <w:rsid w:val="0074458D"/>
    <w:rsid w:val="007445A0"/>
    <w:rsid w:val="00744766"/>
    <w:rsid w:val="007447C6"/>
    <w:rsid w:val="0074482E"/>
    <w:rsid w:val="007449B7"/>
    <w:rsid w:val="00744E27"/>
    <w:rsid w:val="00744E9B"/>
    <w:rsid w:val="00744EEE"/>
    <w:rsid w:val="007451ED"/>
    <w:rsid w:val="007453BA"/>
    <w:rsid w:val="0074541E"/>
    <w:rsid w:val="007454C2"/>
    <w:rsid w:val="00745611"/>
    <w:rsid w:val="007458F9"/>
    <w:rsid w:val="0074593F"/>
    <w:rsid w:val="00745954"/>
    <w:rsid w:val="00745A0B"/>
    <w:rsid w:val="00745A87"/>
    <w:rsid w:val="00745A91"/>
    <w:rsid w:val="00745B28"/>
    <w:rsid w:val="00745D50"/>
    <w:rsid w:val="007460A9"/>
    <w:rsid w:val="007465ED"/>
    <w:rsid w:val="00746BA4"/>
    <w:rsid w:val="00746BAF"/>
    <w:rsid w:val="00746D1D"/>
    <w:rsid w:val="00746D72"/>
    <w:rsid w:val="00746D88"/>
    <w:rsid w:val="00746DA2"/>
    <w:rsid w:val="007470FD"/>
    <w:rsid w:val="0074713E"/>
    <w:rsid w:val="0074716E"/>
    <w:rsid w:val="007473AC"/>
    <w:rsid w:val="007473D6"/>
    <w:rsid w:val="007475DC"/>
    <w:rsid w:val="007476DA"/>
    <w:rsid w:val="007476EA"/>
    <w:rsid w:val="00747799"/>
    <w:rsid w:val="00747979"/>
    <w:rsid w:val="00747AFD"/>
    <w:rsid w:val="00747C62"/>
    <w:rsid w:val="00747D6A"/>
    <w:rsid w:val="00747F18"/>
    <w:rsid w:val="00747FA5"/>
    <w:rsid w:val="00747FC8"/>
    <w:rsid w:val="0075000E"/>
    <w:rsid w:val="00750129"/>
    <w:rsid w:val="007501EB"/>
    <w:rsid w:val="00750357"/>
    <w:rsid w:val="0075052D"/>
    <w:rsid w:val="00750609"/>
    <w:rsid w:val="007506B6"/>
    <w:rsid w:val="00750AE6"/>
    <w:rsid w:val="00750C02"/>
    <w:rsid w:val="00750C43"/>
    <w:rsid w:val="00750DCE"/>
    <w:rsid w:val="007511D0"/>
    <w:rsid w:val="0075162E"/>
    <w:rsid w:val="0075167E"/>
    <w:rsid w:val="0075182A"/>
    <w:rsid w:val="007518F4"/>
    <w:rsid w:val="00751D58"/>
    <w:rsid w:val="00751E85"/>
    <w:rsid w:val="007524D7"/>
    <w:rsid w:val="0075258F"/>
    <w:rsid w:val="00752864"/>
    <w:rsid w:val="00752984"/>
    <w:rsid w:val="00752E19"/>
    <w:rsid w:val="00753679"/>
    <w:rsid w:val="0075367D"/>
    <w:rsid w:val="00753965"/>
    <w:rsid w:val="007539DA"/>
    <w:rsid w:val="00753AE7"/>
    <w:rsid w:val="00753CF7"/>
    <w:rsid w:val="00753DBC"/>
    <w:rsid w:val="00753DD9"/>
    <w:rsid w:val="00753FE9"/>
    <w:rsid w:val="0075416E"/>
    <w:rsid w:val="00754458"/>
    <w:rsid w:val="00754497"/>
    <w:rsid w:val="0075452B"/>
    <w:rsid w:val="00754739"/>
    <w:rsid w:val="0075483F"/>
    <w:rsid w:val="007549CB"/>
    <w:rsid w:val="00754AC3"/>
    <w:rsid w:val="00754C7F"/>
    <w:rsid w:val="00754CA5"/>
    <w:rsid w:val="00754E0E"/>
    <w:rsid w:val="00754F17"/>
    <w:rsid w:val="007550B2"/>
    <w:rsid w:val="0075524A"/>
    <w:rsid w:val="00755274"/>
    <w:rsid w:val="00755336"/>
    <w:rsid w:val="0075537C"/>
    <w:rsid w:val="007553B6"/>
    <w:rsid w:val="0075542A"/>
    <w:rsid w:val="0075554A"/>
    <w:rsid w:val="0075581E"/>
    <w:rsid w:val="0075591C"/>
    <w:rsid w:val="00755C8F"/>
    <w:rsid w:val="007562F0"/>
    <w:rsid w:val="007563FF"/>
    <w:rsid w:val="00756534"/>
    <w:rsid w:val="00756555"/>
    <w:rsid w:val="00756593"/>
    <w:rsid w:val="0075668B"/>
    <w:rsid w:val="007566A9"/>
    <w:rsid w:val="007567BA"/>
    <w:rsid w:val="00756826"/>
    <w:rsid w:val="00756887"/>
    <w:rsid w:val="007569D5"/>
    <w:rsid w:val="00756AFB"/>
    <w:rsid w:val="00756C88"/>
    <w:rsid w:val="00756EF3"/>
    <w:rsid w:val="00757080"/>
    <w:rsid w:val="00757220"/>
    <w:rsid w:val="0075748F"/>
    <w:rsid w:val="0075777A"/>
    <w:rsid w:val="007577B3"/>
    <w:rsid w:val="00757B29"/>
    <w:rsid w:val="00757B35"/>
    <w:rsid w:val="00757D9F"/>
    <w:rsid w:val="00757E24"/>
    <w:rsid w:val="00757E2A"/>
    <w:rsid w:val="00757EA5"/>
    <w:rsid w:val="0076002F"/>
    <w:rsid w:val="00760534"/>
    <w:rsid w:val="0076076D"/>
    <w:rsid w:val="00760827"/>
    <w:rsid w:val="00760846"/>
    <w:rsid w:val="00760968"/>
    <w:rsid w:val="00761129"/>
    <w:rsid w:val="00761257"/>
    <w:rsid w:val="007612FF"/>
    <w:rsid w:val="007617FC"/>
    <w:rsid w:val="007619E9"/>
    <w:rsid w:val="007619F7"/>
    <w:rsid w:val="00761A81"/>
    <w:rsid w:val="00761A89"/>
    <w:rsid w:val="00761B24"/>
    <w:rsid w:val="00761B66"/>
    <w:rsid w:val="00761DF2"/>
    <w:rsid w:val="00761DF4"/>
    <w:rsid w:val="00761F9A"/>
    <w:rsid w:val="00762024"/>
    <w:rsid w:val="00762077"/>
    <w:rsid w:val="00762182"/>
    <w:rsid w:val="007622F8"/>
    <w:rsid w:val="007624F5"/>
    <w:rsid w:val="00762545"/>
    <w:rsid w:val="007625E7"/>
    <w:rsid w:val="0076267E"/>
    <w:rsid w:val="00762A37"/>
    <w:rsid w:val="00762BC9"/>
    <w:rsid w:val="00762C6C"/>
    <w:rsid w:val="00762C7C"/>
    <w:rsid w:val="00762CB1"/>
    <w:rsid w:val="00762CE7"/>
    <w:rsid w:val="0076341E"/>
    <w:rsid w:val="00763443"/>
    <w:rsid w:val="007634C5"/>
    <w:rsid w:val="0076355B"/>
    <w:rsid w:val="007638C5"/>
    <w:rsid w:val="00763D2D"/>
    <w:rsid w:val="00763DDB"/>
    <w:rsid w:val="00763E13"/>
    <w:rsid w:val="00764224"/>
    <w:rsid w:val="0076441E"/>
    <w:rsid w:val="007645CB"/>
    <w:rsid w:val="007646CD"/>
    <w:rsid w:val="00764705"/>
    <w:rsid w:val="0076474D"/>
    <w:rsid w:val="00764922"/>
    <w:rsid w:val="00764B1F"/>
    <w:rsid w:val="00764E47"/>
    <w:rsid w:val="00764EA2"/>
    <w:rsid w:val="007650EE"/>
    <w:rsid w:val="00765390"/>
    <w:rsid w:val="007655A6"/>
    <w:rsid w:val="007657C9"/>
    <w:rsid w:val="007657DC"/>
    <w:rsid w:val="00765AF9"/>
    <w:rsid w:val="00765B23"/>
    <w:rsid w:val="00765D3E"/>
    <w:rsid w:val="00765D9B"/>
    <w:rsid w:val="00765E92"/>
    <w:rsid w:val="00765F00"/>
    <w:rsid w:val="007661C4"/>
    <w:rsid w:val="00766220"/>
    <w:rsid w:val="0076665A"/>
    <w:rsid w:val="0076674F"/>
    <w:rsid w:val="0076686D"/>
    <w:rsid w:val="007668B4"/>
    <w:rsid w:val="007669AE"/>
    <w:rsid w:val="007669D2"/>
    <w:rsid w:val="00766A90"/>
    <w:rsid w:val="00766ABA"/>
    <w:rsid w:val="00766D64"/>
    <w:rsid w:val="00766F5D"/>
    <w:rsid w:val="00766FB1"/>
    <w:rsid w:val="00767042"/>
    <w:rsid w:val="007672D5"/>
    <w:rsid w:val="00767392"/>
    <w:rsid w:val="00767404"/>
    <w:rsid w:val="00767412"/>
    <w:rsid w:val="007675AC"/>
    <w:rsid w:val="00767745"/>
    <w:rsid w:val="007679F9"/>
    <w:rsid w:val="00767B3A"/>
    <w:rsid w:val="00767D99"/>
    <w:rsid w:val="007700D2"/>
    <w:rsid w:val="00770278"/>
    <w:rsid w:val="00770366"/>
    <w:rsid w:val="00770577"/>
    <w:rsid w:val="00770C99"/>
    <w:rsid w:val="00770D1F"/>
    <w:rsid w:val="00770E17"/>
    <w:rsid w:val="007710B3"/>
    <w:rsid w:val="00771281"/>
    <w:rsid w:val="007712CE"/>
    <w:rsid w:val="007714BC"/>
    <w:rsid w:val="00771686"/>
    <w:rsid w:val="0077196C"/>
    <w:rsid w:val="007719CB"/>
    <w:rsid w:val="007719CE"/>
    <w:rsid w:val="00771BE2"/>
    <w:rsid w:val="00771E4C"/>
    <w:rsid w:val="00771EFC"/>
    <w:rsid w:val="007721CD"/>
    <w:rsid w:val="007722D7"/>
    <w:rsid w:val="007725FC"/>
    <w:rsid w:val="00772774"/>
    <w:rsid w:val="007729D8"/>
    <w:rsid w:val="00772A66"/>
    <w:rsid w:val="00772CC6"/>
    <w:rsid w:val="00772D01"/>
    <w:rsid w:val="00772D63"/>
    <w:rsid w:val="00772DCF"/>
    <w:rsid w:val="00772E63"/>
    <w:rsid w:val="007730C5"/>
    <w:rsid w:val="00773625"/>
    <w:rsid w:val="00773816"/>
    <w:rsid w:val="007738E2"/>
    <w:rsid w:val="00773B59"/>
    <w:rsid w:val="00773F4F"/>
    <w:rsid w:val="0077406C"/>
    <w:rsid w:val="00774156"/>
    <w:rsid w:val="00774502"/>
    <w:rsid w:val="00774524"/>
    <w:rsid w:val="0077483D"/>
    <w:rsid w:val="007749C0"/>
    <w:rsid w:val="00774BA2"/>
    <w:rsid w:val="00774D37"/>
    <w:rsid w:val="00774F68"/>
    <w:rsid w:val="00774FD2"/>
    <w:rsid w:val="007750A5"/>
    <w:rsid w:val="007750E9"/>
    <w:rsid w:val="00775165"/>
    <w:rsid w:val="0077540F"/>
    <w:rsid w:val="0077545E"/>
    <w:rsid w:val="00775665"/>
    <w:rsid w:val="0077569A"/>
    <w:rsid w:val="00775753"/>
    <w:rsid w:val="00775891"/>
    <w:rsid w:val="007758DF"/>
    <w:rsid w:val="00775A47"/>
    <w:rsid w:val="00775ABB"/>
    <w:rsid w:val="00775E33"/>
    <w:rsid w:val="00775E51"/>
    <w:rsid w:val="0077622F"/>
    <w:rsid w:val="007763F7"/>
    <w:rsid w:val="00776484"/>
    <w:rsid w:val="007765EE"/>
    <w:rsid w:val="00776AF5"/>
    <w:rsid w:val="00776C54"/>
    <w:rsid w:val="00776DE5"/>
    <w:rsid w:val="00776DFE"/>
    <w:rsid w:val="007773F9"/>
    <w:rsid w:val="007774DF"/>
    <w:rsid w:val="007774FB"/>
    <w:rsid w:val="0077752F"/>
    <w:rsid w:val="00777534"/>
    <w:rsid w:val="00777792"/>
    <w:rsid w:val="0077789B"/>
    <w:rsid w:val="00777B09"/>
    <w:rsid w:val="00777B37"/>
    <w:rsid w:val="00777CDE"/>
    <w:rsid w:val="00777DF7"/>
    <w:rsid w:val="00777FA4"/>
    <w:rsid w:val="00777FE7"/>
    <w:rsid w:val="00780088"/>
    <w:rsid w:val="00780112"/>
    <w:rsid w:val="00780300"/>
    <w:rsid w:val="0078035A"/>
    <w:rsid w:val="007804B8"/>
    <w:rsid w:val="00780686"/>
    <w:rsid w:val="0078088E"/>
    <w:rsid w:val="00780946"/>
    <w:rsid w:val="00780E14"/>
    <w:rsid w:val="00780FE5"/>
    <w:rsid w:val="0078109E"/>
    <w:rsid w:val="00781165"/>
    <w:rsid w:val="007812D4"/>
    <w:rsid w:val="0078136B"/>
    <w:rsid w:val="007813F9"/>
    <w:rsid w:val="00781574"/>
    <w:rsid w:val="0078159D"/>
    <w:rsid w:val="007815DD"/>
    <w:rsid w:val="00781602"/>
    <w:rsid w:val="00781AA9"/>
    <w:rsid w:val="00781B1C"/>
    <w:rsid w:val="00781BA6"/>
    <w:rsid w:val="00781D15"/>
    <w:rsid w:val="00781E3C"/>
    <w:rsid w:val="00781EFB"/>
    <w:rsid w:val="00781F7B"/>
    <w:rsid w:val="0078212B"/>
    <w:rsid w:val="0078242C"/>
    <w:rsid w:val="007824CC"/>
    <w:rsid w:val="007824E4"/>
    <w:rsid w:val="00782851"/>
    <w:rsid w:val="00782A6D"/>
    <w:rsid w:val="00782CD4"/>
    <w:rsid w:val="00782EDC"/>
    <w:rsid w:val="00782EE2"/>
    <w:rsid w:val="00782F4A"/>
    <w:rsid w:val="007831EC"/>
    <w:rsid w:val="007831FD"/>
    <w:rsid w:val="007832E2"/>
    <w:rsid w:val="00783455"/>
    <w:rsid w:val="0078364B"/>
    <w:rsid w:val="007836DE"/>
    <w:rsid w:val="007837E5"/>
    <w:rsid w:val="00783961"/>
    <w:rsid w:val="00783D1D"/>
    <w:rsid w:val="00783D5C"/>
    <w:rsid w:val="00783E65"/>
    <w:rsid w:val="00783EEA"/>
    <w:rsid w:val="00783EFE"/>
    <w:rsid w:val="0078413C"/>
    <w:rsid w:val="00784153"/>
    <w:rsid w:val="00784332"/>
    <w:rsid w:val="007845C1"/>
    <w:rsid w:val="0078464C"/>
    <w:rsid w:val="0078476B"/>
    <w:rsid w:val="00784C9D"/>
    <w:rsid w:val="00784FF2"/>
    <w:rsid w:val="0078500A"/>
    <w:rsid w:val="00785061"/>
    <w:rsid w:val="0078507B"/>
    <w:rsid w:val="0078526C"/>
    <w:rsid w:val="007856C0"/>
    <w:rsid w:val="007858FF"/>
    <w:rsid w:val="00785910"/>
    <w:rsid w:val="00785A10"/>
    <w:rsid w:val="00785A8B"/>
    <w:rsid w:val="00785E90"/>
    <w:rsid w:val="0078604A"/>
    <w:rsid w:val="007860CE"/>
    <w:rsid w:val="00786234"/>
    <w:rsid w:val="0078666C"/>
    <w:rsid w:val="0078675F"/>
    <w:rsid w:val="00786802"/>
    <w:rsid w:val="0078683D"/>
    <w:rsid w:val="007868AC"/>
    <w:rsid w:val="00786F8C"/>
    <w:rsid w:val="00787048"/>
    <w:rsid w:val="00787427"/>
    <w:rsid w:val="007874F6"/>
    <w:rsid w:val="007879BB"/>
    <w:rsid w:val="00787EDE"/>
    <w:rsid w:val="00787EEB"/>
    <w:rsid w:val="00787F1D"/>
    <w:rsid w:val="0078A879"/>
    <w:rsid w:val="00790697"/>
    <w:rsid w:val="007906C8"/>
    <w:rsid w:val="00790773"/>
    <w:rsid w:val="007907F5"/>
    <w:rsid w:val="007908F6"/>
    <w:rsid w:val="00790A47"/>
    <w:rsid w:val="00790C21"/>
    <w:rsid w:val="00790CA1"/>
    <w:rsid w:val="00790D99"/>
    <w:rsid w:val="00790EEB"/>
    <w:rsid w:val="0079106C"/>
    <w:rsid w:val="007910DB"/>
    <w:rsid w:val="0079112F"/>
    <w:rsid w:val="007911B1"/>
    <w:rsid w:val="007911C5"/>
    <w:rsid w:val="0079128F"/>
    <w:rsid w:val="007913F6"/>
    <w:rsid w:val="0079154B"/>
    <w:rsid w:val="00791652"/>
    <w:rsid w:val="0079166F"/>
    <w:rsid w:val="007916E6"/>
    <w:rsid w:val="007917AD"/>
    <w:rsid w:val="00791834"/>
    <w:rsid w:val="00791954"/>
    <w:rsid w:val="00791A64"/>
    <w:rsid w:val="00791C15"/>
    <w:rsid w:val="00791C8A"/>
    <w:rsid w:val="00791DE3"/>
    <w:rsid w:val="00792236"/>
    <w:rsid w:val="0079236C"/>
    <w:rsid w:val="00792488"/>
    <w:rsid w:val="007928D7"/>
    <w:rsid w:val="00792B1F"/>
    <w:rsid w:val="00792B60"/>
    <w:rsid w:val="00792C99"/>
    <w:rsid w:val="00792D0D"/>
    <w:rsid w:val="00792F21"/>
    <w:rsid w:val="00793210"/>
    <w:rsid w:val="0079333C"/>
    <w:rsid w:val="00793346"/>
    <w:rsid w:val="00793489"/>
    <w:rsid w:val="007934D3"/>
    <w:rsid w:val="00793850"/>
    <w:rsid w:val="00793D00"/>
    <w:rsid w:val="007940DF"/>
    <w:rsid w:val="0079422E"/>
    <w:rsid w:val="00794289"/>
    <w:rsid w:val="00794366"/>
    <w:rsid w:val="0079459B"/>
    <w:rsid w:val="00794670"/>
    <w:rsid w:val="00794773"/>
    <w:rsid w:val="0079487C"/>
    <w:rsid w:val="00794A7F"/>
    <w:rsid w:val="00794B99"/>
    <w:rsid w:val="00794C84"/>
    <w:rsid w:val="00794D07"/>
    <w:rsid w:val="00794EEC"/>
    <w:rsid w:val="00794FB8"/>
    <w:rsid w:val="00795053"/>
    <w:rsid w:val="0079506D"/>
    <w:rsid w:val="007950A2"/>
    <w:rsid w:val="007953C1"/>
    <w:rsid w:val="007957C0"/>
    <w:rsid w:val="00795C22"/>
    <w:rsid w:val="00795C7D"/>
    <w:rsid w:val="0079607D"/>
    <w:rsid w:val="00796271"/>
    <w:rsid w:val="007962E0"/>
    <w:rsid w:val="007964DE"/>
    <w:rsid w:val="00796566"/>
    <w:rsid w:val="0079658F"/>
    <w:rsid w:val="00796959"/>
    <w:rsid w:val="007969AE"/>
    <w:rsid w:val="00796BE0"/>
    <w:rsid w:val="00796C73"/>
    <w:rsid w:val="00796D2A"/>
    <w:rsid w:val="00796D36"/>
    <w:rsid w:val="00797044"/>
    <w:rsid w:val="007973C2"/>
    <w:rsid w:val="00797519"/>
    <w:rsid w:val="00797812"/>
    <w:rsid w:val="007978C3"/>
    <w:rsid w:val="007978DF"/>
    <w:rsid w:val="00797B2B"/>
    <w:rsid w:val="00797B2C"/>
    <w:rsid w:val="007A00A0"/>
    <w:rsid w:val="007A00E3"/>
    <w:rsid w:val="007A0591"/>
    <w:rsid w:val="007A06B7"/>
    <w:rsid w:val="007A0814"/>
    <w:rsid w:val="007A0BF9"/>
    <w:rsid w:val="007A0C61"/>
    <w:rsid w:val="007A0E43"/>
    <w:rsid w:val="007A0F1C"/>
    <w:rsid w:val="007A1023"/>
    <w:rsid w:val="007A10E4"/>
    <w:rsid w:val="007A12BF"/>
    <w:rsid w:val="007A13BB"/>
    <w:rsid w:val="007A1494"/>
    <w:rsid w:val="007A1543"/>
    <w:rsid w:val="007A15EF"/>
    <w:rsid w:val="007A1CFB"/>
    <w:rsid w:val="007A1D7A"/>
    <w:rsid w:val="007A1EBB"/>
    <w:rsid w:val="007A1F10"/>
    <w:rsid w:val="007A230F"/>
    <w:rsid w:val="007A24F6"/>
    <w:rsid w:val="007A2607"/>
    <w:rsid w:val="007A2A3A"/>
    <w:rsid w:val="007A2A4A"/>
    <w:rsid w:val="007A2E3C"/>
    <w:rsid w:val="007A30B3"/>
    <w:rsid w:val="007A342B"/>
    <w:rsid w:val="007A34AE"/>
    <w:rsid w:val="007A3542"/>
    <w:rsid w:val="007A35D8"/>
    <w:rsid w:val="007A39DC"/>
    <w:rsid w:val="007A3B2A"/>
    <w:rsid w:val="007A3B9F"/>
    <w:rsid w:val="007A3D0B"/>
    <w:rsid w:val="007A3DA4"/>
    <w:rsid w:val="007A3DCF"/>
    <w:rsid w:val="007A3DDC"/>
    <w:rsid w:val="007A409D"/>
    <w:rsid w:val="007A40AC"/>
    <w:rsid w:val="007A432A"/>
    <w:rsid w:val="007A44F5"/>
    <w:rsid w:val="007A455E"/>
    <w:rsid w:val="007A47F1"/>
    <w:rsid w:val="007A490D"/>
    <w:rsid w:val="007A4C6F"/>
    <w:rsid w:val="007A4CC9"/>
    <w:rsid w:val="007A4CE8"/>
    <w:rsid w:val="007A4EDB"/>
    <w:rsid w:val="007A5302"/>
    <w:rsid w:val="007A5590"/>
    <w:rsid w:val="007A559B"/>
    <w:rsid w:val="007A55DF"/>
    <w:rsid w:val="007A5694"/>
    <w:rsid w:val="007A5B35"/>
    <w:rsid w:val="007A5D92"/>
    <w:rsid w:val="007A6146"/>
    <w:rsid w:val="007A6189"/>
    <w:rsid w:val="007A6202"/>
    <w:rsid w:val="007A6324"/>
    <w:rsid w:val="007A6672"/>
    <w:rsid w:val="007A681E"/>
    <w:rsid w:val="007A6846"/>
    <w:rsid w:val="007A68F0"/>
    <w:rsid w:val="007A696E"/>
    <w:rsid w:val="007A6A13"/>
    <w:rsid w:val="007A6B90"/>
    <w:rsid w:val="007A6E1B"/>
    <w:rsid w:val="007A6F00"/>
    <w:rsid w:val="007A6FEF"/>
    <w:rsid w:val="007A719A"/>
    <w:rsid w:val="007A73CA"/>
    <w:rsid w:val="007A75E5"/>
    <w:rsid w:val="007A75E6"/>
    <w:rsid w:val="007A76A3"/>
    <w:rsid w:val="007A785B"/>
    <w:rsid w:val="007A78EB"/>
    <w:rsid w:val="007A7937"/>
    <w:rsid w:val="007A7A0A"/>
    <w:rsid w:val="007A7BB3"/>
    <w:rsid w:val="007B0192"/>
    <w:rsid w:val="007B03AA"/>
    <w:rsid w:val="007B05F9"/>
    <w:rsid w:val="007B06BB"/>
    <w:rsid w:val="007B07C4"/>
    <w:rsid w:val="007B0B94"/>
    <w:rsid w:val="007B0CC5"/>
    <w:rsid w:val="007B0D7A"/>
    <w:rsid w:val="007B1036"/>
    <w:rsid w:val="007B1253"/>
    <w:rsid w:val="007B1341"/>
    <w:rsid w:val="007B141E"/>
    <w:rsid w:val="007B1603"/>
    <w:rsid w:val="007B1BA5"/>
    <w:rsid w:val="007B223F"/>
    <w:rsid w:val="007B2385"/>
    <w:rsid w:val="007B23BC"/>
    <w:rsid w:val="007B23C0"/>
    <w:rsid w:val="007B2490"/>
    <w:rsid w:val="007B266E"/>
    <w:rsid w:val="007B26AF"/>
    <w:rsid w:val="007B28EE"/>
    <w:rsid w:val="007B2A37"/>
    <w:rsid w:val="007B2A91"/>
    <w:rsid w:val="007B2B0C"/>
    <w:rsid w:val="007B30F7"/>
    <w:rsid w:val="007B3314"/>
    <w:rsid w:val="007B381C"/>
    <w:rsid w:val="007B38AB"/>
    <w:rsid w:val="007B3B79"/>
    <w:rsid w:val="007B3B83"/>
    <w:rsid w:val="007B3C8B"/>
    <w:rsid w:val="007B3ECA"/>
    <w:rsid w:val="007B4AC4"/>
    <w:rsid w:val="007B4CFB"/>
    <w:rsid w:val="007B4DD9"/>
    <w:rsid w:val="007B4EEF"/>
    <w:rsid w:val="007B4F0B"/>
    <w:rsid w:val="007B504B"/>
    <w:rsid w:val="007B5098"/>
    <w:rsid w:val="007B5213"/>
    <w:rsid w:val="007B5638"/>
    <w:rsid w:val="007B589E"/>
    <w:rsid w:val="007B5A2D"/>
    <w:rsid w:val="007B5C56"/>
    <w:rsid w:val="007B5EF0"/>
    <w:rsid w:val="007B629F"/>
    <w:rsid w:val="007B64BF"/>
    <w:rsid w:val="007B66D8"/>
    <w:rsid w:val="007B68AE"/>
    <w:rsid w:val="007B69AE"/>
    <w:rsid w:val="007B69EE"/>
    <w:rsid w:val="007B6AC4"/>
    <w:rsid w:val="007B6CDC"/>
    <w:rsid w:val="007B6DB4"/>
    <w:rsid w:val="007B6DEC"/>
    <w:rsid w:val="007B6EDD"/>
    <w:rsid w:val="007B6EF9"/>
    <w:rsid w:val="007B6F46"/>
    <w:rsid w:val="007B6F93"/>
    <w:rsid w:val="007B6F9F"/>
    <w:rsid w:val="007B709F"/>
    <w:rsid w:val="007B7193"/>
    <w:rsid w:val="007B7265"/>
    <w:rsid w:val="007B7468"/>
    <w:rsid w:val="007B74A7"/>
    <w:rsid w:val="007B7597"/>
    <w:rsid w:val="007B7766"/>
    <w:rsid w:val="007B77A1"/>
    <w:rsid w:val="007B7800"/>
    <w:rsid w:val="007B798F"/>
    <w:rsid w:val="007B7B4A"/>
    <w:rsid w:val="007B7E5F"/>
    <w:rsid w:val="007B7EB7"/>
    <w:rsid w:val="007B7FD8"/>
    <w:rsid w:val="007B7FDC"/>
    <w:rsid w:val="007B7FFC"/>
    <w:rsid w:val="007C0010"/>
    <w:rsid w:val="007C00F7"/>
    <w:rsid w:val="007C03EA"/>
    <w:rsid w:val="007C0531"/>
    <w:rsid w:val="007C07C8"/>
    <w:rsid w:val="007C0922"/>
    <w:rsid w:val="007C09A9"/>
    <w:rsid w:val="007C0A8A"/>
    <w:rsid w:val="007C0AA1"/>
    <w:rsid w:val="007C0BE5"/>
    <w:rsid w:val="007C0C92"/>
    <w:rsid w:val="007C1266"/>
    <w:rsid w:val="007C12B9"/>
    <w:rsid w:val="007C1316"/>
    <w:rsid w:val="007C1562"/>
    <w:rsid w:val="007C159F"/>
    <w:rsid w:val="007C16F7"/>
    <w:rsid w:val="007C1734"/>
    <w:rsid w:val="007C1B3A"/>
    <w:rsid w:val="007C1DE8"/>
    <w:rsid w:val="007C1F9A"/>
    <w:rsid w:val="007C1FD4"/>
    <w:rsid w:val="007C208C"/>
    <w:rsid w:val="007C22A6"/>
    <w:rsid w:val="007C23B3"/>
    <w:rsid w:val="007C261C"/>
    <w:rsid w:val="007C2662"/>
    <w:rsid w:val="007C2C73"/>
    <w:rsid w:val="007C3461"/>
    <w:rsid w:val="007C363B"/>
    <w:rsid w:val="007C37F5"/>
    <w:rsid w:val="007C3C08"/>
    <w:rsid w:val="007C3C78"/>
    <w:rsid w:val="007C3CF2"/>
    <w:rsid w:val="007C3F2E"/>
    <w:rsid w:val="007C3FB3"/>
    <w:rsid w:val="007C400C"/>
    <w:rsid w:val="007C4075"/>
    <w:rsid w:val="007C43F6"/>
    <w:rsid w:val="007C4483"/>
    <w:rsid w:val="007C45A5"/>
    <w:rsid w:val="007C4647"/>
    <w:rsid w:val="007C4A83"/>
    <w:rsid w:val="007C4CBC"/>
    <w:rsid w:val="007C4F94"/>
    <w:rsid w:val="007C52B1"/>
    <w:rsid w:val="007C5413"/>
    <w:rsid w:val="007C54D2"/>
    <w:rsid w:val="007C54FE"/>
    <w:rsid w:val="007C57A4"/>
    <w:rsid w:val="007C584F"/>
    <w:rsid w:val="007C58B8"/>
    <w:rsid w:val="007C58C4"/>
    <w:rsid w:val="007C5C4E"/>
    <w:rsid w:val="007C5CCA"/>
    <w:rsid w:val="007C5DD2"/>
    <w:rsid w:val="007C5FF0"/>
    <w:rsid w:val="007C60FE"/>
    <w:rsid w:val="007C61B5"/>
    <w:rsid w:val="007C640B"/>
    <w:rsid w:val="007C6838"/>
    <w:rsid w:val="007C6920"/>
    <w:rsid w:val="007C7145"/>
    <w:rsid w:val="007C75BB"/>
    <w:rsid w:val="007C75C1"/>
    <w:rsid w:val="007C7886"/>
    <w:rsid w:val="007C78EA"/>
    <w:rsid w:val="007C7EBE"/>
    <w:rsid w:val="007C7F53"/>
    <w:rsid w:val="007D00FE"/>
    <w:rsid w:val="007D015A"/>
    <w:rsid w:val="007D01C1"/>
    <w:rsid w:val="007D04AA"/>
    <w:rsid w:val="007D04B8"/>
    <w:rsid w:val="007D05A6"/>
    <w:rsid w:val="007D080D"/>
    <w:rsid w:val="007D0848"/>
    <w:rsid w:val="007D0872"/>
    <w:rsid w:val="007D0A1D"/>
    <w:rsid w:val="007D0A96"/>
    <w:rsid w:val="007D0AD3"/>
    <w:rsid w:val="007D0C73"/>
    <w:rsid w:val="007D0CC0"/>
    <w:rsid w:val="007D0DC9"/>
    <w:rsid w:val="007D14A6"/>
    <w:rsid w:val="007D1564"/>
    <w:rsid w:val="007D1777"/>
    <w:rsid w:val="007D180F"/>
    <w:rsid w:val="007D1884"/>
    <w:rsid w:val="007D18C3"/>
    <w:rsid w:val="007D1AFD"/>
    <w:rsid w:val="007D1DEA"/>
    <w:rsid w:val="007D2553"/>
    <w:rsid w:val="007D2774"/>
    <w:rsid w:val="007D27B5"/>
    <w:rsid w:val="007D2866"/>
    <w:rsid w:val="007D288A"/>
    <w:rsid w:val="007D2B3A"/>
    <w:rsid w:val="007D2B6F"/>
    <w:rsid w:val="007D2CE7"/>
    <w:rsid w:val="007D2F6C"/>
    <w:rsid w:val="007D3141"/>
    <w:rsid w:val="007D32E1"/>
    <w:rsid w:val="007D332F"/>
    <w:rsid w:val="007D3376"/>
    <w:rsid w:val="007D33ED"/>
    <w:rsid w:val="007D3555"/>
    <w:rsid w:val="007D3781"/>
    <w:rsid w:val="007D37FC"/>
    <w:rsid w:val="007D3870"/>
    <w:rsid w:val="007D391E"/>
    <w:rsid w:val="007D3937"/>
    <w:rsid w:val="007D3B48"/>
    <w:rsid w:val="007D3C64"/>
    <w:rsid w:val="007D3C75"/>
    <w:rsid w:val="007D3D67"/>
    <w:rsid w:val="007D43A5"/>
    <w:rsid w:val="007D43D2"/>
    <w:rsid w:val="007D4470"/>
    <w:rsid w:val="007D44AE"/>
    <w:rsid w:val="007D45F4"/>
    <w:rsid w:val="007D463F"/>
    <w:rsid w:val="007D4732"/>
    <w:rsid w:val="007D47F7"/>
    <w:rsid w:val="007D4ACB"/>
    <w:rsid w:val="007D4DC0"/>
    <w:rsid w:val="007D4E4A"/>
    <w:rsid w:val="007D4E56"/>
    <w:rsid w:val="007D4F1B"/>
    <w:rsid w:val="007D51EA"/>
    <w:rsid w:val="007D52F4"/>
    <w:rsid w:val="007D547C"/>
    <w:rsid w:val="007D559F"/>
    <w:rsid w:val="007D57F3"/>
    <w:rsid w:val="007D5813"/>
    <w:rsid w:val="007D5962"/>
    <w:rsid w:val="007D5A83"/>
    <w:rsid w:val="007D5ACE"/>
    <w:rsid w:val="007D5B34"/>
    <w:rsid w:val="007D5D82"/>
    <w:rsid w:val="007D5DCD"/>
    <w:rsid w:val="007D6165"/>
    <w:rsid w:val="007D62FF"/>
    <w:rsid w:val="007D6398"/>
    <w:rsid w:val="007D640B"/>
    <w:rsid w:val="007D6625"/>
    <w:rsid w:val="007D6927"/>
    <w:rsid w:val="007D6990"/>
    <w:rsid w:val="007D6A5E"/>
    <w:rsid w:val="007D6E47"/>
    <w:rsid w:val="007D6EA2"/>
    <w:rsid w:val="007D70CA"/>
    <w:rsid w:val="007D7136"/>
    <w:rsid w:val="007D715D"/>
    <w:rsid w:val="007D761C"/>
    <w:rsid w:val="007D7639"/>
    <w:rsid w:val="007D766F"/>
    <w:rsid w:val="007D7729"/>
    <w:rsid w:val="007D772D"/>
    <w:rsid w:val="007D7AB6"/>
    <w:rsid w:val="007D7B0F"/>
    <w:rsid w:val="007D7C27"/>
    <w:rsid w:val="007E0345"/>
    <w:rsid w:val="007E056F"/>
    <w:rsid w:val="007E05B3"/>
    <w:rsid w:val="007E05E8"/>
    <w:rsid w:val="007E0678"/>
    <w:rsid w:val="007E07C9"/>
    <w:rsid w:val="007E0899"/>
    <w:rsid w:val="007E0951"/>
    <w:rsid w:val="007E0AC9"/>
    <w:rsid w:val="007E0AD8"/>
    <w:rsid w:val="007E0B18"/>
    <w:rsid w:val="007E0B36"/>
    <w:rsid w:val="007E0B96"/>
    <w:rsid w:val="007E0C91"/>
    <w:rsid w:val="007E0C9F"/>
    <w:rsid w:val="007E0DFB"/>
    <w:rsid w:val="007E0E79"/>
    <w:rsid w:val="007E0FC4"/>
    <w:rsid w:val="007E143F"/>
    <w:rsid w:val="007E153B"/>
    <w:rsid w:val="007E1663"/>
    <w:rsid w:val="007E1761"/>
    <w:rsid w:val="007E1933"/>
    <w:rsid w:val="007E1997"/>
    <w:rsid w:val="007E1AF4"/>
    <w:rsid w:val="007E1B2A"/>
    <w:rsid w:val="007E1E7E"/>
    <w:rsid w:val="007E213E"/>
    <w:rsid w:val="007E2216"/>
    <w:rsid w:val="007E2231"/>
    <w:rsid w:val="007E22F8"/>
    <w:rsid w:val="007E247E"/>
    <w:rsid w:val="007E26AA"/>
    <w:rsid w:val="007E26B4"/>
    <w:rsid w:val="007E2781"/>
    <w:rsid w:val="007E2C6B"/>
    <w:rsid w:val="007E2D12"/>
    <w:rsid w:val="007E2E8B"/>
    <w:rsid w:val="007E2EB1"/>
    <w:rsid w:val="007E306F"/>
    <w:rsid w:val="007E3960"/>
    <w:rsid w:val="007E39E3"/>
    <w:rsid w:val="007E3B0C"/>
    <w:rsid w:val="007E3B29"/>
    <w:rsid w:val="007E3DF1"/>
    <w:rsid w:val="007E409E"/>
    <w:rsid w:val="007E40B9"/>
    <w:rsid w:val="007E4446"/>
    <w:rsid w:val="007E45F7"/>
    <w:rsid w:val="007E4787"/>
    <w:rsid w:val="007E4814"/>
    <w:rsid w:val="007E4930"/>
    <w:rsid w:val="007E4C9C"/>
    <w:rsid w:val="007E4D5D"/>
    <w:rsid w:val="007E4E30"/>
    <w:rsid w:val="007E4EF1"/>
    <w:rsid w:val="007E508F"/>
    <w:rsid w:val="007E50DE"/>
    <w:rsid w:val="007E52D6"/>
    <w:rsid w:val="007E5433"/>
    <w:rsid w:val="007E5591"/>
    <w:rsid w:val="007E5653"/>
    <w:rsid w:val="007E5940"/>
    <w:rsid w:val="007E5BE2"/>
    <w:rsid w:val="007E5D1A"/>
    <w:rsid w:val="007E5E63"/>
    <w:rsid w:val="007E5EC9"/>
    <w:rsid w:val="007E5F73"/>
    <w:rsid w:val="007E6024"/>
    <w:rsid w:val="007E606E"/>
    <w:rsid w:val="007E649B"/>
    <w:rsid w:val="007E6506"/>
    <w:rsid w:val="007E6B16"/>
    <w:rsid w:val="007E6C50"/>
    <w:rsid w:val="007E6E86"/>
    <w:rsid w:val="007E6F21"/>
    <w:rsid w:val="007E6F8D"/>
    <w:rsid w:val="007E7044"/>
    <w:rsid w:val="007E72E4"/>
    <w:rsid w:val="007E77DD"/>
    <w:rsid w:val="007E7A4C"/>
    <w:rsid w:val="007E7B0F"/>
    <w:rsid w:val="007E7B66"/>
    <w:rsid w:val="007E7BF8"/>
    <w:rsid w:val="007E7C38"/>
    <w:rsid w:val="007E7C4D"/>
    <w:rsid w:val="007E7E16"/>
    <w:rsid w:val="007E7EA2"/>
    <w:rsid w:val="007E7F22"/>
    <w:rsid w:val="007F019F"/>
    <w:rsid w:val="007F02C6"/>
    <w:rsid w:val="007F06FF"/>
    <w:rsid w:val="007F09A4"/>
    <w:rsid w:val="007F09B5"/>
    <w:rsid w:val="007F0BA5"/>
    <w:rsid w:val="007F1023"/>
    <w:rsid w:val="007F1051"/>
    <w:rsid w:val="007F11C8"/>
    <w:rsid w:val="007F12E1"/>
    <w:rsid w:val="007F13B8"/>
    <w:rsid w:val="007F13D1"/>
    <w:rsid w:val="007F149F"/>
    <w:rsid w:val="007F14B9"/>
    <w:rsid w:val="007F14F8"/>
    <w:rsid w:val="007F184A"/>
    <w:rsid w:val="007F19BD"/>
    <w:rsid w:val="007F1AE0"/>
    <w:rsid w:val="007F1C13"/>
    <w:rsid w:val="007F1CCA"/>
    <w:rsid w:val="007F1D06"/>
    <w:rsid w:val="007F20F4"/>
    <w:rsid w:val="007F2332"/>
    <w:rsid w:val="007F24AB"/>
    <w:rsid w:val="007F257E"/>
    <w:rsid w:val="007F2A0C"/>
    <w:rsid w:val="007F2C15"/>
    <w:rsid w:val="007F2E4C"/>
    <w:rsid w:val="007F2E8C"/>
    <w:rsid w:val="007F2EF4"/>
    <w:rsid w:val="007F319A"/>
    <w:rsid w:val="007F319C"/>
    <w:rsid w:val="007F34F9"/>
    <w:rsid w:val="007F3507"/>
    <w:rsid w:val="007F3622"/>
    <w:rsid w:val="007F37B1"/>
    <w:rsid w:val="007F384F"/>
    <w:rsid w:val="007F38F7"/>
    <w:rsid w:val="007F3AEA"/>
    <w:rsid w:val="007F3B59"/>
    <w:rsid w:val="007F3EA8"/>
    <w:rsid w:val="007F3FC6"/>
    <w:rsid w:val="007F41D1"/>
    <w:rsid w:val="007F4276"/>
    <w:rsid w:val="007F4913"/>
    <w:rsid w:val="007F4A7A"/>
    <w:rsid w:val="007F4C1D"/>
    <w:rsid w:val="007F4FD4"/>
    <w:rsid w:val="007F51A6"/>
    <w:rsid w:val="007F53F9"/>
    <w:rsid w:val="007F57B7"/>
    <w:rsid w:val="007F5960"/>
    <w:rsid w:val="007F5E71"/>
    <w:rsid w:val="007F60A8"/>
    <w:rsid w:val="007F615E"/>
    <w:rsid w:val="007F62F1"/>
    <w:rsid w:val="007F64C2"/>
    <w:rsid w:val="007F6562"/>
    <w:rsid w:val="007F65C9"/>
    <w:rsid w:val="007F65CA"/>
    <w:rsid w:val="007F65D9"/>
    <w:rsid w:val="007F6B46"/>
    <w:rsid w:val="007F6B92"/>
    <w:rsid w:val="007F6CB0"/>
    <w:rsid w:val="007F6CCB"/>
    <w:rsid w:val="007F6E6B"/>
    <w:rsid w:val="007F6F04"/>
    <w:rsid w:val="007F6F79"/>
    <w:rsid w:val="007F6FC9"/>
    <w:rsid w:val="007F7063"/>
    <w:rsid w:val="007F71C6"/>
    <w:rsid w:val="007F721D"/>
    <w:rsid w:val="007F72DA"/>
    <w:rsid w:val="007F73AA"/>
    <w:rsid w:val="007F746D"/>
    <w:rsid w:val="007F746E"/>
    <w:rsid w:val="007F7538"/>
    <w:rsid w:val="007F761D"/>
    <w:rsid w:val="007F784D"/>
    <w:rsid w:val="007F7B45"/>
    <w:rsid w:val="0080005B"/>
    <w:rsid w:val="00800111"/>
    <w:rsid w:val="0080016B"/>
    <w:rsid w:val="00800195"/>
    <w:rsid w:val="008003EE"/>
    <w:rsid w:val="00800432"/>
    <w:rsid w:val="00800490"/>
    <w:rsid w:val="00800678"/>
    <w:rsid w:val="00800721"/>
    <w:rsid w:val="00800759"/>
    <w:rsid w:val="008009EF"/>
    <w:rsid w:val="00800C23"/>
    <w:rsid w:val="00800DBB"/>
    <w:rsid w:val="0080152D"/>
    <w:rsid w:val="0080170D"/>
    <w:rsid w:val="0080179D"/>
    <w:rsid w:val="0080183E"/>
    <w:rsid w:val="00801A1B"/>
    <w:rsid w:val="00801B1D"/>
    <w:rsid w:val="00801B49"/>
    <w:rsid w:val="00801C60"/>
    <w:rsid w:val="00801EE2"/>
    <w:rsid w:val="00802028"/>
    <w:rsid w:val="008024AA"/>
    <w:rsid w:val="00802595"/>
    <w:rsid w:val="00802734"/>
    <w:rsid w:val="008028E6"/>
    <w:rsid w:val="00802BB0"/>
    <w:rsid w:val="00802F8C"/>
    <w:rsid w:val="008030E0"/>
    <w:rsid w:val="008030ED"/>
    <w:rsid w:val="008031D7"/>
    <w:rsid w:val="008032DF"/>
    <w:rsid w:val="008035D2"/>
    <w:rsid w:val="00803701"/>
    <w:rsid w:val="008037C0"/>
    <w:rsid w:val="008039E8"/>
    <w:rsid w:val="00803A75"/>
    <w:rsid w:val="00803AB7"/>
    <w:rsid w:val="00803AF1"/>
    <w:rsid w:val="00803AF7"/>
    <w:rsid w:val="00803B01"/>
    <w:rsid w:val="00803C91"/>
    <w:rsid w:val="00803D79"/>
    <w:rsid w:val="00803E81"/>
    <w:rsid w:val="0080418A"/>
    <w:rsid w:val="008042C3"/>
    <w:rsid w:val="0080455B"/>
    <w:rsid w:val="00804719"/>
    <w:rsid w:val="00804AA7"/>
    <w:rsid w:val="00804B7D"/>
    <w:rsid w:val="00804EAD"/>
    <w:rsid w:val="00804EDD"/>
    <w:rsid w:val="00804FBA"/>
    <w:rsid w:val="00805086"/>
    <w:rsid w:val="008050F8"/>
    <w:rsid w:val="00805119"/>
    <w:rsid w:val="008052A7"/>
    <w:rsid w:val="008052E7"/>
    <w:rsid w:val="00805498"/>
    <w:rsid w:val="00805587"/>
    <w:rsid w:val="008055A8"/>
    <w:rsid w:val="008055B0"/>
    <w:rsid w:val="00805777"/>
    <w:rsid w:val="008057E9"/>
    <w:rsid w:val="0080583C"/>
    <w:rsid w:val="00805863"/>
    <w:rsid w:val="008058DB"/>
    <w:rsid w:val="00805E8E"/>
    <w:rsid w:val="00805F6B"/>
    <w:rsid w:val="00806254"/>
    <w:rsid w:val="0080658C"/>
    <w:rsid w:val="00806633"/>
    <w:rsid w:val="0080666E"/>
    <w:rsid w:val="008067BB"/>
    <w:rsid w:val="00806B41"/>
    <w:rsid w:val="00806B8A"/>
    <w:rsid w:val="00806C15"/>
    <w:rsid w:val="00806F00"/>
    <w:rsid w:val="00806FA7"/>
    <w:rsid w:val="00806FDF"/>
    <w:rsid w:val="00807037"/>
    <w:rsid w:val="00807125"/>
    <w:rsid w:val="0080739E"/>
    <w:rsid w:val="00807449"/>
    <w:rsid w:val="008075BA"/>
    <w:rsid w:val="008075D0"/>
    <w:rsid w:val="0080762A"/>
    <w:rsid w:val="008076ED"/>
    <w:rsid w:val="0080774B"/>
    <w:rsid w:val="008078A7"/>
    <w:rsid w:val="00807966"/>
    <w:rsid w:val="00807979"/>
    <w:rsid w:val="00807A5C"/>
    <w:rsid w:val="00807D98"/>
    <w:rsid w:val="00807DE0"/>
    <w:rsid w:val="008101E1"/>
    <w:rsid w:val="0081044C"/>
    <w:rsid w:val="008105B9"/>
    <w:rsid w:val="00810671"/>
    <w:rsid w:val="00810698"/>
    <w:rsid w:val="00810AF2"/>
    <w:rsid w:val="00810C04"/>
    <w:rsid w:val="00810C08"/>
    <w:rsid w:val="00811204"/>
    <w:rsid w:val="0081125E"/>
    <w:rsid w:val="008112DD"/>
    <w:rsid w:val="008114A2"/>
    <w:rsid w:val="00811A5A"/>
    <w:rsid w:val="00811C3A"/>
    <w:rsid w:val="00811DDA"/>
    <w:rsid w:val="00811ED1"/>
    <w:rsid w:val="008121B1"/>
    <w:rsid w:val="0081243A"/>
    <w:rsid w:val="00812475"/>
    <w:rsid w:val="0081277F"/>
    <w:rsid w:val="008127D8"/>
    <w:rsid w:val="00812C87"/>
    <w:rsid w:val="00812D00"/>
    <w:rsid w:val="00812E7F"/>
    <w:rsid w:val="00812F0C"/>
    <w:rsid w:val="00812F33"/>
    <w:rsid w:val="00812F3C"/>
    <w:rsid w:val="00813101"/>
    <w:rsid w:val="008132AB"/>
    <w:rsid w:val="00813501"/>
    <w:rsid w:val="008137DB"/>
    <w:rsid w:val="00813A2E"/>
    <w:rsid w:val="00813A34"/>
    <w:rsid w:val="00813B04"/>
    <w:rsid w:val="00813BB7"/>
    <w:rsid w:val="00813DC6"/>
    <w:rsid w:val="00814150"/>
    <w:rsid w:val="00814179"/>
    <w:rsid w:val="008143ED"/>
    <w:rsid w:val="008146EC"/>
    <w:rsid w:val="0081475B"/>
    <w:rsid w:val="00814762"/>
    <w:rsid w:val="00814785"/>
    <w:rsid w:val="008147B7"/>
    <w:rsid w:val="0081488A"/>
    <w:rsid w:val="00814A49"/>
    <w:rsid w:val="00814AE4"/>
    <w:rsid w:val="00814F5E"/>
    <w:rsid w:val="00815159"/>
    <w:rsid w:val="00815177"/>
    <w:rsid w:val="0081534A"/>
    <w:rsid w:val="0081543E"/>
    <w:rsid w:val="0081565F"/>
    <w:rsid w:val="00815760"/>
    <w:rsid w:val="008158CC"/>
    <w:rsid w:val="008159EB"/>
    <w:rsid w:val="00815DF4"/>
    <w:rsid w:val="0081650B"/>
    <w:rsid w:val="00816600"/>
    <w:rsid w:val="0081661B"/>
    <w:rsid w:val="00816793"/>
    <w:rsid w:val="008167F1"/>
    <w:rsid w:val="00816D28"/>
    <w:rsid w:val="00816E98"/>
    <w:rsid w:val="00817960"/>
    <w:rsid w:val="008179B8"/>
    <w:rsid w:val="00817C5A"/>
    <w:rsid w:val="00817C89"/>
    <w:rsid w:val="00817D31"/>
    <w:rsid w:val="00820138"/>
    <w:rsid w:val="0082027C"/>
    <w:rsid w:val="008204E8"/>
    <w:rsid w:val="00820581"/>
    <w:rsid w:val="0082063F"/>
    <w:rsid w:val="00820680"/>
    <w:rsid w:val="008207DD"/>
    <w:rsid w:val="00820ABA"/>
    <w:rsid w:val="00820C8E"/>
    <w:rsid w:val="00821168"/>
    <w:rsid w:val="008212F5"/>
    <w:rsid w:val="008213F6"/>
    <w:rsid w:val="00821604"/>
    <w:rsid w:val="008219B2"/>
    <w:rsid w:val="008220A1"/>
    <w:rsid w:val="0082216E"/>
    <w:rsid w:val="0082235D"/>
    <w:rsid w:val="008226E6"/>
    <w:rsid w:val="00822775"/>
    <w:rsid w:val="008227AF"/>
    <w:rsid w:val="008228F1"/>
    <w:rsid w:val="00822B12"/>
    <w:rsid w:val="00822B3F"/>
    <w:rsid w:val="00822B60"/>
    <w:rsid w:val="00822D30"/>
    <w:rsid w:val="00822FDE"/>
    <w:rsid w:val="008230A0"/>
    <w:rsid w:val="008230D1"/>
    <w:rsid w:val="008231DD"/>
    <w:rsid w:val="008237F1"/>
    <w:rsid w:val="00823B78"/>
    <w:rsid w:val="00823F27"/>
    <w:rsid w:val="00823FD9"/>
    <w:rsid w:val="0082406C"/>
    <w:rsid w:val="008241C3"/>
    <w:rsid w:val="008242BE"/>
    <w:rsid w:val="008242C3"/>
    <w:rsid w:val="0082432F"/>
    <w:rsid w:val="00824430"/>
    <w:rsid w:val="00824585"/>
    <w:rsid w:val="00824619"/>
    <w:rsid w:val="008246EC"/>
    <w:rsid w:val="008248BF"/>
    <w:rsid w:val="008248E9"/>
    <w:rsid w:val="008248F0"/>
    <w:rsid w:val="0082495D"/>
    <w:rsid w:val="008249C8"/>
    <w:rsid w:val="00824CD7"/>
    <w:rsid w:val="00824DC3"/>
    <w:rsid w:val="00824DDE"/>
    <w:rsid w:val="00824F29"/>
    <w:rsid w:val="008250B5"/>
    <w:rsid w:val="008251D0"/>
    <w:rsid w:val="008253EB"/>
    <w:rsid w:val="0082581A"/>
    <w:rsid w:val="0082585F"/>
    <w:rsid w:val="0082593C"/>
    <w:rsid w:val="00825A74"/>
    <w:rsid w:val="00825B97"/>
    <w:rsid w:val="00825C6B"/>
    <w:rsid w:val="00825C91"/>
    <w:rsid w:val="00825DD0"/>
    <w:rsid w:val="00826071"/>
    <w:rsid w:val="00826404"/>
    <w:rsid w:val="008264EB"/>
    <w:rsid w:val="00826534"/>
    <w:rsid w:val="0082654D"/>
    <w:rsid w:val="008269C4"/>
    <w:rsid w:val="00826A7C"/>
    <w:rsid w:val="00826D27"/>
    <w:rsid w:val="00827061"/>
    <w:rsid w:val="00827176"/>
    <w:rsid w:val="008271DA"/>
    <w:rsid w:val="00827202"/>
    <w:rsid w:val="00827325"/>
    <w:rsid w:val="0082738C"/>
    <w:rsid w:val="008273DB"/>
    <w:rsid w:val="008273F6"/>
    <w:rsid w:val="00827639"/>
    <w:rsid w:val="0082767B"/>
    <w:rsid w:val="008276A1"/>
    <w:rsid w:val="0082782E"/>
    <w:rsid w:val="008279B2"/>
    <w:rsid w:val="00827D21"/>
    <w:rsid w:val="00827D6F"/>
    <w:rsid w:val="00827DC7"/>
    <w:rsid w:val="008301AA"/>
    <w:rsid w:val="008303EE"/>
    <w:rsid w:val="00830438"/>
    <w:rsid w:val="008304EA"/>
    <w:rsid w:val="0083067E"/>
    <w:rsid w:val="008308EF"/>
    <w:rsid w:val="00830902"/>
    <w:rsid w:val="00830AA7"/>
    <w:rsid w:val="00830CF1"/>
    <w:rsid w:val="00831393"/>
    <w:rsid w:val="00831941"/>
    <w:rsid w:val="00831CDE"/>
    <w:rsid w:val="00831EBD"/>
    <w:rsid w:val="008322AC"/>
    <w:rsid w:val="008324A8"/>
    <w:rsid w:val="00832502"/>
    <w:rsid w:val="0083257C"/>
    <w:rsid w:val="00832B03"/>
    <w:rsid w:val="00833210"/>
    <w:rsid w:val="008334DF"/>
    <w:rsid w:val="00833559"/>
    <w:rsid w:val="00833600"/>
    <w:rsid w:val="0083378D"/>
    <w:rsid w:val="00833809"/>
    <w:rsid w:val="0083382F"/>
    <w:rsid w:val="00833C9E"/>
    <w:rsid w:val="00833D81"/>
    <w:rsid w:val="00833E74"/>
    <w:rsid w:val="00833EC4"/>
    <w:rsid w:val="00833F2D"/>
    <w:rsid w:val="00833FEA"/>
    <w:rsid w:val="00834120"/>
    <w:rsid w:val="008342DA"/>
    <w:rsid w:val="00834335"/>
    <w:rsid w:val="00834399"/>
    <w:rsid w:val="0083468E"/>
    <w:rsid w:val="00834693"/>
    <w:rsid w:val="008346C1"/>
    <w:rsid w:val="008348CE"/>
    <w:rsid w:val="00834918"/>
    <w:rsid w:val="00834CEC"/>
    <w:rsid w:val="00834D6A"/>
    <w:rsid w:val="00834F1A"/>
    <w:rsid w:val="0083522A"/>
    <w:rsid w:val="0083530D"/>
    <w:rsid w:val="0083533E"/>
    <w:rsid w:val="00835365"/>
    <w:rsid w:val="008354E6"/>
    <w:rsid w:val="008355A1"/>
    <w:rsid w:val="00835A43"/>
    <w:rsid w:val="00835B17"/>
    <w:rsid w:val="00835C25"/>
    <w:rsid w:val="00835C71"/>
    <w:rsid w:val="00835F59"/>
    <w:rsid w:val="00835F6D"/>
    <w:rsid w:val="008360B5"/>
    <w:rsid w:val="00836469"/>
    <w:rsid w:val="008364F5"/>
    <w:rsid w:val="00836895"/>
    <w:rsid w:val="00836906"/>
    <w:rsid w:val="00836945"/>
    <w:rsid w:val="00836AD5"/>
    <w:rsid w:val="00836B13"/>
    <w:rsid w:val="00836C44"/>
    <w:rsid w:val="00836E53"/>
    <w:rsid w:val="00836EBD"/>
    <w:rsid w:val="008371D2"/>
    <w:rsid w:val="0083725D"/>
    <w:rsid w:val="008375C3"/>
    <w:rsid w:val="0083768C"/>
    <w:rsid w:val="00837761"/>
    <w:rsid w:val="00837863"/>
    <w:rsid w:val="00837879"/>
    <w:rsid w:val="0083788B"/>
    <w:rsid w:val="00837953"/>
    <w:rsid w:val="008379BF"/>
    <w:rsid w:val="00837B2C"/>
    <w:rsid w:val="00837D88"/>
    <w:rsid w:val="00837F3E"/>
    <w:rsid w:val="0084085C"/>
    <w:rsid w:val="00840952"/>
    <w:rsid w:val="00840CCB"/>
    <w:rsid w:val="00840D1F"/>
    <w:rsid w:val="00840E92"/>
    <w:rsid w:val="00841451"/>
    <w:rsid w:val="0084163D"/>
    <w:rsid w:val="008417A4"/>
    <w:rsid w:val="008417E1"/>
    <w:rsid w:val="00841A79"/>
    <w:rsid w:val="00841CD4"/>
    <w:rsid w:val="00841F25"/>
    <w:rsid w:val="008420A7"/>
    <w:rsid w:val="008422B8"/>
    <w:rsid w:val="008422F9"/>
    <w:rsid w:val="008425B4"/>
    <w:rsid w:val="00842A85"/>
    <w:rsid w:val="00842DC2"/>
    <w:rsid w:val="0084309C"/>
    <w:rsid w:val="0084309D"/>
    <w:rsid w:val="0084331C"/>
    <w:rsid w:val="00843357"/>
    <w:rsid w:val="0084337A"/>
    <w:rsid w:val="008435F5"/>
    <w:rsid w:val="008437FA"/>
    <w:rsid w:val="00843961"/>
    <w:rsid w:val="008439EE"/>
    <w:rsid w:val="00843A2B"/>
    <w:rsid w:val="00843CC4"/>
    <w:rsid w:val="00843D86"/>
    <w:rsid w:val="00843F7C"/>
    <w:rsid w:val="00843FBE"/>
    <w:rsid w:val="00844053"/>
    <w:rsid w:val="008440D0"/>
    <w:rsid w:val="00844246"/>
    <w:rsid w:val="00844298"/>
    <w:rsid w:val="008446C3"/>
    <w:rsid w:val="008446E3"/>
    <w:rsid w:val="00844788"/>
    <w:rsid w:val="008447D7"/>
    <w:rsid w:val="008449BC"/>
    <w:rsid w:val="00844B48"/>
    <w:rsid w:val="00844CA0"/>
    <w:rsid w:val="00844CD3"/>
    <w:rsid w:val="008450E7"/>
    <w:rsid w:val="0084525E"/>
    <w:rsid w:val="0084528F"/>
    <w:rsid w:val="00845808"/>
    <w:rsid w:val="008458D6"/>
    <w:rsid w:val="008459A0"/>
    <w:rsid w:val="00845B2A"/>
    <w:rsid w:val="00845BC7"/>
    <w:rsid w:val="00845C18"/>
    <w:rsid w:val="0084605C"/>
    <w:rsid w:val="008462DE"/>
    <w:rsid w:val="00846322"/>
    <w:rsid w:val="00846477"/>
    <w:rsid w:val="008465D4"/>
    <w:rsid w:val="00846689"/>
    <w:rsid w:val="00846988"/>
    <w:rsid w:val="00846A99"/>
    <w:rsid w:val="00846B2A"/>
    <w:rsid w:val="00846CCB"/>
    <w:rsid w:val="00846DE1"/>
    <w:rsid w:val="00847241"/>
    <w:rsid w:val="0084728E"/>
    <w:rsid w:val="008477EC"/>
    <w:rsid w:val="008478E9"/>
    <w:rsid w:val="00847A8A"/>
    <w:rsid w:val="00847D53"/>
    <w:rsid w:val="00847E11"/>
    <w:rsid w:val="00847E30"/>
    <w:rsid w:val="00847E44"/>
    <w:rsid w:val="008501BD"/>
    <w:rsid w:val="008504A6"/>
    <w:rsid w:val="0085071D"/>
    <w:rsid w:val="00850A9E"/>
    <w:rsid w:val="00850D0C"/>
    <w:rsid w:val="0085108C"/>
    <w:rsid w:val="008510EF"/>
    <w:rsid w:val="008512F2"/>
    <w:rsid w:val="00851468"/>
    <w:rsid w:val="00851485"/>
    <w:rsid w:val="00851AAB"/>
    <w:rsid w:val="00851B6C"/>
    <w:rsid w:val="00851DA0"/>
    <w:rsid w:val="00851F20"/>
    <w:rsid w:val="00851FBA"/>
    <w:rsid w:val="008521D0"/>
    <w:rsid w:val="008524DB"/>
    <w:rsid w:val="00852610"/>
    <w:rsid w:val="0085286F"/>
    <w:rsid w:val="00852873"/>
    <w:rsid w:val="00852AD7"/>
    <w:rsid w:val="00852B50"/>
    <w:rsid w:val="00852B80"/>
    <w:rsid w:val="00852B95"/>
    <w:rsid w:val="00852C83"/>
    <w:rsid w:val="00852DDC"/>
    <w:rsid w:val="00852DE9"/>
    <w:rsid w:val="00852DFC"/>
    <w:rsid w:val="00853030"/>
    <w:rsid w:val="008530D2"/>
    <w:rsid w:val="00853114"/>
    <w:rsid w:val="00853420"/>
    <w:rsid w:val="0085370E"/>
    <w:rsid w:val="0085393E"/>
    <w:rsid w:val="00853A52"/>
    <w:rsid w:val="00853CE5"/>
    <w:rsid w:val="00853D4A"/>
    <w:rsid w:val="00853EA8"/>
    <w:rsid w:val="008540A8"/>
    <w:rsid w:val="00854284"/>
    <w:rsid w:val="00854337"/>
    <w:rsid w:val="00854506"/>
    <w:rsid w:val="008546A6"/>
    <w:rsid w:val="00854703"/>
    <w:rsid w:val="0085474D"/>
    <w:rsid w:val="00854C0A"/>
    <w:rsid w:val="00854D2E"/>
    <w:rsid w:val="008550BC"/>
    <w:rsid w:val="0085539B"/>
    <w:rsid w:val="008553F8"/>
    <w:rsid w:val="008554F5"/>
    <w:rsid w:val="00855741"/>
    <w:rsid w:val="00855B04"/>
    <w:rsid w:val="00855ED9"/>
    <w:rsid w:val="00855F77"/>
    <w:rsid w:val="00855F8D"/>
    <w:rsid w:val="0085618D"/>
    <w:rsid w:val="00856328"/>
    <w:rsid w:val="008566CB"/>
    <w:rsid w:val="008566FE"/>
    <w:rsid w:val="00856755"/>
    <w:rsid w:val="00856AFC"/>
    <w:rsid w:val="00856B2F"/>
    <w:rsid w:val="00856D52"/>
    <w:rsid w:val="00856D90"/>
    <w:rsid w:val="00857029"/>
    <w:rsid w:val="00857624"/>
    <w:rsid w:val="008578A9"/>
    <w:rsid w:val="008578FF"/>
    <w:rsid w:val="0085798E"/>
    <w:rsid w:val="00857A08"/>
    <w:rsid w:val="00857C42"/>
    <w:rsid w:val="00857E9D"/>
    <w:rsid w:val="00857F23"/>
    <w:rsid w:val="0086001F"/>
    <w:rsid w:val="00860228"/>
    <w:rsid w:val="0086047A"/>
    <w:rsid w:val="008605C2"/>
    <w:rsid w:val="008605CD"/>
    <w:rsid w:val="00860611"/>
    <w:rsid w:val="008609BC"/>
    <w:rsid w:val="00860BE4"/>
    <w:rsid w:val="00860D8B"/>
    <w:rsid w:val="00860F5E"/>
    <w:rsid w:val="00861134"/>
    <w:rsid w:val="00861909"/>
    <w:rsid w:val="00861FB1"/>
    <w:rsid w:val="00862079"/>
    <w:rsid w:val="00862732"/>
    <w:rsid w:val="008627B2"/>
    <w:rsid w:val="00862862"/>
    <w:rsid w:val="00862B84"/>
    <w:rsid w:val="00862EA3"/>
    <w:rsid w:val="0086314B"/>
    <w:rsid w:val="0086317A"/>
    <w:rsid w:val="0086326A"/>
    <w:rsid w:val="0086327E"/>
    <w:rsid w:val="008633CF"/>
    <w:rsid w:val="008634DE"/>
    <w:rsid w:val="00863526"/>
    <w:rsid w:val="00863779"/>
    <w:rsid w:val="00863913"/>
    <w:rsid w:val="00863BA1"/>
    <w:rsid w:val="00863C65"/>
    <w:rsid w:val="00863DC5"/>
    <w:rsid w:val="00863DD7"/>
    <w:rsid w:val="00863E3D"/>
    <w:rsid w:val="00863E4F"/>
    <w:rsid w:val="00863EFF"/>
    <w:rsid w:val="008641A6"/>
    <w:rsid w:val="00864419"/>
    <w:rsid w:val="00864446"/>
    <w:rsid w:val="008646AF"/>
    <w:rsid w:val="008647FE"/>
    <w:rsid w:val="00864C47"/>
    <w:rsid w:val="00864F4A"/>
    <w:rsid w:val="0086519A"/>
    <w:rsid w:val="008653BE"/>
    <w:rsid w:val="0086543D"/>
    <w:rsid w:val="00865449"/>
    <w:rsid w:val="00865482"/>
    <w:rsid w:val="00865A02"/>
    <w:rsid w:val="00865C31"/>
    <w:rsid w:val="00865EDE"/>
    <w:rsid w:val="008661B9"/>
    <w:rsid w:val="0086676C"/>
    <w:rsid w:val="00866770"/>
    <w:rsid w:val="0086679F"/>
    <w:rsid w:val="0086687E"/>
    <w:rsid w:val="008668D3"/>
    <w:rsid w:val="00866989"/>
    <w:rsid w:val="00866CE8"/>
    <w:rsid w:val="0086704D"/>
    <w:rsid w:val="0086707A"/>
    <w:rsid w:val="0086712D"/>
    <w:rsid w:val="008675CB"/>
    <w:rsid w:val="00867C17"/>
    <w:rsid w:val="00867F76"/>
    <w:rsid w:val="008704B0"/>
    <w:rsid w:val="008707F0"/>
    <w:rsid w:val="0087089B"/>
    <w:rsid w:val="008708B8"/>
    <w:rsid w:val="008708F9"/>
    <w:rsid w:val="00870A28"/>
    <w:rsid w:val="00870DC1"/>
    <w:rsid w:val="008711D5"/>
    <w:rsid w:val="00871438"/>
    <w:rsid w:val="0087160F"/>
    <w:rsid w:val="008717BC"/>
    <w:rsid w:val="00871888"/>
    <w:rsid w:val="008719A5"/>
    <w:rsid w:val="00871AC8"/>
    <w:rsid w:val="00871B8B"/>
    <w:rsid w:val="00871D88"/>
    <w:rsid w:val="00871E67"/>
    <w:rsid w:val="00872094"/>
    <w:rsid w:val="008726F8"/>
    <w:rsid w:val="00872760"/>
    <w:rsid w:val="00872839"/>
    <w:rsid w:val="00872850"/>
    <w:rsid w:val="008729AA"/>
    <w:rsid w:val="008729AB"/>
    <w:rsid w:val="008729CD"/>
    <w:rsid w:val="00872B52"/>
    <w:rsid w:val="00872B83"/>
    <w:rsid w:val="00872F3B"/>
    <w:rsid w:val="00872F60"/>
    <w:rsid w:val="00873032"/>
    <w:rsid w:val="00873219"/>
    <w:rsid w:val="00873288"/>
    <w:rsid w:val="00873581"/>
    <w:rsid w:val="00873C5E"/>
    <w:rsid w:val="00873C7C"/>
    <w:rsid w:val="00873DC3"/>
    <w:rsid w:val="00873F98"/>
    <w:rsid w:val="0087419A"/>
    <w:rsid w:val="00874357"/>
    <w:rsid w:val="00874732"/>
    <w:rsid w:val="00874C80"/>
    <w:rsid w:val="0087528C"/>
    <w:rsid w:val="00875522"/>
    <w:rsid w:val="00875886"/>
    <w:rsid w:val="00875AEB"/>
    <w:rsid w:val="00875B86"/>
    <w:rsid w:val="00875C0E"/>
    <w:rsid w:val="00875C8D"/>
    <w:rsid w:val="00876082"/>
    <w:rsid w:val="00876200"/>
    <w:rsid w:val="00876476"/>
    <w:rsid w:val="008764B8"/>
    <w:rsid w:val="00876512"/>
    <w:rsid w:val="0087658C"/>
    <w:rsid w:val="00876649"/>
    <w:rsid w:val="0087677E"/>
    <w:rsid w:val="00876789"/>
    <w:rsid w:val="008769B2"/>
    <w:rsid w:val="008769F9"/>
    <w:rsid w:val="00876DA4"/>
    <w:rsid w:val="00876E10"/>
    <w:rsid w:val="00876F07"/>
    <w:rsid w:val="00876F13"/>
    <w:rsid w:val="00877254"/>
    <w:rsid w:val="00877256"/>
    <w:rsid w:val="008772A1"/>
    <w:rsid w:val="008779DF"/>
    <w:rsid w:val="008779FD"/>
    <w:rsid w:val="00877A6E"/>
    <w:rsid w:val="00877DB6"/>
    <w:rsid w:val="00877E9F"/>
    <w:rsid w:val="00877F68"/>
    <w:rsid w:val="00880096"/>
    <w:rsid w:val="00880206"/>
    <w:rsid w:val="008803D0"/>
    <w:rsid w:val="0088047B"/>
    <w:rsid w:val="0088059F"/>
    <w:rsid w:val="00880668"/>
    <w:rsid w:val="00880732"/>
    <w:rsid w:val="00880B8A"/>
    <w:rsid w:val="00880B9C"/>
    <w:rsid w:val="00880E42"/>
    <w:rsid w:val="00880E86"/>
    <w:rsid w:val="00880FC8"/>
    <w:rsid w:val="00881200"/>
    <w:rsid w:val="008815E0"/>
    <w:rsid w:val="00881ADE"/>
    <w:rsid w:val="00881B53"/>
    <w:rsid w:val="00881FDB"/>
    <w:rsid w:val="00882169"/>
    <w:rsid w:val="008822E5"/>
    <w:rsid w:val="00882619"/>
    <w:rsid w:val="0088278F"/>
    <w:rsid w:val="00882846"/>
    <w:rsid w:val="00882848"/>
    <w:rsid w:val="00882896"/>
    <w:rsid w:val="00882C37"/>
    <w:rsid w:val="00882F11"/>
    <w:rsid w:val="00883133"/>
    <w:rsid w:val="008832D4"/>
    <w:rsid w:val="00883545"/>
    <w:rsid w:val="008836CB"/>
    <w:rsid w:val="0088390D"/>
    <w:rsid w:val="008839C2"/>
    <w:rsid w:val="00883D41"/>
    <w:rsid w:val="00883F8D"/>
    <w:rsid w:val="00883F91"/>
    <w:rsid w:val="008841F6"/>
    <w:rsid w:val="0088430B"/>
    <w:rsid w:val="008844CA"/>
    <w:rsid w:val="0088458B"/>
    <w:rsid w:val="008847A6"/>
    <w:rsid w:val="008847E0"/>
    <w:rsid w:val="00884849"/>
    <w:rsid w:val="00884B23"/>
    <w:rsid w:val="00884DF9"/>
    <w:rsid w:val="0088504E"/>
    <w:rsid w:val="00885118"/>
    <w:rsid w:val="00885232"/>
    <w:rsid w:val="0088526E"/>
    <w:rsid w:val="00885622"/>
    <w:rsid w:val="00885972"/>
    <w:rsid w:val="008859AD"/>
    <w:rsid w:val="00885A3F"/>
    <w:rsid w:val="00885F97"/>
    <w:rsid w:val="00886011"/>
    <w:rsid w:val="0088657D"/>
    <w:rsid w:val="0088662B"/>
    <w:rsid w:val="0088664B"/>
    <w:rsid w:val="0088665D"/>
    <w:rsid w:val="00886BF8"/>
    <w:rsid w:val="00886C64"/>
    <w:rsid w:val="00886C82"/>
    <w:rsid w:val="00886CFB"/>
    <w:rsid w:val="00886F55"/>
    <w:rsid w:val="008870B8"/>
    <w:rsid w:val="008870CF"/>
    <w:rsid w:val="0088717A"/>
    <w:rsid w:val="008872B0"/>
    <w:rsid w:val="008876F5"/>
    <w:rsid w:val="00887710"/>
    <w:rsid w:val="008877C0"/>
    <w:rsid w:val="008878D8"/>
    <w:rsid w:val="00887A21"/>
    <w:rsid w:val="00887BE5"/>
    <w:rsid w:val="00887EE7"/>
    <w:rsid w:val="008900D9"/>
    <w:rsid w:val="00890279"/>
    <w:rsid w:val="008902AD"/>
    <w:rsid w:val="00890586"/>
    <w:rsid w:val="008907B9"/>
    <w:rsid w:val="0089087D"/>
    <w:rsid w:val="00890941"/>
    <w:rsid w:val="00890AAA"/>
    <w:rsid w:val="00890D7D"/>
    <w:rsid w:val="00890DCA"/>
    <w:rsid w:val="00890EF4"/>
    <w:rsid w:val="0089107B"/>
    <w:rsid w:val="008910CF"/>
    <w:rsid w:val="008913E6"/>
    <w:rsid w:val="00891588"/>
    <w:rsid w:val="0089163D"/>
    <w:rsid w:val="0089171E"/>
    <w:rsid w:val="00891996"/>
    <w:rsid w:val="008919F2"/>
    <w:rsid w:val="00891A57"/>
    <w:rsid w:val="00891D4F"/>
    <w:rsid w:val="00891D65"/>
    <w:rsid w:val="00891E7F"/>
    <w:rsid w:val="00891EAC"/>
    <w:rsid w:val="00892000"/>
    <w:rsid w:val="0089200D"/>
    <w:rsid w:val="00892017"/>
    <w:rsid w:val="0089204B"/>
    <w:rsid w:val="00892107"/>
    <w:rsid w:val="00892112"/>
    <w:rsid w:val="00892142"/>
    <w:rsid w:val="00892429"/>
    <w:rsid w:val="00892496"/>
    <w:rsid w:val="008926B8"/>
    <w:rsid w:val="00892718"/>
    <w:rsid w:val="00892A50"/>
    <w:rsid w:val="00892B93"/>
    <w:rsid w:val="00892C5D"/>
    <w:rsid w:val="00892D58"/>
    <w:rsid w:val="00892E2D"/>
    <w:rsid w:val="00893058"/>
    <w:rsid w:val="00893221"/>
    <w:rsid w:val="00893331"/>
    <w:rsid w:val="008935AF"/>
    <w:rsid w:val="0089364E"/>
    <w:rsid w:val="008938E3"/>
    <w:rsid w:val="00893B3D"/>
    <w:rsid w:val="00893E91"/>
    <w:rsid w:val="00893EC7"/>
    <w:rsid w:val="00893FDB"/>
    <w:rsid w:val="0089419A"/>
    <w:rsid w:val="00894205"/>
    <w:rsid w:val="00894242"/>
    <w:rsid w:val="008942B9"/>
    <w:rsid w:val="0089493D"/>
    <w:rsid w:val="00894AE2"/>
    <w:rsid w:val="00894B89"/>
    <w:rsid w:val="00894BD7"/>
    <w:rsid w:val="00894C26"/>
    <w:rsid w:val="00894CDD"/>
    <w:rsid w:val="00894EFE"/>
    <w:rsid w:val="00894F33"/>
    <w:rsid w:val="00895174"/>
    <w:rsid w:val="008951CE"/>
    <w:rsid w:val="008951F2"/>
    <w:rsid w:val="008952C9"/>
    <w:rsid w:val="00895320"/>
    <w:rsid w:val="00895333"/>
    <w:rsid w:val="008955F8"/>
    <w:rsid w:val="00895AC6"/>
    <w:rsid w:val="00895B0D"/>
    <w:rsid w:val="00895D05"/>
    <w:rsid w:val="00895F83"/>
    <w:rsid w:val="0089602B"/>
    <w:rsid w:val="00896124"/>
    <w:rsid w:val="00896234"/>
    <w:rsid w:val="00896304"/>
    <w:rsid w:val="008966D1"/>
    <w:rsid w:val="0089677D"/>
    <w:rsid w:val="00896952"/>
    <w:rsid w:val="00896971"/>
    <w:rsid w:val="00896A65"/>
    <w:rsid w:val="00896B37"/>
    <w:rsid w:val="00896BAA"/>
    <w:rsid w:val="00896D64"/>
    <w:rsid w:val="00896D78"/>
    <w:rsid w:val="00896E1F"/>
    <w:rsid w:val="00896E98"/>
    <w:rsid w:val="00897233"/>
    <w:rsid w:val="00897243"/>
    <w:rsid w:val="00897388"/>
    <w:rsid w:val="008973C6"/>
    <w:rsid w:val="008973F2"/>
    <w:rsid w:val="00897511"/>
    <w:rsid w:val="0089752A"/>
    <w:rsid w:val="0089753D"/>
    <w:rsid w:val="008975CA"/>
    <w:rsid w:val="008975EB"/>
    <w:rsid w:val="00897782"/>
    <w:rsid w:val="008977FF"/>
    <w:rsid w:val="0089790E"/>
    <w:rsid w:val="00897B60"/>
    <w:rsid w:val="00897D60"/>
    <w:rsid w:val="00897EB9"/>
    <w:rsid w:val="00897F0A"/>
    <w:rsid w:val="008A01EB"/>
    <w:rsid w:val="008A0275"/>
    <w:rsid w:val="008A0EC1"/>
    <w:rsid w:val="008A1054"/>
    <w:rsid w:val="008A10A6"/>
    <w:rsid w:val="008A116D"/>
    <w:rsid w:val="008A15E3"/>
    <w:rsid w:val="008A1785"/>
    <w:rsid w:val="008A181D"/>
    <w:rsid w:val="008A18C7"/>
    <w:rsid w:val="008A18F2"/>
    <w:rsid w:val="008A1B0A"/>
    <w:rsid w:val="008A1FB9"/>
    <w:rsid w:val="008A205D"/>
    <w:rsid w:val="008A22B1"/>
    <w:rsid w:val="008A24E7"/>
    <w:rsid w:val="008A26B8"/>
    <w:rsid w:val="008A2880"/>
    <w:rsid w:val="008A2911"/>
    <w:rsid w:val="008A29AD"/>
    <w:rsid w:val="008A2A5E"/>
    <w:rsid w:val="008A2AE0"/>
    <w:rsid w:val="008A2BC3"/>
    <w:rsid w:val="008A2DBE"/>
    <w:rsid w:val="008A2E96"/>
    <w:rsid w:val="008A3391"/>
    <w:rsid w:val="008A33CD"/>
    <w:rsid w:val="008A33E9"/>
    <w:rsid w:val="008A363F"/>
    <w:rsid w:val="008A395A"/>
    <w:rsid w:val="008A3A7C"/>
    <w:rsid w:val="008A3AC9"/>
    <w:rsid w:val="008A3C1A"/>
    <w:rsid w:val="008A3DF6"/>
    <w:rsid w:val="008A3E8C"/>
    <w:rsid w:val="008A4244"/>
    <w:rsid w:val="008A436D"/>
    <w:rsid w:val="008A4377"/>
    <w:rsid w:val="008A4588"/>
    <w:rsid w:val="008A4742"/>
    <w:rsid w:val="008A47D9"/>
    <w:rsid w:val="008A499B"/>
    <w:rsid w:val="008A4BD9"/>
    <w:rsid w:val="008A4D2A"/>
    <w:rsid w:val="008A5609"/>
    <w:rsid w:val="008A596C"/>
    <w:rsid w:val="008A5C3C"/>
    <w:rsid w:val="008A5F3E"/>
    <w:rsid w:val="008A6287"/>
    <w:rsid w:val="008A6448"/>
    <w:rsid w:val="008A65CB"/>
    <w:rsid w:val="008A66C5"/>
    <w:rsid w:val="008A6D52"/>
    <w:rsid w:val="008A6D8F"/>
    <w:rsid w:val="008A717A"/>
    <w:rsid w:val="008A71A4"/>
    <w:rsid w:val="008A74E2"/>
    <w:rsid w:val="008A76A5"/>
    <w:rsid w:val="008A7763"/>
    <w:rsid w:val="008A7823"/>
    <w:rsid w:val="008A78CB"/>
    <w:rsid w:val="008A78FA"/>
    <w:rsid w:val="008A7963"/>
    <w:rsid w:val="008A7BB6"/>
    <w:rsid w:val="008A7D89"/>
    <w:rsid w:val="008B01DF"/>
    <w:rsid w:val="008B0248"/>
    <w:rsid w:val="008B0436"/>
    <w:rsid w:val="008B043D"/>
    <w:rsid w:val="008B05E4"/>
    <w:rsid w:val="008B0978"/>
    <w:rsid w:val="008B0A03"/>
    <w:rsid w:val="008B0A4A"/>
    <w:rsid w:val="008B0B0D"/>
    <w:rsid w:val="008B0BD3"/>
    <w:rsid w:val="008B0C73"/>
    <w:rsid w:val="008B0FC6"/>
    <w:rsid w:val="008B1514"/>
    <w:rsid w:val="008B1807"/>
    <w:rsid w:val="008B1940"/>
    <w:rsid w:val="008B19FE"/>
    <w:rsid w:val="008B1C8F"/>
    <w:rsid w:val="008B1CFE"/>
    <w:rsid w:val="008B214C"/>
    <w:rsid w:val="008B2B2E"/>
    <w:rsid w:val="008B2C39"/>
    <w:rsid w:val="008B2CDA"/>
    <w:rsid w:val="008B2FCA"/>
    <w:rsid w:val="008B309D"/>
    <w:rsid w:val="008B3104"/>
    <w:rsid w:val="008B3107"/>
    <w:rsid w:val="008B33BE"/>
    <w:rsid w:val="008B3458"/>
    <w:rsid w:val="008B349E"/>
    <w:rsid w:val="008B35A9"/>
    <w:rsid w:val="008B3A67"/>
    <w:rsid w:val="008B3B1E"/>
    <w:rsid w:val="008B3D62"/>
    <w:rsid w:val="008B3DF4"/>
    <w:rsid w:val="008B3EDB"/>
    <w:rsid w:val="008B3EFA"/>
    <w:rsid w:val="008B3F0A"/>
    <w:rsid w:val="008B3F13"/>
    <w:rsid w:val="008B4082"/>
    <w:rsid w:val="008B425A"/>
    <w:rsid w:val="008B436D"/>
    <w:rsid w:val="008B44FE"/>
    <w:rsid w:val="008B4678"/>
    <w:rsid w:val="008B4696"/>
    <w:rsid w:val="008B477F"/>
    <w:rsid w:val="008B48AE"/>
    <w:rsid w:val="008B4901"/>
    <w:rsid w:val="008B4C77"/>
    <w:rsid w:val="008B4CEE"/>
    <w:rsid w:val="008B4E76"/>
    <w:rsid w:val="008B4E84"/>
    <w:rsid w:val="008B510E"/>
    <w:rsid w:val="008B536B"/>
    <w:rsid w:val="008B54CC"/>
    <w:rsid w:val="008B54E3"/>
    <w:rsid w:val="008B5677"/>
    <w:rsid w:val="008B57A3"/>
    <w:rsid w:val="008B584C"/>
    <w:rsid w:val="008B5A2D"/>
    <w:rsid w:val="008B5A9D"/>
    <w:rsid w:val="008B5B4B"/>
    <w:rsid w:val="008B5D5D"/>
    <w:rsid w:val="008B60C1"/>
    <w:rsid w:val="008B60EA"/>
    <w:rsid w:val="008B61F7"/>
    <w:rsid w:val="008B636E"/>
    <w:rsid w:val="008B6598"/>
    <w:rsid w:val="008B6A62"/>
    <w:rsid w:val="008B6B6D"/>
    <w:rsid w:val="008B6D37"/>
    <w:rsid w:val="008B6DC8"/>
    <w:rsid w:val="008B6EE6"/>
    <w:rsid w:val="008B7483"/>
    <w:rsid w:val="008B7683"/>
    <w:rsid w:val="008B7775"/>
    <w:rsid w:val="008B7E57"/>
    <w:rsid w:val="008B7E77"/>
    <w:rsid w:val="008B7FC7"/>
    <w:rsid w:val="008B7FD0"/>
    <w:rsid w:val="008C0935"/>
    <w:rsid w:val="008C0C62"/>
    <w:rsid w:val="008C0D36"/>
    <w:rsid w:val="008C0DD7"/>
    <w:rsid w:val="008C0EC0"/>
    <w:rsid w:val="008C1278"/>
    <w:rsid w:val="008C152B"/>
    <w:rsid w:val="008C196B"/>
    <w:rsid w:val="008C1A2D"/>
    <w:rsid w:val="008C1A70"/>
    <w:rsid w:val="008C1DA0"/>
    <w:rsid w:val="008C1DEE"/>
    <w:rsid w:val="008C23EC"/>
    <w:rsid w:val="008C2439"/>
    <w:rsid w:val="008C24CE"/>
    <w:rsid w:val="008C255A"/>
    <w:rsid w:val="008C26E6"/>
    <w:rsid w:val="008C273E"/>
    <w:rsid w:val="008C2766"/>
    <w:rsid w:val="008C27FF"/>
    <w:rsid w:val="008C283F"/>
    <w:rsid w:val="008C28FB"/>
    <w:rsid w:val="008C2915"/>
    <w:rsid w:val="008C296C"/>
    <w:rsid w:val="008C2ACD"/>
    <w:rsid w:val="008C2BB9"/>
    <w:rsid w:val="008C2CFA"/>
    <w:rsid w:val="008C2DCA"/>
    <w:rsid w:val="008C30A1"/>
    <w:rsid w:val="008C3159"/>
    <w:rsid w:val="008C353F"/>
    <w:rsid w:val="008C358C"/>
    <w:rsid w:val="008C35C4"/>
    <w:rsid w:val="008C362D"/>
    <w:rsid w:val="008C3786"/>
    <w:rsid w:val="008C3917"/>
    <w:rsid w:val="008C4098"/>
    <w:rsid w:val="008C43AB"/>
    <w:rsid w:val="008C44EF"/>
    <w:rsid w:val="008C4564"/>
    <w:rsid w:val="008C45C2"/>
    <w:rsid w:val="008C4772"/>
    <w:rsid w:val="008C4A25"/>
    <w:rsid w:val="008C4AD6"/>
    <w:rsid w:val="008C4B95"/>
    <w:rsid w:val="008C4D0E"/>
    <w:rsid w:val="008C4D62"/>
    <w:rsid w:val="008C4FAF"/>
    <w:rsid w:val="008C50FF"/>
    <w:rsid w:val="008C516E"/>
    <w:rsid w:val="008C5237"/>
    <w:rsid w:val="008C55BD"/>
    <w:rsid w:val="008C58E4"/>
    <w:rsid w:val="008C5B3D"/>
    <w:rsid w:val="008C5C9B"/>
    <w:rsid w:val="008C5E31"/>
    <w:rsid w:val="008C63DA"/>
    <w:rsid w:val="008C647B"/>
    <w:rsid w:val="008C66AF"/>
    <w:rsid w:val="008C67EF"/>
    <w:rsid w:val="008C6864"/>
    <w:rsid w:val="008C6947"/>
    <w:rsid w:val="008C69D6"/>
    <w:rsid w:val="008C69DD"/>
    <w:rsid w:val="008C6BED"/>
    <w:rsid w:val="008C6D4F"/>
    <w:rsid w:val="008C6F3D"/>
    <w:rsid w:val="008C708E"/>
    <w:rsid w:val="008C7185"/>
    <w:rsid w:val="008C71B3"/>
    <w:rsid w:val="008C7220"/>
    <w:rsid w:val="008C732B"/>
    <w:rsid w:val="008C7544"/>
    <w:rsid w:val="008C75B7"/>
    <w:rsid w:val="008C765D"/>
    <w:rsid w:val="008C76E0"/>
    <w:rsid w:val="008C787C"/>
    <w:rsid w:val="008C790A"/>
    <w:rsid w:val="008C7B79"/>
    <w:rsid w:val="008C7CA1"/>
    <w:rsid w:val="008C7D79"/>
    <w:rsid w:val="008C7DEB"/>
    <w:rsid w:val="008C7E7E"/>
    <w:rsid w:val="008C7ED1"/>
    <w:rsid w:val="008C7F75"/>
    <w:rsid w:val="008D0044"/>
    <w:rsid w:val="008D00EA"/>
    <w:rsid w:val="008D02D8"/>
    <w:rsid w:val="008D033E"/>
    <w:rsid w:val="008D0371"/>
    <w:rsid w:val="008D0616"/>
    <w:rsid w:val="008D065A"/>
    <w:rsid w:val="008D07C2"/>
    <w:rsid w:val="008D0828"/>
    <w:rsid w:val="008D0858"/>
    <w:rsid w:val="008D0E69"/>
    <w:rsid w:val="008D0FBE"/>
    <w:rsid w:val="008D1191"/>
    <w:rsid w:val="008D18B6"/>
    <w:rsid w:val="008D1A1F"/>
    <w:rsid w:val="008D1A97"/>
    <w:rsid w:val="008D1C6F"/>
    <w:rsid w:val="008D1D50"/>
    <w:rsid w:val="008D1DE8"/>
    <w:rsid w:val="008D2039"/>
    <w:rsid w:val="008D2153"/>
    <w:rsid w:val="008D2B3C"/>
    <w:rsid w:val="008D2D8A"/>
    <w:rsid w:val="008D2EF6"/>
    <w:rsid w:val="008D2F66"/>
    <w:rsid w:val="008D3034"/>
    <w:rsid w:val="008D3115"/>
    <w:rsid w:val="008D31B6"/>
    <w:rsid w:val="008D31C9"/>
    <w:rsid w:val="008D33AE"/>
    <w:rsid w:val="008D349E"/>
    <w:rsid w:val="008D38BE"/>
    <w:rsid w:val="008D394B"/>
    <w:rsid w:val="008D39E1"/>
    <w:rsid w:val="008D3A4B"/>
    <w:rsid w:val="008D3A77"/>
    <w:rsid w:val="008D3F8F"/>
    <w:rsid w:val="008D41BE"/>
    <w:rsid w:val="008D49EA"/>
    <w:rsid w:val="008D4B1E"/>
    <w:rsid w:val="008D4BF6"/>
    <w:rsid w:val="008D4C8F"/>
    <w:rsid w:val="008D4EBF"/>
    <w:rsid w:val="008D4FAC"/>
    <w:rsid w:val="008D53C1"/>
    <w:rsid w:val="008D543D"/>
    <w:rsid w:val="008D5505"/>
    <w:rsid w:val="008D579C"/>
    <w:rsid w:val="008D59FD"/>
    <w:rsid w:val="008D5A85"/>
    <w:rsid w:val="008D5CCD"/>
    <w:rsid w:val="008D5DCD"/>
    <w:rsid w:val="008D6308"/>
    <w:rsid w:val="008D6477"/>
    <w:rsid w:val="008D666B"/>
    <w:rsid w:val="008D66B7"/>
    <w:rsid w:val="008D66B8"/>
    <w:rsid w:val="008D6A6F"/>
    <w:rsid w:val="008D6E3E"/>
    <w:rsid w:val="008D6FC0"/>
    <w:rsid w:val="008D704A"/>
    <w:rsid w:val="008D70BB"/>
    <w:rsid w:val="008D7178"/>
    <w:rsid w:val="008D72D8"/>
    <w:rsid w:val="008D7838"/>
    <w:rsid w:val="008D7A86"/>
    <w:rsid w:val="008D7ADA"/>
    <w:rsid w:val="008E002A"/>
    <w:rsid w:val="008E021D"/>
    <w:rsid w:val="008E02EF"/>
    <w:rsid w:val="008E0361"/>
    <w:rsid w:val="008E0414"/>
    <w:rsid w:val="008E0510"/>
    <w:rsid w:val="008E07BA"/>
    <w:rsid w:val="008E080F"/>
    <w:rsid w:val="008E090A"/>
    <w:rsid w:val="008E0A0A"/>
    <w:rsid w:val="008E0CF2"/>
    <w:rsid w:val="008E1191"/>
    <w:rsid w:val="008E12A1"/>
    <w:rsid w:val="008E1360"/>
    <w:rsid w:val="008E143A"/>
    <w:rsid w:val="008E170C"/>
    <w:rsid w:val="008E186E"/>
    <w:rsid w:val="008E1882"/>
    <w:rsid w:val="008E18DD"/>
    <w:rsid w:val="008E1A1A"/>
    <w:rsid w:val="008E1AA1"/>
    <w:rsid w:val="008E1B61"/>
    <w:rsid w:val="008E1BBB"/>
    <w:rsid w:val="008E1CBE"/>
    <w:rsid w:val="008E2513"/>
    <w:rsid w:val="008E2593"/>
    <w:rsid w:val="008E2812"/>
    <w:rsid w:val="008E28AF"/>
    <w:rsid w:val="008E2936"/>
    <w:rsid w:val="008E2CCB"/>
    <w:rsid w:val="008E2D4C"/>
    <w:rsid w:val="008E319F"/>
    <w:rsid w:val="008E329A"/>
    <w:rsid w:val="008E3504"/>
    <w:rsid w:val="008E3553"/>
    <w:rsid w:val="008E3663"/>
    <w:rsid w:val="008E375F"/>
    <w:rsid w:val="008E3913"/>
    <w:rsid w:val="008E39D0"/>
    <w:rsid w:val="008E3A28"/>
    <w:rsid w:val="008E3DB8"/>
    <w:rsid w:val="008E3E30"/>
    <w:rsid w:val="008E42B0"/>
    <w:rsid w:val="008E42D3"/>
    <w:rsid w:val="008E4354"/>
    <w:rsid w:val="008E43F2"/>
    <w:rsid w:val="008E46E6"/>
    <w:rsid w:val="008E4B98"/>
    <w:rsid w:val="008E4DB7"/>
    <w:rsid w:val="008E4F2F"/>
    <w:rsid w:val="008E5063"/>
    <w:rsid w:val="008E51F3"/>
    <w:rsid w:val="008E575D"/>
    <w:rsid w:val="008E587D"/>
    <w:rsid w:val="008E58EF"/>
    <w:rsid w:val="008E590D"/>
    <w:rsid w:val="008E5D1A"/>
    <w:rsid w:val="008E5F1E"/>
    <w:rsid w:val="008E614B"/>
    <w:rsid w:val="008E6209"/>
    <w:rsid w:val="008E626D"/>
    <w:rsid w:val="008E63A3"/>
    <w:rsid w:val="008E646D"/>
    <w:rsid w:val="008E6935"/>
    <w:rsid w:val="008E69FA"/>
    <w:rsid w:val="008E6A2B"/>
    <w:rsid w:val="008E6BF5"/>
    <w:rsid w:val="008E6ED8"/>
    <w:rsid w:val="008E6F5B"/>
    <w:rsid w:val="008E6FA3"/>
    <w:rsid w:val="008E727C"/>
    <w:rsid w:val="008E74A3"/>
    <w:rsid w:val="008E7523"/>
    <w:rsid w:val="008E7561"/>
    <w:rsid w:val="008E77F8"/>
    <w:rsid w:val="008E78DD"/>
    <w:rsid w:val="008E792F"/>
    <w:rsid w:val="008E7A46"/>
    <w:rsid w:val="008E7ABE"/>
    <w:rsid w:val="008E7B37"/>
    <w:rsid w:val="008E7F81"/>
    <w:rsid w:val="008F0116"/>
    <w:rsid w:val="008F02F0"/>
    <w:rsid w:val="008F03F9"/>
    <w:rsid w:val="008F0551"/>
    <w:rsid w:val="008F0959"/>
    <w:rsid w:val="008F0C90"/>
    <w:rsid w:val="008F0D4C"/>
    <w:rsid w:val="008F0F73"/>
    <w:rsid w:val="008F13B4"/>
    <w:rsid w:val="008F13F4"/>
    <w:rsid w:val="008F1435"/>
    <w:rsid w:val="008F148D"/>
    <w:rsid w:val="008F14A1"/>
    <w:rsid w:val="008F16E9"/>
    <w:rsid w:val="008F1811"/>
    <w:rsid w:val="008F1A77"/>
    <w:rsid w:val="008F1A86"/>
    <w:rsid w:val="008F2015"/>
    <w:rsid w:val="008F20BF"/>
    <w:rsid w:val="008F2263"/>
    <w:rsid w:val="008F2351"/>
    <w:rsid w:val="008F2495"/>
    <w:rsid w:val="008F2766"/>
    <w:rsid w:val="008F2827"/>
    <w:rsid w:val="008F2871"/>
    <w:rsid w:val="008F2D27"/>
    <w:rsid w:val="008F2EF3"/>
    <w:rsid w:val="008F2F16"/>
    <w:rsid w:val="008F30F1"/>
    <w:rsid w:val="008F3223"/>
    <w:rsid w:val="008F323F"/>
    <w:rsid w:val="008F34B9"/>
    <w:rsid w:val="008F380E"/>
    <w:rsid w:val="008F385C"/>
    <w:rsid w:val="008F3880"/>
    <w:rsid w:val="008F392C"/>
    <w:rsid w:val="008F3A2A"/>
    <w:rsid w:val="008F3A72"/>
    <w:rsid w:val="008F3C02"/>
    <w:rsid w:val="008F3D0B"/>
    <w:rsid w:val="008F3EA9"/>
    <w:rsid w:val="008F3F86"/>
    <w:rsid w:val="008F3F87"/>
    <w:rsid w:val="008F40FB"/>
    <w:rsid w:val="008F422D"/>
    <w:rsid w:val="008F432F"/>
    <w:rsid w:val="008F436D"/>
    <w:rsid w:val="008F43CE"/>
    <w:rsid w:val="008F44E3"/>
    <w:rsid w:val="008F45B4"/>
    <w:rsid w:val="008F47ED"/>
    <w:rsid w:val="008F4867"/>
    <w:rsid w:val="008F4CC5"/>
    <w:rsid w:val="008F50FD"/>
    <w:rsid w:val="008F5110"/>
    <w:rsid w:val="008F526B"/>
    <w:rsid w:val="008F52CE"/>
    <w:rsid w:val="008F542E"/>
    <w:rsid w:val="008F5A24"/>
    <w:rsid w:val="008F5FFA"/>
    <w:rsid w:val="008F6066"/>
    <w:rsid w:val="008F63B1"/>
    <w:rsid w:val="008F643B"/>
    <w:rsid w:val="008F6A28"/>
    <w:rsid w:val="008F6A67"/>
    <w:rsid w:val="008F6B15"/>
    <w:rsid w:val="008F6EFE"/>
    <w:rsid w:val="008F72A4"/>
    <w:rsid w:val="008F7615"/>
    <w:rsid w:val="008F7681"/>
    <w:rsid w:val="008F76AC"/>
    <w:rsid w:val="008F7B43"/>
    <w:rsid w:val="00900636"/>
    <w:rsid w:val="009006A5"/>
    <w:rsid w:val="0090096B"/>
    <w:rsid w:val="00900972"/>
    <w:rsid w:val="00900BB8"/>
    <w:rsid w:val="00900FC7"/>
    <w:rsid w:val="0090107B"/>
    <w:rsid w:val="009010FF"/>
    <w:rsid w:val="00901159"/>
    <w:rsid w:val="009011F8"/>
    <w:rsid w:val="00901232"/>
    <w:rsid w:val="0090129E"/>
    <w:rsid w:val="00901354"/>
    <w:rsid w:val="0090138D"/>
    <w:rsid w:val="0090170F"/>
    <w:rsid w:val="00901794"/>
    <w:rsid w:val="0090192B"/>
    <w:rsid w:val="00901B4E"/>
    <w:rsid w:val="00901B58"/>
    <w:rsid w:val="00901B8D"/>
    <w:rsid w:val="00901C70"/>
    <w:rsid w:val="00901CA9"/>
    <w:rsid w:val="00901CD3"/>
    <w:rsid w:val="00901FB4"/>
    <w:rsid w:val="009021B8"/>
    <w:rsid w:val="0090228C"/>
    <w:rsid w:val="009024C0"/>
    <w:rsid w:val="00902721"/>
    <w:rsid w:val="00902AEC"/>
    <w:rsid w:val="009034F1"/>
    <w:rsid w:val="00903796"/>
    <w:rsid w:val="009037AF"/>
    <w:rsid w:val="009037D1"/>
    <w:rsid w:val="0090391A"/>
    <w:rsid w:val="0090391F"/>
    <w:rsid w:val="00903A80"/>
    <w:rsid w:val="00903B7D"/>
    <w:rsid w:val="00903C2A"/>
    <w:rsid w:val="00903F9F"/>
    <w:rsid w:val="00903FFE"/>
    <w:rsid w:val="00904035"/>
    <w:rsid w:val="0090405D"/>
    <w:rsid w:val="009040DC"/>
    <w:rsid w:val="0090429D"/>
    <w:rsid w:val="009043A4"/>
    <w:rsid w:val="009043D7"/>
    <w:rsid w:val="009043DE"/>
    <w:rsid w:val="00904637"/>
    <w:rsid w:val="00904639"/>
    <w:rsid w:val="009046F3"/>
    <w:rsid w:val="009048D6"/>
    <w:rsid w:val="009049AD"/>
    <w:rsid w:val="00904D2C"/>
    <w:rsid w:val="00904D39"/>
    <w:rsid w:val="00904D9E"/>
    <w:rsid w:val="00904E62"/>
    <w:rsid w:val="0090530A"/>
    <w:rsid w:val="009053A5"/>
    <w:rsid w:val="00905442"/>
    <w:rsid w:val="009055D8"/>
    <w:rsid w:val="0090585A"/>
    <w:rsid w:val="00905877"/>
    <w:rsid w:val="00905B1E"/>
    <w:rsid w:val="00905DDE"/>
    <w:rsid w:val="00905E07"/>
    <w:rsid w:val="009064EC"/>
    <w:rsid w:val="0090667B"/>
    <w:rsid w:val="00906CA8"/>
    <w:rsid w:val="00906D8A"/>
    <w:rsid w:val="00906DEA"/>
    <w:rsid w:val="0090709A"/>
    <w:rsid w:val="00907379"/>
    <w:rsid w:val="009073E2"/>
    <w:rsid w:val="009074AC"/>
    <w:rsid w:val="009075BB"/>
    <w:rsid w:val="009077B9"/>
    <w:rsid w:val="0090794F"/>
    <w:rsid w:val="009079E1"/>
    <w:rsid w:val="00907AF7"/>
    <w:rsid w:val="00907B62"/>
    <w:rsid w:val="00907C95"/>
    <w:rsid w:val="00907E08"/>
    <w:rsid w:val="00907E1B"/>
    <w:rsid w:val="00907FAC"/>
    <w:rsid w:val="00907FD5"/>
    <w:rsid w:val="00910593"/>
    <w:rsid w:val="00910913"/>
    <w:rsid w:val="00910920"/>
    <w:rsid w:val="00910D8C"/>
    <w:rsid w:val="00910DBA"/>
    <w:rsid w:val="00910E7D"/>
    <w:rsid w:val="00910F09"/>
    <w:rsid w:val="009112BA"/>
    <w:rsid w:val="0091137C"/>
    <w:rsid w:val="00911A34"/>
    <w:rsid w:val="00911A84"/>
    <w:rsid w:val="00911EB5"/>
    <w:rsid w:val="009128B2"/>
    <w:rsid w:val="009129A5"/>
    <w:rsid w:val="00912BA4"/>
    <w:rsid w:val="00912C3A"/>
    <w:rsid w:val="00912EBC"/>
    <w:rsid w:val="009130F7"/>
    <w:rsid w:val="009133C4"/>
    <w:rsid w:val="009133F1"/>
    <w:rsid w:val="009135F1"/>
    <w:rsid w:val="00913A6F"/>
    <w:rsid w:val="00913A88"/>
    <w:rsid w:val="00913B3D"/>
    <w:rsid w:val="00913D3F"/>
    <w:rsid w:val="00913E1D"/>
    <w:rsid w:val="00913E33"/>
    <w:rsid w:val="00913E46"/>
    <w:rsid w:val="00913E49"/>
    <w:rsid w:val="00913FC5"/>
    <w:rsid w:val="0091433B"/>
    <w:rsid w:val="00914343"/>
    <w:rsid w:val="00914784"/>
    <w:rsid w:val="0091487C"/>
    <w:rsid w:val="00914D2B"/>
    <w:rsid w:val="00915205"/>
    <w:rsid w:val="009152A2"/>
    <w:rsid w:val="00915353"/>
    <w:rsid w:val="009154D3"/>
    <w:rsid w:val="009154E2"/>
    <w:rsid w:val="009155B2"/>
    <w:rsid w:val="00915A4D"/>
    <w:rsid w:val="00915A65"/>
    <w:rsid w:val="00915B36"/>
    <w:rsid w:val="00915CE3"/>
    <w:rsid w:val="00915CF5"/>
    <w:rsid w:val="00915D19"/>
    <w:rsid w:val="00915D3C"/>
    <w:rsid w:val="00915DCF"/>
    <w:rsid w:val="00915F70"/>
    <w:rsid w:val="009161AC"/>
    <w:rsid w:val="0091627A"/>
    <w:rsid w:val="00916622"/>
    <w:rsid w:val="009166EB"/>
    <w:rsid w:val="00916C58"/>
    <w:rsid w:val="0091720A"/>
    <w:rsid w:val="009173AF"/>
    <w:rsid w:val="0091740C"/>
    <w:rsid w:val="0091752D"/>
    <w:rsid w:val="009175F7"/>
    <w:rsid w:val="0091765D"/>
    <w:rsid w:val="009176FE"/>
    <w:rsid w:val="009177D7"/>
    <w:rsid w:val="00917829"/>
    <w:rsid w:val="00917AA9"/>
    <w:rsid w:val="00917AC3"/>
    <w:rsid w:val="00917B81"/>
    <w:rsid w:val="00917EEE"/>
    <w:rsid w:val="009200BF"/>
    <w:rsid w:val="009205B6"/>
    <w:rsid w:val="009205C9"/>
    <w:rsid w:val="009205EA"/>
    <w:rsid w:val="00920602"/>
    <w:rsid w:val="009209F9"/>
    <w:rsid w:val="00920AC3"/>
    <w:rsid w:val="00920C39"/>
    <w:rsid w:val="00920F55"/>
    <w:rsid w:val="009211A6"/>
    <w:rsid w:val="0092128F"/>
    <w:rsid w:val="00921773"/>
    <w:rsid w:val="00921871"/>
    <w:rsid w:val="00921ADB"/>
    <w:rsid w:val="00921BEE"/>
    <w:rsid w:val="00921E04"/>
    <w:rsid w:val="00921E67"/>
    <w:rsid w:val="00921EEF"/>
    <w:rsid w:val="0092238B"/>
    <w:rsid w:val="00922455"/>
    <w:rsid w:val="009225B7"/>
    <w:rsid w:val="00922601"/>
    <w:rsid w:val="00922736"/>
    <w:rsid w:val="009228D7"/>
    <w:rsid w:val="00922988"/>
    <w:rsid w:val="00922B1D"/>
    <w:rsid w:val="00922C2B"/>
    <w:rsid w:val="00922E80"/>
    <w:rsid w:val="00922F20"/>
    <w:rsid w:val="00922FEF"/>
    <w:rsid w:val="00922FF5"/>
    <w:rsid w:val="00923029"/>
    <w:rsid w:val="009230D9"/>
    <w:rsid w:val="009230E1"/>
    <w:rsid w:val="00923603"/>
    <w:rsid w:val="009238C2"/>
    <w:rsid w:val="00923BA1"/>
    <w:rsid w:val="00923ED3"/>
    <w:rsid w:val="009249C3"/>
    <w:rsid w:val="00924E36"/>
    <w:rsid w:val="00924E8B"/>
    <w:rsid w:val="00925086"/>
    <w:rsid w:val="00925099"/>
    <w:rsid w:val="00925360"/>
    <w:rsid w:val="0092539A"/>
    <w:rsid w:val="00925466"/>
    <w:rsid w:val="009254EC"/>
    <w:rsid w:val="009255E7"/>
    <w:rsid w:val="00925669"/>
    <w:rsid w:val="00925734"/>
    <w:rsid w:val="00925836"/>
    <w:rsid w:val="00925ABA"/>
    <w:rsid w:val="00925B3D"/>
    <w:rsid w:val="00925ECD"/>
    <w:rsid w:val="00925FCB"/>
    <w:rsid w:val="00926091"/>
    <w:rsid w:val="009260AD"/>
    <w:rsid w:val="0092615C"/>
    <w:rsid w:val="009261A4"/>
    <w:rsid w:val="0092644D"/>
    <w:rsid w:val="009266C9"/>
    <w:rsid w:val="009266DB"/>
    <w:rsid w:val="0092691A"/>
    <w:rsid w:val="00926978"/>
    <w:rsid w:val="00926D60"/>
    <w:rsid w:val="00926F7C"/>
    <w:rsid w:val="0092709C"/>
    <w:rsid w:val="009270E6"/>
    <w:rsid w:val="00927AC3"/>
    <w:rsid w:val="00927BA2"/>
    <w:rsid w:val="00927BF5"/>
    <w:rsid w:val="00927DD3"/>
    <w:rsid w:val="00927E2C"/>
    <w:rsid w:val="00930172"/>
    <w:rsid w:val="00930202"/>
    <w:rsid w:val="00930211"/>
    <w:rsid w:val="0093025E"/>
    <w:rsid w:val="0093083A"/>
    <w:rsid w:val="00930B13"/>
    <w:rsid w:val="00930C20"/>
    <w:rsid w:val="00930C81"/>
    <w:rsid w:val="00930D44"/>
    <w:rsid w:val="00930F96"/>
    <w:rsid w:val="00931058"/>
    <w:rsid w:val="00931172"/>
    <w:rsid w:val="009312CB"/>
    <w:rsid w:val="009315E3"/>
    <w:rsid w:val="0093172C"/>
    <w:rsid w:val="00931731"/>
    <w:rsid w:val="00931AD8"/>
    <w:rsid w:val="00931C13"/>
    <w:rsid w:val="00931CB6"/>
    <w:rsid w:val="00932078"/>
    <w:rsid w:val="0093231E"/>
    <w:rsid w:val="0093245E"/>
    <w:rsid w:val="009324FB"/>
    <w:rsid w:val="009326BF"/>
    <w:rsid w:val="0093276F"/>
    <w:rsid w:val="00932A6D"/>
    <w:rsid w:val="00932BA9"/>
    <w:rsid w:val="00932D67"/>
    <w:rsid w:val="0093307B"/>
    <w:rsid w:val="009330BF"/>
    <w:rsid w:val="00933209"/>
    <w:rsid w:val="009334AD"/>
    <w:rsid w:val="009336E2"/>
    <w:rsid w:val="0093370B"/>
    <w:rsid w:val="00933850"/>
    <w:rsid w:val="0093394C"/>
    <w:rsid w:val="00933D84"/>
    <w:rsid w:val="00933E74"/>
    <w:rsid w:val="00933E94"/>
    <w:rsid w:val="00933F58"/>
    <w:rsid w:val="00933F59"/>
    <w:rsid w:val="00934174"/>
    <w:rsid w:val="009341C3"/>
    <w:rsid w:val="009342BF"/>
    <w:rsid w:val="009342E3"/>
    <w:rsid w:val="00934311"/>
    <w:rsid w:val="0093455C"/>
    <w:rsid w:val="0093494D"/>
    <w:rsid w:val="0093495A"/>
    <w:rsid w:val="00934C90"/>
    <w:rsid w:val="00934E0B"/>
    <w:rsid w:val="00934E58"/>
    <w:rsid w:val="009350D0"/>
    <w:rsid w:val="0093512B"/>
    <w:rsid w:val="0093528C"/>
    <w:rsid w:val="009352BD"/>
    <w:rsid w:val="009353C4"/>
    <w:rsid w:val="00935518"/>
    <w:rsid w:val="0093571D"/>
    <w:rsid w:val="00935AA1"/>
    <w:rsid w:val="00935B21"/>
    <w:rsid w:val="00935B60"/>
    <w:rsid w:val="00935CAB"/>
    <w:rsid w:val="00936014"/>
    <w:rsid w:val="009360DD"/>
    <w:rsid w:val="00936161"/>
    <w:rsid w:val="0093617F"/>
    <w:rsid w:val="0093648C"/>
    <w:rsid w:val="009365FB"/>
    <w:rsid w:val="009367E3"/>
    <w:rsid w:val="00936A0A"/>
    <w:rsid w:val="00936AC9"/>
    <w:rsid w:val="00936C99"/>
    <w:rsid w:val="00936DD2"/>
    <w:rsid w:val="00936F11"/>
    <w:rsid w:val="00936F4D"/>
    <w:rsid w:val="009370A1"/>
    <w:rsid w:val="009375D8"/>
    <w:rsid w:val="00937945"/>
    <w:rsid w:val="009379D6"/>
    <w:rsid w:val="00937AAB"/>
    <w:rsid w:val="00937B32"/>
    <w:rsid w:val="00937C18"/>
    <w:rsid w:val="00937C3E"/>
    <w:rsid w:val="00937D31"/>
    <w:rsid w:val="00940168"/>
    <w:rsid w:val="0094018F"/>
    <w:rsid w:val="0094069E"/>
    <w:rsid w:val="0094079E"/>
    <w:rsid w:val="00940BAC"/>
    <w:rsid w:val="00940BD0"/>
    <w:rsid w:val="00940BE0"/>
    <w:rsid w:val="009410D9"/>
    <w:rsid w:val="0094152D"/>
    <w:rsid w:val="009415C5"/>
    <w:rsid w:val="00941973"/>
    <w:rsid w:val="00941A56"/>
    <w:rsid w:val="00941ABE"/>
    <w:rsid w:val="00941B5D"/>
    <w:rsid w:val="00941CDB"/>
    <w:rsid w:val="00941CF9"/>
    <w:rsid w:val="00941DE0"/>
    <w:rsid w:val="00942139"/>
    <w:rsid w:val="009421F0"/>
    <w:rsid w:val="009422CD"/>
    <w:rsid w:val="009424FE"/>
    <w:rsid w:val="009427FB"/>
    <w:rsid w:val="00942938"/>
    <w:rsid w:val="00942BBB"/>
    <w:rsid w:val="00942DB3"/>
    <w:rsid w:val="00942DC6"/>
    <w:rsid w:val="00942DF8"/>
    <w:rsid w:val="00942E7A"/>
    <w:rsid w:val="0094322A"/>
    <w:rsid w:val="00943533"/>
    <w:rsid w:val="009435AA"/>
    <w:rsid w:val="00943694"/>
    <w:rsid w:val="0094384D"/>
    <w:rsid w:val="009438FF"/>
    <w:rsid w:val="00943951"/>
    <w:rsid w:val="0094398E"/>
    <w:rsid w:val="009439AE"/>
    <w:rsid w:val="00943B18"/>
    <w:rsid w:val="00943C4D"/>
    <w:rsid w:val="00943C74"/>
    <w:rsid w:val="00943C7D"/>
    <w:rsid w:val="00943CE9"/>
    <w:rsid w:val="00944097"/>
    <w:rsid w:val="009440DA"/>
    <w:rsid w:val="00944371"/>
    <w:rsid w:val="009444F8"/>
    <w:rsid w:val="00944A9E"/>
    <w:rsid w:val="00944E66"/>
    <w:rsid w:val="009451A3"/>
    <w:rsid w:val="00945208"/>
    <w:rsid w:val="009452D0"/>
    <w:rsid w:val="009455AC"/>
    <w:rsid w:val="009455F7"/>
    <w:rsid w:val="00945877"/>
    <w:rsid w:val="009458C7"/>
    <w:rsid w:val="00945A7C"/>
    <w:rsid w:val="00945B77"/>
    <w:rsid w:val="00945C4A"/>
    <w:rsid w:val="00945C97"/>
    <w:rsid w:val="00945FEE"/>
    <w:rsid w:val="00946090"/>
    <w:rsid w:val="00946229"/>
    <w:rsid w:val="0094632D"/>
    <w:rsid w:val="00946489"/>
    <w:rsid w:val="00946686"/>
    <w:rsid w:val="009466C6"/>
    <w:rsid w:val="0094672B"/>
    <w:rsid w:val="009467CC"/>
    <w:rsid w:val="00946984"/>
    <w:rsid w:val="00946C80"/>
    <w:rsid w:val="00946D93"/>
    <w:rsid w:val="00946DE1"/>
    <w:rsid w:val="0094706E"/>
    <w:rsid w:val="0094777E"/>
    <w:rsid w:val="00947998"/>
    <w:rsid w:val="00947AA8"/>
    <w:rsid w:val="00947AB9"/>
    <w:rsid w:val="00947BF9"/>
    <w:rsid w:val="00947BFB"/>
    <w:rsid w:val="00947D42"/>
    <w:rsid w:val="00947DBF"/>
    <w:rsid w:val="00947EE9"/>
    <w:rsid w:val="00947F2F"/>
    <w:rsid w:val="00947F57"/>
    <w:rsid w:val="00947F5A"/>
    <w:rsid w:val="00947F8D"/>
    <w:rsid w:val="00950146"/>
    <w:rsid w:val="009502AC"/>
    <w:rsid w:val="00950398"/>
    <w:rsid w:val="00950497"/>
    <w:rsid w:val="0095088D"/>
    <w:rsid w:val="0095096B"/>
    <w:rsid w:val="00950A2C"/>
    <w:rsid w:val="0095116B"/>
    <w:rsid w:val="009511D9"/>
    <w:rsid w:val="009512F8"/>
    <w:rsid w:val="00951599"/>
    <w:rsid w:val="00951CB4"/>
    <w:rsid w:val="00951D90"/>
    <w:rsid w:val="00951DEA"/>
    <w:rsid w:val="00951FCB"/>
    <w:rsid w:val="00952070"/>
    <w:rsid w:val="0095238E"/>
    <w:rsid w:val="009527E4"/>
    <w:rsid w:val="00952AAF"/>
    <w:rsid w:val="00952B36"/>
    <w:rsid w:val="00952E0E"/>
    <w:rsid w:val="00953169"/>
    <w:rsid w:val="00953183"/>
    <w:rsid w:val="009531B2"/>
    <w:rsid w:val="00953257"/>
    <w:rsid w:val="009532BC"/>
    <w:rsid w:val="009532F7"/>
    <w:rsid w:val="00953642"/>
    <w:rsid w:val="00953769"/>
    <w:rsid w:val="00953A51"/>
    <w:rsid w:val="00954182"/>
    <w:rsid w:val="009541C1"/>
    <w:rsid w:val="009541FD"/>
    <w:rsid w:val="00954271"/>
    <w:rsid w:val="009542AE"/>
    <w:rsid w:val="00954478"/>
    <w:rsid w:val="009544F4"/>
    <w:rsid w:val="00954603"/>
    <w:rsid w:val="009546CE"/>
    <w:rsid w:val="00954883"/>
    <w:rsid w:val="00954A1D"/>
    <w:rsid w:val="00954B17"/>
    <w:rsid w:val="00954E00"/>
    <w:rsid w:val="00955243"/>
    <w:rsid w:val="00955366"/>
    <w:rsid w:val="009554AB"/>
    <w:rsid w:val="00955607"/>
    <w:rsid w:val="009556F9"/>
    <w:rsid w:val="009556FC"/>
    <w:rsid w:val="00955EB5"/>
    <w:rsid w:val="00956020"/>
    <w:rsid w:val="00956088"/>
    <w:rsid w:val="00956092"/>
    <w:rsid w:val="00956178"/>
    <w:rsid w:val="00956266"/>
    <w:rsid w:val="009562A0"/>
    <w:rsid w:val="0095632F"/>
    <w:rsid w:val="009564A9"/>
    <w:rsid w:val="00956851"/>
    <w:rsid w:val="0095685C"/>
    <w:rsid w:val="0095688F"/>
    <w:rsid w:val="00956972"/>
    <w:rsid w:val="00956ADA"/>
    <w:rsid w:val="00956E09"/>
    <w:rsid w:val="00956E80"/>
    <w:rsid w:val="00956EF1"/>
    <w:rsid w:val="00956EF4"/>
    <w:rsid w:val="00956F16"/>
    <w:rsid w:val="00956F9A"/>
    <w:rsid w:val="00957238"/>
    <w:rsid w:val="00957A41"/>
    <w:rsid w:val="00957D0C"/>
    <w:rsid w:val="009600C6"/>
    <w:rsid w:val="00960337"/>
    <w:rsid w:val="00960530"/>
    <w:rsid w:val="0096056B"/>
    <w:rsid w:val="00960598"/>
    <w:rsid w:val="009606FD"/>
    <w:rsid w:val="00960883"/>
    <w:rsid w:val="009608F5"/>
    <w:rsid w:val="009608FC"/>
    <w:rsid w:val="00960A07"/>
    <w:rsid w:val="00960CDB"/>
    <w:rsid w:val="00960ECA"/>
    <w:rsid w:val="00960F49"/>
    <w:rsid w:val="00961642"/>
    <w:rsid w:val="009617E7"/>
    <w:rsid w:val="009618D8"/>
    <w:rsid w:val="00961A2B"/>
    <w:rsid w:val="00961AD4"/>
    <w:rsid w:val="00961C1E"/>
    <w:rsid w:val="00961CF8"/>
    <w:rsid w:val="00961E8A"/>
    <w:rsid w:val="0096214E"/>
    <w:rsid w:val="00962169"/>
    <w:rsid w:val="009624D5"/>
    <w:rsid w:val="009624EF"/>
    <w:rsid w:val="00962712"/>
    <w:rsid w:val="009629C0"/>
    <w:rsid w:val="009629DE"/>
    <w:rsid w:val="00962A50"/>
    <w:rsid w:val="00962C43"/>
    <w:rsid w:val="00962CA2"/>
    <w:rsid w:val="00962DB3"/>
    <w:rsid w:val="00962ECF"/>
    <w:rsid w:val="009631C6"/>
    <w:rsid w:val="00963206"/>
    <w:rsid w:val="0096351B"/>
    <w:rsid w:val="00963B97"/>
    <w:rsid w:val="00963C4C"/>
    <w:rsid w:val="00963D63"/>
    <w:rsid w:val="00963F13"/>
    <w:rsid w:val="0096411E"/>
    <w:rsid w:val="009641F8"/>
    <w:rsid w:val="009642BC"/>
    <w:rsid w:val="009642CE"/>
    <w:rsid w:val="00964307"/>
    <w:rsid w:val="00964421"/>
    <w:rsid w:val="00964589"/>
    <w:rsid w:val="00964A26"/>
    <w:rsid w:val="00964B31"/>
    <w:rsid w:val="00965150"/>
    <w:rsid w:val="00965294"/>
    <w:rsid w:val="00965307"/>
    <w:rsid w:val="00965351"/>
    <w:rsid w:val="009653D1"/>
    <w:rsid w:val="00965453"/>
    <w:rsid w:val="009655A9"/>
    <w:rsid w:val="009658C8"/>
    <w:rsid w:val="00965ABE"/>
    <w:rsid w:val="00965E89"/>
    <w:rsid w:val="00965F46"/>
    <w:rsid w:val="00965FEA"/>
    <w:rsid w:val="00966265"/>
    <w:rsid w:val="00966366"/>
    <w:rsid w:val="009666BF"/>
    <w:rsid w:val="00966801"/>
    <w:rsid w:val="00966A58"/>
    <w:rsid w:val="00966C17"/>
    <w:rsid w:val="00966DA6"/>
    <w:rsid w:val="0096709D"/>
    <w:rsid w:val="009672E8"/>
    <w:rsid w:val="0096739F"/>
    <w:rsid w:val="0096740D"/>
    <w:rsid w:val="009674BE"/>
    <w:rsid w:val="009675B1"/>
    <w:rsid w:val="00967A50"/>
    <w:rsid w:val="00967BB6"/>
    <w:rsid w:val="00967BDC"/>
    <w:rsid w:val="00967FF6"/>
    <w:rsid w:val="009700BC"/>
    <w:rsid w:val="00970255"/>
    <w:rsid w:val="00970405"/>
    <w:rsid w:val="00970416"/>
    <w:rsid w:val="00970576"/>
    <w:rsid w:val="009705AF"/>
    <w:rsid w:val="00970602"/>
    <w:rsid w:val="00970676"/>
    <w:rsid w:val="009708BC"/>
    <w:rsid w:val="00970AF8"/>
    <w:rsid w:val="00970CE4"/>
    <w:rsid w:val="00970DC5"/>
    <w:rsid w:val="00970E9A"/>
    <w:rsid w:val="00971453"/>
    <w:rsid w:val="00971480"/>
    <w:rsid w:val="009718A0"/>
    <w:rsid w:val="0097198E"/>
    <w:rsid w:val="009719CC"/>
    <w:rsid w:val="00971A12"/>
    <w:rsid w:val="00971AA8"/>
    <w:rsid w:val="00971D8A"/>
    <w:rsid w:val="009721EF"/>
    <w:rsid w:val="00972313"/>
    <w:rsid w:val="009726E7"/>
    <w:rsid w:val="00972B65"/>
    <w:rsid w:val="00972D91"/>
    <w:rsid w:val="00972E26"/>
    <w:rsid w:val="00972F50"/>
    <w:rsid w:val="00972F6D"/>
    <w:rsid w:val="009730F1"/>
    <w:rsid w:val="009731A1"/>
    <w:rsid w:val="00973328"/>
    <w:rsid w:val="00973471"/>
    <w:rsid w:val="009739F1"/>
    <w:rsid w:val="00973ACF"/>
    <w:rsid w:val="00974041"/>
    <w:rsid w:val="009741BF"/>
    <w:rsid w:val="009747C0"/>
    <w:rsid w:val="009747DC"/>
    <w:rsid w:val="0097488E"/>
    <w:rsid w:val="00974ABE"/>
    <w:rsid w:val="00974D75"/>
    <w:rsid w:val="00974F1B"/>
    <w:rsid w:val="00974F2F"/>
    <w:rsid w:val="00974F63"/>
    <w:rsid w:val="00974FAC"/>
    <w:rsid w:val="0097510A"/>
    <w:rsid w:val="0097518F"/>
    <w:rsid w:val="009751FB"/>
    <w:rsid w:val="009752F1"/>
    <w:rsid w:val="0097540C"/>
    <w:rsid w:val="00975541"/>
    <w:rsid w:val="009756AB"/>
    <w:rsid w:val="00975918"/>
    <w:rsid w:val="00975998"/>
    <w:rsid w:val="009759A4"/>
    <w:rsid w:val="00975D7F"/>
    <w:rsid w:val="00975DBA"/>
    <w:rsid w:val="00975DBB"/>
    <w:rsid w:val="00975EF6"/>
    <w:rsid w:val="00976313"/>
    <w:rsid w:val="0097633E"/>
    <w:rsid w:val="009764CF"/>
    <w:rsid w:val="00976B54"/>
    <w:rsid w:val="00976BE9"/>
    <w:rsid w:val="00976CEE"/>
    <w:rsid w:val="00976E03"/>
    <w:rsid w:val="009770C0"/>
    <w:rsid w:val="009770ED"/>
    <w:rsid w:val="0097720B"/>
    <w:rsid w:val="0097738A"/>
    <w:rsid w:val="00977408"/>
    <w:rsid w:val="00977580"/>
    <w:rsid w:val="00977A2D"/>
    <w:rsid w:val="00977B33"/>
    <w:rsid w:val="00977BCC"/>
    <w:rsid w:val="00977C59"/>
    <w:rsid w:val="009803BE"/>
    <w:rsid w:val="00980652"/>
    <w:rsid w:val="00980922"/>
    <w:rsid w:val="00980963"/>
    <w:rsid w:val="00980CCE"/>
    <w:rsid w:val="00980F21"/>
    <w:rsid w:val="0098107C"/>
    <w:rsid w:val="009811B2"/>
    <w:rsid w:val="009813AD"/>
    <w:rsid w:val="009813C2"/>
    <w:rsid w:val="00981B27"/>
    <w:rsid w:val="00981BA5"/>
    <w:rsid w:val="00981C43"/>
    <w:rsid w:val="00981D29"/>
    <w:rsid w:val="00981FD9"/>
    <w:rsid w:val="0098207B"/>
    <w:rsid w:val="00982893"/>
    <w:rsid w:val="00982984"/>
    <w:rsid w:val="00982C0F"/>
    <w:rsid w:val="00982ED7"/>
    <w:rsid w:val="00982EF5"/>
    <w:rsid w:val="00982EF7"/>
    <w:rsid w:val="00982F6F"/>
    <w:rsid w:val="00983349"/>
    <w:rsid w:val="00983521"/>
    <w:rsid w:val="00983769"/>
    <w:rsid w:val="00983778"/>
    <w:rsid w:val="00983B21"/>
    <w:rsid w:val="00983E78"/>
    <w:rsid w:val="00983FEB"/>
    <w:rsid w:val="009844BC"/>
    <w:rsid w:val="0098493D"/>
    <w:rsid w:val="009849BB"/>
    <w:rsid w:val="00984AA3"/>
    <w:rsid w:val="00985550"/>
    <w:rsid w:val="00985555"/>
    <w:rsid w:val="0098560E"/>
    <w:rsid w:val="0098577C"/>
    <w:rsid w:val="009859A5"/>
    <w:rsid w:val="00985B57"/>
    <w:rsid w:val="00985B93"/>
    <w:rsid w:val="00985C5B"/>
    <w:rsid w:val="009863DD"/>
    <w:rsid w:val="009865FF"/>
    <w:rsid w:val="0098666B"/>
    <w:rsid w:val="009866C3"/>
    <w:rsid w:val="0098677E"/>
    <w:rsid w:val="00986893"/>
    <w:rsid w:val="00986A2F"/>
    <w:rsid w:val="00986B31"/>
    <w:rsid w:val="00986F2E"/>
    <w:rsid w:val="009872D6"/>
    <w:rsid w:val="00987391"/>
    <w:rsid w:val="00987559"/>
    <w:rsid w:val="009876A0"/>
    <w:rsid w:val="009876D1"/>
    <w:rsid w:val="0098771B"/>
    <w:rsid w:val="009878F6"/>
    <w:rsid w:val="00987965"/>
    <w:rsid w:val="00987BDD"/>
    <w:rsid w:val="00990587"/>
    <w:rsid w:val="009906DE"/>
    <w:rsid w:val="00990CD1"/>
    <w:rsid w:val="00990EF5"/>
    <w:rsid w:val="0099117B"/>
    <w:rsid w:val="00991371"/>
    <w:rsid w:val="0099141D"/>
    <w:rsid w:val="00991430"/>
    <w:rsid w:val="0099149A"/>
    <w:rsid w:val="009915FD"/>
    <w:rsid w:val="00991651"/>
    <w:rsid w:val="00991A08"/>
    <w:rsid w:val="00991A4C"/>
    <w:rsid w:val="00991B2B"/>
    <w:rsid w:val="00991D35"/>
    <w:rsid w:val="00991DA1"/>
    <w:rsid w:val="00991DA3"/>
    <w:rsid w:val="00991E97"/>
    <w:rsid w:val="00991FF9"/>
    <w:rsid w:val="00992022"/>
    <w:rsid w:val="0099245E"/>
    <w:rsid w:val="00992A66"/>
    <w:rsid w:val="00992B19"/>
    <w:rsid w:val="00992E67"/>
    <w:rsid w:val="009932EF"/>
    <w:rsid w:val="00993367"/>
    <w:rsid w:val="009933C1"/>
    <w:rsid w:val="0099340C"/>
    <w:rsid w:val="00993505"/>
    <w:rsid w:val="00993947"/>
    <w:rsid w:val="009939F8"/>
    <w:rsid w:val="00993A4C"/>
    <w:rsid w:val="00993F75"/>
    <w:rsid w:val="0099407D"/>
    <w:rsid w:val="0099444F"/>
    <w:rsid w:val="009946CB"/>
    <w:rsid w:val="0099483B"/>
    <w:rsid w:val="00994853"/>
    <w:rsid w:val="0099494B"/>
    <w:rsid w:val="00994A3D"/>
    <w:rsid w:val="00994E5C"/>
    <w:rsid w:val="00994FE6"/>
    <w:rsid w:val="0099541A"/>
    <w:rsid w:val="009956CB"/>
    <w:rsid w:val="00995738"/>
    <w:rsid w:val="00995CE5"/>
    <w:rsid w:val="00996062"/>
    <w:rsid w:val="0099624E"/>
    <w:rsid w:val="009962E1"/>
    <w:rsid w:val="00996446"/>
    <w:rsid w:val="009965AE"/>
    <w:rsid w:val="009966AA"/>
    <w:rsid w:val="009969E0"/>
    <w:rsid w:val="00996AFA"/>
    <w:rsid w:val="00996C78"/>
    <w:rsid w:val="00996D65"/>
    <w:rsid w:val="00996E0D"/>
    <w:rsid w:val="00996E20"/>
    <w:rsid w:val="00997189"/>
    <w:rsid w:val="009971AE"/>
    <w:rsid w:val="009972FC"/>
    <w:rsid w:val="0099779B"/>
    <w:rsid w:val="009978C0"/>
    <w:rsid w:val="00997C33"/>
    <w:rsid w:val="00997DE8"/>
    <w:rsid w:val="00997E53"/>
    <w:rsid w:val="009A0121"/>
    <w:rsid w:val="009A01C4"/>
    <w:rsid w:val="009A0349"/>
    <w:rsid w:val="009A05C0"/>
    <w:rsid w:val="009A06A4"/>
    <w:rsid w:val="009A0CBB"/>
    <w:rsid w:val="009A0DD9"/>
    <w:rsid w:val="009A0FCF"/>
    <w:rsid w:val="009A11D3"/>
    <w:rsid w:val="009A13A7"/>
    <w:rsid w:val="009A14BF"/>
    <w:rsid w:val="009A15C5"/>
    <w:rsid w:val="009A163E"/>
    <w:rsid w:val="009A167A"/>
    <w:rsid w:val="009A1831"/>
    <w:rsid w:val="009A18D0"/>
    <w:rsid w:val="009A18D8"/>
    <w:rsid w:val="009A1DC4"/>
    <w:rsid w:val="009A1DDF"/>
    <w:rsid w:val="009A1E0B"/>
    <w:rsid w:val="009A1ED9"/>
    <w:rsid w:val="009A205F"/>
    <w:rsid w:val="009A227A"/>
    <w:rsid w:val="009A229D"/>
    <w:rsid w:val="009A22ED"/>
    <w:rsid w:val="009A230E"/>
    <w:rsid w:val="009A24E8"/>
    <w:rsid w:val="009A250D"/>
    <w:rsid w:val="009A2730"/>
    <w:rsid w:val="009A28E9"/>
    <w:rsid w:val="009A2BF0"/>
    <w:rsid w:val="009A317D"/>
    <w:rsid w:val="009A3189"/>
    <w:rsid w:val="009A3679"/>
    <w:rsid w:val="009A369B"/>
    <w:rsid w:val="009A3785"/>
    <w:rsid w:val="009A39B9"/>
    <w:rsid w:val="009A3D10"/>
    <w:rsid w:val="009A3D1F"/>
    <w:rsid w:val="009A3DB7"/>
    <w:rsid w:val="009A40AC"/>
    <w:rsid w:val="009A41EC"/>
    <w:rsid w:val="009A4449"/>
    <w:rsid w:val="009A450A"/>
    <w:rsid w:val="009A4667"/>
    <w:rsid w:val="009A49AE"/>
    <w:rsid w:val="009A49FC"/>
    <w:rsid w:val="009A4D05"/>
    <w:rsid w:val="009A5201"/>
    <w:rsid w:val="009A5269"/>
    <w:rsid w:val="009A52AE"/>
    <w:rsid w:val="009A5381"/>
    <w:rsid w:val="009A53E7"/>
    <w:rsid w:val="009A5523"/>
    <w:rsid w:val="009A582B"/>
    <w:rsid w:val="009A5935"/>
    <w:rsid w:val="009A5981"/>
    <w:rsid w:val="009A5B36"/>
    <w:rsid w:val="009A5BBA"/>
    <w:rsid w:val="009A6090"/>
    <w:rsid w:val="009A61CF"/>
    <w:rsid w:val="009A627C"/>
    <w:rsid w:val="009A6410"/>
    <w:rsid w:val="009A6747"/>
    <w:rsid w:val="009A67B9"/>
    <w:rsid w:val="009A6B01"/>
    <w:rsid w:val="009A6B2B"/>
    <w:rsid w:val="009A6B3D"/>
    <w:rsid w:val="009A6B87"/>
    <w:rsid w:val="009A6EDC"/>
    <w:rsid w:val="009A7084"/>
    <w:rsid w:val="009A7133"/>
    <w:rsid w:val="009A7377"/>
    <w:rsid w:val="009A753D"/>
    <w:rsid w:val="009A7559"/>
    <w:rsid w:val="009A76BC"/>
    <w:rsid w:val="009A7780"/>
    <w:rsid w:val="009A78E0"/>
    <w:rsid w:val="009A79D8"/>
    <w:rsid w:val="009A7DA1"/>
    <w:rsid w:val="009B0058"/>
    <w:rsid w:val="009B00BC"/>
    <w:rsid w:val="009B0180"/>
    <w:rsid w:val="009B0555"/>
    <w:rsid w:val="009B086E"/>
    <w:rsid w:val="009B0ABC"/>
    <w:rsid w:val="009B0B90"/>
    <w:rsid w:val="009B0B92"/>
    <w:rsid w:val="009B0C48"/>
    <w:rsid w:val="009B0E22"/>
    <w:rsid w:val="009B1580"/>
    <w:rsid w:val="009B1B02"/>
    <w:rsid w:val="009B1B05"/>
    <w:rsid w:val="009B1E25"/>
    <w:rsid w:val="009B22FD"/>
    <w:rsid w:val="009B2488"/>
    <w:rsid w:val="009B2585"/>
    <w:rsid w:val="009B2777"/>
    <w:rsid w:val="009B2B60"/>
    <w:rsid w:val="009B2CBF"/>
    <w:rsid w:val="009B2F46"/>
    <w:rsid w:val="009B316C"/>
    <w:rsid w:val="009B3268"/>
    <w:rsid w:val="009B32A8"/>
    <w:rsid w:val="009B3739"/>
    <w:rsid w:val="009B37CF"/>
    <w:rsid w:val="009B37E2"/>
    <w:rsid w:val="009B3D5C"/>
    <w:rsid w:val="009B3DBA"/>
    <w:rsid w:val="009B4476"/>
    <w:rsid w:val="009B454A"/>
    <w:rsid w:val="009B4A0A"/>
    <w:rsid w:val="009B4B75"/>
    <w:rsid w:val="009B54A1"/>
    <w:rsid w:val="009B554D"/>
    <w:rsid w:val="009B5605"/>
    <w:rsid w:val="009B58D9"/>
    <w:rsid w:val="009B5C14"/>
    <w:rsid w:val="009B5EC4"/>
    <w:rsid w:val="009B5F3A"/>
    <w:rsid w:val="009B6108"/>
    <w:rsid w:val="009B66A2"/>
    <w:rsid w:val="009B681A"/>
    <w:rsid w:val="009B68C8"/>
    <w:rsid w:val="009B6B2C"/>
    <w:rsid w:val="009B6FFD"/>
    <w:rsid w:val="009B70B4"/>
    <w:rsid w:val="009B7179"/>
    <w:rsid w:val="009B7241"/>
    <w:rsid w:val="009B7254"/>
    <w:rsid w:val="009B735C"/>
    <w:rsid w:val="009B7A37"/>
    <w:rsid w:val="009B7A47"/>
    <w:rsid w:val="009B7ABE"/>
    <w:rsid w:val="009B7CFE"/>
    <w:rsid w:val="009C00F0"/>
    <w:rsid w:val="009C0317"/>
    <w:rsid w:val="009C0446"/>
    <w:rsid w:val="009C0565"/>
    <w:rsid w:val="009C0659"/>
    <w:rsid w:val="009C066F"/>
    <w:rsid w:val="009C09AA"/>
    <w:rsid w:val="009C0B77"/>
    <w:rsid w:val="009C0C7C"/>
    <w:rsid w:val="009C0F6E"/>
    <w:rsid w:val="009C104B"/>
    <w:rsid w:val="009C1519"/>
    <w:rsid w:val="009C15E0"/>
    <w:rsid w:val="009C16A2"/>
    <w:rsid w:val="009C16E7"/>
    <w:rsid w:val="009C1833"/>
    <w:rsid w:val="009C18A9"/>
    <w:rsid w:val="009C1949"/>
    <w:rsid w:val="009C1C92"/>
    <w:rsid w:val="009C1CE1"/>
    <w:rsid w:val="009C1E77"/>
    <w:rsid w:val="009C1EF8"/>
    <w:rsid w:val="009C2321"/>
    <w:rsid w:val="009C29F7"/>
    <w:rsid w:val="009C2A87"/>
    <w:rsid w:val="009C2AC6"/>
    <w:rsid w:val="009C2ED8"/>
    <w:rsid w:val="009C2F39"/>
    <w:rsid w:val="009C308F"/>
    <w:rsid w:val="009C32F7"/>
    <w:rsid w:val="009C3414"/>
    <w:rsid w:val="009C3453"/>
    <w:rsid w:val="009C34A9"/>
    <w:rsid w:val="009C36A4"/>
    <w:rsid w:val="009C36AA"/>
    <w:rsid w:val="009C382C"/>
    <w:rsid w:val="009C38A2"/>
    <w:rsid w:val="009C3B01"/>
    <w:rsid w:val="009C3FB5"/>
    <w:rsid w:val="009C413D"/>
    <w:rsid w:val="009C43A4"/>
    <w:rsid w:val="009C43D0"/>
    <w:rsid w:val="009C4413"/>
    <w:rsid w:val="009C44B7"/>
    <w:rsid w:val="009C450B"/>
    <w:rsid w:val="009C48F1"/>
    <w:rsid w:val="009C4B77"/>
    <w:rsid w:val="009C5030"/>
    <w:rsid w:val="009C51CA"/>
    <w:rsid w:val="009C51EC"/>
    <w:rsid w:val="009C5213"/>
    <w:rsid w:val="009C5323"/>
    <w:rsid w:val="009C5634"/>
    <w:rsid w:val="009C58A8"/>
    <w:rsid w:val="009C5ADE"/>
    <w:rsid w:val="009C5EA6"/>
    <w:rsid w:val="009C6030"/>
    <w:rsid w:val="009C640B"/>
    <w:rsid w:val="009C6621"/>
    <w:rsid w:val="009C68E6"/>
    <w:rsid w:val="009C6CA0"/>
    <w:rsid w:val="009C6D53"/>
    <w:rsid w:val="009C6FDF"/>
    <w:rsid w:val="009C70A3"/>
    <w:rsid w:val="009C729C"/>
    <w:rsid w:val="009C74B9"/>
    <w:rsid w:val="009C781B"/>
    <w:rsid w:val="009C7865"/>
    <w:rsid w:val="009C78F9"/>
    <w:rsid w:val="009C7AE7"/>
    <w:rsid w:val="009C7BE1"/>
    <w:rsid w:val="009D01E2"/>
    <w:rsid w:val="009D05DF"/>
    <w:rsid w:val="009D064E"/>
    <w:rsid w:val="009D088E"/>
    <w:rsid w:val="009D0986"/>
    <w:rsid w:val="009D0C9B"/>
    <w:rsid w:val="009D0E1C"/>
    <w:rsid w:val="009D0F4A"/>
    <w:rsid w:val="009D0F5F"/>
    <w:rsid w:val="009D1020"/>
    <w:rsid w:val="009D112B"/>
    <w:rsid w:val="009D11F1"/>
    <w:rsid w:val="009D140F"/>
    <w:rsid w:val="009D14BD"/>
    <w:rsid w:val="009D14F0"/>
    <w:rsid w:val="009D17DA"/>
    <w:rsid w:val="009D17F3"/>
    <w:rsid w:val="009D1B08"/>
    <w:rsid w:val="009D1D84"/>
    <w:rsid w:val="009D1E7E"/>
    <w:rsid w:val="009D203D"/>
    <w:rsid w:val="009D224A"/>
    <w:rsid w:val="009D22C9"/>
    <w:rsid w:val="009D2313"/>
    <w:rsid w:val="009D245F"/>
    <w:rsid w:val="009D2467"/>
    <w:rsid w:val="009D2506"/>
    <w:rsid w:val="009D25D2"/>
    <w:rsid w:val="009D27C8"/>
    <w:rsid w:val="009D289C"/>
    <w:rsid w:val="009D2CB1"/>
    <w:rsid w:val="009D2CDC"/>
    <w:rsid w:val="009D2D67"/>
    <w:rsid w:val="009D2E13"/>
    <w:rsid w:val="009D31CA"/>
    <w:rsid w:val="009D3230"/>
    <w:rsid w:val="009D348C"/>
    <w:rsid w:val="009D34EB"/>
    <w:rsid w:val="009D3524"/>
    <w:rsid w:val="009D359A"/>
    <w:rsid w:val="009D35A6"/>
    <w:rsid w:val="009D360B"/>
    <w:rsid w:val="009D36A6"/>
    <w:rsid w:val="009D3716"/>
    <w:rsid w:val="009D37B0"/>
    <w:rsid w:val="009D3902"/>
    <w:rsid w:val="009D3C7E"/>
    <w:rsid w:val="009D3D9B"/>
    <w:rsid w:val="009D3F0F"/>
    <w:rsid w:val="009D3F24"/>
    <w:rsid w:val="009D4009"/>
    <w:rsid w:val="009D41CA"/>
    <w:rsid w:val="009D41E3"/>
    <w:rsid w:val="009D42EF"/>
    <w:rsid w:val="009D44CA"/>
    <w:rsid w:val="009D474E"/>
    <w:rsid w:val="009D4990"/>
    <w:rsid w:val="009D4AD7"/>
    <w:rsid w:val="009D4CDF"/>
    <w:rsid w:val="009D513A"/>
    <w:rsid w:val="009D51C9"/>
    <w:rsid w:val="009D527C"/>
    <w:rsid w:val="009D53B7"/>
    <w:rsid w:val="009D5578"/>
    <w:rsid w:val="009D579B"/>
    <w:rsid w:val="009D5866"/>
    <w:rsid w:val="009D5A24"/>
    <w:rsid w:val="009D5C69"/>
    <w:rsid w:val="009D5DF4"/>
    <w:rsid w:val="009D62C7"/>
    <w:rsid w:val="009D62CA"/>
    <w:rsid w:val="009D6365"/>
    <w:rsid w:val="009D63D2"/>
    <w:rsid w:val="009D6599"/>
    <w:rsid w:val="009D67F8"/>
    <w:rsid w:val="009D6DD3"/>
    <w:rsid w:val="009D6ED7"/>
    <w:rsid w:val="009D6EDB"/>
    <w:rsid w:val="009D70F9"/>
    <w:rsid w:val="009D7142"/>
    <w:rsid w:val="009D714C"/>
    <w:rsid w:val="009D765B"/>
    <w:rsid w:val="009D768A"/>
    <w:rsid w:val="009D7868"/>
    <w:rsid w:val="009D7B14"/>
    <w:rsid w:val="009D7BC7"/>
    <w:rsid w:val="009D7DD2"/>
    <w:rsid w:val="009D7DF7"/>
    <w:rsid w:val="009E0004"/>
    <w:rsid w:val="009E010F"/>
    <w:rsid w:val="009E017E"/>
    <w:rsid w:val="009E0185"/>
    <w:rsid w:val="009E0520"/>
    <w:rsid w:val="009E05E2"/>
    <w:rsid w:val="009E076B"/>
    <w:rsid w:val="009E0F15"/>
    <w:rsid w:val="009E0F96"/>
    <w:rsid w:val="009E0FF8"/>
    <w:rsid w:val="009E102A"/>
    <w:rsid w:val="009E1108"/>
    <w:rsid w:val="009E115C"/>
    <w:rsid w:val="009E1370"/>
    <w:rsid w:val="009E1396"/>
    <w:rsid w:val="009E14FB"/>
    <w:rsid w:val="009E15EA"/>
    <w:rsid w:val="009E17E5"/>
    <w:rsid w:val="009E1838"/>
    <w:rsid w:val="009E1A36"/>
    <w:rsid w:val="009E1B77"/>
    <w:rsid w:val="009E1C59"/>
    <w:rsid w:val="009E235F"/>
    <w:rsid w:val="009E2445"/>
    <w:rsid w:val="009E27A3"/>
    <w:rsid w:val="009E2888"/>
    <w:rsid w:val="009E28E8"/>
    <w:rsid w:val="009E2936"/>
    <w:rsid w:val="009E29AF"/>
    <w:rsid w:val="009E2A0B"/>
    <w:rsid w:val="009E3189"/>
    <w:rsid w:val="009E321C"/>
    <w:rsid w:val="009E3360"/>
    <w:rsid w:val="009E37F1"/>
    <w:rsid w:val="009E380C"/>
    <w:rsid w:val="009E39D7"/>
    <w:rsid w:val="009E39F4"/>
    <w:rsid w:val="009E3AE4"/>
    <w:rsid w:val="009E3C70"/>
    <w:rsid w:val="009E3CAB"/>
    <w:rsid w:val="009E4041"/>
    <w:rsid w:val="009E42DC"/>
    <w:rsid w:val="009E42E2"/>
    <w:rsid w:val="009E4572"/>
    <w:rsid w:val="009E459E"/>
    <w:rsid w:val="009E467A"/>
    <w:rsid w:val="009E4866"/>
    <w:rsid w:val="009E4A5B"/>
    <w:rsid w:val="009E4B0B"/>
    <w:rsid w:val="009E4D98"/>
    <w:rsid w:val="009E50A6"/>
    <w:rsid w:val="009E5125"/>
    <w:rsid w:val="009E549D"/>
    <w:rsid w:val="009E5A21"/>
    <w:rsid w:val="009E5BBD"/>
    <w:rsid w:val="009E5D70"/>
    <w:rsid w:val="009E6101"/>
    <w:rsid w:val="009E6157"/>
    <w:rsid w:val="009E6464"/>
    <w:rsid w:val="009E657F"/>
    <w:rsid w:val="009E6587"/>
    <w:rsid w:val="009E66C4"/>
    <w:rsid w:val="009E66DC"/>
    <w:rsid w:val="009E66EC"/>
    <w:rsid w:val="009E693D"/>
    <w:rsid w:val="009E6A28"/>
    <w:rsid w:val="009E6BBA"/>
    <w:rsid w:val="009E6CFE"/>
    <w:rsid w:val="009E6D18"/>
    <w:rsid w:val="009E6E2C"/>
    <w:rsid w:val="009E7013"/>
    <w:rsid w:val="009E72AA"/>
    <w:rsid w:val="009E77A9"/>
    <w:rsid w:val="009E79D7"/>
    <w:rsid w:val="009E79EF"/>
    <w:rsid w:val="009E7ACC"/>
    <w:rsid w:val="009E7C27"/>
    <w:rsid w:val="009E7CA4"/>
    <w:rsid w:val="009E7DD5"/>
    <w:rsid w:val="009E7DF2"/>
    <w:rsid w:val="009E7E7A"/>
    <w:rsid w:val="009E7E83"/>
    <w:rsid w:val="009F0142"/>
    <w:rsid w:val="009F02F4"/>
    <w:rsid w:val="009F03E1"/>
    <w:rsid w:val="009F0495"/>
    <w:rsid w:val="009F04FE"/>
    <w:rsid w:val="009F089C"/>
    <w:rsid w:val="009F0A7F"/>
    <w:rsid w:val="009F0C15"/>
    <w:rsid w:val="009F0D29"/>
    <w:rsid w:val="009F0E19"/>
    <w:rsid w:val="009F0EA0"/>
    <w:rsid w:val="009F0F1E"/>
    <w:rsid w:val="009F1049"/>
    <w:rsid w:val="009F1058"/>
    <w:rsid w:val="009F1258"/>
    <w:rsid w:val="009F140E"/>
    <w:rsid w:val="009F1892"/>
    <w:rsid w:val="009F18EB"/>
    <w:rsid w:val="009F19DD"/>
    <w:rsid w:val="009F1E7C"/>
    <w:rsid w:val="009F21B6"/>
    <w:rsid w:val="009F23A8"/>
    <w:rsid w:val="009F24CC"/>
    <w:rsid w:val="009F254C"/>
    <w:rsid w:val="009F2651"/>
    <w:rsid w:val="009F26E0"/>
    <w:rsid w:val="009F2933"/>
    <w:rsid w:val="009F2943"/>
    <w:rsid w:val="009F2C28"/>
    <w:rsid w:val="009F2CAD"/>
    <w:rsid w:val="009F2CC7"/>
    <w:rsid w:val="009F2F18"/>
    <w:rsid w:val="009F2F2D"/>
    <w:rsid w:val="009F31AD"/>
    <w:rsid w:val="009F32D5"/>
    <w:rsid w:val="009F34B8"/>
    <w:rsid w:val="009F36B0"/>
    <w:rsid w:val="009F3802"/>
    <w:rsid w:val="009F38F1"/>
    <w:rsid w:val="009F3A89"/>
    <w:rsid w:val="009F3CAF"/>
    <w:rsid w:val="009F3D8E"/>
    <w:rsid w:val="009F3D97"/>
    <w:rsid w:val="009F4086"/>
    <w:rsid w:val="009F4380"/>
    <w:rsid w:val="009F44C6"/>
    <w:rsid w:val="009F44FB"/>
    <w:rsid w:val="009F453C"/>
    <w:rsid w:val="009F45B9"/>
    <w:rsid w:val="009F480D"/>
    <w:rsid w:val="009F4A53"/>
    <w:rsid w:val="009F4AC6"/>
    <w:rsid w:val="009F4B67"/>
    <w:rsid w:val="009F4B69"/>
    <w:rsid w:val="009F4BDE"/>
    <w:rsid w:val="009F4D7A"/>
    <w:rsid w:val="009F4DD8"/>
    <w:rsid w:val="009F500A"/>
    <w:rsid w:val="009F53FC"/>
    <w:rsid w:val="009F5425"/>
    <w:rsid w:val="009F5A12"/>
    <w:rsid w:val="009F5A9A"/>
    <w:rsid w:val="009F5BD0"/>
    <w:rsid w:val="009F64F1"/>
    <w:rsid w:val="009F67E7"/>
    <w:rsid w:val="009F6931"/>
    <w:rsid w:val="009F6A21"/>
    <w:rsid w:val="009F7041"/>
    <w:rsid w:val="009F7086"/>
    <w:rsid w:val="009F70B1"/>
    <w:rsid w:val="009F7720"/>
    <w:rsid w:val="009F792B"/>
    <w:rsid w:val="009F7ABD"/>
    <w:rsid w:val="009F7B67"/>
    <w:rsid w:val="00A00097"/>
    <w:rsid w:val="00A001F5"/>
    <w:rsid w:val="00A004F7"/>
    <w:rsid w:val="00A00525"/>
    <w:rsid w:val="00A00548"/>
    <w:rsid w:val="00A00552"/>
    <w:rsid w:val="00A00878"/>
    <w:rsid w:val="00A00B7C"/>
    <w:rsid w:val="00A00DD0"/>
    <w:rsid w:val="00A00E66"/>
    <w:rsid w:val="00A00EEC"/>
    <w:rsid w:val="00A0118B"/>
    <w:rsid w:val="00A0158E"/>
    <w:rsid w:val="00A01601"/>
    <w:rsid w:val="00A0164B"/>
    <w:rsid w:val="00A01675"/>
    <w:rsid w:val="00A0170F"/>
    <w:rsid w:val="00A01746"/>
    <w:rsid w:val="00A01785"/>
    <w:rsid w:val="00A01B83"/>
    <w:rsid w:val="00A01C3C"/>
    <w:rsid w:val="00A01CC9"/>
    <w:rsid w:val="00A01CEA"/>
    <w:rsid w:val="00A01FA1"/>
    <w:rsid w:val="00A025DA"/>
    <w:rsid w:val="00A0263D"/>
    <w:rsid w:val="00A02669"/>
    <w:rsid w:val="00A026C0"/>
    <w:rsid w:val="00A026EC"/>
    <w:rsid w:val="00A02739"/>
    <w:rsid w:val="00A0279B"/>
    <w:rsid w:val="00A02874"/>
    <w:rsid w:val="00A028A8"/>
    <w:rsid w:val="00A02B34"/>
    <w:rsid w:val="00A02B67"/>
    <w:rsid w:val="00A02BDB"/>
    <w:rsid w:val="00A02CBE"/>
    <w:rsid w:val="00A02F73"/>
    <w:rsid w:val="00A031F1"/>
    <w:rsid w:val="00A034A8"/>
    <w:rsid w:val="00A036AC"/>
    <w:rsid w:val="00A0377B"/>
    <w:rsid w:val="00A037C3"/>
    <w:rsid w:val="00A03936"/>
    <w:rsid w:val="00A039E4"/>
    <w:rsid w:val="00A039F7"/>
    <w:rsid w:val="00A03A9C"/>
    <w:rsid w:val="00A03CB1"/>
    <w:rsid w:val="00A03E5C"/>
    <w:rsid w:val="00A03F65"/>
    <w:rsid w:val="00A04050"/>
    <w:rsid w:val="00A0414A"/>
    <w:rsid w:val="00A04164"/>
    <w:rsid w:val="00A04223"/>
    <w:rsid w:val="00A04759"/>
    <w:rsid w:val="00A048D1"/>
    <w:rsid w:val="00A04DB8"/>
    <w:rsid w:val="00A04DE3"/>
    <w:rsid w:val="00A04E60"/>
    <w:rsid w:val="00A04E97"/>
    <w:rsid w:val="00A05084"/>
    <w:rsid w:val="00A050C1"/>
    <w:rsid w:val="00A05279"/>
    <w:rsid w:val="00A05D2A"/>
    <w:rsid w:val="00A05F23"/>
    <w:rsid w:val="00A06135"/>
    <w:rsid w:val="00A06258"/>
    <w:rsid w:val="00A063D5"/>
    <w:rsid w:val="00A065BF"/>
    <w:rsid w:val="00A067ED"/>
    <w:rsid w:val="00A0698C"/>
    <w:rsid w:val="00A06BA3"/>
    <w:rsid w:val="00A06C50"/>
    <w:rsid w:val="00A06D02"/>
    <w:rsid w:val="00A06DF8"/>
    <w:rsid w:val="00A06E64"/>
    <w:rsid w:val="00A06F55"/>
    <w:rsid w:val="00A077DE"/>
    <w:rsid w:val="00A07B08"/>
    <w:rsid w:val="00A07D08"/>
    <w:rsid w:val="00A07D87"/>
    <w:rsid w:val="00A07E34"/>
    <w:rsid w:val="00A07E58"/>
    <w:rsid w:val="00A07F61"/>
    <w:rsid w:val="00A07F9D"/>
    <w:rsid w:val="00A10008"/>
    <w:rsid w:val="00A10197"/>
    <w:rsid w:val="00A1039B"/>
    <w:rsid w:val="00A10456"/>
    <w:rsid w:val="00A106F3"/>
    <w:rsid w:val="00A10807"/>
    <w:rsid w:val="00A108E8"/>
    <w:rsid w:val="00A10904"/>
    <w:rsid w:val="00A1091C"/>
    <w:rsid w:val="00A10A81"/>
    <w:rsid w:val="00A10A8D"/>
    <w:rsid w:val="00A10DBF"/>
    <w:rsid w:val="00A10DC1"/>
    <w:rsid w:val="00A11084"/>
    <w:rsid w:val="00A110C9"/>
    <w:rsid w:val="00A11540"/>
    <w:rsid w:val="00A115F3"/>
    <w:rsid w:val="00A116F8"/>
    <w:rsid w:val="00A1174D"/>
    <w:rsid w:val="00A117E2"/>
    <w:rsid w:val="00A11C15"/>
    <w:rsid w:val="00A11CCD"/>
    <w:rsid w:val="00A11D5C"/>
    <w:rsid w:val="00A11E47"/>
    <w:rsid w:val="00A11FA2"/>
    <w:rsid w:val="00A1217C"/>
    <w:rsid w:val="00A123FC"/>
    <w:rsid w:val="00A12441"/>
    <w:rsid w:val="00A127BF"/>
    <w:rsid w:val="00A12DE6"/>
    <w:rsid w:val="00A12E2F"/>
    <w:rsid w:val="00A12ECF"/>
    <w:rsid w:val="00A12ED4"/>
    <w:rsid w:val="00A12F6C"/>
    <w:rsid w:val="00A130F3"/>
    <w:rsid w:val="00A131C4"/>
    <w:rsid w:val="00A134A4"/>
    <w:rsid w:val="00A134F8"/>
    <w:rsid w:val="00A135DA"/>
    <w:rsid w:val="00A1373D"/>
    <w:rsid w:val="00A13803"/>
    <w:rsid w:val="00A138B8"/>
    <w:rsid w:val="00A13B83"/>
    <w:rsid w:val="00A13C73"/>
    <w:rsid w:val="00A13FCE"/>
    <w:rsid w:val="00A1411D"/>
    <w:rsid w:val="00A14233"/>
    <w:rsid w:val="00A143A1"/>
    <w:rsid w:val="00A14593"/>
    <w:rsid w:val="00A147E2"/>
    <w:rsid w:val="00A14868"/>
    <w:rsid w:val="00A1486A"/>
    <w:rsid w:val="00A1491E"/>
    <w:rsid w:val="00A1495B"/>
    <w:rsid w:val="00A1499D"/>
    <w:rsid w:val="00A149A8"/>
    <w:rsid w:val="00A14B5E"/>
    <w:rsid w:val="00A14C70"/>
    <w:rsid w:val="00A14C88"/>
    <w:rsid w:val="00A14D33"/>
    <w:rsid w:val="00A14E4E"/>
    <w:rsid w:val="00A14F53"/>
    <w:rsid w:val="00A14FA1"/>
    <w:rsid w:val="00A151ED"/>
    <w:rsid w:val="00A15D50"/>
    <w:rsid w:val="00A15E65"/>
    <w:rsid w:val="00A15E90"/>
    <w:rsid w:val="00A16A0D"/>
    <w:rsid w:val="00A16D8D"/>
    <w:rsid w:val="00A16EB6"/>
    <w:rsid w:val="00A16F93"/>
    <w:rsid w:val="00A16FBD"/>
    <w:rsid w:val="00A17832"/>
    <w:rsid w:val="00A17A66"/>
    <w:rsid w:val="00A17C4B"/>
    <w:rsid w:val="00A17D8B"/>
    <w:rsid w:val="00A17E3E"/>
    <w:rsid w:val="00A17EE0"/>
    <w:rsid w:val="00A20573"/>
    <w:rsid w:val="00A20B64"/>
    <w:rsid w:val="00A20B8D"/>
    <w:rsid w:val="00A20FDB"/>
    <w:rsid w:val="00A21330"/>
    <w:rsid w:val="00A214C0"/>
    <w:rsid w:val="00A217C6"/>
    <w:rsid w:val="00A21855"/>
    <w:rsid w:val="00A21C3B"/>
    <w:rsid w:val="00A21DBA"/>
    <w:rsid w:val="00A21FBC"/>
    <w:rsid w:val="00A22283"/>
    <w:rsid w:val="00A22386"/>
    <w:rsid w:val="00A22526"/>
    <w:rsid w:val="00A225D3"/>
    <w:rsid w:val="00A226F0"/>
    <w:rsid w:val="00A22775"/>
    <w:rsid w:val="00A22A9F"/>
    <w:rsid w:val="00A22B83"/>
    <w:rsid w:val="00A22BF7"/>
    <w:rsid w:val="00A22EC1"/>
    <w:rsid w:val="00A22F96"/>
    <w:rsid w:val="00A234A4"/>
    <w:rsid w:val="00A23509"/>
    <w:rsid w:val="00A236CC"/>
    <w:rsid w:val="00A238C7"/>
    <w:rsid w:val="00A2390F"/>
    <w:rsid w:val="00A2398D"/>
    <w:rsid w:val="00A23C48"/>
    <w:rsid w:val="00A2426A"/>
    <w:rsid w:val="00A2435F"/>
    <w:rsid w:val="00A24364"/>
    <w:rsid w:val="00A2448B"/>
    <w:rsid w:val="00A24673"/>
    <w:rsid w:val="00A246ED"/>
    <w:rsid w:val="00A24784"/>
    <w:rsid w:val="00A24AA5"/>
    <w:rsid w:val="00A24B62"/>
    <w:rsid w:val="00A24C6C"/>
    <w:rsid w:val="00A24E3A"/>
    <w:rsid w:val="00A25069"/>
    <w:rsid w:val="00A25489"/>
    <w:rsid w:val="00A254C7"/>
    <w:rsid w:val="00A254F1"/>
    <w:rsid w:val="00A256BC"/>
    <w:rsid w:val="00A25718"/>
    <w:rsid w:val="00A258AB"/>
    <w:rsid w:val="00A258B9"/>
    <w:rsid w:val="00A25A86"/>
    <w:rsid w:val="00A25B0B"/>
    <w:rsid w:val="00A25E03"/>
    <w:rsid w:val="00A26079"/>
    <w:rsid w:val="00A2620E"/>
    <w:rsid w:val="00A26358"/>
    <w:rsid w:val="00A26360"/>
    <w:rsid w:val="00A26383"/>
    <w:rsid w:val="00A26451"/>
    <w:rsid w:val="00A26661"/>
    <w:rsid w:val="00A26A1C"/>
    <w:rsid w:val="00A26AC7"/>
    <w:rsid w:val="00A26B44"/>
    <w:rsid w:val="00A26E1F"/>
    <w:rsid w:val="00A26E9F"/>
    <w:rsid w:val="00A2736D"/>
    <w:rsid w:val="00A27596"/>
    <w:rsid w:val="00A2770B"/>
    <w:rsid w:val="00A27713"/>
    <w:rsid w:val="00A277BF"/>
    <w:rsid w:val="00A277D5"/>
    <w:rsid w:val="00A27A40"/>
    <w:rsid w:val="00A27BC3"/>
    <w:rsid w:val="00A27EC9"/>
    <w:rsid w:val="00A30266"/>
    <w:rsid w:val="00A30316"/>
    <w:rsid w:val="00A30655"/>
    <w:rsid w:val="00A30741"/>
    <w:rsid w:val="00A30B37"/>
    <w:rsid w:val="00A30DF6"/>
    <w:rsid w:val="00A30E77"/>
    <w:rsid w:val="00A31466"/>
    <w:rsid w:val="00A31708"/>
    <w:rsid w:val="00A318E2"/>
    <w:rsid w:val="00A318F0"/>
    <w:rsid w:val="00A319A4"/>
    <w:rsid w:val="00A31B14"/>
    <w:rsid w:val="00A31CEA"/>
    <w:rsid w:val="00A320EA"/>
    <w:rsid w:val="00A321F0"/>
    <w:rsid w:val="00A3247E"/>
    <w:rsid w:val="00A3257C"/>
    <w:rsid w:val="00A3277C"/>
    <w:rsid w:val="00A327A8"/>
    <w:rsid w:val="00A3282C"/>
    <w:rsid w:val="00A32C01"/>
    <w:rsid w:val="00A32EDA"/>
    <w:rsid w:val="00A33037"/>
    <w:rsid w:val="00A330C1"/>
    <w:rsid w:val="00A330E5"/>
    <w:rsid w:val="00A331F3"/>
    <w:rsid w:val="00A33684"/>
    <w:rsid w:val="00A33B89"/>
    <w:rsid w:val="00A33BF2"/>
    <w:rsid w:val="00A33DD1"/>
    <w:rsid w:val="00A33FF4"/>
    <w:rsid w:val="00A3421C"/>
    <w:rsid w:val="00A34239"/>
    <w:rsid w:val="00A342C0"/>
    <w:rsid w:val="00A3476B"/>
    <w:rsid w:val="00A3489D"/>
    <w:rsid w:val="00A34B36"/>
    <w:rsid w:val="00A34C36"/>
    <w:rsid w:val="00A34CE4"/>
    <w:rsid w:val="00A3506A"/>
    <w:rsid w:val="00A35115"/>
    <w:rsid w:val="00A35478"/>
    <w:rsid w:val="00A35506"/>
    <w:rsid w:val="00A35615"/>
    <w:rsid w:val="00A357C1"/>
    <w:rsid w:val="00A35A64"/>
    <w:rsid w:val="00A35C5E"/>
    <w:rsid w:val="00A35CD2"/>
    <w:rsid w:val="00A3616C"/>
    <w:rsid w:val="00A3621A"/>
    <w:rsid w:val="00A3631F"/>
    <w:rsid w:val="00A36416"/>
    <w:rsid w:val="00A365D9"/>
    <w:rsid w:val="00A36B6F"/>
    <w:rsid w:val="00A36BBF"/>
    <w:rsid w:val="00A36C20"/>
    <w:rsid w:val="00A36CFA"/>
    <w:rsid w:val="00A36EA4"/>
    <w:rsid w:val="00A36F41"/>
    <w:rsid w:val="00A36F71"/>
    <w:rsid w:val="00A37550"/>
    <w:rsid w:val="00A375A9"/>
    <w:rsid w:val="00A375B3"/>
    <w:rsid w:val="00A375F3"/>
    <w:rsid w:val="00A37756"/>
    <w:rsid w:val="00A37764"/>
    <w:rsid w:val="00A377DE"/>
    <w:rsid w:val="00A37A3B"/>
    <w:rsid w:val="00A37B74"/>
    <w:rsid w:val="00A37C67"/>
    <w:rsid w:val="00A37C7E"/>
    <w:rsid w:val="00A37DBD"/>
    <w:rsid w:val="00A37F9F"/>
    <w:rsid w:val="00A4020C"/>
    <w:rsid w:val="00A4025C"/>
    <w:rsid w:val="00A4025E"/>
    <w:rsid w:val="00A40297"/>
    <w:rsid w:val="00A4042D"/>
    <w:rsid w:val="00A405D0"/>
    <w:rsid w:val="00A40746"/>
    <w:rsid w:val="00A40949"/>
    <w:rsid w:val="00A40983"/>
    <w:rsid w:val="00A40D31"/>
    <w:rsid w:val="00A40D97"/>
    <w:rsid w:val="00A40DE8"/>
    <w:rsid w:val="00A40E4E"/>
    <w:rsid w:val="00A40ED9"/>
    <w:rsid w:val="00A410F7"/>
    <w:rsid w:val="00A41144"/>
    <w:rsid w:val="00A41189"/>
    <w:rsid w:val="00A41202"/>
    <w:rsid w:val="00A41367"/>
    <w:rsid w:val="00A413F8"/>
    <w:rsid w:val="00A41713"/>
    <w:rsid w:val="00A417DA"/>
    <w:rsid w:val="00A418F3"/>
    <w:rsid w:val="00A41914"/>
    <w:rsid w:val="00A4196E"/>
    <w:rsid w:val="00A419EC"/>
    <w:rsid w:val="00A41B94"/>
    <w:rsid w:val="00A41CB0"/>
    <w:rsid w:val="00A41D15"/>
    <w:rsid w:val="00A41FAA"/>
    <w:rsid w:val="00A42010"/>
    <w:rsid w:val="00A421AA"/>
    <w:rsid w:val="00A421ED"/>
    <w:rsid w:val="00A42616"/>
    <w:rsid w:val="00A42727"/>
    <w:rsid w:val="00A428A8"/>
    <w:rsid w:val="00A42960"/>
    <w:rsid w:val="00A42D9F"/>
    <w:rsid w:val="00A42DB6"/>
    <w:rsid w:val="00A43244"/>
    <w:rsid w:val="00A43586"/>
    <w:rsid w:val="00A43D27"/>
    <w:rsid w:val="00A43F64"/>
    <w:rsid w:val="00A43F78"/>
    <w:rsid w:val="00A44226"/>
    <w:rsid w:val="00A44937"/>
    <w:rsid w:val="00A44979"/>
    <w:rsid w:val="00A44AB1"/>
    <w:rsid w:val="00A44B36"/>
    <w:rsid w:val="00A44B3F"/>
    <w:rsid w:val="00A44BCB"/>
    <w:rsid w:val="00A44DA7"/>
    <w:rsid w:val="00A44DFB"/>
    <w:rsid w:val="00A44EC8"/>
    <w:rsid w:val="00A45023"/>
    <w:rsid w:val="00A452D5"/>
    <w:rsid w:val="00A453EF"/>
    <w:rsid w:val="00A45420"/>
    <w:rsid w:val="00A4547D"/>
    <w:rsid w:val="00A454AD"/>
    <w:rsid w:val="00A455FC"/>
    <w:rsid w:val="00A456AB"/>
    <w:rsid w:val="00A458BC"/>
    <w:rsid w:val="00A45ACF"/>
    <w:rsid w:val="00A45B7C"/>
    <w:rsid w:val="00A45FF6"/>
    <w:rsid w:val="00A46089"/>
    <w:rsid w:val="00A4653E"/>
    <w:rsid w:val="00A4665A"/>
    <w:rsid w:val="00A46866"/>
    <w:rsid w:val="00A4692F"/>
    <w:rsid w:val="00A46C61"/>
    <w:rsid w:val="00A46D72"/>
    <w:rsid w:val="00A46E6E"/>
    <w:rsid w:val="00A46F16"/>
    <w:rsid w:val="00A46F43"/>
    <w:rsid w:val="00A46F9C"/>
    <w:rsid w:val="00A47111"/>
    <w:rsid w:val="00A47206"/>
    <w:rsid w:val="00A4729F"/>
    <w:rsid w:val="00A47391"/>
    <w:rsid w:val="00A47498"/>
    <w:rsid w:val="00A4763D"/>
    <w:rsid w:val="00A47860"/>
    <w:rsid w:val="00A47911"/>
    <w:rsid w:val="00A47A99"/>
    <w:rsid w:val="00A47C09"/>
    <w:rsid w:val="00A47C3B"/>
    <w:rsid w:val="00A50155"/>
    <w:rsid w:val="00A501F7"/>
    <w:rsid w:val="00A50602"/>
    <w:rsid w:val="00A50757"/>
    <w:rsid w:val="00A50987"/>
    <w:rsid w:val="00A50993"/>
    <w:rsid w:val="00A50B88"/>
    <w:rsid w:val="00A50E55"/>
    <w:rsid w:val="00A51114"/>
    <w:rsid w:val="00A5135B"/>
    <w:rsid w:val="00A518B4"/>
    <w:rsid w:val="00A51A7A"/>
    <w:rsid w:val="00A51B99"/>
    <w:rsid w:val="00A51CB3"/>
    <w:rsid w:val="00A51E21"/>
    <w:rsid w:val="00A51EED"/>
    <w:rsid w:val="00A521AA"/>
    <w:rsid w:val="00A52202"/>
    <w:rsid w:val="00A52216"/>
    <w:rsid w:val="00A5230D"/>
    <w:rsid w:val="00A52481"/>
    <w:rsid w:val="00A52879"/>
    <w:rsid w:val="00A52961"/>
    <w:rsid w:val="00A52DB0"/>
    <w:rsid w:val="00A52E3B"/>
    <w:rsid w:val="00A5308A"/>
    <w:rsid w:val="00A53194"/>
    <w:rsid w:val="00A532F7"/>
    <w:rsid w:val="00A534E7"/>
    <w:rsid w:val="00A537C3"/>
    <w:rsid w:val="00A53F93"/>
    <w:rsid w:val="00A542F0"/>
    <w:rsid w:val="00A54634"/>
    <w:rsid w:val="00A54674"/>
    <w:rsid w:val="00A548C4"/>
    <w:rsid w:val="00A54BB1"/>
    <w:rsid w:val="00A54FB2"/>
    <w:rsid w:val="00A55188"/>
    <w:rsid w:val="00A551B8"/>
    <w:rsid w:val="00A55294"/>
    <w:rsid w:val="00A55355"/>
    <w:rsid w:val="00A55434"/>
    <w:rsid w:val="00A5557E"/>
    <w:rsid w:val="00A558E5"/>
    <w:rsid w:val="00A55931"/>
    <w:rsid w:val="00A55CFB"/>
    <w:rsid w:val="00A560C6"/>
    <w:rsid w:val="00A56139"/>
    <w:rsid w:val="00A5635F"/>
    <w:rsid w:val="00A563D1"/>
    <w:rsid w:val="00A5654E"/>
    <w:rsid w:val="00A565A2"/>
    <w:rsid w:val="00A56B3A"/>
    <w:rsid w:val="00A5728A"/>
    <w:rsid w:val="00A573AD"/>
    <w:rsid w:val="00A57407"/>
    <w:rsid w:val="00A5748F"/>
    <w:rsid w:val="00A574ED"/>
    <w:rsid w:val="00A575A5"/>
    <w:rsid w:val="00A575DB"/>
    <w:rsid w:val="00A57700"/>
    <w:rsid w:val="00A57708"/>
    <w:rsid w:val="00A57AE4"/>
    <w:rsid w:val="00A57BA8"/>
    <w:rsid w:val="00A57C1C"/>
    <w:rsid w:val="00A57C41"/>
    <w:rsid w:val="00A57D6D"/>
    <w:rsid w:val="00A57EAD"/>
    <w:rsid w:val="00A57F5E"/>
    <w:rsid w:val="00A6008E"/>
    <w:rsid w:val="00A60120"/>
    <w:rsid w:val="00A60135"/>
    <w:rsid w:val="00A60250"/>
    <w:rsid w:val="00A6034C"/>
    <w:rsid w:val="00A607D9"/>
    <w:rsid w:val="00A60937"/>
    <w:rsid w:val="00A609BA"/>
    <w:rsid w:val="00A60A2B"/>
    <w:rsid w:val="00A60A3B"/>
    <w:rsid w:val="00A60EAB"/>
    <w:rsid w:val="00A60F1B"/>
    <w:rsid w:val="00A60FC7"/>
    <w:rsid w:val="00A61207"/>
    <w:rsid w:val="00A61430"/>
    <w:rsid w:val="00A61633"/>
    <w:rsid w:val="00A61647"/>
    <w:rsid w:val="00A61964"/>
    <w:rsid w:val="00A61B30"/>
    <w:rsid w:val="00A61CA6"/>
    <w:rsid w:val="00A61E6B"/>
    <w:rsid w:val="00A61F10"/>
    <w:rsid w:val="00A6226B"/>
    <w:rsid w:val="00A623BE"/>
    <w:rsid w:val="00A628E4"/>
    <w:rsid w:val="00A629DF"/>
    <w:rsid w:val="00A62E61"/>
    <w:rsid w:val="00A63012"/>
    <w:rsid w:val="00A63351"/>
    <w:rsid w:val="00A63455"/>
    <w:rsid w:val="00A63587"/>
    <w:rsid w:val="00A6375E"/>
    <w:rsid w:val="00A63AC9"/>
    <w:rsid w:val="00A63CF1"/>
    <w:rsid w:val="00A63ED7"/>
    <w:rsid w:val="00A63EF0"/>
    <w:rsid w:val="00A63F29"/>
    <w:rsid w:val="00A64204"/>
    <w:rsid w:val="00A64420"/>
    <w:rsid w:val="00A647B4"/>
    <w:rsid w:val="00A64883"/>
    <w:rsid w:val="00A648E0"/>
    <w:rsid w:val="00A6493D"/>
    <w:rsid w:val="00A64984"/>
    <w:rsid w:val="00A64DD3"/>
    <w:rsid w:val="00A64ECC"/>
    <w:rsid w:val="00A650A4"/>
    <w:rsid w:val="00A65169"/>
    <w:rsid w:val="00A65170"/>
    <w:rsid w:val="00A652A3"/>
    <w:rsid w:val="00A654A1"/>
    <w:rsid w:val="00A6581B"/>
    <w:rsid w:val="00A65940"/>
    <w:rsid w:val="00A66358"/>
    <w:rsid w:val="00A66478"/>
    <w:rsid w:val="00A664A0"/>
    <w:rsid w:val="00A6651A"/>
    <w:rsid w:val="00A6658B"/>
    <w:rsid w:val="00A66615"/>
    <w:rsid w:val="00A66881"/>
    <w:rsid w:val="00A66A7A"/>
    <w:rsid w:val="00A66C55"/>
    <w:rsid w:val="00A66CE5"/>
    <w:rsid w:val="00A66D1A"/>
    <w:rsid w:val="00A66E99"/>
    <w:rsid w:val="00A67067"/>
    <w:rsid w:val="00A67286"/>
    <w:rsid w:val="00A67BDE"/>
    <w:rsid w:val="00A67E2F"/>
    <w:rsid w:val="00A70371"/>
    <w:rsid w:val="00A7086B"/>
    <w:rsid w:val="00A70AD7"/>
    <w:rsid w:val="00A70ECC"/>
    <w:rsid w:val="00A70F8D"/>
    <w:rsid w:val="00A71538"/>
    <w:rsid w:val="00A71936"/>
    <w:rsid w:val="00A719D9"/>
    <w:rsid w:val="00A71BA1"/>
    <w:rsid w:val="00A71BCB"/>
    <w:rsid w:val="00A71C5B"/>
    <w:rsid w:val="00A71CE9"/>
    <w:rsid w:val="00A71DA9"/>
    <w:rsid w:val="00A71ED9"/>
    <w:rsid w:val="00A71F83"/>
    <w:rsid w:val="00A7202D"/>
    <w:rsid w:val="00A723C5"/>
    <w:rsid w:val="00A7286A"/>
    <w:rsid w:val="00A7286F"/>
    <w:rsid w:val="00A72A42"/>
    <w:rsid w:val="00A73007"/>
    <w:rsid w:val="00A7301F"/>
    <w:rsid w:val="00A7345E"/>
    <w:rsid w:val="00A734C4"/>
    <w:rsid w:val="00A73727"/>
    <w:rsid w:val="00A73804"/>
    <w:rsid w:val="00A73869"/>
    <w:rsid w:val="00A739A3"/>
    <w:rsid w:val="00A73AAD"/>
    <w:rsid w:val="00A73BAB"/>
    <w:rsid w:val="00A73D30"/>
    <w:rsid w:val="00A73FD5"/>
    <w:rsid w:val="00A742AD"/>
    <w:rsid w:val="00A743CF"/>
    <w:rsid w:val="00A74895"/>
    <w:rsid w:val="00A748E3"/>
    <w:rsid w:val="00A74A4D"/>
    <w:rsid w:val="00A74BDD"/>
    <w:rsid w:val="00A74D19"/>
    <w:rsid w:val="00A74FCF"/>
    <w:rsid w:val="00A75048"/>
    <w:rsid w:val="00A75093"/>
    <w:rsid w:val="00A7525E"/>
    <w:rsid w:val="00A7534A"/>
    <w:rsid w:val="00A7537F"/>
    <w:rsid w:val="00A75600"/>
    <w:rsid w:val="00A758FA"/>
    <w:rsid w:val="00A75EC0"/>
    <w:rsid w:val="00A75F8A"/>
    <w:rsid w:val="00A75FBE"/>
    <w:rsid w:val="00A761CF"/>
    <w:rsid w:val="00A76204"/>
    <w:rsid w:val="00A76387"/>
    <w:rsid w:val="00A76684"/>
    <w:rsid w:val="00A769A6"/>
    <w:rsid w:val="00A76A0B"/>
    <w:rsid w:val="00A76E86"/>
    <w:rsid w:val="00A76FAC"/>
    <w:rsid w:val="00A76FC5"/>
    <w:rsid w:val="00A770EB"/>
    <w:rsid w:val="00A772F8"/>
    <w:rsid w:val="00A773F8"/>
    <w:rsid w:val="00A777C9"/>
    <w:rsid w:val="00A7789C"/>
    <w:rsid w:val="00A77D44"/>
    <w:rsid w:val="00A77E5D"/>
    <w:rsid w:val="00A77FB2"/>
    <w:rsid w:val="00A77FEB"/>
    <w:rsid w:val="00A80152"/>
    <w:rsid w:val="00A80318"/>
    <w:rsid w:val="00A80383"/>
    <w:rsid w:val="00A80415"/>
    <w:rsid w:val="00A80664"/>
    <w:rsid w:val="00A80847"/>
    <w:rsid w:val="00A80C70"/>
    <w:rsid w:val="00A80C91"/>
    <w:rsid w:val="00A81057"/>
    <w:rsid w:val="00A8106B"/>
    <w:rsid w:val="00A810FC"/>
    <w:rsid w:val="00A81355"/>
    <w:rsid w:val="00A81506"/>
    <w:rsid w:val="00A81569"/>
    <w:rsid w:val="00A8158B"/>
    <w:rsid w:val="00A8184B"/>
    <w:rsid w:val="00A81AD9"/>
    <w:rsid w:val="00A81C41"/>
    <w:rsid w:val="00A81C7A"/>
    <w:rsid w:val="00A821E2"/>
    <w:rsid w:val="00A82259"/>
    <w:rsid w:val="00A82411"/>
    <w:rsid w:val="00A82575"/>
    <w:rsid w:val="00A826BE"/>
    <w:rsid w:val="00A82751"/>
    <w:rsid w:val="00A82858"/>
    <w:rsid w:val="00A828AE"/>
    <w:rsid w:val="00A82955"/>
    <w:rsid w:val="00A82B8C"/>
    <w:rsid w:val="00A82B9C"/>
    <w:rsid w:val="00A82CC2"/>
    <w:rsid w:val="00A82CC6"/>
    <w:rsid w:val="00A82D35"/>
    <w:rsid w:val="00A82F65"/>
    <w:rsid w:val="00A83372"/>
    <w:rsid w:val="00A8364F"/>
    <w:rsid w:val="00A8366E"/>
    <w:rsid w:val="00A83770"/>
    <w:rsid w:val="00A83BE1"/>
    <w:rsid w:val="00A83E7B"/>
    <w:rsid w:val="00A83F5B"/>
    <w:rsid w:val="00A83FA0"/>
    <w:rsid w:val="00A8446F"/>
    <w:rsid w:val="00A844B9"/>
    <w:rsid w:val="00A848F2"/>
    <w:rsid w:val="00A84AFE"/>
    <w:rsid w:val="00A84BF1"/>
    <w:rsid w:val="00A850A3"/>
    <w:rsid w:val="00A85134"/>
    <w:rsid w:val="00A8526D"/>
    <w:rsid w:val="00A854B7"/>
    <w:rsid w:val="00A85B43"/>
    <w:rsid w:val="00A85C50"/>
    <w:rsid w:val="00A85CB6"/>
    <w:rsid w:val="00A85DD9"/>
    <w:rsid w:val="00A867F8"/>
    <w:rsid w:val="00A86A0C"/>
    <w:rsid w:val="00A86B8E"/>
    <w:rsid w:val="00A86DE1"/>
    <w:rsid w:val="00A86E6E"/>
    <w:rsid w:val="00A870A5"/>
    <w:rsid w:val="00A87121"/>
    <w:rsid w:val="00A87308"/>
    <w:rsid w:val="00A87437"/>
    <w:rsid w:val="00A8750A"/>
    <w:rsid w:val="00A876EE"/>
    <w:rsid w:val="00A87887"/>
    <w:rsid w:val="00A87940"/>
    <w:rsid w:val="00A87960"/>
    <w:rsid w:val="00A879A0"/>
    <w:rsid w:val="00A87D37"/>
    <w:rsid w:val="00A87D57"/>
    <w:rsid w:val="00A90108"/>
    <w:rsid w:val="00A905F9"/>
    <w:rsid w:val="00A907FE"/>
    <w:rsid w:val="00A908AF"/>
    <w:rsid w:val="00A909D9"/>
    <w:rsid w:val="00A90A32"/>
    <w:rsid w:val="00A90AF1"/>
    <w:rsid w:val="00A90AF5"/>
    <w:rsid w:val="00A90E9E"/>
    <w:rsid w:val="00A90F3B"/>
    <w:rsid w:val="00A913AF"/>
    <w:rsid w:val="00A914C1"/>
    <w:rsid w:val="00A914ED"/>
    <w:rsid w:val="00A914F8"/>
    <w:rsid w:val="00A9150A"/>
    <w:rsid w:val="00A9183E"/>
    <w:rsid w:val="00A918FD"/>
    <w:rsid w:val="00A91A99"/>
    <w:rsid w:val="00A91E6B"/>
    <w:rsid w:val="00A91F39"/>
    <w:rsid w:val="00A91FA1"/>
    <w:rsid w:val="00A9200E"/>
    <w:rsid w:val="00A922C0"/>
    <w:rsid w:val="00A923DD"/>
    <w:rsid w:val="00A92581"/>
    <w:rsid w:val="00A92627"/>
    <w:rsid w:val="00A928CD"/>
    <w:rsid w:val="00A928DC"/>
    <w:rsid w:val="00A928F3"/>
    <w:rsid w:val="00A928FB"/>
    <w:rsid w:val="00A92A17"/>
    <w:rsid w:val="00A92A5E"/>
    <w:rsid w:val="00A92ABD"/>
    <w:rsid w:val="00A92C0D"/>
    <w:rsid w:val="00A92EC5"/>
    <w:rsid w:val="00A93292"/>
    <w:rsid w:val="00A93538"/>
    <w:rsid w:val="00A93546"/>
    <w:rsid w:val="00A93576"/>
    <w:rsid w:val="00A93ABF"/>
    <w:rsid w:val="00A93B40"/>
    <w:rsid w:val="00A93D5C"/>
    <w:rsid w:val="00A94138"/>
    <w:rsid w:val="00A943CA"/>
    <w:rsid w:val="00A944FC"/>
    <w:rsid w:val="00A94525"/>
    <w:rsid w:val="00A946B4"/>
    <w:rsid w:val="00A947B2"/>
    <w:rsid w:val="00A9486C"/>
    <w:rsid w:val="00A94A58"/>
    <w:rsid w:val="00A94A79"/>
    <w:rsid w:val="00A95163"/>
    <w:rsid w:val="00A952DF"/>
    <w:rsid w:val="00A95319"/>
    <w:rsid w:val="00A95383"/>
    <w:rsid w:val="00A954A5"/>
    <w:rsid w:val="00A9561D"/>
    <w:rsid w:val="00A9571C"/>
    <w:rsid w:val="00A958A1"/>
    <w:rsid w:val="00A95A1E"/>
    <w:rsid w:val="00A95C46"/>
    <w:rsid w:val="00A96224"/>
    <w:rsid w:val="00A964FD"/>
    <w:rsid w:val="00A967CA"/>
    <w:rsid w:val="00A96984"/>
    <w:rsid w:val="00A96A54"/>
    <w:rsid w:val="00A96A68"/>
    <w:rsid w:val="00A970B7"/>
    <w:rsid w:val="00A97329"/>
    <w:rsid w:val="00A97760"/>
    <w:rsid w:val="00A97770"/>
    <w:rsid w:val="00A97B0C"/>
    <w:rsid w:val="00A97B9C"/>
    <w:rsid w:val="00A97B9E"/>
    <w:rsid w:val="00A97D03"/>
    <w:rsid w:val="00A97F8A"/>
    <w:rsid w:val="00AA00E2"/>
    <w:rsid w:val="00AA03D9"/>
    <w:rsid w:val="00AA0738"/>
    <w:rsid w:val="00AA0815"/>
    <w:rsid w:val="00AA08A0"/>
    <w:rsid w:val="00AA0955"/>
    <w:rsid w:val="00AA09B2"/>
    <w:rsid w:val="00AA0C4E"/>
    <w:rsid w:val="00AA0F42"/>
    <w:rsid w:val="00AA101E"/>
    <w:rsid w:val="00AA13C2"/>
    <w:rsid w:val="00AA14E7"/>
    <w:rsid w:val="00AA16DF"/>
    <w:rsid w:val="00AA172E"/>
    <w:rsid w:val="00AA1800"/>
    <w:rsid w:val="00AA199E"/>
    <w:rsid w:val="00AA19CA"/>
    <w:rsid w:val="00AA1CE5"/>
    <w:rsid w:val="00AA1D04"/>
    <w:rsid w:val="00AA21BA"/>
    <w:rsid w:val="00AA23AF"/>
    <w:rsid w:val="00AA261B"/>
    <w:rsid w:val="00AA26DA"/>
    <w:rsid w:val="00AA27D2"/>
    <w:rsid w:val="00AA297C"/>
    <w:rsid w:val="00AA2A58"/>
    <w:rsid w:val="00AA2BE4"/>
    <w:rsid w:val="00AA2CF7"/>
    <w:rsid w:val="00AA2EE9"/>
    <w:rsid w:val="00AA31C0"/>
    <w:rsid w:val="00AA3324"/>
    <w:rsid w:val="00AA3457"/>
    <w:rsid w:val="00AA35AC"/>
    <w:rsid w:val="00AA36A0"/>
    <w:rsid w:val="00AA36A1"/>
    <w:rsid w:val="00AA3915"/>
    <w:rsid w:val="00AA3A01"/>
    <w:rsid w:val="00AA3C95"/>
    <w:rsid w:val="00AA3DEC"/>
    <w:rsid w:val="00AA3E3F"/>
    <w:rsid w:val="00AA3F32"/>
    <w:rsid w:val="00AA426E"/>
    <w:rsid w:val="00AA458E"/>
    <w:rsid w:val="00AA4E02"/>
    <w:rsid w:val="00AA4E11"/>
    <w:rsid w:val="00AA4E66"/>
    <w:rsid w:val="00AA5553"/>
    <w:rsid w:val="00AA57A6"/>
    <w:rsid w:val="00AA5849"/>
    <w:rsid w:val="00AA5BC3"/>
    <w:rsid w:val="00AA5C36"/>
    <w:rsid w:val="00AA5D7E"/>
    <w:rsid w:val="00AA5D97"/>
    <w:rsid w:val="00AA6114"/>
    <w:rsid w:val="00AA6179"/>
    <w:rsid w:val="00AA653E"/>
    <w:rsid w:val="00AA6632"/>
    <w:rsid w:val="00AA6702"/>
    <w:rsid w:val="00AA67CF"/>
    <w:rsid w:val="00AA6A3F"/>
    <w:rsid w:val="00AA6B3C"/>
    <w:rsid w:val="00AA701E"/>
    <w:rsid w:val="00AA721E"/>
    <w:rsid w:val="00AA7426"/>
    <w:rsid w:val="00AA77DF"/>
    <w:rsid w:val="00AA781D"/>
    <w:rsid w:val="00AA7883"/>
    <w:rsid w:val="00AA7884"/>
    <w:rsid w:val="00AA78D1"/>
    <w:rsid w:val="00AA7AA8"/>
    <w:rsid w:val="00AA7D0C"/>
    <w:rsid w:val="00AA7EB7"/>
    <w:rsid w:val="00AA7F9C"/>
    <w:rsid w:val="00AB0022"/>
    <w:rsid w:val="00AB01B0"/>
    <w:rsid w:val="00AB0200"/>
    <w:rsid w:val="00AB0384"/>
    <w:rsid w:val="00AB03D9"/>
    <w:rsid w:val="00AB05AA"/>
    <w:rsid w:val="00AB082A"/>
    <w:rsid w:val="00AB0A32"/>
    <w:rsid w:val="00AB0DCE"/>
    <w:rsid w:val="00AB0E86"/>
    <w:rsid w:val="00AB1002"/>
    <w:rsid w:val="00AB1317"/>
    <w:rsid w:val="00AB13AD"/>
    <w:rsid w:val="00AB14CB"/>
    <w:rsid w:val="00AB15BD"/>
    <w:rsid w:val="00AB1626"/>
    <w:rsid w:val="00AB16AD"/>
    <w:rsid w:val="00AB16D0"/>
    <w:rsid w:val="00AB172A"/>
    <w:rsid w:val="00AB17BA"/>
    <w:rsid w:val="00AB1943"/>
    <w:rsid w:val="00AB19F4"/>
    <w:rsid w:val="00AB1C60"/>
    <w:rsid w:val="00AB1C97"/>
    <w:rsid w:val="00AB1CB5"/>
    <w:rsid w:val="00AB1E12"/>
    <w:rsid w:val="00AB1F00"/>
    <w:rsid w:val="00AB1F59"/>
    <w:rsid w:val="00AB2264"/>
    <w:rsid w:val="00AB24CB"/>
    <w:rsid w:val="00AB25A2"/>
    <w:rsid w:val="00AB2E72"/>
    <w:rsid w:val="00AB325F"/>
    <w:rsid w:val="00AB32F9"/>
    <w:rsid w:val="00AB3314"/>
    <w:rsid w:val="00AB34A7"/>
    <w:rsid w:val="00AB35F4"/>
    <w:rsid w:val="00AB36DD"/>
    <w:rsid w:val="00AB37CD"/>
    <w:rsid w:val="00AB37DA"/>
    <w:rsid w:val="00AB3822"/>
    <w:rsid w:val="00AB3926"/>
    <w:rsid w:val="00AB399F"/>
    <w:rsid w:val="00AB3A4E"/>
    <w:rsid w:val="00AB3B56"/>
    <w:rsid w:val="00AB3BBA"/>
    <w:rsid w:val="00AB3DD7"/>
    <w:rsid w:val="00AB3FBA"/>
    <w:rsid w:val="00AB4091"/>
    <w:rsid w:val="00AB40AF"/>
    <w:rsid w:val="00AB41BC"/>
    <w:rsid w:val="00AB43C2"/>
    <w:rsid w:val="00AB4408"/>
    <w:rsid w:val="00AB447B"/>
    <w:rsid w:val="00AB46E9"/>
    <w:rsid w:val="00AB4700"/>
    <w:rsid w:val="00AB47F5"/>
    <w:rsid w:val="00AB4845"/>
    <w:rsid w:val="00AB48D3"/>
    <w:rsid w:val="00AB4A65"/>
    <w:rsid w:val="00AB4BB2"/>
    <w:rsid w:val="00AB4BCE"/>
    <w:rsid w:val="00AB4D45"/>
    <w:rsid w:val="00AB50AF"/>
    <w:rsid w:val="00AB5157"/>
    <w:rsid w:val="00AB517B"/>
    <w:rsid w:val="00AB51A6"/>
    <w:rsid w:val="00AB5233"/>
    <w:rsid w:val="00AB5329"/>
    <w:rsid w:val="00AB5334"/>
    <w:rsid w:val="00AB539E"/>
    <w:rsid w:val="00AB5469"/>
    <w:rsid w:val="00AB561B"/>
    <w:rsid w:val="00AB5624"/>
    <w:rsid w:val="00AB585D"/>
    <w:rsid w:val="00AB586B"/>
    <w:rsid w:val="00AB58F4"/>
    <w:rsid w:val="00AB5CC2"/>
    <w:rsid w:val="00AB5D13"/>
    <w:rsid w:val="00AB60B3"/>
    <w:rsid w:val="00AB6209"/>
    <w:rsid w:val="00AB6291"/>
    <w:rsid w:val="00AB62A0"/>
    <w:rsid w:val="00AB62AD"/>
    <w:rsid w:val="00AB62DF"/>
    <w:rsid w:val="00AB63DE"/>
    <w:rsid w:val="00AB660E"/>
    <w:rsid w:val="00AB668E"/>
    <w:rsid w:val="00AB66D1"/>
    <w:rsid w:val="00AB68C7"/>
    <w:rsid w:val="00AB6A8E"/>
    <w:rsid w:val="00AB6D4D"/>
    <w:rsid w:val="00AB6F99"/>
    <w:rsid w:val="00AB7256"/>
    <w:rsid w:val="00AB7291"/>
    <w:rsid w:val="00AB7451"/>
    <w:rsid w:val="00AB74A7"/>
    <w:rsid w:val="00AB7698"/>
    <w:rsid w:val="00AB773B"/>
    <w:rsid w:val="00AB7A1F"/>
    <w:rsid w:val="00AB7AD9"/>
    <w:rsid w:val="00AB7B5A"/>
    <w:rsid w:val="00AB7E3B"/>
    <w:rsid w:val="00AB7FAF"/>
    <w:rsid w:val="00AC0471"/>
    <w:rsid w:val="00AC04A2"/>
    <w:rsid w:val="00AC0EB9"/>
    <w:rsid w:val="00AC128D"/>
    <w:rsid w:val="00AC145F"/>
    <w:rsid w:val="00AC149F"/>
    <w:rsid w:val="00AC14E6"/>
    <w:rsid w:val="00AC1884"/>
    <w:rsid w:val="00AC1963"/>
    <w:rsid w:val="00AC196B"/>
    <w:rsid w:val="00AC1CE0"/>
    <w:rsid w:val="00AC1E2A"/>
    <w:rsid w:val="00AC1F87"/>
    <w:rsid w:val="00AC1F9F"/>
    <w:rsid w:val="00AC1FC5"/>
    <w:rsid w:val="00AC2347"/>
    <w:rsid w:val="00AC2585"/>
    <w:rsid w:val="00AC28A4"/>
    <w:rsid w:val="00AC2D90"/>
    <w:rsid w:val="00AC2EEA"/>
    <w:rsid w:val="00AC2F02"/>
    <w:rsid w:val="00AC2F59"/>
    <w:rsid w:val="00AC3025"/>
    <w:rsid w:val="00AC31B8"/>
    <w:rsid w:val="00AC32E9"/>
    <w:rsid w:val="00AC3339"/>
    <w:rsid w:val="00AC33C8"/>
    <w:rsid w:val="00AC39B5"/>
    <w:rsid w:val="00AC3B6F"/>
    <w:rsid w:val="00AC3C2F"/>
    <w:rsid w:val="00AC3C80"/>
    <w:rsid w:val="00AC3FE9"/>
    <w:rsid w:val="00AC4017"/>
    <w:rsid w:val="00AC403F"/>
    <w:rsid w:val="00AC4260"/>
    <w:rsid w:val="00AC42A6"/>
    <w:rsid w:val="00AC4341"/>
    <w:rsid w:val="00AC44AA"/>
    <w:rsid w:val="00AC4615"/>
    <w:rsid w:val="00AC4A16"/>
    <w:rsid w:val="00AC4C9E"/>
    <w:rsid w:val="00AC4D22"/>
    <w:rsid w:val="00AC4F60"/>
    <w:rsid w:val="00AC5083"/>
    <w:rsid w:val="00AC5177"/>
    <w:rsid w:val="00AC52C1"/>
    <w:rsid w:val="00AC52F5"/>
    <w:rsid w:val="00AC53F3"/>
    <w:rsid w:val="00AC5521"/>
    <w:rsid w:val="00AC57A5"/>
    <w:rsid w:val="00AC59DA"/>
    <w:rsid w:val="00AC5A82"/>
    <w:rsid w:val="00AC5AF9"/>
    <w:rsid w:val="00AC5BA5"/>
    <w:rsid w:val="00AC5BEE"/>
    <w:rsid w:val="00AC5C4D"/>
    <w:rsid w:val="00AC5C5F"/>
    <w:rsid w:val="00AC5D42"/>
    <w:rsid w:val="00AC5EC8"/>
    <w:rsid w:val="00AC608D"/>
    <w:rsid w:val="00AC626A"/>
    <w:rsid w:val="00AC643D"/>
    <w:rsid w:val="00AC6754"/>
    <w:rsid w:val="00AC6A23"/>
    <w:rsid w:val="00AC6C52"/>
    <w:rsid w:val="00AC6C7C"/>
    <w:rsid w:val="00AC6CB7"/>
    <w:rsid w:val="00AC6E35"/>
    <w:rsid w:val="00AC704C"/>
    <w:rsid w:val="00AC737C"/>
    <w:rsid w:val="00AC75B0"/>
    <w:rsid w:val="00AC765C"/>
    <w:rsid w:val="00AC768B"/>
    <w:rsid w:val="00AC7849"/>
    <w:rsid w:val="00AC79FC"/>
    <w:rsid w:val="00AD0060"/>
    <w:rsid w:val="00AD0292"/>
    <w:rsid w:val="00AD043C"/>
    <w:rsid w:val="00AD0667"/>
    <w:rsid w:val="00AD09D3"/>
    <w:rsid w:val="00AD0A06"/>
    <w:rsid w:val="00AD0C50"/>
    <w:rsid w:val="00AD0E5E"/>
    <w:rsid w:val="00AD0EC7"/>
    <w:rsid w:val="00AD0EFD"/>
    <w:rsid w:val="00AD0FCB"/>
    <w:rsid w:val="00AD11E1"/>
    <w:rsid w:val="00AD1269"/>
    <w:rsid w:val="00AD1361"/>
    <w:rsid w:val="00AD161E"/>
    <w:rsid w:val="00AD174C"/>
    <w:rsid w:val="00AD17E5"/>
    <w:rsid w:val="00AD1835"/>
    <w:rsid w:val="00AD1B76"/>
    <w:rsid w:val="00AD1DF8"/>
    <w:rsid w:val="00AD1EBF"/>
    <w:rsid w:val="00AD1EF2"/>
    <w:rsid w:val="00AD200E"/>
    <w:rsid w:val="00AD2519"/>
    <w:rsid w:val="00AD29FB"/>
    <w:rsid w:val="00AD2A01"/>
    <w:rsid w:val="00AD2C8B"/>
    <w:rsid w:val="00AD3101"/>
    <w:rsid w:val="00AD3353"/>
    <w:rsid w:val="00AD3530"/>
    <w:rsid w:val="00AD3842"/>
    <w:rsid w:val="00AD392F"/>
    <w:rsid w:val="00AD395C"/>
    <w:rsid w:val="00AD39BD"/>
    <w:rsid w:val="00AD3A53"/>
    <w:rsid w:val="00AD3C37"/>
    <w:rsid w:val="00AD4432"/>
    <w:rsid w:val="00AD4437"/>
    <w:rsid w:val="00AD4988"/>
    <w:rsid w:val="00AD49FD"/>
    <w:rsid w:val="00AD4B4A"/>
    <w:rsid w:val="00AD4BFD"/>
    <w:rsid w:val="00AD4C87"/>
    <w:rsid w:val="00AD4CCF"/>
    <w:rsid w:val="00AD4DE9"/>
    <w:rsid w:val="00AD5340"/>
    <w:rsid w:val="00AD5382"/>
    <w:rsid w:val="00AD5466"/>
    <w:rsid w:val="00AD54BA"/>
    <w:rsid w:val="00AD553C"/>
    <w:rsid w:val="00AD5610"/>
    <w:rsid w:val="00AD5960"/>
    <w:rsid w:val="00AD5B32"/>
    <w:rsid w:val="00AD5B37"/>
    <w:rsid w:val="00AD5DC2"/>
    <w:rsid w:val="00AD5FCF"/>
    <w:rsid w:val="00AD6121"/>
    <w:rsid w:val="00AD62C3"/>
    <w:rsid w:val="00AD69A5"/>
    <w:rsid w:val="00AD6A80"/>
    <w:rsid w:val="00AD6B44"/>
    <w:rsid w:val="00AD6B6E"/>
    <w:rsid w:val="00AD6D45"/>
    <w:rsid w:val="00AD73FA"/>
    <w:rsid w:val="00AD7540"/>
    <w:rsid w:val="00AD759D"/>
    <w:rsid w:val="00AD776B"/>
    <w:rsid w:val="00AD78B2"/>
    <w:rsid w:val="00AD7A93"/>
    <w:rsid w:val="00AD7D0D"/>
    <w:rsid w:val="00AD7F84"/>
    <w:rsid w:val="00AE0140"/>
    <w:rsid w:val="00AE020B"/>
    <w:rsid w:val="00AE03A8"/>
    <w:rsid w:val="00AE06D1"/>
    <w:rsid w:val="00AE07DE"/>
    <w:rsid w:val="00AE0995"/>
    <w:rsid w:val="00AE0CFF"/>
    <w:rsid w:val="00AE124F"/>
    <w:rsid w:val="00AE1437"/>
    <w:rsid w:val="00AE1449"/>
    <w:rsid w:val="00AE146B"/>
    <w:rsid w:val="00AE1554"/>
    <w:rsid w:val="00AE15EF"/>
    <w:rsid w:val="00AE1AF3"/>
    <w:rsid w:val="00AE1F3D"/>
    <w:rsid w:val="00AE220D"/>
    <w:rsid w:val="00AE2472"/>
    <w:rsid w:val="00AE25A4"/>
    <w:rsid w:val="00AE26CF"/>
    <w:rsid w:val="00AE2742"/>
    <w:rsid w:val="00AE28E7"/>
    <w:rsid w:val="00AE293C"/>
    <w:rsid w:val="00AE2A48"/>
    <w:rsid w:val="00AE2B07"/>
    <w:rsid w:val="00AE2BDB"/>
    <w:rsid w:val="00AE2E5C"/>
    <w:rsid w:val="00AE36FA"/>
    <w:rsid w:val="00AE3739"/>
    <w:rsid w:val="00AE3A38"/>
    <w:rsid w:val="00AE3ADA"/>
    <w:rsid w:val="00AE3AE1"/>
    <w:rsid w:val="00AE3B22"/>
    <w:rsid w:val="00AE3B67"/>
    <w:rsid w:val="00AE3C09"/>
    <w:rsid w:val="00AE3CF0"/>
    <w:rsid w:val="00AE3D31"/>
    <w:rsid w:val="00AE3ED3"/>
    <w:rsid w:val="00AE3F16"/>
    <w:rsid w:val="00AE3F1D"/>
    <w:rsid w:val="00AE3F71"/>
    <w:rsid w:val="00AE403F"/>
    <w:rsid w:val="00AE40E0"/>
    <w:rsid w:val="00AE42D2"/>
    <w:rsid w:val="00AE433C"/>
    <w:rsid w:val="00AE4491"/>
    <w:rsid w:val="00AE4511"/>
    <w:rsid w:val="00AE47A1"/>
    <w:rsid w:val="00AE47FA"/>
    <w:rsid w:val="00AE482E"/>
    <w:rsid w:val="00AE4B93"/>
    <w:rsid w:val="00AE4DAF"/>
    <w:rsid w:val="00AE4F45"/>
    <w:rsid w:val="00AE4FDE"/>
    <w:rsid w:val="00AE544A"/>
    <w:rsid w:val="00AE58D9"/>
    <w:rsid w:val="00AE5B6B"/>
    <w:rsid w:val="00AE5E69"/>
    <w:rsid w:val="00AE5EC0"/>
    <w:rsid w:val="00AE617F"/>
    <w:rsid w:val="00AE62C8"/>
    <w:rsid w:val="00AE66BA"/>
    <w:rsid w:val="00AE6765"/>
    <w:rsid w:val="00AE6BE7"/>
    <w:rsid w:val="00AE6CCD"/>
    <w:rsid w:val="00AE6D2F"/>
    <w:rsid w:val="00AE6F15"/>
    <w:rsid w:val="00AE7452"/>
    <w:rsid w:val="00AE76B3"/>
    <w:rsid w:val="00AE7719"/>
    <w:rsid w:val="00AE7833"/>
    <w:rsid w:val="00AE7852"/>
    <w:rsid w:val="00AE7870"/>
    <w:rsid w:val="00AE7987"/>
    <w:rsid w:val="00AE79A9"/>
    <w:rsid w:val="00AE7A04"/>
    <w:rsid w:val="00AE7B9E"/>
    <w:rsid w:val="00AE7E27"/>
    <w:rsid w:val="00AE7FAF"/>
    <w:rsid w:val="00AF013C"/>
    <w:rsid w:val="00AF0222"/>
    <w:rsid w:val="00AF04AD"/>
    <w:rsid w:val="00AF070C"/>
    <w:rsid w:val="00AF08F5"/>
    <w:rsid w:val="00AF093D"/>
    <w:rsid w:val="00AF0BC3"/>
    <w:rsid w:val="00AF0D79"/>
    <w:rsid w:val="00AF1104"/>
    <w:rsid w:val="00AF120F"/>
    <w:rsid w:val="00AF150D"/>
    <w:rsid w:val="00AF1807"/>
    <w:rsid w:val="00AF1BDB"/>
    <w:rsid w:val="00AF1D88"/>
    <w:rsid w:val="00AF1F8A"/>
    <w:rsid w:val="00AF2325"/>
    <w:rsid w:val="00AF23C8"/>
    <w:rsid w:val="00AF2548"/>
    <w:rsid w:val="00AF2619"/>
    <w:rsid w:val="00AF2846"/>
    <w:rsid w:val="00AF294E"/>
    <w:rsid w:val="00AF29B7"/>
    <w:rsid w:val="00AF2BE1"/>
    <w:rsid w:val="00AF2BF7"/>
    <w:rsid w:val="00AF2DDD"/>
    <w:rsid w:val="00AF2F0A"/>
    <w:rsid w:val="00AF2F4B"/>
    <w:rsid w:val="00AF2FC8"/>
    <w:rsid w:val="00AF327E"/>
    <w:rsid w:val="00AF3339"/>
    <w:rsid w:val="00AF3404"/>
    <w:rsid w:val="00AF3429"/>
    <w:rsid w:val="00AF3452"/>
    <w:rsid w:val="00AF358C"/>
    <w:rsid w:val="00AF36E8"/>
    <w:rsid w:val="00AF3727"/>
    <w:rsid w:val="00AF3834"/>
    <w:rsid w:val="00AF3A8C"/>
    <w:rsid w:val="00AF3D6A"/>
    <w:rsid w:val="00AF3E13"/>
    <w:rsid w:val="00AF3E57"/>
    <w:rsid w:val="00AF3E8D"/>
    <w:rsid w:val="00AF3FAC"/>
    <w:rsid w:val="00AF404C"/>
    <w:rsid w:val="00AF4075"/>
    <w:rsid w:val="00AF4137"/>
    <w:rsid w:val="00AF4362"/>
    <w:rsid w:val="00AF46CE"/>
    <w:rsid w:val="00AF47F9"/>
    <w:rsid w:val="00AF48C6"/>
    <w:rsid w:val="00AF4A01"/>
    <w:rsid w:val="00AF4AAE"/>
    <w:rsid w:val="00AF4B03"/>
    <w:rsid w:val="00AF4B86"/>
    <w:rsid w:val="00AF4E77"/>
    <w:rsid w:val="00AF4E8D"/>
    <w:rsid w:val="00AF4ED9"/>
    <w:rsid w:val="00AF4F28"/>
    <w:rsid w:val="00AF4FCF"/>
    <w:rsid w:val="00AF5040"/>
    <w:rsid w:val="00AF5475"/>
    <w:rsid w:val="00AF5516"/>
    <w:rsid w:val="00AF5D0D"/>
    <w:rsid w:val="00AF5E7D"/>
    <w:rsid w:val="00AF6289"/>
    <w:rsid w:val="00AF62A0"/>
    <w:rsid w:val="00AF6421"/>
    <w:rsid w:val="00AF65DF"/>
    <w:rsid w:val="00AF6678"/>
    <w:rsid w:val="00AF689E"/>
    <w:rsid w:val="00AF68AF"/>
    <w:rsid w:val="00AF6A43"/>
    <w:rsid w:val="00AF6C09"/>
    <w:rsid w:val="00AF6D00"/>
    <w:rsid w:val="00AF6D2A"/>
    <w:rsid w:val="00AF6E28"/>
    <w:rsid w:val="00AF7225"/>
    <w:rsid w:val="00AF7227"/>
    <w:rsid w:val="00AF7451"/>
    <w:rsid w:val="00AF76D1"/>
    <w:rsid w:val="00AF7748"/>
    <w:rsid w:val="00AF7770"/>
    <w:rsid w:val="00AF77EB"/>
    <w:rsid w:val="00AF798C"/>
    <w:rsid w:val="00AF7AB9"/>
    <w:rsid w:val="00AF7AD4"/>
    <w:rsid w:val="00B003EA"/>
    <w:rsid w:val="00B003EE"/>
    <w:rsid w:val="00B004A2"/>
    <w:rsid w:val="00B004D8"/>
    <w:rsid w:val="00B0055A"/>
    <w:rsid w:val="00B00846"/>
    <w:rsid w:val="00B009EC"/>
    <w:rsid w:val="00B00A10"/>
    <w:rsid w:val="00B00AD0"/>
    <w:rsid w:val="00B00D49"/>
    <w:rsid w:val="00B00F64"/>
    <w:rsid w:val="00B010A1"/>
    <w:rsid w:val="00B011CA"/>
    <w:rsid w:val="00B01413"/>
    <w:rsid w:val="00B0143D"/>
    <w:rsid w:val="00B01A05"/>
    <w:rsid w:val="00B01B7A"/>
    <w:rsid w:val="00B01B98"/>
    <w:rsid w:val="00B01DA8"/>
    <w:rsid w:val="00B01E28"/>
    <w:rsid w:val="00B01E66"/>
    <w:rsid w:val="00B01EDA"/>
    <w:rsid w:val="00B01F08"/>
    <w:rsid w:val="00B023EB"/>
    <w:rsid w:val="00B024D0"/>
    <w:rsid w:val="00B02648"/>
    <w:rsid w:val="00B02739"/>
    <w:rsid w:val="00B029A6"/>
    <w:rsid w:val="00B02F82"/>
    <w:rsid w:val="00B036BB"/>
    <w:rsid w:val="00B03C81"/>
    <w:rsid w:val="00B03DCB"/>
    <w:rsid w:val="00B03E0B"/>
    <w:rsid w:val="00B0415D"/>
    <w:rsid w:val="00B04538"/>
    <w:rsid w:val="00B046FC"/>
    <w:rsid w:val="00B04720"/>
    <w:rsid w:val="00B04840"/>
    <w:rsid w:val="00B04926"/>
    <w:rsid w:val="00B04974"/>
    <w:rsid w:val="00B04A44"/>
    <w:rsid w:val="00B04BE3"/>
    <w:rsid w:val="00B04EB1"/>
    <w:rsid w:val="00B04F08"/>
    <w:rsid w:val="00B050C1"/>
    <w:rsid w:val="00B051B3"/>
    <w:rsid w:val="00B05352"/>
    <w:rsid w:val="00B0538F"/>
    <w:rsid w:val="00B053C0"/>
    <w:rsid w:val="00B053EE"/>
    <w:rsid w:val="00B0547E"/>
    <w:rsid w:val="00B054C2"/>
    <w:rsid w:val="00B054F5"/>
    <w:rsid w:val="00B05629"/>
    <w:rsid w:val="00B056FD"/>
    <w:rsid w:val="00B05709"/>
    <w:rsid w:val="00B059A6"/>
    <w:rsid w:val="00B05B2A"/>
    <w:rsid w:val="00B05F8A"/>
    <w:rsid w:val="00B0605E"/>
    <w:rsid w:val="00B060AE"/>
    <w:rsid w:val="00B060FA"/>
    <w:rsid w:val="00B061AE"/>
    <w:rsid w:val="00B061B1"/>
    <w:rsid w:val="00B061D7"/>
    <w:rsid w:val="00B06324"/>
    <w:rsid w:val="00B063BD"/>
    <w:rsid w:val="00B064A1"/>
    <w:rsid w:val="00B065C2"/>
    <w:rsid w:val="00B066AA"/>
    <w:rsid w:val="00B06752"/>
    <w:rsid w:val="00B06764"/>
    <w:rsid w:val="00B06789"/>
    <w:rsid w:val="00B06982"/>
    <w:rsid w:val="00B069FF"/>
    <w:rsid w:val="00B06A59"/>
    <w:rsid w:val="00B06B15"/>
    <w:rsid w:val="00B071A3"/>
    <w:rsid w:val="00B072F1"/>
    <w:rsid w:val="00B076FC"/>
    <w:rsid w:val="00B079E1"/>
    <w:rsid w:val="00B07B8A"/>
    <w:rsid w:val="00B101D9"/>
    <w:rsid w:val="00B1037E"/>
    <w:rsid w:val="00B1039A"/>
    <w:rsid w:val="00B1047A"/>
    <w:rsid w:val="00B1073B"/>
    <w:rsid w:val="00B1084B"/>
    <w:rsid w:val="00B10939"/>
    <w:rsid w:val="00B10B65"/>
    <w:rsid w:val="00B10BB7"/>
    <w:rsid w:val="00B10D5E"/>
    <w:rsid w:val="00B10DB8"/>
    <w:rsid w:val="00B10E0A"/>
    <w:rsid w:val="00B10F50"/>
    <w:rsid w:val="00B11155"/>
    <w:rsid w:val="00B113B0"/>
    <w:rsid w:val="00B114B8"/>
    <w:rsid w:val="00B1181C"/>
    <w:rsid w:val="00B1214E"/>
    <w:rsid w:val="00B12221"/>
    <w:rsid w:val="00B125F4"/>
    <w:rsid w:val="00B126F9"/>
    <w:rsid w:val="00B12715"/>
    <w:rsid w:val="00B12873"/>
    <w:rsid w:val="00B12B0F"/>
    <w:rsid w:val="00B12C48"/>
    <w:rsid w:val="00B12DDD"/>
    <w:rsid w:val="00B12E0F"/>
    <w:rsid w:val="00B131A7"/>
    <w:rsid w:val="00B132F8"/>
    <w:rsid w:val="00B133C7"/>
    <w:rsid w:val="00B1348E"/>
    <w:rsid w:val="00B134E4"/>
    <w:rsid w:val="00B136C3"/>
    <w:rsid w:val="00B1376F"/>
    <w:rsid w:val="00B137FC"/>
    <w:rsid w:val="00B139C7"/>
    <w:rsid w:val="00B13AFC"/>
    <w:rsid w:val="00B13B9F"/>
    <w:rsid w:val="00B13BFB"/>
    <w:rsid w:val="00B13C17"/>
    <w:rsid w:val="00B13CC3"/>
    <w:rsid w:val="00B13FEE"/>
    <w:rsid w:val="00B140EF"/>
    <w:rsid w:val="00B141B7"/>
    <w:rsid w:val="00B142E4"/>
    <w:rsid w:val="00B1456C"/>
    <w:rsid w:val="00B147E4"/>
    <w:rsid w:val="00B14A31"/>
    <w:rsid w:val="00B14B89"/>
    <w:rsid w:val="00B14FB1"/>
    <w:rsid w:val="00B14FF0"/>
    <w:rsid w:val="00B15092"/>
    <w:rsid w:val="00B1511D"/>
    <w:rsid w:val="00B15252"/>
    <w:rsid w:val="00B15580"/>
    <w:rsid w:val="00B15781"/>
    <w:rsid w:val="00B157A5"/>
    <w:rsid w:val="00B15E5B"/>
    <w:rsid w:val="00B15E7D"/>
    <w:rsid w:val="00B15EA0"/>
    <w:rsid w:val="00B16158"/>
    <w:rsid w:val="00B16182"/>
    <w:rsid w:val="00B16219"/>
    <w:rsid w:val="00B16395"/>
    <w:rsid w:val="00B16408"/>
    <w:rsid w:val="00B164D5"/>
    <w:rsid w:val="00B1661D"/>
    <w:rsid w:val="00B166E4"/>
    <w:rsid w:val="00B16795"/>
    <w:rsid w:val="00B169C6"/>
    <w:rsid w:val="00B16B6B"/>
    <w:rsid w:val="00B16C97"/>
    <w:rsid w:val="00B1714A"/>
    <w:rsid w:val="00B1720A"/>
    <w:rsid w:val="00B1731D"/>
    <w:rsid w:val="00B1735C"/>
    <w:rsid w:val="00B17363"/>
    <w:rsid w:val="00B174F5"/>
    <w:rsid w:val="00B175D2"/>
    <w:rsid w:val="00B17747"/>
    <w:rsid w:val="00B178B8"/>
    <w:rsid w:val="00B178F5"/>
    <w:rsid w:val="00B17975"/>
    <w:rsid w:val="00B17AA1"/>
    <w:rsid w:val="00B20000"/>
    <w:rsid w:val="00B20156"/>
    <w:rsid w:val="00B20283"/>
    <w:rsid w:val="00B20371"/>
    <w:rsid w:val="00B20422"/>
    <w:rsid w:val="00B207D8"/>
    <w:rsid w:val="00B207FD"/>
    <w:rsid w:val="00B208A3"/>
    <w:rsid w:val="00B209F8"/>
    <w:rsid w:val="00B20A5E"/>
    <w:rsid w:val="00B20AE0"/>
    <w:rsid w:val="00B20B34"/>
    <w:rsid w:val="00B20DD0"/>
    <w:rsid w:val="00B20E73"/>
    <w:rsid w:val="00B20E88"/>
    <w:rsid w:val="00B20F75"/>
    <w:rsid w:val="00B21171"/>
    <w:rsid w:val="00B21387"/>
    <w:rsid w:val="00B21415"/>
    <w:rsid w:val="00B215E9"/>
    <w:rsid w:val="00B215F7"/>
    <w:rsid w:val="00B2169E"/>
    <w:rsid w:val="00B2179F"/>
    <w:rsid w:val="00B21801"/>
    <w:rsid w:val="00B21813"/>
    <w:rsid w:val="00B21845"/>
    <w:rsid w:val="00B21915"/>
    <w:rsid w:val="00B21A3E"/>
    <w:rsid w:val="00B220F3"/>
    <w:rsid w:val="00B22244"/>
    <w:rsid w:val="00B223E1"/>
    <w:rsid w:val="00B2245E"/>
    <w:rsid w:val="00B2253A"/>
    <w:rsid w:val="00B226A5"/>
    <w:rsid w:val="00B227AA"/>
    <w:rsid w:val="00B228B9"/>
    <w:rsid w:val="00B22926"/>
    <w:rsid w:val="00B229C4"/>
    <w:rsid w:val="00B22B39"/>
    <w:rsid w:val="00B22E9F"/>
    <w:rsid w:val="00B23175"/>
    <w:rsid w:val="00B23234"/>
    <w:rsid w:val="00B236E9"/>
    <w:rsid w:val="00B2392F"/>
    <w:rsid w:val="00B23A72"/>
    <w:rsid w:val="00B23B09"/>
    <w:rsid w:val="00B23B63"/>
    <w:rsid w:val="00B23C28"/>
    <w:rsid w:val="00B23ECB"/>
    <w:rsid w:val="00B23EDB"/>
    <w:rsid w:val="00B2406A"/>
    <w:rsid w:val="00B24092"/>
    <w:rsid w:val="00B2423A"/>
    <w:rsid w:val="00B2424C"/>
    <w:rsid w:val="00B2426B"/>
    <w:rsid w:val="00B24326"/>
    <w:rsid w:val="00B2437D"/>
    <w:rsid w:val="00B24A52"/>
    <w:rsid w:val="00B24B27"/>
    <w:rsid w:val="00B24C3A"/>
    <w:rsid w:val="00B24C7E"/>
    <w:rsid w:val="00B25038"/>
    <w:rsid w:val="00B2507A"/>
    <w:rsid w:val="00B252EA"/>
    <w:rsid w:val="00B254D2"/>
    <w:rsid w:val="00B25577"/>
    <w:rsid w:val="00B2559A"/>
    <w:rsid w:val="00B25600"/>
    <w:rsid w:val="00B25763"/>
    <w:rsid w:val="00B25C3F"/>
    <w:rsid w:val="00B25E73"/>
    <w:rsid w:val="00B25F60"/>
    <w:rsid w:val="00B25FC7"/>
    <w:rsid w:val="00B26185"/>
    <w:rsid w:val="00B261D3"/>
    <w:rsid w:val="00B2646C"/>
    <w:rsid w:val="00B2649E"/>
    <w:rsid w:val="00B26783"/>
    <w:rsid w:val="00B267BF"/>
    <w:rsid w:val="00B26825"/>
    <w:rsid w:val="00B26B84"/>
    <w:rsid w:val="00B26BD8"/>
    <w:rsid w:val="00B26CB3"/>
    <w:rsid w:val="00B26E72"/>
    <w:rsid w:val="00B26E79"/>
    <w:rsid w:val="00B26FA2"/>
    <w:rsid w:val="00B27003"/>
    <w:rsid w:val="00B2720D"/>
    <w:rsid w:val="00B272E3"/>
    <w:rsid w:val="00B27524"/>
    <w:rsid w:val="00B2752B"/>
    <w:rsid w:val="00B2752C"/>
    <w:rsid w:val="00B27A9A"/>
    <w:rsid w:val="00B27BF9"/>
    <w:rsid w:val="00B3006A"/>
    <w:rsid w:val="00B30596"/>
    <w:rsid w:val="00B307C3"/>
    <w:rsid w:val="00B3088A"/>
    <w:rsid w:val="00B30A42"/>
    <w:rsid w:val="00B30B75"/>
    <w:rsid w:val="00B30C58"/>
    <w:rsid w:val="00B30F7D"/>
    <w:rsid w:val="00B310F9"/>
    <w:rsid w:val="00B3114E"/>
    <w:rsid w:val="00B312AC"/>
    <w:rsid w:val="00B313C7"/>
    <w:rsid w:val="00B314F7"/>
    <w:rsid w:val="00B31639"/>
    <w:rsid w:val="00B31641"/>
    <w:rsid w:val="00B31790"/>
    <w:rsid w:val="00B31799"/>
    <w:rsid w:val="00B31855"/>
    <w:rsid w:val="00B31F0A"/>
    <w:rsid w:val="00B31F59"/>
    <w:rsid w:val="00B3206F"/>
    <w:rsid w:val="00B320F8"/>
    <w:rsid w:val="00B32114"/>
    <w:rsid w:val="00B325C3"/>
    <w:rsid w:val="00B326F4"/>
    <w:rsid w:val="00B327D3"/>
    <w:rsid w:val="00B3285C"/>
    <w:rsid w:val="00B32B3E"/>
    <w:rsid w:val="00B33036"/>
    <w:rsid w:val="00B3335F"/>
    <w:rsid w:val="00B334B3"/>
    <w:rsid w:val="00B33A01"/>
    <w:rsid w:val="00B33AFE"/>
    <w:rsid w:val="00B33D8D"/>
    <w:rsid w:val="00B33FCB"/>
    <w:rsid w:val="00B3449C"/>
    <w:rsid w:val="00B345AB"/>
    <w:rsid w:val="00B34781"/>
    <w:rsid w:val="00B34CCE"/>
    <w:rsid w:val="00B34DC4"/>
    <w:rsid w:val="00B3517E"/>
    <w:rsid w:val="00B35742"/>
    <w:rsid w:val="00B358F7"/>
    <w:rsid w:val="00B35A14"/>
    <w:rsid w:val="00B35A6D"/>
    <w:rsid w:val="00B35B92"/>
    <w:rsid w:val="00B35F09"/>
    <w:rsid w:val="00B35FA5"/>
    <w:rsid w:val="00B36087"/>
    <w:rsid w:val="00B360FD"/>
    <w:rsid w:val="00B3614E"/>
    <w:rsid w:val="00B3628D"/>
    <w:rsid w:val="00B36291"/>
    <w:rsid w:val="00B36505"/>
    <w:rsid w:val="00B36618"/>
    <w:rsid w:val="00B367B7"/>
    <w:rsid w:val="00B36831"/>
    <w:rsid w:val="00B36B2C"/>
    <w:rsid w:val="00B36B88"/>
    <w:rsid w:val="00B36DDA"/>
    <w:rsid w:val="00B36DF0"/>
    <w:rsid w:val="00B36F28"/>
    <w:rsid w:val="00B37150"/>
    <w:rsid w:val="00B37389"/>
    <w:rsid w:val="00B376B1"/>
    <w:rsid w:val="00B37967"/>
    <w:rsid w:val="00B37A70"/>
    <w:rsid w:val="00B37C9B"/>
    <w:rsid w:val="00B37CEE"/>
    <w:rsid w:val="00B37D35"/>
    <w:rsid w:val="00B37D65"/>
    <w:rsid w:val="00B37D9A"/>
    <w:rsid w:val="00B40308"/>
    <w:rsid w:val="00B4058D"/>
    <w:rsid w:val="00B405C7"/>
    <w:rsid w:val="00B40630"/>
    <w:rsid w:val="00B4065B"/>
    <w:rsid w:val="00B40688"/>
    <w:rsid w:val="00B40799"/>
    <w:rsid w:val="00B40923"/>
    <w:rsid w:val="00B40CCB"/>
    <w:rsid w:val="00B40CEC"/>
    <w:rsid w:val="00B40CF5"/>
    <w:rsid w:val="00B40D9E"/>
    <w:rsid w:val="00B40FB0"/>
    <w:rsid w:val="00B411C2"/>
    <w:rsid w:val="00B416E8"/>
    <w:rsid w:val="00B417D8"/>
    <w:rsid w:val="00B417EA"/>
    <w:rsid w:val="00B41867"/>
    <w:rsid w:val="00B4199F"/>
    <w:rsid w:val="00B41B70"/>
    <w:rsid w:val="00B41C06"/>
    <w:rsid w:val="00B41E25"/>
    <w:rsid w:val="00B41E7D"/>
    <w:rsid w:val="00B41F9A"/>
    <w:rsid w:val="00B42028"/>
    <w:rsid w:val="00B423AE"/>
    <w:rsid w:val="00B423CB"/>
    <w:rsid w:val="00B42568"/>
    <w:rsid w:val="00B42583"/>
    <w:rsid w:val="00B42C46"/>
    <w:rsid w:val="00B42CD1"/>
    <w:rsid w:val="00B42CF1"/>
    <w:rsid w:val="00B42E55"/>
    <w:rsid w:val="00B430FE"/>
    <w:rsid w:val="00B43404"/>
    <w:rsid w:val="00B43620"/>
    <w:rsid w:val="00B436A7"/>
    <w:rsid w:val="00B43743"/>
    <w:rsid w:val="00B4376E"/>
    <w:rsid w:val="00B4378C"/>
    <w:rsid w:val="00B43835"/>
    <w:rsid w:val="00B43C34"/>
    <w:rsid w:val="00B43C7D"/>
    <w:rsid w:val="00B43E05"/>
    <w:rsid w:val="00B43EFA"/>
    <w:rsid w:val="00B44080"/>
    <w:rsid w:val="00B44248"/>
    <w:rsid w:val="00B44327"/>
    <w:rsid w:val="00B443DF"/>
    <w:rsid w:val="00B44613"/>
    <w:rsid w:val="00B446AD"/>
    <w:rsid w:val="00B446BC"/>
    <w:rsid w:val="00B44963"/>
    <w:rsid w:val="00B44A5D"/>
    <w:rsid w:val="00B44B4F"/>
    <w:rsid w:val="00B44D25"/>
    <w:rsid w:val="00B44E84"/>
    <w:rsid w:val="00B44F37"/>
    <w:rsid w:val="00B4502D"/>
    <w:rsid w:val="00B4563E"/>
    <w:rsid w:val="00B45D2A"/>
    <w:rsid w:val="00B45EB0"/>
    <w:rsid w:val="00B45F75"/>
    <w:rsid w:val="00B4601E"/>
    <w:rsid w:val="00B4635F"/>
    <w:rsid w:val="00B465BE"/>
    <w:rsid w:val="00B467E9"/>
    <w:rsid w:val="00B46A96"/>
    <w:rsid w:val="00B46BCE"/>
    <w:rsid w:val="00B46C15"/>
    <w:rsid w:val="00B46D85"/>
    <w:rsid w:val="00B46DCF"/>
    <w:rsid w:val="00B46E80"/>
    <w:rsid w:val="00B46F67"/>
    <w:rsid w:val="00B47030"/>
    <w:rsid w:val="00B47245"/>
    <w:rsid w:val="00B47265"/>
    <w:rsid w:val="00B4729C"/>
    <w:rsid w:val="00B4793B"/>
    <w:rsid w:val="00B47A75"/>
    <w:rsid w:val="00B50031"/>
    <w:rsid w:val="00B50047"/>
    <w:rsid w:val="00B50303"/>
    <w:rsid w:val="00B505A9"/>
    <w:rsid w:val="00B50786"/>
    <w:rsid w:val="00B508DE"/>
    <w:rsid w:val="00B50C4C"/>
    <w:rsid w:val="00B50C5E"/>
    <w:rsid w:val="00B50FBD"/>
    <w:rsid w:val="00B5122A"/>
    <w:rsid w:val="00B5188E"/>
    <w:rsid w:val="00B51C5D"/>
    <w:rsid w:val="00B51D93"/>
    <w:rsid w:val="00B51DC6"/>
    <w:rsid w:val="00B51F95"/>
    <w:rsid w:val="00B52041"/>
    <w:rsid w:val="00B520C3"/>
    <w:rsid w:val="00B52133"/>
    <w:rsid w:val="00B523D2"/>
    <w:rsid w:val="00B524BE"/>
    <w:rsid w:val="00B52690"/>
    <w:rsid w:val="00B5272D"/>
    <w:rsid w:val="00B527A7"/>
    <w:rsid w:val="00B527D4"/>
    <w:rsid w:val="00B52975"/>
    <w:rsid w:val="00B52992"/>
    <w:rsid w:val="00B52A35"/>
    <w:rsid w:val="00B52FA4"/>
    <w:rsid w:val="00B530C6"/>
    <w:rsid w:val="00B531C6"/>
    <w:rsid w:val="00B5344B"/>
    <w:rsid w:val="00B535E7"/>
    <w:rsid w:val="00B537ED"/>
    <w:rsid w:val="00B53D05"/>
    <w:rsid w:val="00B543A6"/>
    <w:rsid w:val="00B543F5"/>
    <w:rsid w:val="00B5444B"/>
    <w:rsid w:val="00B5459F"/>
    <w:rsid w:val="00B545C4"/>
    <w:rsid w:val="00B545D3"/>
    <w:rsid w:val="00B5470F"/>
    <w:rsid w:val="00B5496A"/>
    <w:rsid w:val="00B54D7D"/>
    <w:rsid w:val="00B54FE4"/>
    <w:rsid w:val="00B5509D"/>
    <w:rsid w:val="00B5539C"/>
    <w:rsid w:val="00B55999"/>
    <w:rsid w:val="00B55D11"/>
    <w:rsid w:val="00B55ED1"/>
    <w:rsid w:val="00B55EE4"/>
    <w:rsid w:val="00B56117"/>
    <w:rsid w:val="00B5629B"/>
    <w:rsid w:val="00B56343"/>
    <w:rsid w:val="00B5634E"/>
    <w:rsid w:val="00B563CB"/>
    <w:rsid w:val="00B565AD"/>
    <w:rsid w:val="00B56967"/>
    <w:rsid w:val="00B56F4F"/>
    <w:rsid w:val="00B57260"/>
    <w:rsid w:val="00B57645"/>
    <w:rsid w:val="00B5773A"/>
    <w:rsid w:val="00B57779"/>
    <w:rsid w:val="00B577B3"/>
    <w:rsid w:val="00B578BB"/>
    <w:rsid w:val="00B579D6"/>
    <w:rsid w:val="00B57AD7"/>
    <w:rsid w:val="00B57DE1"/>
    <w:rsid w:val="00B57E94"/>
    <w:rsid w:val="00B57F26"/>
    <w:rsid w:val="00B601AE"/>
    <w:rsid w:val="00B60224"/>
    <w:rsid w:val="00B60619"/>
    <w:rsid w:val="00B607A9"/>
    <w:rsid w:val="00B6089C"/>
    <w:rsid w:val="00B609A9"/>
    <w:rsid w:val="00B60A69"/>
    <w:rsid w:val="00B60AD4"/>
    <w:rsid w:val="00B60B90"/>
    <w:rsid w:val="00B60BCC"/>
    <w:rsid w:val="00B60EA0"/>
    <w:rsid w:val="00B61055"/>
    <w:rsid w:val="00B61435"/>
    <w:rsid w:val="00B6145D"/>
    <w:rsid w:val="00B6174F"/>
    <w:rsid w:val="00B61BF3"/>
    <w:rsid w:val="00B61F59"/>
    <w:rsid w:val="00B62012"/>
    <w:rsid w:val="00B620A9"/>
    <w:rsid w:val="00B620BD"/>
    <w:rsid w:val="00B62147"/>
    <w:rsid w:val="00B62172"/>
    <w:rsid w:val="00B622A9"/>
    <w:rsid w:val="00B62593"/>
    <w:rsid w:val="00B62703"/>
    <w:rsid w:val="00B62A34"/>
    <w:rsid w:val="00B62A70"/>
    <w:rsid w:val="00B62A9F"/>
    <w:rsid w:val="00B62B40"/>
    <w:rsid w:val="00B62BC8"/>
    <w:rsid w:val="00B62DCA"/>
    <w:rsid w:val="00B62F06"/>
    <w:rsid w:val="00B63116"/>
    <w:rsid w:val="00B632D5"/>
    <w:rsid w:val="00B63525"/>
    <w:rsid w:val="00B63669"/>
    <w:rsid w:val="00B6369A"/>
    <w:rsid w:val="00B63A25"/>
    <w:rsid w:val="00B63ACA"/>
    <w:rsid w:val="00B63DCF"/>
    <w:rsid w:val="00B63E68"/>
    <w:rsid w:val="00B63F0C"/>
    <w:rsid w:val="00B643C0"/>
    <w:rsid w:val="00B6442C"/>
    <w:rsid w:val="00B64673"/>
    <w:rsid w:val="00B64731"/>
    <w:rsid w:val="00B64887"/>
    <w:rsid w:val="00B64BDF"/>
    <w:rsid w:val="00B64E82"/>
    <w:rsid w:val="00B650F7"/>
    <w:rsid w:val="00B65115"/>
    <w:rsid w:val="00B65123"/>
    <w:rsid w:val="00B6513A"/>
    <w:rsid w:val="00B65397"/>
    <w:rsid w:val="00B654CF"/>
    <w:rsid w:val="00B65627"/>
    <w:rsid w:val="00B65728"/>
    <w:rsid w:val="00B65747"/>
    <w:rsid w:val="00B65908"/>
    <w:rsid w:val="00B6591A"/>
    <w:rsid w:val="00B65942"/>
    <w:rsid w:val="00B65C28"/>
    <w:rsid w:val="00B65CBB"/>
    <w:rsid w:val="00B65CD1"/>
    <w:rsid w:val="00B65F88"/>
    <w:rsid w:val="00B661C9"/>
    <w:rsid w:val="00B66294"/>
    <w:rsid w:val="00B6677D"/>
    <w:rsid w:val="00B6678A"/>
    <w:rsid w:val="00B668A5"/>
    <w:rsid w:val="00B66960"/>
    <w:rsid w:val="00B669E6"/>
    <w:rsid w:val="00B66A39"/>
    <w:rsid w:val="00B66BEA"/>
    <w:rsid w:val="00B66C69"/>
    <w:rsid w:val="00B66C6A"/>
    <w:rsid w:val="00B66D98"/>
    <w:rsid w:val="00B66E99"/>
    <w:rsid w:val="00B66F5B"/>
    <w:rsid w:val="00B67040"/>
    <w:rsid w:val="00B672DD"/>
    <w:rsid w:val="00B6748B"/>
    <w:rsid w:val="00B67495"/>
    <w:rsid w:val="00B67608"/>
    <w:rsid w:val="00B677F4"/>
    <w:rsid w:val="00B6792E"/>
    <w:rsid w:val="00B6797E"/>
    <w:rsid w:val="00B67AC9"/>
    <w:rsid w:val="00B67AD4"/>
    <w:rsid w:val="00B67B57"/>
    <w:rsid w:val="00B67DF0"/>
    <w:rsid w:val="00B67E7D"/>
    <w:rsid w:val="00B67EF3"/>
    <w:rsid w:val="00B67FF8"/>
    <w:rsid w:val="00B7009B"/>
    <w:rsid w:val="00B70118"/>
    <w:rsid w:val="00B701BF"/>
    <w:rsid w:val="00B705C9"/>
    <w:rsid w:val="00B7079C"/>
    <w:rsid w:val="00B7089E"/>
    <w:rsid w:val="00B7093F"/>
    <w:rsid w:val="00B70ED1"/>
    <w:rsid w:val="00B70FA5"/>
    <w:rsid w:val="00B70FFD"/>
    <w:rsid w:val="00B714B8"/>
    <w:rsid w:val="00B715B1"/>
    <w:rsid w:val="00B715BA"/>
    <w:rsid w:val="00B71F23"/>
    <w:rsid w:val="00B72054"/>
    <w:rsid w:val="00B720FE"/>
    <w:rsid w:val="00B721EA"/>
    <w:rsid w:val="00B72219"/>
    <w:rsid w:val="00B722D6"/>
    <w:rsid w:val="00B723B6"/>
    <w:rsid w:val="00B723EE"/>
    <w:rsid w:val="00B7266D"/>
    <w:rsid w:val="00B72866"/>
    <w:rsid w:val="00B728E0"/>
    <w:rsid w:val="00B7290A"/>
    <w:rsid w:val="00B72DB8"/>
    <w:rsid w:val="00B72F09"/>
    <w:rsid w:val="00B72F14"/>
    <w:rsid w:val="00B731B2"/>
    <w:rsid w:val="00B73242"/>
    <w:rsid w:val="00B73306"/>
    <w:rsid w:val="00B7362D"/>
    <w:rsid w:val="00B737C2"/>
    <w:rsid w:val="00B737F9"/>
    <w:rsid w:val="00B737FA"/>
    <w:rsid w:val="00B738A4"/>
    <w:rsid w:val="00B739B9"/>
    <w:rsid w:val="00B739BE"/>
    <w:rsid w:val="00B73B0D"/>
    <w:rsid w:val="00B73E40"/>
    <w:rsid w:val="00B73FE5"/>
    <w:rsid w:val="00B7403C"/>
    <w:rsid w:val="00B740FB"/>
    <w:rsid w:val="00B742BF"/>
    <w:rsid w:val="00B7431B"/>
    <w:rsid w:val="00B744D0"/>
    <w:rsid w:val="00B747D9"/>
    <w:rsid w:val="00B74B4A"/>
    <w:rsid w:val="00B74F1C"/>
    <w:rsid w:val="00B751AF"/>
    <w:rsid w:val="00B75263"/>
    <w:rsid w:val="00B755F6"/>
    <w:rsid w:val="00B7561B"/>
    <w:rsid w:val="00B756C0"/>
    <w:rsid w:val="00B75ABD"/>
    <w:rsid w:val="00B75B7D"/>
    <w:rsid w:val="00B75C51"/>
    <w:rsid w:val="00B75C83"/>
    <w:rsid w:val="00B75D86"/>
    <w:rsid w:val="00B761D4"/>
    <w:rsid w:val="00B763F6"/>
    <w:rsid w:val="00B7660F"/>
    <w:rsid w:val="00B767B6"/>
    <w:rsid w:val="00B7699D"/>
    <w:rsid w:val="00B76A58"/>
    <w:rsid w:val="00B76B9E"/>
    <w:rsid w:val="00B76B9F"/>
    <w:rsid w:val="00B76BD9"/>
    <w:rsid w:val="00B76C5B"/>
    <w:rsid w:val="00B76FC5"/>
    <w:rsid w:val="00B7739F"/>
    <w:rsid w:val="00B77710"/>
    <w:rsid w:val="00B7799E"/>
    <w:rsid w:val="00B77B90"/>
    <w:rsid w:val="00B77BA1"/>
    <w:rsid w:val="00B77BB5"/>
    <w:rsid w:val="00B77D02"/>
    <w:rsid w:val="00B77F3A"/>
    <w:rsid w:val="00B80067"/>
    <w:rsid w:val="00B80083"/>
    <w:rsid w:val="00B80263"/>
    <w:rsid w:val="00B80657"/>
    <w:rsid w:val="00B80B35"/>
    <w:rsid w:val="00B80F43"/>
    <w:rsid w:val="00B811BE"/>
    <w:rsid w:val="00B8121C"/>
    <w:rsid w:val="00B8122A"/>
    <w:rsid w:val="00B8137E"/>
    <w:rsid w:val="00B814C6"/>
    <w:rsid w:val="00B81707"/>
    <w:rsid w:val="00B81966"/>
    <w:rsid w:val="00B8196B"/>
    <w:rsid w:val="00B81C6D"/>
    <w:rsid w:val="00B81D2C"/>
    <w:rsid w:val="00B81E6C"/>
    <w:rsid w:val="00B81FAE"/>
    <w:rsid w:val="00B821CE"/>
    <w:rsid w:val="00B8223B"/>
    <w:rsid w:val="00B8241A"/>
    <w:rsid w:val="00B8265F"/>
    <w:rsid w:val="00B829AF"/>
    <w:rsid w:val="00B82AFD"/>
    <w:rsid w:val="00B82BB7"/>
    <w:rsid w:val="00B82E6E"/>
    <w:rsid w:val="00B82FDF"/>
    <w:rsid w:val="00B83181"/>
    <w:rsid w:val="00B834C8"/>
    <w:rsid w:val="00B8355F"/>
    <w:rsid w:val="00B838D5"/>
    <w:rsid w:val="00B838F8"/>
    <w:rsid w:val="00B839CB"/>
    <w:rsid w:val="00B83A8C"/>
    <w:rsid w:val="00B83AEA"/>
    <w:rsid w:val="00B83CC0"/>
    <w:rsid w:val="00B83E10"/>
    <w:rsid w:val="00B83EB8"/>
    <w:rsid w:val="00B83F41"/>
    <w:rsid w:val="00B83FF2"/>
    <w:rsid w:val="00B840BF"/>
    <w:rsid w:val="00B8422C"/>
    <w:rsid w:val="00B845D2"/>
    <w:rsid w:val="00B847CF"/>
    <w:rsid w:val="00B84886"/>
    <w:rsid w:val="00B84941"/>
    <w:rsid w:val="00B849BA"/>
    <w:rsid w:val="00B849CD"/>
    <w:rsid w:val="00B84A00"/>
    <w:rsid w:val="00B84E10"/>
    <w:rsid w:val="00B8502C"/>
    <w:rsid w:val="00B8511D"/>
    <w:rsid w:val="00B852D2"/>
    <w:rsid w:val="00B85351"/>
    <w:rsid w:val="00B855CA"/>
    <w:rsid w:val="00B858FB"/>
    <w:rsid w:val="00B8597D"/>
    <w:rsid w:val="00B859A1"/>
    <w:rsid w:val="00B85AD4"/>
    <w:rsid w:val="00B85D14"/>
    <w:rsid w:val="00B85EC1"/>
    <w:rsid w:val="00B85F1D"/>
    <w:rsid w:val="00B85FAA"/>
    <w:rsid w:val="00B860CE"/>
    <w:rsid w:val="00B861E4"/>
    <w:rsid w:val="00B862F0"/>
    <w:rsid w:val="00B865E3"/>
    <w:rsid w:val="00B8662C"/>
    <w:rsid w:val="00B8671A"/>
    <w:rsid w:val="00B867F5"/>
    <w:rsid w:val="00B86CC2"/>
    <w:rsid w:val="00B86F65"/>
    <w:rsid w:val="00B87008"/>
    <w:rsid w:val="00B870D0"/>
    <w:rsid w:val="00B8718D"/>
    <w:rsid w:val="00B871E7"/>
    <w:rsid w:val="00B8727A"/>
    <w:rsid w:val="00B872BE"/>
    <w:rsid w:val="00B872F5"/>
    <w:rsid w:val="00B873DE"/>
    <w:rsid w:val="00B873DF"/>
    <w:rsid w:val="00B875E8"/>
    <w:rsid w:val="00B877E5"/>
    <w:rsid w:val="00B87918"/>
    <w:rsid w:val="00B87A78"/>
    <w:rsid w:val="00B87AD8"/>
    <w:rsid w:val="00B9021E"/>
    <w:rsid w:val="00B9076F"/>
    <w:rsid w:val="00B907CC"/>
    <w:rsid w:val="00B9081F"/>
    <w:rsid w:val="00B90A3A"/>
    <w:rsid w:val="00B90ABF"/>
    <w:rsid w:val="00B90F26"/>
    <w:rsid w:val="00B90F4B"/>
    <w:rsid w:val="00B91012"/>
    <w:rsid w:val="00B9105C"/>
    <w:rsid w:val="00B910F0"/>
    <w:rsid w:val="00B91223"/>
    <w:rsid w:val="00B9127C"/>
    <w:rsid w:val="00B912A2"/>
    <w:rsid w:val="00B91372"/>
    <w:rsid w:val="00B913C1"/>
    <w:rsid w:val="00B915AB"/>
    <w:rsid w:val="00B916FA"/>
    <w:rsid w:val="00B917BC"/>
    <w:rsid w:val="00B91DBE"/>
    <w:rsid w:val="00B91DD2"/>
    <w:rsid w:val="00B926E0"/>
    <w:rsid w:val="00B92783"/>
    <w:rsid w:val="00B92A53"/>
    <w:rsid w:val="00B92F88"/>
    <w:rsid w:val="00B9320C"/>
    <w:rsid w:val="00B93497"/>
    <w:rsid w:val="00B934EB"/>
    <w:rsid w:val="00B93773"/>
    <w:rsid w:val="00B9380A"/>
    <w:rsid w:val="00B93A11"/>
    <w:rsid w:val="00B93E1E"/>
    <w:rsid w:val="00B93F10"/>
    <w:rsid w:val="00B93FCD"/>
    <w:rsid w:val="00B94039"/>
    <w:rsid w:val="00B9457C"/>
    <w:rsid w:val="00B9461C"/>
    <w:rsid w:val="00B946F7"/>
    <w:rsid w:val="00B94782"/>
    <w:rsid w:val="00B94982"/>
    <w:rsid w:val="00B94A65"/>
    <w:rsid w:val="00B94B29"/>
    <w:rsid w:val="00B94BE3"/>
    <w:rsid w:val="00B94C85"/>
    <w:rsid w:val="00B94FED"/>
    <w:rsid w:val="00B954D6"/>
    <w:rsid w:val="00B95538"/>
    <w:rsid w:val="00B9556D"/>
    <w:rsid w:val="00B9579A"/>
    <w:rsid w:val="00B95879"/>
    <w:rsid w:val="00B959F0"/>
    <w:rsid w:val="00B95B4E"/>
    <w:rsid w:val="00B95C25"/>
    <w:rsid w:val="00B95C70"/>
    <w:rsid w:val="00B95D59"/>
    <w:rsid w:val="00B95D99"/>
    <w:rsid w:val="00B95E62"/>
    <w:rsid w:val="00B95FEA"/>
    <w:rsid w:val="00B96012"/>
    <w:rsid w:val="00B961FA"/>
    <w:rsid w:val="00B96399"/>
    <w:rsid w:val="00B9646E"/>
    <w:rsid w:val="00B964DD"/>
    <w:rsid w:val="00B96729"/>
    <w:rsid w:val="00B96B22"/>
    <w:rsid w:val="00B96BEC"/>
    <w:rsid w:val="00B97050"/>
    <w:rsid w:val="00B97460"/>
    <w:rsid w:val="00B97640"/>
    <w:rsid w:val="00B97D3D"/>
    <w:rsid w:val="00B97E79"/>
    <w:rsid w:val="00BA02E3"/>
    <w:rsid w:val="00BA0430"/>
    <w:rsid w:val="00BA0483"/>
    <w:rsid w:val="00BA04C2"/>
    <w:rsid w:val="00BA050B"/>
    <w:rsid w:val="00BA054A"/>
    <w:rsid w:val="00BA0827"/>
    <w:rsid w:val="00BA093F"/>
    <w:rsid w:val="00BA0A0D"/>
    <w:rsid w:val="00BA0A83"/>
    <w:rsid w:val="00BA0C8F"/>
    <w:rsid w:val="00BA0E5E"/>
    <w:rsid w:val="00BA1097"/>
    <w:rsid w:val="00BA11DF"/>
    <w:rsid w:val="00BA1285"/>
    <w:rsid w:val="00BA1319"/>
    <w:rsid w:val="00BA14BB"/>
    <w:rsid w:val="00BA1582"/>
    <w:rsid w:val="00BA160D"/>
    <w:rsid w:val="00BA1775"/>
    <w:rsid w:val="00BA179C"/>
    <w:rsid w:val="00BA17AD"/>
    <w:rsid w:val="00BA1947"/>
    <w:rsid w:val="00BA19A9"/>
    <w:rsid w:val="00BA1B11"/>
    <w:rsid w:val="00BA1BC3"/>
    <w:rsid w:val="00BA1BE4"/>
    <w:rsid w:val="00BA1CFF"/>
    <w:rsid w:val="00BA1E42"/>
    <w:rsid w:val="00BA1F4E"/>
    <w:rsid w:val="00BA1FCC"/>
    <w:rsid w:val="00BA200F"/>
    <w:rsid w:val="00BA2068"/>
    <w:rsid w:val="00BA20E9"/>
    <w:rsid w:val="00BA211D"/>
    <w:rsid w:val="00BA237A"/>
    <w:rsid w:val="00BA238C"/>
    <w:rsid w:val="00BA2613"/>
    <w:rsid w:val="00BA2727"/>
    <w:rsid w:val="00BA2B4A"/>
    <w:rsid w:val="00BA2BB5"/>
    <w:rsid w:val="00BA2BEF"/>
    <w:rsid w:val="00BA2CBD"/>
    <w:rsid w:val="00BA2D27"/>
    <w:rsid w:val="00BA2D33"/>
    <w:rsid w:val="00BA2DA7"/>
    <w:rsid w:val="00BA3028"/>
    <w:rsid w:val="00BA34BC"/>
    <w:rsid w:val="00BA37F1"/>
    <w:rsid w:val="00BA396B"/>
    <w:rsid w:val="00BA3A2A"/>
    <w:rsid w:val="00BA3BFE"/>
    <w:rsid w:val="00BA3CC2"/>
    <w:rsid w:val="00BA3D73"/>
    <w:rsid w:val="00BA3F0F"/>
    <w:rsid w:val="00BA3FA3"/>
    <w:rsid w:val="00BA408E"/>
    <w:rsid w:val="00BA4238"/>
    <w:rsid w:val="00BA4383"/>
    <w:rsid w:val="00BA4832"/>
    <w:rsid w:val="00BA4A2C"/>
    <w:rsid w:val="00BA4D1B"/>
    <w:rsid w:val="00BA4E07"/>
    <w:rsid w:val="00BA53A3"/>
    <w:rsid w:val="00BA5516"/>
    <w:rsid w:val="00BA564A"/>
    <w:rsid w:val="00BA5829"/>
    <w:rsid w:val="00BA5B11"/>
    <w:rsid w:val="00BA5D30"/>
    <w:rsid w:val="00BA5DA1"/>
    <w:rsid w:val="00BA5ED4"/>
    <w:rsid w:val="00BA615B"/>
    <w:rsid w:val="00BA6307"/>
    <w:rsid w:val="00BA631C"/>
    <w:rsid w:val="00BA6322"/>
    <w:rsid w:val="00BA6403"/>
    <w:rsid w:val="00BA65DA"/>
    <w:rsid w:val="00BA66E7"/>
    <w:rsid w:val="00BA67BC"/>
    <w:rsid w:val="00BA6907"/>
    <w:rsid w:val="00BA6AA9"/>
    <w:rsid w:val="00BA6D48"/>
    <w:rsid w:val="00BA6E26"/>
    <w:rsid w:val="00BA7429"/>
    <w:rsid w:val="00BA7574"/>
    <w:rsid w:val="00BA75B4"/>
    <w:rsid w:val="00BA77A5"/>
    <w:rsid w:val="00BA7ADE"/>
    <w:rsid w:val="00BA7AED"/>
    <w:rsid w:val="00BA7BC7"/>
    <w:rsid w:val="00BA7C34"/>
    <w:rsid w:val="00BA7FBF"/>
    <w:rsid w:val="00BA7FE3"/>
    <w:rsid w:val="00BB002A"/>
    <w:rsid w:val="00BB0162"/>
    <w:rsid w:val="00BB0336"/>
    <w:rsid w:val="00BB04BE"/>
    <w:rsid w:val="00BB0529"/>
    <w:rsid w:val="00BB05BA"/>
    <w:rsid w:val="00BB060D"/>
    <w:rsid w:val="00BB0809"/>
    <w:rsid w:val="00BB080A"/>
    <w:rsid w:val="00BB09F1"/>
    <w:rsid w:val="00BB0D93"/>
    <w:rsid w:val="00BB0EB5"/>
    <w:rsid w:val="00BB125A"/>
    <w:rsid w:val="00BB150F"/>
    <w:rsid w:val="00BB177F"/>
    <w:rsid w:val="00BB18AD"/>
    <w:rsid w:val="00BB18BD"/>
    <w:rsid w:val="00BB1905"/>
    <w:rsid w:val="00BB1955"/>
    <w:rsid w:val="00BB195D"/>
    <w:rsid w:val="00BB19B7"/>
    <w:rsid w:val="00BB1AE0"/>
    <w:rsid w:val="00BB1F0D"/>
    <w:rsid w:val="00BB2019"/>
    <w:rsid w:val="00BB20BE"/>
    <w:rsid w:val="00BB25ED"/>
    <w:rsid w:val="00BB266B"/>
    <w:rsid w:val="00BB2674"/>
    <w:rsid w:val="00BB26B2"/>
    <w:rsid w:val="00BB2966"/>
    <w:rsid w:val="00BB2B3F"/>
    <w:rsid w:val="00BB2EA9"/>
    <w:rsid w:val="00BB304F"/>
    <w:rsid w:val="00BB315A"/>
    <w:rsid w:val="00BB31FA"/>
    <w:rsid w:val="00BB3231"/>
    <w:rsid w:val="00BB32D6"/>
    <w:rsid w:val="00BB33E9"/>
    <w:rsid w:val="00BB3419"/>
    <w:rsid w:val="00BB343F"/>
    <w:rsid w:val="00BB3451"/>
    <w:rsid w:val="00BB3478"/>
    <w:rsid w:val="00BB351B"/>
    <w:rsid w:val="00BB389B"/>
    <w:rsid w:val="00BB38BE"/>
    <w:rsid w:val="00BB3928"/>
    <w:rsid w:val="00BB3A04"/>
    <w:rsid w:val="00BB4021"/>
    <w:rsid w:val="00BB418F"/>
    <w:rsid w:val="00BB41BB"/>
    <w:rsid w:val="00BB443D"/>
    <w:rsid w:val="00BB4897"/>
    <w:rsid w:val="00BB4A96"/>
    <w:rsid w:val="00BB4AED"/>
    <w:rsid w:val="00BB4F90"/>
    <w:rsid w:val="00BB555F"/>
    <w:rsid w:val="00BB556C"/>
    <w:rsid w:val="00BB5789"/>
    <w:rsid w:val="00BB58D2"/>
    <w:rsid w:val="00BB5B93"/>
    <w:rsid w:val="00BB5E85"/>
    <w:rsid w:val="00BB6062"/>
    <w:rsid w:val="00BB617E"/>
    <w:rsid w:val="00BB6271"/>
    <w:rsid w:val="00BB6489"/>
    <w:rsid w:val="00BB680B"/>
    <w:rsid w:val="00BB6D22"/>
    <w:rsid w:val="00BB6ED9"/>
    <w:rsid w:val="00BB7237"/>
    <w:rsid w:val="00BB7357"/>
    <w:rsid w:val="00BB7B5B"/>
    <w:rsid w:val="00BB7E8A"/>
    <w:rsid w:val="00BB7F42"/>
    <w:rsid w:val="00BB7FA9"/>
    <w:rsid w:val="00BB7FD7"/>
    <w:rsid w:val="00BC018F"/>
    <w:rsid w:val="00BC0220"/>
    <w:rsid w:val="00BC02E4"/>
    <w:rsid w:val="00BC0305"/>
    <w:rsid w:val="00BC03F4"/>
    <w:rsid w:val="00BC0417"/>
    <w:rsid w:val="00BC05B3"/>
    <w:rsid w:val="00BC05F3"/>
    <w:rsid w:val="00BC067D"/>
    <w:rsid w:val="00BC06DA"/>
    <w:rsid w:val="00BC0920"/>
    <w:rsid w:val="00BC09B3"/>
    <w:rsid w:val="00BC0ACB"/>
    <w:rsid w:val="00BC0C2D"/>
    <w:rsid w:val="00BC0C87"/>
    <w:rsid w:val="00BC0CCE"/>
    <w:rsid w:val="00BC0D28"/>
    <w:rsid w:val="00BC0E00"/>
    <w:rsid w:val="00BC0E16"/>
    <w:rsid w:val="00BC101E"/>
    <w:rsid w:val="00BC11B3"/>
    <w:rsid w:val="00BC1317"/>
    <w:rsid w:val="00BC132E"/>
    <w:rsid w:val="00BC13D0"/>
    <w:rsid w:val="00BC149F"/>
    <w:rsid w:val="00BC194B"/>
    <w:rsid w:val="00BC199F"/>
    <w:rsid w:val="00BC1B2D"/>
    <w:rsid w:val="00BC1BAC"/>
    <w:rsid w:val="00BC1CCC"/>
    <w:rsid w:val="00BC1D0F"/>
    <w:rsid w:val="00BC1DC4"/>
    <w:rsid w:val="00BC1DF2"/>
    <w:rsid w:val="00BC2247"/>
    <w:rsid w:val="00BC22EE"/>
    <w:rsid w:val="00BC27A7"/>
    <w:rsid w:val="00BC29AF"/>
    <w:rsid w:val="00BC29C7"/>
    <w:rsid w:val="00BC3110"/>
    <w:rsid w:val="00BC3210"/>
    <w:rsid w:val="00BC34FE"/>
    <w:rsid w:val="00BC3645"/>
    <w:rsid w:val="00BC3648"/>
    <w:rsid w:val="00BC3C2F"/>
    <w:rsid w:val="00BC3C56"/>
    <w:rsid w:val="00BC3DAA"/>
    <w:rsid w:val="00BC448D"/>
    <w:rsid w:val="00BC46FA"/>
    <w:rsid w:val="00BC47EE"/>
    <w:rsid w:val="00BC4AEE"/>
    <w:rsid w:val="00BC4D27"/>
    <w:rsid w:val="00BC4D71"/>
    <w:rsid w:val="00BC4FF3"/>
    <w:rsid w:val="00BC54B9"/>
    <w:rsid w:val="00BC5505"/>
    <w:rsid w:val="00BC55DB"/>
    <w:rsid w:val="00BC5744"/>
    <w:rsid w:val="00BC5A45"/>
    <w:rsid w:val="00BC5BD8"/>
    <w:rsid w:val="00BC5C01"/>
    <w:rsid w:val="00BC5CEA"/>
    <w:rsid w:val="00BC5DA9"/>
    <w:rsid w:val="00BC5F20"/>
    <w:rsid w:val="00BC621D"/>
    <w:rsid w:val="00BC6368"/>
    <w:rsid w:val="00BC6486"/>
    <w:rsid w:val="00BC65EE"/>
    <w:rsid w:val="00BC680E"/>
    <w:rsid w:val="00BC6895"/>
    <w:rsid w:val="00BC6C8A"/>
    <w:rsid w:val="00BC7248"/>
    <w:rsid w:val="00BC72AF"/>
    <w:rsid w:val="00BC74A8"/>
    <w:rsid w:val="00BC7629"/>
    <w:rsid w:val="00BC79AB"/>
    <w:rsid w:val="00BD02B7"/>
    <w:rsid w:val="00BD0421"/>
    <w:rsid w:val="00BD0513"/>
    <w:rsid w:val="00BD0592"/>
    <w:rsid w:val="00BD074A"/>
    <w:rsid w:val="00BD08A9"/>
    <w:rsid w:val="00BD0A41"/>
    <w:rsid w:val="00BD0BBA"/>
    <w:rsid w:val="00BD0CDD"/>
    <w:rsid w:val="00BD0D7B"/>
    <w:rsid w:val="00BD0E08"/>
    <w:rsid w:val="00BD0E61"/>
    <w:rsid w:val="00BD0EF0"/>
    <w:rsid w:val="00BD0EF9"/>
    <w:rsid w:val="00BD12CD"/>
    <w:rsid w:val="00BD1453"/>
    <w:rsid w:val="00BD1492"/>
    <w:rsid w:val="00BD15D9"/>
    <w:rsid w:val="00BD1644"/>
    <w:rsid w:val="00BD17C0"/>
    <w:rsid w:val="00BD18F3"/>
    <w:rsid w:val="00BD1CF1"/>
    <w:rsid w:val="00BD1D4B"/>
    <w:rsid w:val="00BD1D5D"/>
    <w:rsid w:val="00BD1DF5"/>
    <w:rsid w:val="00BD1E90"/>
    <w:rsid w:val="00BD1FB6"/>
    <w:rsid w:val="00BD2015"/>
    <w:rsid w:val="00BD2198"/>
    <w:rsid w:val="00BD2896"/>
    <w:rsid w:val="00BD29EC"/>
    <w:rsid w:val="00BD30B7"/>
    <w:rsid w:val="00BD30D9"/>
    <w:rsid w:val="00BD321C"/>
    <w:rsid w:val="00BD3440"/>
    <w:rsid w:val="00BD3611"/>
    <w:rsid w:val="00BD369E"/>
    <w:rsid w:val="00BD36EF"/>
    <w:rsid w:val="00BD38E2"/>
    <w:rsid w:val="00BD3A97"/>
    <w:rsid w:val="00BD3A9D"/>
    <w:rsid w:val="00BD3EBF"/>
    <w:rsid w:val="00BD3FD3"/>
    <w:rsid w:val="00BD4102"/>
    <w:rsid w:val="00BD415E"/>
    <w:rsid w:val="00BD41CD"/>
    <w:rsid w:val="00BD4381"/>
    <w:rsid w:val="00BD43F5"/>
    <w:rsid w:val="00BD461C"/>
    <w:rsid w:val="00BD4664"/>
    <w:rsid w:val="00BD50F5"/>
    <w:rsid w:val="00BD52DC"/>
    <w:rsid w:val="00BD53BF"/>
    <w:rsid w:val="00BD558B"/>
    <w:rsid w:val="00BD56AE"/>
    <w:rsid w:val="00BD5807"/>
    <w:rsid w:val="00BD587A"/>
    <w:rsid w:val="00BD587C"/>
    <w:rsid w:val="00BD5919"/>
    <w:rsid w:val="00BD59D1"/>
    <w:rsid w:val="00BD5AF2"/>
    <w:rsid w:val="00BD5C07"/>
    <w:rsid w:val="00BD605E"/>
    <w:rsid w:val="00BD6433"/>
    <w:rsid w:val="00BD6521"/>
    <w:rsid w:val="00BD6937"/>
    <w:rsid w:val="00BD69E5"/>
    <w:rsid w:val="00BD6DCF"/>
    <w:rsid w:val="00BD6F05"/>
    <w:rsid w:val="00BD6F21"/>
    <w:rsid w:val="00BD71E9"/>
    <w:rsid w:val="00BD72B0"/>
    <w:rsid w:val="00BD72C4"/>
    <w:rsid w:val="00BD775D"/>
    <w:rsid w:val="00BD7C9A"/>
    <w:rsid w:val="00BD7DC8"/>
    <w:rsid w:val="00BD7E98"/>
    <w:rsid w:val="00BD7EEA"/>
    <w:rsid w:val="00BE0108"/>
    <w:rsid w:val="00BE0191"/>
    <w:rsid w:val="00BE024A"/>
    <w:rsid w:val="00BE0259"/>
    <w:rsid w:val="00BE0307"/>
    <w:rsid w:val="00BE0347"/>
    <w:rsid w:val="00BE0364"/>
    <w:rsid w:val="00BE0598"/>
    <w:rsid w:val="00BE072D"/>
    <w:rsid w:val="00BE083A"/>
    <w:rsid w:val="00BE08D9"/>
    <w:rsid w:val="00BE0ACC"/>
    <w:rsid w:val="00BE0B59"/>
    <w:rsid w:val="00BE0B6D"/>
    <w:rsid w:val="00BE0C55"/>
    <w:rsid w:val="00BE0D4B"/>
    <w:rsid w:val="00BE108E"/>
    <w:rsid w:val="00BE149E"/>
    <w:rsid w:val="00BE1723"/>
    <w:rsid w:val="00BE18AB"/>
    <w:rsid w:val="00BE18CC"/>
    <w:rsid w:val="00BE1972"/>
    <w:rsid w:val="00BE1ACC"/>
    <w:rsid w:val="00BE1B20"/>
    <w:rsid w:val="00BE1B80"/>
    <w:rsid w:val="00BE1BD9"/>
    <w:rsid w:val="00BE1C58"/>
    <w:rsid w:val="00BE1DD5"/>
    <w:rsid w:val="00BE2022"/>
    <w:rsid w:val="00BE2231"/>
    <w:rsid w:val="00BE2281"/>
    <w:rsid w:val="00BE2444"/>
    <w:rsid w:val="00BE2446"/>
    <w:rsid w:val="00BE259B"/>
    <w:rsid w:val="00BE2CA3"/>
    <w:rsid w:val="00BE2DFF"/>
    <w:rsid w:val="00BE2E32"/>
    <w:rsid w:val="00BE2F12"/>
    <w:rsid w:val="00BE2F39"/>
    <w:rsid w:val="00BE3192"/>
    <w:rsid w:val="00BE3309"/>
    <w:rsid w:val="00BE3629"/>
    <w:rsid w:val="00BE36D8"/>
    <w:rsid w:val="00BE3924"/>
    <w:rsid w:val="00BE395A"/>
    <w:rsid w:val="00BE3B99"/>
    <w:rsid w:val="00BE3F0F"/>
    <w:rsid w:val="00BE434A"/>
    <w:rsid w:val="00BE4550"/>
    <w:rsid w:val="00BE4598"/>
    <w:rsid w:val="00BE4825"/>
    <w:rsid w:val="00BE4AB3"/>
    <w:rsid w:val="00BE4F6C"/>
    <w:rsid w:val="00BE51E1"/>
    <w:rsid w:val="00BE5244"/>
    <w:rsid w:val="00BE5615"/>
    <w:rsid w:val="00BE5694"/>
    <w:rsid w:val="00BE570B"/>
    <w:rsid w:val="00BE5AF1"/>
    <w:rsid w:val="00BE5BB3"/>
    <w:rsid w:val="00BE5BEF"/>
    <w:rsid w:val="00BE5DF3"/>
    <w:rsid w:val="00BE5E33"/>
    <w:rsid w:val="00BE5E85"/>
    <w:rsid w:val="00BE5FAE"/>
    <w:rsid w:val="00BE6026"/>
    <w:rsid w:val="00BE6203"/>
    <w:rsid w:val="00BE6354"/>
    <w:rsid w:val="00BE638A"/>
    <w:rsid w:val="00BE681A"/>
    <w:rsid w:val="00BE6859"/>
    <w:rsid w:val="00BE689B"/>
    <w:rsid w:val="00BE69E6"/>
    <w:rsid w:val="00BE6B75"/>
    <w:rsid w:val="00BE6BC1"/>
    <w:rsid w:val="00BE6BE8"/>
    <w:rsid w:val="00BE6C16"/>
    <w:rsid w:val="00BE6E1E"/>
    <w:rsid w:val="00BE6E7A"/>
    <w:rsid w:val="00BE6FF2"/>
    <w:rsid w:val="00BE74BF"/>
    <w:rsid w:val="00BE789F"/>
    <w:rsid w:val="00BE79E1"/>
    <w:rsid w:val="00BED8A0"/>
    <w:rsid w:val="00BF00A6"/>
    <w:rsid w:val="00BF0252"/>
    <w:rsid w:val="00BF04ED"/>
    <w:rsid w:val="00BF0878"/>
    <w:rsid w:val="00BF0A05"/>
    <w:rsid w:val="00BF0AFD"/>
    <w:rsid w:val="00BF0BA8"/>
    <w:rsid w:val="00BF0CD2"/>
    <w:rsid w:val="00BF0D1D"/>
    <w:rsid w:val="00BF0D38"/>
    <w:rsid w:val="00BF0D6F"/>
    <w:rsid w:val="00BF0E96"/>
    <w:rsid w:val="00BF10BA"/>
    <w:rsid w:val="00BF1349"/>
    <w:rsid w:val="00BF15C4"/>
    <w:rsid w:val="00BF1729"/>
    <w:rsid w:val="00BF17CC"/>
    <w:rsid w:val="00BF1995"/>
    <w:rsid w:val="00BF1B1B"/>
    <w:rsid w:val="00BF1BF3"/>
    <w:rsid w:val="00BF1D76"/>
    <w:rsid w:val="00BF21AA"/>
    <w:rsid w:val="00BF226C"/>
    <w:rsid w:val="00BF2275"/>
    <w:rsid w:val="00BF2380"/>
    <w:rsid w:val="00BF24A7"/>
    <w:rsid w:val="00BF2694"/>
    <w:rsid w:val="00BF28C0"/>
    <w:rsid w:val="00BF2A9A"/>
    <w:rsid w:val="00BF2D11"/>
    <w:rsid w:val="00BF2D85"/>
    <w:rsid w:val="00BF2DE8"/>
    <w:rsid w:val="00BF2DFF"/>
    <w:rsid w:val="00BF2F4C"/>
    <w:rsid w:val="00BF30BE"/>
    <w:rsid w:val="00BF3236"/>
    <w:rsid w:val="00BF34BB"/>
    <w:rsid w:val="00BF3760"/>
    <w:rsid w:val="00BF3769"/>
    <w:rsid w:val="00BF38C9"/>
    <w:rsid w:val="00BF3CC7"/>
    <w:rsid w:val="00BF405F"/>
    <w:rsid w:val="00BF44FE"/>
    <w:rsid w:val="00BF4685"/>
    <w:rsid w:val="00BF47B4"/>
    <w:rsid w:val="00BF4A58"/>
    <w:rsid w:val="00BF4B7F"/>
    <w:rsid w:val="00BF4E8B"/>
    <w:rsid w:val="00BF4F2C"/>
    <w:rsid w:val="00BF5160"/>
    <w:rsid w:val="00BF5491"/>
    <w:rsid w:val="00BF5577"/>
    <w:rsid w:val="00BF5970"/>
    <w:rsid w:val="00BF5AE2"/>
    <w:rsid w:val="00BF5B2B"/>
    <w:rsid w:val="00BF5B68"/>
    <w:rsid w:val="00BF5EF6"/>
    <w:rsid w:val="00BF61E5"/>
    <w:rsid w:val="00BF651F"/>
    <w:rsid w:val="00BF662B"/>
    <w:rsid w:val="00BF6881"/>
    <w:rsid w:val="00BF6A96"/>
    <w:rsid w:val="00BF6BAC"/>
    <w:rsid w:val="00BF7292"/>
    <w:rsid w:val="00BF7747"/>
    <w:rsid w:val="00BF7928"/>
    <w:rsid w:val="00BF7B0B"/>
    <w:rsid w:val="00BF7BBA"/>
    <w:rsid w:val="00BF7CEF"/>
    <w:rsid w:val="00C0030D"/>
    <w:rsid w:val="00C00311"/>
    <w:rsid w:val="00C004A0"/>
    <w:rsid w:val="00C0051D"/>
    <w:rsid w:val="00C005ED"/>
    <w:rsid w:val="00C0084C"/>
    <w:rsid w:val="00C00BEC"/>
    <w:rsid w:val="00C00D19"/>
    <w:rsid w:val="00C0114D"/>
    <w:rsid w:val="00C011A1"/>
    <w:rsid w:val="00C0132C"/>
    <w:rsid w:val="00C01420"/>
    <w:rsid w:val="00C014E8"/>
    <w:rsid w:val="00C0154A"/>
    <w:rsid w:val="00C015CE"/>
    <w:rsid w:val="00C015FA"/>
    <w:rsid w:val="00C01703"/>
    <w:rsid w:val="00C01876"/>
    <w:rsid w:val="00C01927"/>
    <w:rsid w:val="00C01ABC"/>
    <w:rsid w:val="00C01B8C"/>
    <w:rsid w:val="00C01E5C"/>
    <w:rsid w:val="00C02000"/>
    <w:rsid w:val="00C02095"/>
    <w:rsid w:val="00C021BA"/>
    <w:rsid w:val="00C0239F"/>
    <w:rsid w:val="00C02400"/>
    <w:rsid w:val="00C02443"/>
    <w:rsid w:val="00C0269A"/>
    <w:rsid w:val="00C027A3"/>
    <w:rsid w:val="00C027FD"/>
    <w:rsid w:val="00C028B2"/>
    <w:rsid w:val="00C02ABC"/>
    <w:rsid w:val="00C02B00"/>
    <w:rsid w:val="00C02C3B"/>
    <w:rsid w:val="00C02C73"/>
    <w:rsid w:val="00C02E48"/>
    <w:rsid w:val="00C02F61"/>
    <w:rsid w:val="00C030C2"/>
    <w:rsid w:val="00C0368F"/>
    <w:rsid w:val="00C037A1"/>
    <w:rsid w:val="00C03995"/>
    <w:rsid w:val="00C03A38"/>
    <w:rsid w:val="00C03A45"/>
    <w:rsid w:val="00C03B4D"/>
    <w:rsid w:val="00C0400C"/>
    <w:rsid w:val="00C0424E"/>
    <w:rsid w:val="00C04260"/>
    <w:rsid w:val="00C04499"/>
    <w:rsid w:val="00C0457F"/>
    <w:rsid w:val="00C045D3"/>
    <w:rsid w:val="00C045DA"/>
    <w:rsid w:val="00C045E9"/>
    <w:rsid w:val="00C047E0"/>
    <w:rsid w:val="00C047E3"/>
    <w:rsid w:val="00C04873"/>
    <w:rsid w:val="00C04A1A"/>
    <w:rsid w:val="00C04F3E"/>
    <w:rsid w:val="00C05352"/>
    <w:rsid w:val="00C0584D"/>
    <w:rsid w:val="00C0594B"/>
    <w:rsid w:val="00C05B44"/>
    <w:rsid w:val="00C060BF"/>
    <w:rsid w:val="00C06349"/>
    <w:rsid w:val="00C06358"/>
    <w:rsid w:val="00C06386"/>
    <w:rsid w:val="00C064FD"/>
    <w:rsid w:val="00C06794"/>
    <w:rsid w:val="00C06AEE"/>
    <w:rsid w:val="00C06B12"/>
    <w:rsid w:val="00C06B22"/>
    <w:rsid w:val="00C06BC9"/>
    <w:rsid w:val="00C06C20"/>
    <w:rsid w:val="00C06DB2"/>
    <w:rsid w:val="00C07086"/>
    <w:rsid w:val="00C07493"/>
    <w:rsid w:val="00C077B9"/>
    <w:rsid w:val="00C07A03"/>
    <w:rsid w:val="00C1006E"/>
    <w:rsid w:val="00C100D7"/>
    <w:rsid w:val="00C10439"/>
    <w:rsid w:val="00C10653"/>
    <w:rsid w:val="00C10690"/>
    <w:rsid w:val="00C10840"/>
    <w:rsid w:val="00C10965"/>
    <w:rsid w:val="00C109F2"/>
    <w:rsid w:val="00C10B42"/>
    <w:rsid w:val="00C10BB6"/>
    <w:rsid w:val="00C10FE7"/>
    <w:rsid w:val="00C11080"/>
    <w:rsid w:val="00C114A6"/>
    <w:rsid w:val="00C114B1"/>
    <w:rsid w:val="00C1150E"/>
    <w:rsid w:val="00C118F7"/>
    <w:rsid w:val="00C11942"/>
    <w:rsid w:val="00C119A2"/>
    <w:rsid w:val="00C11AB6"/>
    <w:rsid w:val="00C11B79"/>
    <w:rsid w:val="00C11BE1"/>
    <w:rsid w:val="00C11C79"/>
    <w:rsid w:val="00C11DAE"/>
    <w:rsid w:val="00C11E2D"/>
    <w:rsid w:val="00C120E5"/>
    <w:rsid w:val="00C121D4"/>
    <w:rsid w:val="00C12264"/>
    <w:rsid w:val="00C12490"/>
    <w:rsid w:val="00C12AAD"/>
    <w:rsid w:val="00C13528"/>
    <w:rsid w:val="00C13581"/>
    <w:rsid w:val="00C13596"/>
    <w:rsid w:val="00C13D23"/>
    <w:rsid w:val="00C13F48"/>
    <w:rsid w:val="00C14279"/>
    <w:rsid w:val="00C142EA"/>
    <w:rsid w:val="00C1434F"/>
    <w:rsid w:val="00C14425"/>
    <w:rsid w:val="00C1464A"/>
    <w:rsid w:val="00C14704"/>
    <w:rsid w:val="00C14763"/>
    <w:rsid w:val="00C147C6"/>
    <w:rsid w:val="00C148D0"/>
    <w:rsid w:val="00C14943"/>
    <w:rsid w:val="00C14C31"/>
    <w:rsid w:val="00C154BF"/>
    <w:rsid w:val="00C15551"/>
    <w:rsid w:val="00C1575B"/>
    <w:rsid w:val="00C1583C"/>
    <w:rsid w:val="00C15887"/>
    <w:rsid w:val="00C15F7E"/>
    <w:rsid w:val="00C1616A"/>
    <w:rsid w:val="00C16219"/>
    <w:rsid w:val="00C1655D"/>
    <w:rsid w:val="00C16627"/>
    <w:rsid w:val="00C16722"/>
    <w:rsid w:val="00C167EB"/>
    <w:rsid w:val="00C16AFB"/>
    <w:rsid w:val="00C16B85"/>
    <w:rsid w:val="00C16E54"/>
    <w:rsid w:val="00C16F76"/>
    <w:rsid w:val="00C1705E"/>
    <w:rsid w:val="00C170E1"/>
    <w:rsid w:val="00C17234"/>
    <w:rsid w:val="00C17317"/>
    <w:rsid w:val="00C175C4"/>
    <w:rsid w:val="00C1762A"/>
    <w:rsid w:val="00C1764A"/>
    <w:rsid w:val="00C17876"/>
    <w:rsid w:val="00C17B05"/>
    <w:rsid w:val="00C17B88"/>
    <w:rsid w:val="00C17BBD"/>
    <w:rsid w:val="00C17C49"/>
    <w:rsid w:val="00C17CED"/>
    <w:rsid w:val="00C17F7A"/>
    <w:rsid w:val="00C20020"/>
    <w:rsid w:val="00C200A1"/>
    <w:rsid w:val="00C20114"/>
    <w:rsid w:val="00C20156"/>
    <w:rsid w:val="00C2022F"/>
    <w:rsid w:val="00C20551"/>
    <w:rsid w:val="00C2062D"/>
    <w:rsid w:val="00C206D5"/>
    <w:rsid w:val="00C206F0"/>
    <w:rsid w:val="00C206FD"/>
    <w:rsid w:val="00C2087B"/>
    <w:rsid w:val="00C20A4B"/>
    <w:rsid w:val="00C20B02"/>
    <w:rsid w:val="00C20B1C"/>
    <w:rsid w:val="00C20B4C"/>
    <w:rsid w:val="00C20D08"/>
    <w:rsid w:val="00C20D46"/>
    <w:rsid w:val="00C20DAB"/>
    <w:rsid w:val="00C20E56"/>
    <w:rsid w:val="00C211AA"/>
    <w:rsid w:val="00C2131F"/>
    <w:rsid w:val="00C21357"/>
    <w:rsid w:val="00C213FA"/>
    <w:rsid w:val="00C2148E"/>
    <w:rsid w:val="00C2149C"/>
    <w:rsid w:val="00C2199A"/>
    <w:rsid w:val="00C21AB7"/>
    <w:rsid w:val="00C21BC2"/>
    <w:rsid w:val="00C220A9"/>
    <w:rsid w:val="00C22163"/>
    <w:rsid w:val="00C223DB"/>
    <w:rsid w:val="00C225B8"/>
    <w:rsid w:val="00C226C1"/>
    <w:rsid w:val="00C2285C"/>
    <w:rsid w:val="00C22D1F"/>
    <w:rsid w:val="00C22F80"/>
    <w:rsid w:val="00C232FC"/>
    <w:rsid w:val="00C234BB"/>
    <w:rsid w:val="00C2399F"/>
    <w:rsid w:val="00C23A68"/>
    <w:rsid w:val="00C23E23"/>
    <w:rsid w:val="00C23EAD"/>
    <w:rsid w:val="00C23F2C"/>
    <w:rsid w:val="00C23FEB"/>
    <w:rsid w:val="00C242A4"/>
    <w:rsid w:val="00C242E5"/>
    <w:rsid w:val="00C24A79"/>
    <w:rsid w:val="00C24CBE"/>
    <w:rsid w:val="00C24CFD"/>
    <w:rsid w:val="00C24EDB"/>
    <w:rsid w:val="00C2568A"/>
    <w:rsid w:val="00C2575A"/>
    <w:rsid w:val="00C2590B"/>
    <w:rsid w:val="00C2592D"/>
    <w:rsid w:val="00C25A86"/>
    <w:rsid w:val="00C25B79"/>
    <w:rsid w:val="00C25CEE"/>
    <w:rsid w:val="00C2608C"/>
    <w:rsid w:val="00C261DC"/>
    <w:rsid w:val="00C261EA"/>
    <w:rsid w:val="00C2641F"/>
    <w:rsid w:val="00C2649D"/>
    <w:rsid w:val="00C26514"/>
    <w:rsid w:val="00C26561"/>
    <w:rsid w:val="00C267B3"/>
    <w:rsid w:val="00C2688B"/>
    <w:rsid w:val="00C268BE"/>
    <w:rsid w:val="00C26932"/>
    <w:rsid w:val="00C26D1B"/>
    <w:rsid w:val="00C26E7D"/>
    <w:rsid w:val="00C26EE0"/>
    <w:rsid w:val="00C27016"/>
    <w:rsid w:val="00C271B6"/>
    <w:rsid w:val="00C27357"/>
    <w:rsid w:val="00C2750C"/>
    <w:rsid w:val="00C27AA1"/>
    <w:rsid w:val="00C27CF8"/>
    <w:rsid w:val="00C27F49"/>
    <w:rsid w:val="00C30061"/>
    <w:rsid w:val="00C300C7"/>
    <w:rsid w:val="00C30298"/>
    <w:rsid w:val="00C3059E"/>
    <w:rsid w:val="00C305E9"/>
    <w:rsid w:val="00C30724"/>
    <w:rsid w:val="00C30897"/>
    <w:rsid w:val="00C30B30"/>
    <w:rsid w:val="00C30CA6"/>
    <w:rsid w:val="00C30D16"/>
    <w:rsid w:val="00C30E33"/>
    <w:rsid w:val="00C30EF8"/>
    <w:rsid w:val="00C3106D"/>
    <w:rsid w:val="00C310A9"/>
    <w:rsid w:val="00C311B7"/>
    <w:rsid w:val="00C311FF"/>
    <w:rsid w:val="00C312BF"/>
    <w:rsid w:val="00C31397"/>
    <w:rsid w:val="00C31590"/>
    <w:rsid w:val="00C3186E"/>
    <w:rsid w:val="00C319AB"/>
    <w:rsid w:val="00C31AA8"/>
    <w:rsid w:val="00C31B29"/>
    <w:rsid w:val="00C31C6F"/>
    <w:rsid w:val="00C3213D"/>
    <w:rsid w:val="00C3223A"/>
    <w:rsid w:val="00C32296"/>
    <w:rsid w:val="00C323AB"/>
    <w:rsid w:val="00C3287A"/>
    <w:rsid w:val="00C32965"/>
    <w:rsid w:val="00C32A8B"/>
    <w:rsid w:val="00C32B88"/>
    <w:rsid w:val="00C32D8A"/>
    <w:rsid w:val="00C32F23"/>
    <w:rsid w:val="00C32F3D"/>
    <w:rsid w:val="00C33152"/>
    <w:rsid w:val="00C33183"/>
    <w:rsid w:val="00C3348A"/>
    <w:rsid w:val="00C3365E"/>
    <w:rsid w:val="00C336BE"/>
    <w:rsid w:val="00C33AF3"/>
    <w:rsid w:val="00C33B33"/>
    <w:rsid w:val="00C343A7"/>
    <w:rsid w:val="00C3491E"/>
    <w:rsid w:val="00C34B02"/>
    <w:rsid w:val="00C34C2B"/>
    <w:rsid w:val="00C34CAF"/>
    <w:rsid w:val="00C34CF4"/>
    <w:rsid w:val="00C34D4C"/>
    <w:rsid w:val="00C34E6E"/>
    <w:rsid w:val="00C34EB6"/>
    <w:rsid w:val="00C34F43"/>
    <w:rsid w:val="00C34FA3"/>
    <w:rsid w:val="00C353BA"/>
    <w:rsid w:val="00C353F2"/>
    <w:rsid w:val="00C35914"/>
    <w:rsid w:val="00C359F6"/>
    <w:rsid w:val="00C35B9A"/>
    <w:rsid w:val="00C35E62"/>
    <w:rsid w:val="00C35EC4"/>
    <w:rsid w:val="00C35F88"/>
    <w:rsid w:val="00C360DB"/>
    <w:rsid w:val="00C360E6"/>
    <w:rsid w:val="00C36199"/>
    <w:rsid w:val="00C36211"/>
    <w:rsid w:val="00C36636"/>
    <w:rsid w:val="00C3692F"/>
    <w:rsid w:val="00C36ABB"/>
    <w:rsid w:val="00C370F9"/>
    <w:rsid w:val="00C37146"/>
    <w:rsid w:val="00C371D2"/>
    <w:rsid w:val="00C37233"/>
    <w:rsid w:val="00C37263"/>
    <w:rsid w:val="00C3747A"/>
    <w:rsid w:val="00C374D2"/>
    <w:rsid w:val="00C377E8"/>
    <w:rsid w:val="00C37D99"/>
    <w:rsid w:val="00C401BF"/>
    <w:rsid w:val="00C40300"/>
    <w:rsid w:val="00C405DD"/>
    <w:rsid w:val="00C4086E"/>
    <w:rsid w:val="00C40AA5"/>
    <w:rsid w:val="00C40CF0"/>
    <w:rsid w:val="00C40DC8"/>
    <w:rsid w:val="00C40FC3"/>
    <w:rsid w:val="00C4107E"/>
    <w:rsid w:val="00C41145"/>
    <w:rsid w:val="00C4129E"/>
    <w:rsid w:val="00C413F5"/>
    <w:rsid w:val="00C4140E"/>
    <w:rsid w:val="00C4152B"/>
    <w:rsid w:val="00C41624"/>
    <w:rsid w:val="00C41751"/>
    <w:rsid w:val="00C41801"/>
    <w:rsid w:val="00C418C2"/>
    <w:rsid w:val="00C419CF"/>
    <w:rsid w:val="00C41EF6"/>
    <w:rsid w:val="00C421D1"/>
    <w:rsid w:val="00C422B6"/>
    <w:rsid w:val="00C42312"/>
    <w:rsid w:val="00C423C2"/>
    <w:rsid w:val="00C423E3"/>
    <w:rsid w:val="00C42577"/>
    <w:rsid w:val="00C4285E"/>
    <w:rsid w:val="00C42C29"/>
    <w:rsid w:val="00C42C6F"/>
    <w:rsid w:val="00C42D5D"/>
    <w:rsid w:val="00C42E6D"/>
    <w:rsid w:val="00C42ED6"/>
    <w:rsid w:val="00C42FAF"/>
    <w:rsid w:val="00C4333B"/>
    <w:rsid w:val="00C43460"/>
    <w:rsid w:val="00C43470"/>
    <w:rsid w:val="00C4392A"/>
    <w:rsid w:val="00C43B1E"/>
    <w:rsid w:val="00C43B58"/>
    <w:rsid w:val="00C43CF8"/>
    <w:rsid w:val="00C43E4C"/>
    <w:rsid w:val="00C442C1"/>
    <w:rsid w:val="00C44334"/>
    <w:rsid w:val="00C444CE"/>
    <w:rsid w:val="00C44557"/>
    <w:rsid w:val="00C4463C"/>
    <w:rsid w:val="00C448EA"/>
    <w:rsid w:val="00C44C0F"/>
    <w:rsid w:val="00C44C48"/>
    <w:rsid w:val="00C44C5C"/>
    <w:rsid w:val="00C452EE"/>
    <w:rsid w:val="00C45421"/>
    <w:rsid w:val="00C4567B"/>
    <w:rsid w:val="00C45BC5"/>
    <w:rsid w:val="00C45D97"/>
    <w:rsid w:val="00C45EE8"/>
    <w:rsid w:val="00C46416"/>
    <w:rsid w:val="00C46541"/>
    <w:rsid w:val="00C465DD"/>
    <w:rsid w:val="00C467BE"/>
    <w:rsid w:val="00C46A17"/>
    <w:rsid w:val="00C46A93"/>
    <w:rsid w:val="00C46AD1"/>
    <w:rsid w:val="00C46C29"/>
    <w:rsid w:val="00C470B5"/>
    <w:rsid w:val="00C470EB"/>
    <w:rsid w:val="00C471E3"/>
    <w:rsid w:val="00C4726F"/>
    <w:rsid w:val="00C472F3"/>
    <w:rsid w:val="00C47388"/>
    <w:rsid w:val="00C47E2A"/>
    <w:rsid w:val="00C50188"/>
    <w:rsid w:val="00C50459"/>
    <w:rsid w:val="00C506DA"/>
    <w:rsid w:val="00C506F1"/>
    <w:rsid w:val="00C5072F"/>
    <w:rsid w:val="00C507B7"/>
    <w:rsid w:val="00C508BA"/>
    <w:rsid w:val="00C50ABC"/>
    <w:rsid w:val="00C50CD7"/>
    <w:rsid w:val="00C50E51"/>
    <w:rsid w:val="00C50E74"/>
    <w:rsid w:val="00C50FE3"/>
    <w:rsid w:val="00C5112F"/>
    <w:rsid w:val="00C5137C"/>
    <w:rsid w:val="00C515A3"/>
    <w:rsid w:val="00C5195F"/>
    <w:rsid w:val="00C519F4"/>
    <w:rsid w:val="00C51A20"/>
    <w:rsid w:val="00C51A8A"/>
    <w:rsid w:val="00C51AAA"/>
    <w:rsid w:val="00C51E45"/>
    <w:rsid w:val="00C52004"/>
    <w:rsid w:val="00C5239C"/>
    <w:rsid w:val="00C523F9"/>
    <w:rsid w:val="00C5247C"/>
    <w:rsid w:val="00C525B8"/>
    <w:rsid w:val="00C5265F"/>
    <w:rsid w:val="00C528A8"/>
    <w:rsid w:val="00C528B9"/>
    <w:rsid w:val="00C52912"/>
    <w:rsid w:val="00C52F05"/>
    <w:rsid w:val="00C53041"/>
    <w:rsid w:val="00C5310B"/>
    <w:rsid w:val="00C53167"/>
    <w:rsid w:val="00C533C7"/>
    <w:rsid w:val="00C538A7"/>
    <w:rsid w:val="00C53B09"/>
    <w:rsid w:val="00C53BE3"/>
    <w:rsid w:val="00C53DF1"/>
    <w:rsid w:val="00C53DF3"/>
    <w:rsid w:val="00C540C6"/>
    <w:rsid w:val="00C54818"/>
    <w:rsid w:val="00C54B21"/>
    <w:rsid w:val="00C54B40"/>
    <w:rsid w:val="00C54E37"/>
    <w:rsid w:val="00C54E97"/>
    <w:rsid w:val="00C550A0"/>
    <w:rsid w:val="00C55237"/>
    <w:rsid w:val="00C5538C"/>
    <w:rsid w:val="00C5539F"/>
    <w:rsid w:val="00C554E0"/>
    <w:rsid w:val="00C555A0"/>
    <w:rsid w:val="00C55719"/>
    <w:rsid w:val="00C55A7A"/>
    <w:rsid w:val="00C55C71"/>
    <w:rsid w:val="00C55DD6"/>
    <w:rsid w:val="00C55EE8"/>
    <w:rsid w:val="00C56083"/>
    <w:rsid w:val="00C5614E"/>
    <w:rsid w:val="00C562D8"/>
    <w:rsid w:val="00C56430"/>
    <w:rsid w:val="00C565E8"/>
    <w:rsid w:val="00C56636"/>
    <w:rsid w:val="00C56645"/>
    <w:rsid w:val="00C56687"/>
    <w:rsid w:val="00C5671E"/>
    <w:rsid w:val="00C56861"/>
    <w:rsid w:val="00C5690C"/>
    <w:rsid w:val="00C56AC4"/>
    <w:rsid w:val="00C56B26"/>
    <w:rsid w:val="00C56BB1"/>
    <w:rsid w:val="00C56FF6"/>
    <w:rsid w:val="00C57019"/>
    <w:rsid w:val="00C57401"/>
    <w:rsid w:val="00C57473"/>
    <w:rsid w:val="00C57556"/>
    <w:rsid w:val="00C57670"/>
    <w:rsid w:val="00C5782C"/>
    <w:rsid w:val="00C57A95"/>
    <w:rsid w:val="00C57CCC"/>
    <w:rsid w:val="00C57E1B"/>
    <w:rsid w:val="00C57EAF"/>
    <w:rsid w:val="00C60124"/>
    <w:rsid w:val="00C601AC"/>
    <w:rsid w:val="00C60299"/>
    <w:rsid w:val="00C60330"/>
    <w:rsid w:val="00C6087B"/>
    <w:rsid w:val="00C608A2"/>
    <w:rsid w:val="00C608B6"/>
    <w:rsid w:val="00C6091C"/>
    <w:rsid w:val="00C60B74"/>
    <w:rsid w:val="00C60C51"/>
    <w:rsid w:val="00C60E4D"/>
    <w:rsid w:val="00C610CE"/>
    <w:rsid w:val="00C6133B"/>
    <w:rsid w:val="00C61356"/>
    <w:rsid w:val="00C61696"/>
    <w:rsid w:val="00C61780"/>
    <w:rsid w:val="00C617D8"/>
    <w:rsid w:val="00C61C23"/>
    <w:rsid w:val="00C61CBD"/>
    <w:rsid w:val="00C61D00"/>
    <w:rsid w:val="00C61D54"/>
    <w:rsid w:val="00C61D88"/>
    <w:rsid w:val="00C61ED5"/>
    <w:rsid w:val="00C61F6F"/>
    <w:rsid w:val="00C6241E"/>
    <w:rsid w:val="00C62670"/>
    <w:rsid w:val="00C62927"/>
    <w:rsid w:val="00C62B0C"/>
    <w:rsid w:val="00C62CA8"/>
    <w:rsid w:val="00C62E00"/>
    <w:rsid w:val="00C62E4E"/>
    <w:rsid w:val="00C62F51"/>
    <w:rsid w:val="00C62F62"/>
    <w:rsid w:val="00C630E9"/>
    <w:rsid w:val="00C6313E"/>
    <w:rsid w:val="00C63277"/>
    <w:rsid w:val="00C6344B"/>
    <w:rsid w:val="00C63BAD"/>
    <w:rsid w:val="00C63C5C"/>
    <w:rsid w:val="00C6404C"/>
    <w:rsid w:val="00C64193"/>
    <w:rsid w:val="00C6424B"/>
    <w:rsid w:val="00C643E6"/>
    <w:rsid w:val="00C644CA"/>
    <w:rsid w:val="00C6464D"/>
    <w:rsid w:val="00C6471A"/>
    <w:rsid w:val="00C6481A"/>
    <w:rsid w:val="00C64837"/>
    <w:rsid w:val="00C6492E"/>
    <w:rsid w:val="00C6494A"/>
    <w:rsid w:val="00C64952"/>
    <w:rsid w:val="00C64996"/>
    <w:rsid w:val="00C64E2C"/>
    <w:rsid w:val="00C64F08"/>
    <w:rsid w:val="00C64F55"/>
    <w:rsid w:val="00C64FBE"/>
    <w:rsid w:val="00C65188"/>
    <w:rsid w:val="00C652D0"/>
    <w:rsid w:val="00C6537B"/>
    <w:rsid w:val="00C6544A"/>
    <w:rsid w:val="00C654D4"/>
    <w:rsid w:val="00C65515"/>
    <w:rsid w:val="00C65E42"/>
    <w:rsid w:val="00C66168"/>
    <w:rsid w:val="00C666AC"/>
    <w:rsid w:val="00C66759"/>
    <w:rsid w:val="00C66A39"/>
    <w:rsid w:val="00C66D46"/>
    <w:rsid w:val="00C66DC3"/>
    <w:rsid w:val="00C66F59"/>
    <w:rsid w:val="00C670E7"/>
    <w:rsid w:val="00C670FA"/>
    <w:rsid w:val="00C675A5"/>
    <w:rsid w:val="00C67626"/>
    <w:rsid w:val="00C67737"/>
    <w:rsid w:val="00C67906"/>
    <w:rsid w:val="00C67998"/>
    <w:rsid w:val="00C67A7E"/>
    <w:rsid w:val="00C67E8C"/>
    <w:rsid w:val="00C67F5B"/>
    <w:rsid w:val="00C703B7"/>
    <w:rsid w:val="00C708B9"/>
    <w:rsid w:val="00C70971"/>
    <w:rsid w:val="00C70AC0"/>
    <w:rsid w:val="00C70D7A"/>
    <w:rsid w:val="00C70F3C"/>
    <w:rsid w:val="00C7103D"/>
    <w:rsid w:val="00C71191"/>
    <w:rsid w:val="00C712F5"/>
    <w:rsid w:val="00C713E2"/>
    <w:rsid w:val="00C71534"/>
    <w:rsid w:val="00C7162D"/>
    <w:rsid w:val="00C71855"/>
    <w:rsid w:val="00C719AF"/>
    <w:rsid w:val="00C71AC1"/>
    <w:rsid w:val="00C71E7E"/>
    <w:rsid w:val="00C71EEB"/>
    <w:rsid w:val="00C71F49"/>
    <w:rsid w:val="00C71F4E"/>
    <w:rsid w:val="00C7228A"/>
    <w:rsid w:val="00C72728"/>
    <w:rsid w:val="00C72F19"/>
    <w:rsid w:val="00C734B3"/>
    <w:rsid w:val="00C73561"/>
    <w:rsid w:val="00C735CB"/>
    <w:rsid w:val="00C737AB"/>
    <w:rsid w:val="00C73886"/>
    <w:rsid w:val="00C73983"/>
    <w:rsid w:val="00C73994"/>
    <w:rsid w:val="00C73A86"/>
    <w:rsid w:val="00C73B63"/>
    <w:rsid w:val="00C73CDE"/>
    <w:rsid w:val="00C73D04"/>
    <w:rsid w:val="00C73D1A"/>
    <w:rsid w:val="00C73F75"/>
    <w:rsid w:val="00C73FCB"/>
    <w:rsid w:val="00C7407C"/>
    <w:rsid w:val="00C7413E"/>
    <w:rsid w:val="00C74316"/>
    <w:rsid w:val="00C743DC"/>
    <w:rsid w:val="00C74935"/>
    <w:rsid w:val="00C74938"/>
    <w:rsid w:val="00C749CB"/>
    <w:rsid w:val="00C74B9D"/>
    <w:rsid w:val="00C74BAE"/>
    <w:rsid w:val="00C74BF4"/>
    <w:rsid w:val="00C74C9B"/>
    <w:rsid w:val="00C74E58"/>
    <w:rsid w:val="00C74E7B"/>
    <w:rsid w:val="00C74EA6"/>
    <w:rsid w:val="00C74EAD"/>
    <w:rsid w:val="00C75324"/>
    <w:rsid w:val="00C75331"/>
    <w:rsid w:val="00C75417"/>
    <w:rsid w:val="00C75474"/>
    <w:rsid w:val="00C75522"/>
    <w:rsid w:val="00C7559B"/>
    <w:rsid w:val="00C7594F"/>
    <w:rsid w:val="00C759FB"/>
    <w:rsid w:val="00C75BB5"/>
    <w:rsid w:val="00C75C9C"/>
    <w:rsid w:val="00C75FA0"/>
    <w:rsid w:val="00C76085"/>
    <w:rsid w:val="00C76340"/>
    <w:rsid w:val="00C7642E"/>
    <w:rsid w:val="00C764F2"/>
    <w:rsid w:val="00C76660"/>
    <w:rsid w:val="00C76B64"/>
    <w:rsid w:val="00C76D91"/>
    <w:rsid w:val="00C76E4A"/>
    <w:rsid w:val="00C76E4B"/>
    <w:rsid w:val="00C76F1C"/>
    <w:rsid w:val="00C77001"/>
    <w:rsid w:val="00C770DD"/>
    <w:rsid w:val="00C77163"/>
    <w:rsid w:val="00C773ED"/>
    <w:rsid w:val="00C774C5"/>
    <w:rsid w:val="00C77676"/>
    <w:rsid w:val="00C77766"/>
    <w:rsid w:val="00C778FE"/>
    <w:rsid w:val="00C779F8"/>
    <w:rsid w:val="00C77E7E"/>
    <w:rsid w:val="00C8016A"/>
    <w:rsid w:val="00C80176"/>
    <w:rsid w:val="00C80571"/>
    <w:rsid w:val="00C80632"/>
    <w:rsid w:val="00C80730"/>
    <w:rsid w:val="00C80C06"/>
    <w:rsid w:val="00C80CA8"/>
    <w:rsid w:val="00C80D8B"/>
    <w:rsid w:val="00C8122C"/>
    <w:rsid w:val="00C81774"/>
    <w:rsid w:val="00C81A42"/>
    <w:rsid w:val="00C8215F"/>
    <w:rsid w:val="00C82170"/>
    <w:rsid w:val="00C822AB"/>
    <w:rsid w:val="00C82521"/>
    <w:rsid w:val="00C8257F"/>
    <w:rsid w:val="00C82911"/>
    <w:rsid w:val="00C82997"/>
    <w:rsid w:val="00C82A3A"/>
    <w:rsid w:val="00C82CCC"/>
    <w:rsid w:val="00C82E58"/>
    <w:rsid w:val="00C82F50"/>
    <w:rsid w:val="00C82F9E"/>
    <w:rsid w:val="00C83047"/>
    <w:rsid w:val="00C8309A"/>
    <w:rsid w:val="00C832C2"/>
    <w:rsid w:val="00C83378"/>
    <w:rsid w:val="00C833D5"/>
    <w:rsid w:val="00C8341A"/>
    <w:rsid w:val="00C83985"/>
    <w:rsid w:val="00C83AA3"/>
    <w:rsid w:val="00C83B62"/>
    <w:rsid w:val="00C83D5E"/>
    <w:rsid w:val="00C84045"/>
    <w:rsid w:val="00C840E8"/>
    <w:rsid w:val="00C84310"/>
    <w:rsid w:val="00C84703"/>
    <w:rsid w:val="00C84771"/>
    <w:rsid w:val="00C84AC9"/>
    <w:rsid w:val="00C84B82"/>
    <w:rsid w:val="00C84BC6"/>
    <w:rsid w:val="00C84CE8"/>
    <w:rsid w:val="00C84D5B"/>
    <w:rsid w:val="00C84E96"/>
    <w:rsid w:val="00C84ECA"/>
    <w:rsid w:val="00C84F69"/>
    <w:rsid w:val="00C850E5"/>
    <w:rsid w:val="00C851C2"/>
    <w:rsid w:val="00C851EA"/>
    <w:rsid w:val="00C851FE"/>
    <w:rsid w:val="00C85352"/>
    <w:rsid w:val="00C85411"/>
    <w:rsid w:val="00C856A2"/>
    <w:rsid w:val="00C858FE"/>
    <w:rsid w:val="00C8590C"/>
    <w:rsid w:val="00C85C0F"/>
    <w:rsid w:val="00C85EB2"/>
    <w:rsid w:val="00C86241"/>
    <w:rsid w:val="00C863FB"/>
    <w:rsid w:val="00C86662"/>
    <w:rsid w:val="00C86B8A"/>
    <w:rsid w:val="00C86D1A"/>
    <w:rsid w:val="00C86E66"/>
    <w:rsid w:val="00C873E6"/>
    <w:rsid w:val="00C878CF"/>
    <w:rsid w:val="00C8798D"/>
    <w:rsid w:val="00C87E91"/>
    <w:rsid w:val="00C9016A"/>
    <w:rsid w:val="00C901B5"/>
    <w:rsid w:val="00C901C5"/>
    <w:rsid w:val="00C9026B"/>
    <w:rsid w:val="00C905FB"/>
    <w:rsid w:val="00C906CF"/>
    <w:rsid w:val="00C9085B"/>
    <w:rsid w:val="00C90A55"/>
    <w:rsid w:val="00C90A6B"/>
    <w:rsid w:val="00C90ABD"/>
    <w:rsid w:val="00C90B39"/>
    <w:rsid w:val="00C90D14"/>
    <w:rsid w:val="00C90F16"/>
    <w:rsid w:val="00C90FEA"/>
    <w:rsid w:val="00C91105"/>
    <w:rsid w:val="00C91184"/>
    <w:rsid w:val="00C91224"/>
    <w:rsid w:val="00C91227"/>
    <w:rsid w:val="00C91654"/>
    <w:rsid w:val="00C916A8"/>
    <w:rsid w:val="00C917D2"/>
    <w:rsid w:val="00C91BC2"/>
    <w:rsid w:val="00C91C79"/>
    <w:rsid w:val="00C91F7C"/>
    <w:rsid w:val="00C92133"/>
    <w:rsid w:val="00C921F5"/>
    <w:rsid w:val="00C92715"/>
    <w:rsid w:val="00C927D1"/>
    <w:rsid w:val="00C9280A"/>
    <w:rsid w:val="00C92A18"/>
    <w:rsid w:val="00C93165"/>
    <w:rsid w:val="00C9356B"/>
    <w:rsid w:val="00C935C2"/>
    <w:rsid w:val="00C9363D"/>
    <w:rsid w:val="00C93668"/>
    <w:rsid w:val="00C93B10"/>
    <w:rsid w:val="00C93CD7"/>
    <w:rsid w:val="00C93E18"/>
    <w:rsid w:val="00C93F3B"/>
    <w:rsid w:val="00C93FCA"/>
    <w:rsid w:val="00C9432C"/>
    <w:rsid w:val="00C946BA"/>
    <w:rsid w:val="00C94975"/>
    <w:rsid w:val="00C94A1C"/>
    <w:rsid w:val="00C94AD9"/>
    <w:rsid w:val="00C94BAE"/>
    <w:rsid w:val="00C94F25"/>
    <w:rsid w:val="00C94F44"/>
    <w:rsid w:val="00C95297"/>
    <w:rsid w:val="00C95354"/>
    <w:rsid w:val="00C953ED"/>
    <w:rsid w:val="00C95495"/>
    <w:rsid w:val="00C95670"/>
    <w:rsid w:val="00C956D5"/>
    <w:rsid w:val="00C95713"/>
    <w:rsid w:val="00C95976"/>
    <w:rsid w:val="00C95B28"/>
    <w:rsid w:val="00C95CA2"/>
    <w:rsid w:val="00C95E6B"/>
    <w:rsid w:val="00C95F24"/>
    <w:rsid w:val="00C95FAE"/>
    <w:rsid w:val="00C9606C"/>
    <w:rsid w:val="00C96336"/>
    <w:rsid w:val="00C9681E"/>
    <w:rsid w:val="00C96E69"/>
    <w:rsid w:val="00C96ECC"/>
    <w:rsid w:val="00C96EE1"/>
    <w:rsid w:val="00C97233"/>
    <w:rsid w:val="00C97460"/>
    <w:rsid w:val="00C9772C"/>
    <w:rsid w:val="00C977BD"/>
    <w:rsid w:val="00C9788B"/>
    <w:rsid w:val="00C978B4"/>
    <w:rsid w:val="00C979DA"/>
    <w:rsid w:val="00C97B08"/>
    <w:rsid w:val="00C97E84"/>
    <w:rsid w:val="00CA002A"/>
    <w:rsid w:val="00CA01E5"/>
    <w:rsid w:val="00CA028C"/>
    <w:rsid w:val="00CA0589"/>
    <w:rsid w:val="00CA05C2"/>
    <w:rsid w:val="00CA08F1"/>
    <w:rsid w:val="00CA0BF9"/>
    <w:rsid w:val="00CA129F"/>
    <w:rsid w:val="00CA1339"/>
    <w:rsid w:val="00CA13B3"/>
    <w:rsid w:val="00CA1700"/>
    <w:rsid w:val="00CA1736"/>
    <w:rsid w:val="00CA1896"/>
    <w:rsid w:val="00CA1AC3"/>
    <w:rsid w:val="00CA1D0B"/>
    <w:rsid w:val="00CA1DC3"/>
    <w:rsid w:val="00CA1E25"/>
    <w:rsid w:val="00CA1F7E"/>
    <w:rsid w:val="00CA2151"/>
    <w:rsid w:val="00CA23F3"/>
    <w:rsid w:val="00CA26D3"/>
    <w:rsid w:val="00CA27B7"/>
    <w:rsid w:val="00CA2880"/>
    <w:rsid w:val="00CA2994"/>
    <w:rsid w:val="00CA2B95"/>
    <w:rsid w:val="00CA2C08"/>
    <w:rsid w:val="00CA31A3"/>
    <w:rsid w:val="00CA325A"/>
    <w:rsid w:val="00CA3362"/>
    <w:rsid w:val="00CA3598"/>
    <w:rsid w:val="00CA3AAC"/>
    <w:rsid w:val="00CA3BF8"/>
    <w:rsid w:val="00CA3D33"/>
    <w:rsid w:val="00CA3E28"/>
    <w:rsid w:val="00CA3E3C"/>
    <w:rsid w:val="00CA3FF5"/>
    <w:rsid w:val="00CA40CA"/>
    <w:rsid w:val="00CA41B7"/>
    <w:rsid w:val="00CA4315"/>
    <w:rsid w:val="00CA435A"/>
    <w:rsid w:val="00CA43FE"/>
    <w:rsid w:val="00CA44D3"/>
    <w:rsid w:val="00CA46D1"/>
    <w:rsid w:val="00CA4757"/>
    <w:rsid w:val="00CA489B"/>
    <w:rsid w:val="00CA48B9"/>
    <w:rsid w:val="00CA4AB4"/>
    <w:rsid w:val="00CA4B5B"/>
    <w:rsid w:val="00CA4BBF"/>
    <w:rsid w:val="00CA4C4A"/>
    <w:rsid w:val="00CA4C8A"/>
    <w:rsid w:val="00CA5038"/>
    <w:rsid w:val="00CA50E9"/>
    <w:rsid w:val="00CA5231"/>
    <w:rsid w:val="00CA53BD"/>
    <w:rsid w:val="00CA5440"/>
    <w:rsid w:val="00CA5517"/>
    <w:rsid w:val="00CA5550"/>
    <w:rsid w:val="00CA5582"/>
    <w:rsid w:val="00CA55EC"/>
    <w:rsid w:val="00CA5636"/>
    <w:rsid w:val="00CA5842"/>
    <w:rsid w:val="00CA5A8A"/>
    <w:rsid w:val="00CA5B94"/>
    <w:rsid w:val="00CA5C01"/>
    <w:rsid w:val="00CA5C54"/>
    <w:rsid w:val="00CA5E71"/>
    <w:rsid w:val="00CA5F23"/>
    <w:rsid w:val="00CA5FD1"/>
    <w:rsid w:val="00CA60BF"/>
    <w:rsid w:val="00CA631E"/>
    <w:rsid w:val="00CA6398"/>
    <w:rsid w:val="00CA65DB"/>
    <w:rsid w:val="00CA65DD"/>
    <w:rsid w:val="00CA65E4"/>
    <w:rsid w:val="00CA6738"/>
    <w:rsid w:val="00CA6C06"/>
    <w:rsid w:val="00CA6C23"/>
    <w:rsid w:val="00CA6D8D"/>
    <w:rsid w:val="00CA7209"/>
    <w:rsid w:val="00CA7643"/>
    <w:rsid w:val="00CA76DA"/>
    <w:rsid w:val="00CA7964"/>
    <w:rsid w:val="00CA796A"/>
    <w:rsid w:val="00CA79C6"/>
    <w:rsid w:val="00CA7AAF"/>
    <w:rsid w:val="00CA7AC4"/>
    <w:rsid w:val="00CA7C45"/>
    <w:rsid w:val="00CA7C78"/>
    <w:rsid w:val="00CA7ED6"/>
    <w:rsid w:val="00CA7F1E"/>
    <w:rsid w:val="00CB0153"/>
    <w:rsid w:val="00CB03E8"/>
    <w:rsid w:val="00CB04F5"/>
    <w:rsid w:val="00CB070D"/>
    <w:rsid w:val="00CB0756"/>
    <w:rsid w:val="00CB0B54"/>
    <w:rsid w:val="00CB0BB1"/>
    <w:rsid w:val="00CB0C04"/>
    <w:rsid w:val="00CB0D28"/>
    <w:rsid w:val="00CB0E86"/>
    <w:rsid w:val="00CB0EEF"/>
    <w:rsid w:val="00CB0FB9"/>
    <w:rsid w:val="00CB0FF2"/>
    <w:rsid w:val="00CB1165"/>
    <w:rsid w:val="00CB1188"/>
    <w:rsid w:val="00CB1477"/>
    <w:rsid w:val="00CB147F"/>
    <w:rsid w:val="00CB1581"/>
    <w:rsid w:val="00CB1784"/>
    <w:rsid w:val="00CB17A4"/>
    <w:rsid w:val="00CB17CA"/>
    <w:rsid w:val="00CB1930"/>
    <w:rsid w:val="00CB1C5D"/>
    <w:rsid w:val="00CB1CD0"/>
    <w:rsid w:val="00CB1E95"/>
    <w:rsid w:val="00CB1F85"/>
    <w:rsid w:val="00CB21B6"/>
    <w:rsid w:val="00CB23C7"/>
    <w:rsid w:val="00CB2464"/>
    <w:rsid w:val="00CB2908"/>
    <w:rsid w:val="00CB2986"/>
    <w:rsid w:val="00CB2D5B"/>
    <w:rsid w:val="00CB2DC2"/>
    <w:rsid w:val="00CB2F0E"/>
    <w:rsid w:val="00CB2FDC"/>
    <w:rsid w:val="00CB3057"/>
    <w:rsid w:val="00CB305C"/>
    <w:rsid w:val="00CB3364"/>
    <w:rsid w:val="00CB3758"/>
    <w:rsid w:val="00CB3F2F"/>
    <w:rsid w:val="00CB4360"/>
    <w:rsid w:val="00CB4379"/>
    <w:rsid w:val="00CB4799"/>
    <w:rsid w:val="00CB4970"/>
    <w:rsid w:val="00CB4987"/>
    <w:rsid w:val="00CB49C2"/>
    <w:rsid w:val="00CB49D6"/>
    <w:rsid w:val="00CB49E4"/>
    <w:rsid w:val="00CB5128"/>
    <w:rsid w:val="00CB54AC"/>
    <w:rsid w:val="00CB55CA"/>
    <w:rsid w:val="00CB586E"/>
    <w:rsid w:val="00CB5921"/>
    <w:rsid w:val="00CB5C32"/>
    <w:rsid w:val="00CB5DCB"/>
    <w:rsid w:val="00CB5FA1"/>
    <w:rsid w:val="00CB60AD"/>
    <w:rsid w:val="00CB60DF"/>
    <w:rsid w:val="00CB6102"/>
    <w:rsid w:val="00CB620B"/>
    <w:rsid w:val="00CB628A"/>
    <w:rsid w:val="00CB62C8"/>
    <w:rsid w:val="00CB64BB"/>
    <w:rsid w:val="00CB6961"/>
    <w:rsid w:val="00CB6AFE"/>
    <w:rsid w:val="00CB6C8A"/>
    <w:rsid w:val="00CB6E67"/>
    <w:rsid w:val="00CB702B"/>
    <w:rsid w:val="00CB70C9"/>
    <w:rsid w:val="00CB7166"/>
    <w:rsid w:val="00CB71C4"/>
    <w:rsid w:val="00CB71D6"/>
    <w:rsid w:val="00CB741A"/>
    <w:rsid w:val="00CB755A"/>
    <w:rsid w:val="00CB7572"/>
    <w:rsid w:val="00CB75E4"/>
    <w:rsid w:val="00CB763A"/>
    <w:rsid w:val="00CB7AFD"/>
    <w:rsid w:val="00CB7BEA"/>
    <w:rsid w:val="00CB7D03"/>
    <w:rsid w:val="00CB7DC8"/>
    <w:rsid w:val="00CB7EB8"/>
    <w:rsid w:val="00CB898F"/>
    <w:rsid w:val="00CC0247"/>
    <w:rsid w:val="00CC0312"/>
    <w:rsid w:val="00CC03C8"/>
    <w:rsid w:val="00CC05CD"/>
    <w:rsid w:val="00CC09C9"/>
    <w:rsid w:val="00CC0CAC"/>
    <w:rsid w:val="00CC12E9"/>
    <w:rsid w:val="00CC16F9"/>
    <w:rsid w:val="00CC1803"/>
    <w:rsid w:val="00CC1B43"/>
    <w:rsid w:val="00CC1D5D"/>
    <w:rsid w:val="00CC1DE5"/>
    <w:rsid w:val="00CC1ED2"/>
    <w:rsid w:val="00CC1EE9"/>
    <w:rsid w:val="00CC249F"/>
    <w:rsid w:val="00CC2669"/>
    <w:rsid w:val="00CC2843"/>
    <w:rsid w:val="00CC2970"/>
    <w:rsid w:val="00CC2997"/>
    <w:rsid w:val="00CC2A06"/>
    <w:rsid w:val="00CC2AFB"/>
    <w:rsid w:val="00CC2D0D"/>
    <w:rsid w:val="00CC31B8"/>
    <w:rsid w:val="00CC31C9"/>
    <w:rsid w:val="00CC3527"/>
    <w:rsid w:val="00CC3591"/>
    <w:rsid w:val="00CC35F1"/>
    <w:rsid w:val="00CC3617"/>
    <w:rsid w:val="00CC36BC"/>
    <w:rsid w:val="00CC36D2"/>
    <w:rsid w:val="00CC3758"/>
    <w:rsid w:val="00CC3AB0"/>
    <w:rsid w:val="00CC3C59"/>
    <w:rsid w:val="00CC3D48"/>
    <w:rsid w:val="00CC3E5E"/>
    <w:rsid w:val="00CC3EAE"/>
    <w:rsid w:val="00CC4334"/>
    <w:rsid w:val="00CC43DE"/>
    <w:rsid w:val="00CC4502"/>
    <w:rsid w:val="00CC493F"/>
    <w:rsid w:val="00CC4D1C"/>
    <w:rsid w:val="00CC5152"/>
    <w:rsid w:val="00CC542A"/>
    <w:rsid w:val="00CC578E"/>
    <w:rsid w:val="00CC587D"/>
    <w:rsid w:val="00CC5D96"/>
    <w:rsid w:val="00CC5DCB"/>
    <w:rsid w:val="00CC5DD7"/>
    <w:rsid w:val="00CC5DF0"/>
    <w:rsid w:val="00CC6038"/>
    <w:rsid w:val="00CC618B"/>
    <w:rsid w:val="00CC6261"/>
    <w:rsid w:val="00CC628E"/>
    <w:rsid w:val="00CC6332"/>
    <w:rsid w:val="00CC641B"/>
    <w:rsid w:val="00CC6430"/>
    <w:rsid w:val="00CC6524"/>
    <w:rsid w:val="00CC6564"/>
    <w:rsid w:val="00CC677E"/>
    <w:rsid w:val="00CC6AC2"/>
    <w:rsid w:val="00CC6C37"/>
    <w:rsid w:val="00CC6DA7"/>
    <w:rsid w:val="00CC6E82"/>
    <w:rsid w:val="00CC701C"/>
    <w:rsid w:val="00CC706E"/>
    <w:rsid w:val="00CC725E"/>
    <w:rsid w:val="00CC75E3"/>
    <w:rsid w:val="00CC7658"/>
    <w:rsid w:val="00CC7B64"/>
    <w:rsid w:val="00CC7CDC"/>
    <w:rsid w:val="00CC7E04"/>
    <w:rsid w:val="00CC7EFF"/>
    <w:rsid w:val="00CC7FBC"/>
    <w:rsid w:val="00CCCCDB"/>
    <w:rsid w:val="00CD00AF"/>
    <w:rsid w:val="00CD02E2"/>
    <w:rsid w:val="00CD064A"/>
    <w:rsid w:val="00CD06EC"/>
    <w:rsid w:val="00CD09C4"/>
    <w:rsid w:val="00CD0A1B"/>
    <w:rsid w:val="00CD0C3B"/>
    <w:rsid w:val="00CD0CE9"/>
    <w:rsid w:val="00CD0D1A"/>
    <w:rsid w:val="00CD0D6C"/>
    <w:rsid w:val="00CD11F5"/>
    <w:rsid w:val="00CD1387"/>
    <w:rsid w:val="00CD196A"/>
    <w:rsid w:val="00CD19C8"/>
    <w:rsid w:val="00CD19F3"/>
    <w:rsid w:val="00CD1AE2"/>
    <w:rsid w:val="00CD1BC2"/>
    <w:rsid w:val="00CD1DAB"/>
    <w:rsid w:val="00CD1EA6"/>
    <w:rsid w:val="00CD2191"/>
    <w:rsid w:val="00CD2344"/>
    <w:rsid w:val="00CD240B"/>
    <w:rsid w:val="00CD25FF"/>
    <w:rsid w:val="00CD2604"/>
    <w:rsid w:val="00CD26AB"/>
    <w:rsid w:val="00CD26C6"/>
    <w:rsid w:val="00CD2749"/>
    <w:rsid w:val="00CD2A4F"/>
    <w:rsid w:val="00CD2A5A"/>
    <w:rsid w:val="00CD2A69"/>
    <w:rsid w:val="00CD2C24"/>
    <w:rsid w:val="00CD2D05"/>
    <w:rsid w:val="00CD2E0B"/>
    <w:rsid w:val="00CD2F60"/>
    <w:rsid w:val="00CD2F93"/>
    <w:rsid w:val="00CD2F99"/>
    <w:rsid w:val="00CD3228"/>
    <w:rsid w:val="00CD34E1"/>
    <w:rsid w:val="00CD3559"/>
    <w:rsid w:val="00CD3B29"/>
    <w:rsid w:val="00CD3B37"/>
    <w:rsid w:val="00CD3B51"/>
    <w:rsid w:val="00CD3BC5"/>
    <w:rsid w:val="00CD3DB1"/>
    <w:rsid w:val="00CD3EDD"/>
    <w:rsid w:val="00CD40DD"/>
    <w:rsid w:val="00CD4156"/>
    <w:rsid w:val="00CD421F"/>
    <w:rsid w:val="00CD4330"/>
    <w:rsid w:val="00CD44BC"/>
    <w:rsid w:val="00CD45FF"/>
    <w:rsid w:val="00CD4917"/>
    <w:rsid w:val="00CD513D"/>
    <w:rsid w:val="00CD51AE"/>
    <w:rsid w:val="00CD527A"/>
    <w:rsid w:val="00CD574B"/>
    <w:rsid w:val="00CD57A5"/>
    <w:rsid w:val="00CD585B"/>
    <w:rsid w:val="00CD5B8C"/>
    <w:rsid w:val="00CD5BFD"/>
    <w:rsid w:val="00CD5FDF"/>
    <w:rsid w:val="00CD5FE7"/>
    <w:rsid w:val="00CD6349"/>
    <w:rsid w:val="00CD63E8"/>
    <w:rsid w:val="00CD6478"/>
    <w:rsid w:val="00CD66A8"/>
    <w:rsid w:val="00CD66EF"/>
    <w:rsid w:val="00CD672F"/>
    <w:rsid w:val="00CD67CB"/>
    <w:rsid w:val="00CD6853"/>
    <w:rsid w:val="00CD6990"/>
    <w:rsid w:val="00CD6BB9"/>
    <w:rsid w:val="00CD6C45"/>
    <w:rsid w:val="00CD6ED4"/>
    <w:rsid w:val="00CD6F29"/>
    <w:rsid w:val="00CD6FC0"/>
    <w:rsid w:val="00CD7064"/>
    <w:rsid w:val="00CD7769"/>
    <w:rsid w:val="00CD7775"/>
    <w:rsid w:val="00CD7798"/>
    <w:rsid w:val="00CD7998"/>
    <w:rsid w:val="00CD7C99"/>
    <w:rsid w:val="00CD7D2C"/>
    <w:rsid w:val="00CD7EC4"/>
    <w:rsid w:val="00CE00BC"/>
    <w:rsid w:val="00CE03E4"/>
    <w:rsid w:val="00CE0405"/>
    <w:rsid w:val="00CE060B"/>
    <w:rsid w:val="00CE061E"/>
    <w:rsid w:val="00CE0810"/>
    <w:rsid w:val="00CE0847"/>
    <w:rsid w:val="00CE08BD"/>
    <w:rsid w:val="00CE0A5C"/>
    <w:rsid w:val="00CE0A98"/>
    <w:rsid w:val="00CE0ADA"/>
    <w:rsid w:val="00CE0D77"/>
    <w:rsid w:val="00CE10CE"/>
    <w:rsid w:val="00CE119F"/>
    <w:rsid w:val="00CE11EC"/>
    <w:rsid w:val="00CE1337"/>
    <w:rsid w:val="00CE170C"/>
    <w:rsid w:val="00CE1842"/>
    <w:rsid w:val="00CE186D"/>
    <w:rsid w:val="00CE18FF"/>
    <w:rsid w:val="00CE190D"/>
    <w:rsid w:val="00CE1923"/>
    <w:rsid w:val="00CE19D4"/>
    <w:rsid w:val="00CE19F1"/>
    <w:rsid w:val="00CE1C03"/>
    <w:rsid w:val="00CE1D00"/>
    <w:rsid w:val="00CE1D6A"/>
    <w:rsid w:val="00CE2275"/>
    <w:rsid w:val="00CE2319"/>
    <w:rsid w:val="00CE235A"/>
    <w:rsid w:val="00CE278B"/>
    <w:rsid w:val="00CE27D3"/>
    <w:rsid w:val="00CE2849"/>
    <w:rsid w:val="00CE2A9A"/>
    <w:rsid w:val="00CE2B1E"/>
    <w:rsid w:val="00CE2B2A"/>
    <w:rsid w:val="00CE2BE1"/>
    <w:rsid w:val="00CE2FC5"/>
    <w:rsid w:val="00CE303B"/>
    <w:rsid w:val="00CE35D0"/>
    <w:rsid w:val="00CE372F"/>
    <w:rsid w:val="00CE384D"/>
    <w:rsid w:val="00CE3942"/>
    <w:rsid w:val="00CE3B1F"/>
    <w:rsid w:val="00CE3D2E"/>
    <w:rsid w:val="00CE3D36"/>
    <w:rsid w:val="00CE4014"/>
    <w:rsid w:val="00CE421B"/>
    <w:rsid w:val="00CE47F8"/>
    <w:rsid w:val="00CE4858"/>
    <w:rsid w:val="00CE4EA8"/>
    <w:rsid w:val="00CE4EB4"/>
    <w:rsid w:val="00CE4F0D"/>
    <w:rsid w:val="00CE4F6C"/>
    <w:rsid w:val="00CE4F8B"/>
    <w:rsid w:val="00CE5045"/>
    <w:rsid w:val="00CE5082"/>
    <w:rsid w:val="00CE5083"/>
    <w:rsid w:val="00CE5223"/>
    <w:rsid w:val="00CE5240"/>
    <w:rsid w:val="00CE546E"/>
    <w:rsid w:val="00CE5837"/>
    <w:rsid w:val="00CE5896"/>
    <w:rsid w:val="00CE5C9B"/>
    <w:rsid w:val="00CE5DE1"/>
    <w:rsid w:val="00CE5E58"/>
    <w:rsid w:val="00CE643A"/>
    <w:rsid w:val="00CE6553"/>
    <w:rsid w:val="00CE6594"/>
    <w:rsid w:val="00CE660E"/>
    <w:rsid w:val="00CE6719"/>
    <w:rsid w:val="00CE6764"/>
    <w:rsid w:val="00CE6847"/>
    <w:rsid w:val="00CE686B"/>
    <w:rsid w:val="00CE695F"/>
    <w:rsid w:val="00CE6D0E"/>
    <w:rsid w:val="00CE6F08"/>
    <w:rsid w:val="00CE6F71"/>
    <w:rsid w:val="00CE70E7"/>
    <w:rsid w:val="00CE73B6"/>
    <w:rsid w:val="00CE7434"/>
    <w:rsid w:val="00CE7635"/>
    <w:rsid w:val="00CE76A7"/>
    <w:rsid w:val="00CE7773"/>
    <w:rsid w:val="00CE7845"/>
    <w:rsid w:val="00CE7906"/>
    <w:rsid w:val="00CE7B5E"/>
    <w:rsid w:val="00CE7C0E"/>
    <w:rsid w:val="00CF0109"/>
    <w:rsid w:val="00CF0162"/>
    <w:rsid w:val="00CF0200"/>
    <w:rsid w:val="00CF02A1"/>
    <w:rsid w:val="00CF0314"/>
    <w:rsid w:val="00CF03C6"/>
    <w:rsid w:val="00CF06E9"/>
    <w:rsid w:val="00CF07C5"/>
    <w:rsid w:val="00CF08C6"/>
    <w:rsid w:val="00CF0937"/>
    <w:rsid w:val="00CF0950"/>
    <w:rsid w:val="00CF098F"/>
    <w:rsid w:val="00CF0AAF"/>
    <w:rsid w:val="00CF0C10"/>
    <w:rsid w:val="00CF0CE4"/>
    <w:rsid w:val="00CF0D18"/>
    <w:rsid w:val="00CF0F06"/>
    <w:rsid w:val="00CF10CA"/>
    <w:rsid w:val="00CF119F"/>
    <w:rsid w:val="00CF1344"/>
    <w:rsid w:val="00CF1348"/>
    <w:rsid w:val="00CF15B3"/>
    <w:rsid w:val="00CF1AC8"/>
    <w:rsid w:val="00CF1DB7"/>
    <w:rsid w:val="00CF1E13"/>
    <w:rsid w:val="00CF1F34"/>
    <w:rsid w:val="00CF207C"/>
    <w:rsid w:val="00CF22F0"/>
    <w:rsid w:val="00CF2362"/>
    <w:rsid w:val="00CF23E3"/>
    <w:rsid w:val="00CF245D"/>
    <w:rsid w:val="00CF246A"/>
    <w:rsid w:val="00CF25DF"/>
    <w:rsid w:val="00CF25E1"/>
    <w:rsid w:val="00CF25F0"/>
    <w:rsid w:val="00CF25FC"/>
    <w:rsid w:val="00CF288C"/>
    <w:rsid w:val="00CF2AAA"/>
    <w:rsid w:val="00CF2C8A"/>
    <w:rsid w:val="00CF3150"/>
    <w:rsid w:val="00CF3440"/>
    <w:rsid w:val="00CF3C33"/>
    <w:rsid w:val="00CF3C63"/>
    <w:rsid w:val="00CF3CAF"/>
    <w:rsid w:val="00CF41E8"/>
    <w:rsid w:val="00CF42FC"/>
    <w:rsid w:val="00CF4422"/>
    <w:rsid w:val="00CF44ED"/>
    <w:rsid w:val="00CF4848"/>
    <w:rsid w:val="00CF4869"/>
    <w:rsid w:val="00CF4A13"/>
    <w:rsid w:val="00CF4B12"/>
    <w:rsid w:val="00CF4BC0"/>
    <w:rsid w:val="00CF50CC"/>
    <w:rsid w:val="00CF52D6"/>
    <w:rsid w:val="00CF53E1"/>
    <w:rsid w:val="00CF54EA"/>
    <w:rsid w:val="00CF55E0"/>
    <w:rsid w:val="00CF5665"/>
    <w:rsid w:val="00CF585A"/>
    <w:rsid w:val="00CF58F3"/>
    <w:rsid w:val="00CF5947"/>
    <w:rsid w:val="00CF599D"/>
    <w:rsid w:val="00CF59DB"/>
    <w:rsid w:val="00CF5E2C"/>
    <w:rsid w:val="00CF5EC3"/>
    <w:rsid w:val="00CF5EEA"/>
    <w:rsid w:val="00CF600A"/>
    <w:rsid w:val="00CF6183"/>
    <w:rsid w:val="00CF62D3"/>
    <w:rsid w:val="00CF643C"/>
    <w:rsid w:val="00CF65E3"/>
    <w:rsid w:val="00CF662B"/>
    <w:rsid w:val="00CF665E"/>
    <w:rsid w:val="00CF682F"/>
    <w:rsid w:val="00CF6966"/>
    <w:rsid w:val="00CF6ADC"/>
    <w:rsid w:val="00CF6C77"/>
    <w:rsid w:val="00CF6C9F"/>
    <w:rsid w:val="00CF6D75"/>
    <w:rsid w:val="00CF6D94"/>
    <w:rsid w:val="00CF70B6"/>
    <w:rsid w:val="00CF70CD"/>
    <w:rsid w:val="00CF7170"/>
    <w:rsid w:val="00CF7191"/>
    <w:rsid w:val="00CF7194"/>
    <w:rsid w:val="00CF7229"/>
    <w:rsid w:val="00CF7465"/>
    <w:rsid w:val="00CF7511"/>
    <w:rsid w:val="00CF7537"/>
    <w:rsid w:val="00CF7607"/>
    <w:rsid w:val="00CF7800"/>
    <w:rsid w:val="00CF79CA"/>
    <w:rsid w:val="00CF7A81"/>
    <w:rsid w:val="00D00067"/>
    <w:rsid w:val="00D0026B"/>
    <w:rsid w:val="00D002E7"/>
    <w:rsid w:val="00D00AB7"/>
    <w:rsid w:val="00D01027"/>
    <w:rsid w:val="00D0108F"/>
    <w:rsid w:val="00D010CD"/>
    <w:rsid w:val="00D01119"/>
    <w:rsid w:val="00D01267"/>
    <w:rsid w:val="00D0150B"/>
    <w:rsid w:val="00D015CB"/>
    <w:rsid w:val="00D01603"/>
    <w:rsid w:val="00D01647"/>
    <w:rsid w:val="00D016BC"/>
    <w:rsid w:val="00D01754"/>
    <w:rsid w:val="00D017DE"/>
    <w:rsid w:val="00D01D88"/>
    <w:rsid w:val="00D02360"/>
    <w:rsid w:val="00D02535"/>
    <w:rsid w:val="00D028F6"/>
    <w:rsid w:val="00D029A6"/>
    <w:rsid w:val="00D02B40"/>
    <w:rsid w:val="00D02EF1"/>
    <w:rsid w:val="00D0316C"/>
    <w:rsid w:val="00D03280"/>
    <w:rsid w:val="00D03560"/>
    <w:rsid w:val="00D03630"/>
    <w:rsid w:val="00D03669"/>
    <w:rsid w:val="00D038B7"/>
    <w:rsid w:val="00D03B89"/>
    <w:rsid w:val="00D04099"/>
    <w:rsid w:val="00D040A5"/>
    <w:rsid w:val="00D0413B"/>
    <w:rsid w:val="00D04277"/>
    <w:rsid w:val="00D04357"/>
    <w:rsid w:val="00D04587"/>
    <w:rsid w:val="00D0474E"/>
    <w:rsid w:val="00D047B0"/>
    <w:rsid w:val="00D04876"/>
    <w:rsid w:val="00D04A05"/>
    <w:rsid w:val="00D04BE3"/>
    <w:rsid w:val="00D04C04"/>
    <w:rsid w:val="00D05101"/>
    <w:rsid w:val="00D0513C"/>
    <w:rsid w:val="00D052A0"/>
    <w:rsid w:val="00D055A5"/>
    <w:rsid w:val="00D05773"/>
    <w:rsid w:val="00D059BF"/>
    <w:rsid w:val="00D05DC6"/>
    <w:rsid w:val="00D06130"/>
    <w:rsid w:val="00D06307"/>
    <w:rsid w:val="00D064C7"/>
    <w:rsid w:val="00D064F1"/>
    <w:rsid w:val="00D0655E"/>
    <w:rsid w:val="00D068FB"/>
    <w:rsid w:val="00D0697C"/>
    <w:rsid w:val="00D069F5"/>
    <w:rsid w:val="00D06A3B"/>
    <w:rsid w:val="00D06A86"/>
    <w:rsid w:val="00D06DF9"/>
    <w:rsid w:val="00D07349"/>
    <w:rsid w:val="00D073AB"/>
    <w:rsid w:val="00D073ED"/>
    <w:rsid w:val="00D07577"/>
    <w:rsid w:val="00D076AF"/>
    <w:rsid w:val="00D07888"/>
    <w:rsid w:val="00D0794D"/>
    <w:rsid w:val="00D07FD1"/>
    <w:rsid w:val="00D1006C"/>
    <w:rsid w:val="00D101AE"/>
    <w:rsid w:val="00D101BE"/>
    <w:rsid w:val="00D101D9"/>
    <w:rsid w:val="00D1035C"/>
    <w:rsid w:val="00D1036F"/>
    <w:rsid w:val="00D103CB"/>
    <w:rsid w:val="00D10503"/>
    <w:rsid w:val="00D1052D"/>
    <w:rsid w:val="00D10820"/>
    <w:rsid w:val="00D10826"/>
    <w:rsid w:val="00D108E6"/>
    <w:rsid w:val="00D10CFB"/>
    <w:rsid w:val="00D10DE7"/>
    <w:rsid w:val="00D10EC6"/>
    <w:rsid w:val="00D1118A"/>
    <w:rsid w:val="00D11232"/>
    <w:rsid w:val="00D11281"/>
    <w:rsid w:val="00D11370"/>
    <w:rsid w:val="00D113CF"/>
    <w:rsid w:val="00D114FA"/>
    <w:rsid w:val="00D11636"/>
    <w:rsid w:val="00D11664"/>
    <w:rsid w:val="00D11919"/>
    <w:rsid w:val="00D11997"/>
    <w:rsid w:val="00D11ADA"/>
    <w:rsid w:val="00D11DEC"/>
    <w:rsid w:val="00D11E1A"/>
    <w:rsid w:val="00D11E68"/>
    <w:rsid w:val="00D11EE7"/>
    <w:rsid w:val="00D1203A"/>
    <w:rsid w:val="00D12095"/>
    <w:rsid w:val="00D121DB"/>
    <w:rsid w:val="00D123A0"/>
    <w:rsid w:val="00D124A8"/>
    <w:rsid w:val="00D12AA1"/>
    <w:rsid w:val="00D12BDC"/>
    <w:rsid w:val="00D13904"/>
    <w:rsid w:val="00D13C80"/>
    <w:rsid w:val="00D13DE4"/>
    <w:rsid w:val="00D13E34"/>
    <w:rsid w:val="00D13F89"/>
    <w:rsid w:val="00D14393"/>
    <w:rsid w:val="00D144ED"/>
    <w:rsid w:val="00D145BB"/>
    <w:rsid w:val="00D14699"/>
    <w:rsid w:val="00D14724"/>
    <w:rsid w:val="00D148B8"/>
    <w:rsid w:val="00D1494E"/>
    <w:rsid w:val="00D14AB9"/>
    <w:rsid w:val="00D14CC2"/>
    <w:rsid w:val="00D14FC0"/>
    <w:rsid w:val="00D15081"/>
    <w:rsid w:val="00D1509D"/>
    <w:rsid w:val="00D1511C"/>
    <w:rsid w:val="00D15225"/>
    <w:rsid w:val="00D1534D"/>
    <w:rsid w:val="00D15355"/>
    <w:rsid w:val="00D1548D"/>
    <w:rsid w:val="00D156E8"/>
    <w:rsid w:val="00D1570D"/>
    <w:rsid w:val="00D15786"/>
    <w:rsid w:val="00D157E9"/>
    <w:rsid w:val="00D1582D"/>
    <w:rsid w:val="00D158F4"/>
    <w:rsid w:val="00D15AB7"/>
    <w:rsid w:val="00D15B4A"/>
    <w:rsid w:val="00D15B54"/>
    <w:rsid w:val="00D15E0E"/>
    <w:rsid w:val="00D15E3E"/>
    <w:rsid w:val="00D15E45"/>
    <w:rsid w:val="00D15FD4"/>
    <w:rsid w:val="00D16365"/>
    <w:rsid w:val="00D16424"/>
    <w:rsid w:val="00D164CD"/>
    <w:rsid w:val="00D1680A"/>
    <w:rsid w:val="00D168FA"/>
    <w:rsid w:val="00D169DB"/>
    <w:rsid w:val="00D16D08"/>
    <w:rsid w:val="00D16D0B"/>
    <w:rsid w:val="00D16D7A"/>
    <w:rsid w:val="00D17047"/>
    <w:rsid w:val="00D1712D"/>
    <w:rsid w:val="00D17152"/>
    <w:rsid w:val="00D1722E"/>
    <w:rsid w:val="00D17242"/>
    <w:rsid w:val="00D17285"/>
    <w:rsid w:val="00D176FE"/>
    <w:rsid w:val="00D17793"/>
    <w:rsid w:val="00D17818"/>
    <w:rsid w:val="00D1795F"/>
    <w:rsid w:val="00D17AEF"/>
    <w:rsid w:val="00D17B90"/>
    <w:rsid w:val="00D17C5B"/>
    <w:rsid w:val="00D17FB9"/>
    <w:rsid w:val="00D17FFA"/>
    <w:rsid w:val="00D20256"/>
    <w:rsid w:val="00D20291"/>
    <w:rsid w:val="00D20332"/>
    <w:rsid w:val="00D203DF"/>
    <w:rsid w:val="00D20448"/>
    <w:rsid w:val="00D20923"/>
    <w:rsid w:val="00D20A12"/>
    <w:rsid w:val="00D20C0A"/>
    <w:rsid w:val="00D20CBA"/>
    <w:rsid w:val="00D20D05"/>
    <w:rsid w:val="00D20E09"/>
    <w:rsid w:val="00D20F03"/>
    <w:rsid w:val="00D211EB"/>
    <w:rsid w:val="00D214A9"/>
    <w:rsid w:val="00D217B9"/>
    <w:rsid w:val="00D21B1C"/>
    <w:rsid w:val="00D21B74"/>
    <w:rsid w:val="00D21CF8"/>
    <w:rsid w:val="00D21DE0"/>
    <w:rsid w:val="00D21F70"/>
    <w:rsid w:val="00D22140"/>
    <w:rsid w:val="00D22166"/>
    <w:rsid w:val="00D22198"/>
    <w:rsid w:val="00D2231C"/>
    <w:rsid w:val="00D227F1"/>
    <w:rsid w:val="00D22811"/>
    <w:rsid w:val="00D22865"/>
    <w:rsid w:val="00D22A40"/>
    <w:rsid w:val="00D22A7A"/>
    <w:rsid w:val="00D22F19"/>
    <w:rsid w:val="00D22F5E"/>
    <w:rsid w:val="00D23002"/>
    <w:rsid w:val="00D233C6"/>
    <w:rsid w:val="00D2352F"/>
    <w:rsid w:val="00D23533"/>
    <w:rsid w:val="00D2366A"/>
    <w:rsid w:val="00D236F1"/>
    <w:rsid w:val="00D23755"/>
    <w:rsid w:val="00D2377C"/>
    <w:rsid w:val="00D2382C"/>
    <w:rsid w:val="00D238DC"/>
    <w:rsid w:val="00D2397B"/>
    <w:rsid w:val="00D23AA7"/>
    <w:rsid w:val="00D23B49"/>
    <w:rsid w:val="00D23B85"/>
    <w:rsid w:val="00D23C8A"/>
    <w:rsid w:val="00D23DAC"/>
    <w:rsid w:val="00D23EB3"/>
    <w:rsid w:val="00D240D4"/>
    <w:rsid w:val="00D24276"/>
    <w:rsid w:val="00D2438E"/>
    <w:rsid w:val="00D2439B"/>
    <w:rsid w:val="00D245F0"/>
    <w:rsid w:val="00D24956"/>
    <w:rsid w:val="00D24967"/>
    <w:rsid w:val="00D24A35"/>
    <w:rsid w:val="00D24A60"/>
    <w:rsid w:val="00D24A99"/>
    <w:rsid w:val="00D24BA3"/>
    <w:rsid w:val="00D24DF7"/>
    <w:rsid w:val="00D250A7"/>
    <w:rsid w:val="00D250D3"/>
    <w:rsid w:val="00D2518C"/>
    <w:rsid w:val="00D252A8"/>
    <w:rsid w:val="00D255CE"/>
    <w:rsid w:val="00D258E2"/>
    <w:rsid w:val="00D2593F"/>
    <w:rsid w:val="00D25A34"/>
    <w:rsid w:val="00D25BA5"/>
    <w:rsid w:val="00D25BDD"/>
    <w:rsid w:val="00D25CEE"/>
    <w:rsid w:val="00D25DA4"/>
    <w:rsid w:val="00D26253"/>
    <w:rsid w:val="00D267A8"/>
    <w:rsid w:val="00D26804"/>
    <w:rsid w:val="00D26833"/>
    <w:rsid w:val="00D26A22"/>
    <w:rsid w:val="00D26A60"/>
    <w:rsid w:val="00D26F57"/>
    <w:rsid w:val="00D26FA6"/>
    <w:rsid w:val="00D26FE0"/>
    <w:rsid w:val="00D270C2"/>
    <w:rsid w:val="00D2735F"/>
    <w:rsid w:val="00D2746F"/>
    <w:rsid w:val="00D274AF"/>
    <w:rsid w:val="00D27520"/>
    <w:rsid w:val="00D27525"/>
    <w:rsid w:val="00D276D4"/>
    <w:rsid w:val="00D277BF"/>
    <w:rsid w:val="00D27952"/>
    <w:rsid w:val="00D27C6A"/>
    <w:rsid w:val="00D30258"/>
    <w:rsid w:val="00D307E7"/>
    <w:rsid w:val="00D30826"/>
    <w:rsid w:val="00D309EF"/>
    <w:rsid w:val="00D30AA6"/>
    <w:rsid w:val="00D30C5A"/>
    <w:rsid w:val="00D30DB1"/>
    <w:rsid w:val="00D30E4C"/>
    <w:rsid w:val="00D30E97"/>
    <w:rsid w:val="00D31174"/>
    <w:rsid w:val="00D311B0"/>
    <w:rsid w:val="00D31233"/>
    <w:rsid w:val="00D313E8"/>
    <w:rsid w:val="00D31597"/>
    <w:rsid w:val="00D3187A"/>
    <w:rsid w:val="00D31A1B"/>
    <w:rsid w:val="00D32113"/>
    <w:rsid w:val="00D324B8"/>
    <w:rsid w:val="00D32514"/>
    <w:rsid w:val="00D32638"/>
    <w:rsid w:val="00D326BC"/>
    <w:rsid w:val="00D32AD5"/>
    <w:rsid w:val="00D32C12"/>
    <w:rsid w:val="00D32C78"/>
    <w:rsid w:val="00D32E13"/>
    <w:rsid w:val="00D32FC6"/>
    <w:rsid w:val="00D33054"/>
    <w:rsid w:val="00D330A8"/>
    <w:rsid w:val="00D33934"/>
    <w:rsid w:val="00D33B37"/>
    <w:rsid w:val="00D33C1A"/>
    <w:rsid w:val="00D33C1E"/>
    <w:rsid w:val="00D33CC5"/>
    <w:rsid w:val="00D33E04"/>
    <w:rsid w:val="00D33E6C"/>
    <w:rsid w:val="00D340B4"/>
    <w:rsid w:val="00D34127"/>
    <w:rsid w:val="00D34B61"/>
    <w:rsid w:val="00D34C91"/>
    <w:rsid w:val="00D34FCC"/>
    <w:rsid w:val="00D351B7"/>
    <w:rsid w:val="00D352C1"/>
    <w:rsid w:val="00D3532E"/>
    <w:rsid w:val="00D35469"/>
    <w:rsid w:val="00D356E2"/>
    <w:rsid w:val="00D35721"/>
    <w:rsid w:val="00D359F8"/>
    <w:rsid w:val="00D35A09"/>
    <w:rsid w:val="00D35B93"/>
    <w:rsid w:val="00D36020"/>
    <w:rsid w:val="00D362A5"/>
    <w:rsid w:val="00D3631F"/>
    <w:rsid w:val="00D363D3"/>
    <w:rsid w:val="00D364E8"/>
    <w:rsid w:val="00D36535"/>
    <w:rsid w:val="00D36549"/>
    <w:rsid w:val="00D36845"/>
    <w:rsid w:val="00D36846"/>
    <w:rsid w:val="00D3690F"/>
    <w:rsid w:val="00D36A28"/>
    <w:rsid w:val="00D36D3F"/>
    <w:rsid w:val="00D36D5A"/>
    <w:rsid w:val="00D370A6"/>
    <w:rsid w:val="00D37273"/>
    <w:rsid w:val="00D376A9"/>
    <w:rsid w:val="00D376D6"/>
    <w:rsid w:val="00D377B1"/>
    <w:rsid w:val="00D377BC"/>
    <w:rsid w:val="00D37940"/>
    <w:rsid w:val="00D37B01"/>
    <w:rsid w:val="00D37B45"/>
    <w:rsid w:val="00D400EF"/>
    <w:rsid w:val="00D401DD"/>
    <w:rsid w:val="00D403AF"/>
    <w:rsid w:val="00D404D4"/>
    <w:rsid w:val="00D40556"/>
    <w:rsid w:val="00D40604"/>
    <w:rsid w:val="00D4062F"/>
    <w:rsid w:val="00D40787"/>
    <w:rsid w:val="00D40889"/>
    <w:rsid w:val="00D40B64"/>
    <w:rsid w:val="00D40CD0"/>
    <w:rsid w:val="00D40E41"/>
    <w:rsid w:val="00D40E80"/>
    <w:rsid w:val="00D40F9B"/>
    <w:rsid w:val="00D410AA"/>
    <w:rsid w:val="00D41150"/>
    <w:rsid w:val="00D41673"/>
    <w:rsid w:val="00D41829"/>
    <w:rsid w:val="00D418B1"/>
    <w:rsid w:val="00D41E2B"/>
    <w:rsid w:val="00D4208F"/>
    <w:rsid w:val="00D420DF"/>
    <w:rsid w:val="00D42345"/>
    <w:rsid w:val="00D4243A"/>
    <w:rsid w:val="00D42538"/>
    <w:rsid w:val="00D4276E"/>
    <w:rsid w:val="00D4297E"/>
    <w:rsid w:val="00D42AAD"/>
    <w:rsid w:val="00D42ACF"/>
    <w:rsid w:val="00D42B7A"/>
    <w:rsid w:val="00D42B92"/>
    <w:rsid w:val="00D42BD1"/>
    <w:rsid w:val="00D42E12"/>
    <w:rsid w:val="00D4301F"/>
    <w:rsid w:val="00D43227"/>
    <w:rsid w:val="00D432DF"/>
    <w:rsid w:val="00D432ED"/>
    <w:rsid w:val="00D43445"/>
    <w:rsid w:val="00D435E0"/>
    <w:rsid w:val="00D43745"/>
    <w:rsid w:val="00D43BEC"/>
    <w:rsid w:val="00D43F49"/>
    <w:rsid w:val="00D44057"/>
    <w:rsid w:val="00D44108"/>
    <w:rsid w:val="00D4424D"/>
    <w:rsid w:val="00D443FE"/>
    <w:rsid w:val="00D4471A"/>
    <w:rsid w:val="00D44828"/>
    <w:rsid w:val="00D44A57"/>
    <w:rsid w:val="00D44C97"/>
    <w:rsid w:val="00D45E4B"/>
    <w:rsid w:val="00D45FCC"/>
    <w:rsid w:val="00D46058"/>
    <w:rsid w:val="00D4630D"/>
    <w:rsid w:val="00D46325"/>
    <w:rsid w:val="00D46383"/>
    <w:rsid w:val="00D46811"/>
    <w:rsid w:val="00D46BF0"/>
    <w:rsid w:val="00D46D4D"/>
    <w:rsid w:val="00D46E8B"/>
    <w:rsid w:val="00D472DD"/>
    <w:rsid w:val="00D4738E"/>
    <w:rsid w:val="00D475E7"/>
    <w:rsid w:val="00D47858"/>
    <w:rsid w:val="00D47951"/>
    <w:rsid w:val="00D47972"/>
    <w:rsid w:val="00D479BB"/>
    <w:rsid w:val="00D47B2B"/>
    <w:rsid w:val="00D47F5F"/>
    <w:rsid w:val="00D5028F"/>
    <w:rsid w:val="00D502B1"/>
    <w:rsid w:val="00D50620"/>
    <w:rsid w:val="00D50658"/>
    <w:rsid w:val="00D506B9"/>
    <w:rsid w:val="00D50937"/>
    <w:rsid w:val="00D5099C"/>
    <w:rsid w:val="00D50AF6"/>
    <w:rsid w:val="00D50E9A"/>
    <w:rsid w:val="00D50ED2"/>
    <w:rsid w:val="00D50FFA"/>
    <w:rsid w:val="00D51219"/>
    <w:rsid w:val="00D5128B"/>
    <w:rsid w:val="00D51333"/>
    <w:rsid w:val="00D51354"/>
    <w:rsid w:val="00D51388"/>
    <w:rsid w:val="00D51404"/>
    <w:rsid w:val="00D51407"/>
    <w:rsid w:val="00D51948"/>
    <w:rsid w:val="00D519BC"/>
    <w:rsid w:val="00D51E0C"/>
    <w:rsid w:val="00D51EF0"/>
    <w:rsid w:val="00D5206A"/>
    <w:rsid w:val="00D520B4"/>
    <w:rsid w:val="00D521BA"/>
    <w:rsid w:val="00D5243D"/>
    <w:rsid w:val="00D5269E"/>
    <w:rsid w:val="00D5272E"/>
    <w:rsid w:val="00D527E9"/>
    <w:rsid w:val="00D52998"/>
    <w:rsid w:val="00D52A80"/>
    <w:rsid w:val="00D52A9D"/>
    <w:rsid w:val="00D52BAB"/>
    <w:rsid w:val="00D5323F"/>
    <w:rsid w:val="00D537BF"/>
    <w:rsid w:val="00D539C8"/>
    <w:rsid w:val="00D53A32"/>
    <w:rsid w:val="00D53D5A"/>
    <w:rsid w:val="00D53DA5"/>
    <w:rsid w:val="00D53F7D"/>
    <w:rsid w:val="00D53F88"/>
    <w:rsid w:val="00D54234"/>
    <w:rsid w:val="00D543D0"/>
    <w:rsid w:val="00D5485E"/>
    <w:rsid w:val="00D548AF"/>
    <w:rsid w:val="00D548BC"/>
    <w:rsid w:val="00D549F6"/>
    <w:rsid w:val="00D54AA1"/>
    <w:rsid w:val="00D54B30"/>
    <w:rsid w:val="00D54C0B"/>
    <w:rsid w:val="00D55121"/>
    <w:rsid w:val="00D5519B"/>
    <w:rsid w:val="00D55579"/>
    <w:rsid w:val="00D5570F"/>
    <w:rsid w:val="00D55D87"/>
    <w:rsid w:val="00D55DD2"/>
    <w:rsid w:val="00D55EA9"/>
    <w:rsid w:val="00D55F0D"/>
    <w:rsid w:val="00D55F44"/>
    <w:rsid w:val="00D55F85"/>
    <w:rsid w:val="00D55FC4"/>
    <w:rsid w:val="00D56743"/>
    <w:rsid w:val="00D569CF"/>
    <w:rsid w:val="00D56AE2"/>
    <w:rsid w:val="00D56B05"/>
    <w:rsid w:val="00D56C17"/>
    <w:rsid w:val="00D56C20"/>
    <w:rsid w:val="00D56CA2"/>
    <w:rsid w:val="00D56CB8"/>
    <w:rsid w:val="00D56EFB"/>
    <w:rsid w:val="00D5729D"/>
    <w:rsid w:val="00D57332"/>
    <w:rsid w:val="00D57450"/>
    <w:rsid w:val="00D57597"/>
    <w:rsid w:val="00D575A5"/>
    <w:rsid w:val="00D575B2"/>
    <w:rsid w:val="00D575D0"/>
    <w:rsid w:val="00D5768C"/>
    <w:rsid w:val="00D57747"/>
    <w:rsid w:val="00D577D2"/>
    <w:rsid w:val="00D578CD"/>
    <w:rsid w:val="00D57948"/>
    <w:rsid w:val="00D57BCD"/>
    <w:rsid w:val="00D57CB3"/>
    <w:rsid w:val="00D600AB"/>
    <w:rsid w:val="00D602BE"/>
    <w:rsid w:val="00D60320"/>
    <w:rsid w:val="00D60352"/>
    <w:rsid w:val="00D6060A"/>
    <w:rsid w:val="00D608D9"/>
    <w:rsid w:val="00D6098F"/>
    <w:rsid w:val="00D60B67"/>
    <w:rsid w:val="00D60BF2"/>
    <w:rsid w:val="00D60BF7"/>
    <w:rsid w:val="00D60C8C"/>
    <w:rsid w:val="00D60D4C"/>
    <w:rsid w:val="00D61012"/>
    <w:rsid w:val="00D61253"/>
    <w:rsid w:val="00D6136C"/>
    <w:rsid w:val="00D614EE"/>
    <w:rsid w:val="00D615FB"/>
    <w:rsid w:val="00D61728"/>
    <w:rsid w:val="00D61AEE"/>
    <w:rsid w:val="00D61E0D"/>
    <w:rsid w:val="00D61FCD"/>
    <w:rsid w:val="00D62029"/>
    <w:rsid w:val="00D62189"/>
    <w:rsid w:val="00D6243A"/>
    <w:rsid w:val="00D624D6"/>
    <w:rsid w:val="00D624FF"/>
    <w:rsid w:val="00D62515"/>
    <w:rsid w:val="00D6257C"/>
    <w:rsid w:val="00D628F7"/>
    <w:rsid w:val="00D62A62"/>
    <w:rsid w:val="00D62B1C"/>
    <w:rsid w:val="00D62B2A"/>
    <w:rsid w:val="00D62C3E"/>
    <w:rsid w:val="00D62F93"/>
    <w:rsid w:val="00D62FD9"/>
    <w:rsid w:val="00D63166"/>
    <w:rsid w:val="00D6321D"/>
    <w:rsid w:val="00D63640"/>
    <w:rsid w:val="00D63908"/>
    <w:rsid w:val="00D63CEA"/>
    <w:rsid w:val="00D64005"/>
    <w:rsid w:val="00D641A4"/>
    <w:rsid w:val="00D64462"/>
    <w:rsid w:val="00D644F0"/>
    <w:rsid w:val="00D646B3"/>
    <w:rsid w:val="00D6488E"/>
    <w:rsid w:val="00D64C67"/>
    <w:rsid w:val="00D64C9A"/>
    <w:rsid w:val="00D64CCD"/>
    <w:rsid w:val="00D64E63"/>
    <w:rsid w:val="00D650E7"/>
    <w:rsid w:val="00D65CBB"/>
    <w:rsid w:val="00D65FDF"/>
    <w:rsid w:val="00D66157"/>
    <w:rsid w:val="00D6621F"/>
    <w:rsid w:val="00D662A2"/>
    <w:rsid w:val="00D662FE"/>
    <w:rsid w:val="00D6679B"/>
    <w:rsid w:val="00D667E0"/>
    <w:rsid w:val="00D66881"/>
    <w:rsid w:val="00D66A1B"/>
    <w:rsid w:val="00D66B85"/>
    <w:rsid w:val="00D66C78"/>
    <w:rsid w:val="00D66F1A"/>
    <w:rsid w:val="00D672D5"/>
    <w:rsid w:val="00D6737B"/>
    <w:rsid w:val="00D67381"/>
    <w:rsid w:val="00D6743C"/>
    <w:rsid w:val="00D67694"/>
    <w:rsid w:val="00D67B9F"/>
    <w:rsid w:val="00D67C3B"/>
    <w:rsid w:val="00D67CE2"/>
    <w:rsid w:val="00D67FAF"/>
    <w:rsid w:val="00D70109"/>
    <w:rsid w:val="00D702ED"/>
    <w:rsid w:val="00D70412"/>
    <w:rsid w:val="00D7091D"/>
    <w:rsid w:val="00D7092A"/>
    <w:rsid w:val="00D70A08"/>
    <w:rsid w:val="00D70B15"/>
    <w:rsid w:val="00D70B1E"/>
    <w:rsid w:val="00D70B8D"/>
    <w:rsid w:val="00D70C04"/>
    <w:rsid w:val="00D70CF0"/>
    <w:rsid w:val="00D70D2E"/>
    <w:rsid w:val="00D70E82"/>
    <w:rsid w:val="00D70FB4"/>
    <w:rsid w:val="00D710E3"/>
    <w:rsid w:val="00D71259"/>
    <w:rsid w:val="00D7130F"/>
    <w:rsid w:val="00D71338"/>
    <w:rsid w:val="00D713C5"/>
    <w:rsid w:val="00D71431"/>
    <w:rsid w:val="00D71450"/>
    <w:rsid w:val="00D71520"/>
    <w:rsid w:val="00D715F4"/>
    <w:rsid w:val="00D71693"/>
    <w:rsid w:val="00D71A1A"/>
    <w:rsid w:val="00D71A1B"/>
    <w:rsid w:val="00D71A28"/>
    <w:rsid w:val="00D71BD1"/>
    <w:rsid w:val="00D71C93"/>
    <w:rsid w:val="00D71CF8"/>
    <w:rsid w:val="00D71DB3"/>
    <w:rsid w:val="00D71DD0"/>
    <w:rsid w:val="00D720F6"/>
    <w:rsid w:val="00D72285"/>
    <w:rsid w:val="00D722AE"/>
    <w:rsid w:val="00D7232F"/>
    <w:rsid w:val="00D7252E"/>
    <w:rsid w:val="00D7254A"/>
    <w:rsid w:val="00D72710"/>
    <w:rsid w:val="00D728A1"/>
    <w:rsid w:val="00D72939"/>
    <w:rsid w:val="00D729AE"/>
    <w:rsid w:val="00D72B30"/>
    <w:rsid w:val="00D72E47"/>
    <w:rsid w:val="00D7330D"/>
    <w:rsid w:val="00D73317"/>
    <w:rsid w:val="00D734CE"/>
    <w:rsid w:val="00D73569"/>
    <w:rsid w:val="00D7357D"/>
    <w:rsid w:val="00D7359D"/>
    <w:rsid w:val="00D7377E"/>
    <w:rsid w:val="00D737E5"/>
    <w:rsid w:val="00D74235"/>
    <w:rsid w:val="00D742B6"/>
    <w:rsid w:val="00D742F3"/>
    <w:rsid w:val="00D744C1"/>
    <w:rsid w:val="00D74740"/>
    <w:rsid w:val="00D7478A"/>
    <w:rsid w:val="00D749F5"/>
    <w:rsid w:val="00D74B20"/>
    <w:rsid w:val="00D74C07"/>
    <w:rsid w:val="00D74CEF"/>
    <w:rsid w:val="00D74EA6"/>
    <w:rsid w:val="00D7512E"/>
    <w:rsid w:val="00D7513D"/>
    <w:rsid w:val="00D751D9"/>
    <w:rsid w:val="00D75294"/>
    <w:rsid w:val="00D7530A"/>
    <w:rsid w:val="00D756F3"/>
    <w:rsid w:val="00D75809"/>
    <w:rsid w:val="00D75A96"/>
    <w:rsid w:val="00D75C0A"/>
    <w:rsid w:val="00D75C6E"/>
    <w:rsid w:val="00D75C83"/>
    <w:rsid w:val="00D75D03"/>
    <w:rsid w:val="00D75DFF"/>
    <w:rsid w:val="00D75EA4"/>
    <w:rsid w:val="00D761C1"/>
    <w:rsid w:val="00D76518"/>
    <w:rsid w:val="00D7674D"/>
    <w:rsid w:val="00D768D5"/>
    <w:rsid w:val="00D7692D"/>
    <w:rsid w:val="00D76998"/>
    <w:rsid w:val="00D76CDF"/>
    <w:rsid w:val="00D76D3A"/>
    <w:rsid w:val="00D76D9F"/>
    <w:rsid w:val="00D77062"/>
    <w:rsid w:val="00D771F8"/>
    <w:rsid w:val="00D77265"/>
    <w:rsid w:val="00D77561"/>
    <w:rsid w:val="00D7760E"/>
    <w:rsid w:val="00D778D8"/>
    <w:rsid w:val="00D7792D"/>
    <w:rsid w:val="00D77A16"/>
    <w:rsid w:val="00D77AD8"/>
    <w:rsid w:val="00D77BDE"/>
    <w:rsid w:val="00D77C09"/>
    <w:rsid w:val="00D802EA"/>
    <w:rsid w:val="00D8050D"/>
    <w:rsid w:val="00D805BA"/>
    <w:rsid w:val="00D80C1C"/>
    <w:rsid w:val="00D80C8B"/>
    <w:rsid w:val="00D80D2A"/>
    <w:rsid w:val="00D80D6E"/>
    <w:rsid w:val="00D80FC6"/>
    <w:rsid w:val="00D8107A"/>
    <w:rsid w:val="00D81091"/>
    <w:rsid w:val="00D810FC"/>
    <w:rsid w:val="00D811A0"/>
    <w:rsid w:val="00D81261"/>
    <w:rsid w:val="00D8128F"/>
    <w:rsid w:val="00D813BC"/>
    <w:rsid w:val="00D81412"/>
    <w:rsid w:val="00D81488"/>
    <w:rsid w:val="00D8154A"/>
    <w:rsid w:val="00D816BC"/>
    <w:rsid w:val="00D81789"/>
    <w:rsid w:val="00D817C5"/>
    <w:rsid w:val="00D81A61"/>
    <w:rsid w:val="00D81C1D"/>
    <w:rsid w:val="00D81DDA"/>
    <w:rsid w:val="00D81F0F"/>
    <w:rsid w:val="00D8224B"/>
    <w:rsid w:val="00D8233F"/>
    <w:rsid w:val="00D82379"/>
    <w:rsid w:val="00D824F5"/>
    <w:rsid w:val="00D82675"/>
    <w:rsid w:val="00D829A2"/>
    <w:rsid w:val="00D82AC0"/>
    <w:rsid w:val="00D82B0B"/>
    <w:rsid w:val="00D82B47"/>
    <w:rsid w:val="00D82BEC"/>
    <w:rsid w:val="00D8310A"/>
    <w:rsid w:val="00D8312B"/>
    <w:rsid w:val="00D83140"/>
    <w:rsid w:val="00D831AB"/>
    <w:rsid w:val="00D831DB"/>
    <w:rsid w:val="00D835F3"/>
    <w:rsid w:val="00D83951"/>
    <w:rsid w:val="00D84239"/>
    <w:rsid w:val="00D8451B"/>
    <w:rsid w:val="00D848C0"/>
    <w:rsid w:val="00D84A9A"/>
    <w:rsid w:val="00D84DA7"/>
    <w:rsid w:val="00D85177"/>
    <w:rsid w:val="00D8532E"/>
    <w:rsid w:val="00D85494"/>
    <w:rsid w:val="00D85505"/>
    <w:rsid w:val="00D855C2"/>
    <w:rsid w:val="00D858D3"/>
    <w:rsid w:val="00D858E1"/>
    <w:rsid w:val="00D85A29"/>
    <w:rsid w:val="00D85A31"/>
    <w:rsid w:val="00D85A9C"/>
    <w:rsid w:val="00D85AC6"/>
    <w:rsid w:val="00D85B19"/>
    <w:rsid w:val="00D85BFF"/>
    <w:rsid w:val="00D85C64"/>
    <w:rsid w:val="00D85CE5"/>
    <w:rsid w:val="00D85DAB"/>
    <w:rsid w:val="00D8602E"/>
    <w:rsid w:val="00D8699E"/>
    <w:rsid w:val="00D86A51"/>
    <w:rsid w:val="00D86A67"/>
    <w:rsid w:val="00D86AF8"/>
    <w:rsid w:val="00D86B2E"/>
    <w:rsid w:val="00D86BA7"/>
    <w:rsid w:val="00D86BB8"/>
    <w:rsid w:val="00D86E77"/>
    <w:rsid w:val="00D87049"/>
    <w:rsid w:val="00D87159"/>
    <w:rsid w:val="00D8718D"/>
    <w:rsid w:val="00D873C3"/>
    <w:rsid w:val="00D879EE"/>
    <w:rsid w:val="00D900B8"/>
    <w:rsid w:val="00D900E7"/>
    <w:rsid w:val="00D90167"/>
    <w:rsid w:val="00D9024C"/>
    <w:rsid w:val="00D902D0"/>
    <w:rsid w:val="00D905F1"/>
    <w:rsid w:val="00D9068B"/>
    <w:rsid w:val="00D9086C"/>
    <w:rsid w:val="00D90B27"/>
    <w:rsid w:val="00D90B5D"/>
    <w:rsid w:val="00D90CA9"/>
    <w:rsid w:val="00D90CC5"/>
    <w:rsid w:val="00D90E28"/>
    <w:rsid w:val="00D90F27"/>
    <w:rsid w:val="00D91027"/>
    <w:rsid w:val="00D91065"/>
    <w:rsid w:val="00D9130C"/>
    <w:rsid w:val="00D914B3"/>
    <w:rsid w:val="00D91511"/>
    <w:rsid w:val="00D91569"/>
    <w:rsid w:val="00D915C9"/>
    <w:rsid w:val="00D91AAB"/>
    <w:rsid w:val="00D92097"/>
    <w:rsid w:val="00D9217C"/>
    <w:rsid w:val="00D922A7"/>
    <w:rsid w:val="00D92482"/>
    <w:rsid w:val="00D9276D"/>
    <w:rsid w:val="00D9292B"/>
    <w:rsid w:val="00D92A1C"/>
    <w:rsid w:val="00D92B65"/>
    <w:rsid w:val="00D92C8E"/>
    <w:rsid w:val="00D92D76"/>
    <w:rsid w:val="00D92DCC"/>
    <w:rsid w:val="00D92F27"/>
    <w:rsid w:val="00D93082"/>
    <w:rsid w:val="00D9324B"/>
    <w:rsid w:val="00D93258"/>
    <w:rsid w:val="00D9348C"/>
    <w:rsid w:val="00D936AF"/>
    <w:rsid w:val="00D93CE1"/>
    <w:rsid w:val="00D93DDF"/>
    <w:rsid w:val="00D93E35"/>
    <w:rsid w:val="00D940DC"/>
    <w:rsid w:val="00D941D8"/>
    <w:rsid w:val="00D94209"/>
    <w:rsid w:val="00D94C3B"/>
    <w:rsid w:val="00D94D78"/>
    <w:rsid w:val="00D94F26"/>
    <w:rsid w:val="00D950B1"/>
    <w:rsid w:val="00D9530F"/>
    <w:rsid w:val="00D9536B"/>
    <w:rsid w:val="00D958B1"/>
    <w:rsid w:val="00D95ACA"/>
    <w:rsid w:val="00D95AD3"/>
    <w:rsid w:val="00D95AF5"/>
    <w:rsid w:val="00D95FB4"/>
    <w:rsid w:val="00D95FC5"/>
    <w:rsid w:val="00D96351"/>
    <w:rsid w:val="00D964C9"/>
    <w:rsid w:val="00D966AD"/>
    <w:rsid w:val="00D966DC"/>
    <w:rsid w:val="00D967CD"/>
    <w:rsid w:val="00D96861"/>
    <w:rsid w:val="00D968C5"/>
    <w:rsid w:val="00D968CA"/>
    <w:rsid w:val="00D968F5"/>
    <w:rsid w:val="00D96A1E"/>
    <w:rsid w:val="00D96B6D"/>
    <w:rsid w:val="00D96BFC"/>
    <w:rsid w:val="00D96CA4"/>
    <w:rsid w:val="00D96FC4"/>
    <w:rsid w:val="00D9706B"/>
    <w:rsid w:val="00D9717C"/>
    <w:rsid w:val="00D9717E"/>
    <w:rsid w:val="00D974D4"/>
    <w:rsid w:val="00D97609"/>
    <w:rsid w:val="00D97629"/>
    <w:rsid w:val="00D9762D"/>
    <w:rsid w:val="00D9774D"/>
    <w:rsid w:val="00D977B4"/>
    <w:rsid w:val="00D97819"/>
    <w:rsid w:val="00D978D1"/>
    <w:rsid w:val="00D97FA8"/>
    <w:rsid w:val="00DA004F"/>
    <w:rsid w:val="00DA0178"/>
    <w:rsid w:val="00DA02B6"/>
    <w:rsid w:val="00DA0544"/>
    <w:rsid w:val="00DA06E1"/>
    <w:rsid w:val="00DA0A37"/>
    <w:rsid w:val="00DA0B15"/>
    <w:rsid w:val="00DA0C24"/>
    <w:rsid w:val="00DA0CDC"/>
    <w:rsid w:val="00DA0E93"/>
    <w:rsid w:val="00DA1004"/>
    <w:rsid w:val="00DA107B"/>
    <w:rsid w:val="00DA10BE"/>
    <w:rsid w:val="00DA13EC"/>
    <w:rsid w:val="00DA1437"/>
    <w:rsid w:val="00DA14E8"/>
    <w:rsid w:val="00DA167A"/>
    <w:rsid w:val="00DA1A14"/>
    <w:rsid w:val="00DA1DCE"/>
    <w:rsid w:val="00DA227C"/>
    <w:rsid w:val="00DA22BF"/>
    <w:rsid w:val="00DA22E4"/>
    <w:rsid w:val="00DA25A3"/>
    <w:rsid w:val="00DA270B"/>
    <w:rsid w:val="00DA2874"/>
    <w:rsid w:val="00DA29B1"/>
    <w:rsid w:val="00DA29D7"/>
    <w:rsid w:val="00DA2B0D"/>
    <w:rsid w:val="00DA2CFD"/>
    <w:rsid w:val="00DA2DD5"/>
    <w:rsid w:val="00DA2EE9"/>
    <w:rsid w:val="00DA2F08"/>
    <w:rsid w:val="00DA311A"/>
    <w:rsid w:val="00DA32EB"/>
    <w:rsid w:val="00DA3361"/>
    <w:rsid w:val="00DA349A"/>
    <w:rsid w:val="00DA34A6"/>
    <w:rsid w:val="00DA3596"/>
    <w:rsid w:val="00DA3A8E"/>
    <w:rsid w:val="00DA3AD2"/>
    <w:rsid w:val="00DA3D8B"/>
    <w:rsid w:val="00DA3FF7"/>
    <w:rsid w:val="00DA40A6"/>
    <w:rsid w:val="00DA463F"/>
    <w:rsid w:val="00DA46C2"/>
    <w:rsid w:val="00DA46F8"/>
    <w:rsid w:val="00DA48B3"/>
    <w:rsid w:val="00DA48EA"/>
    <w:rsid w:val="00DA4B46"/>
    <w:rsid w:val="00DA4B60"/>
    <w:rsid w:val="00DA4B74"/>
    <w:rsid w:val="00DA4EEA"/>
    <w:rsid w:val="00DA517E"/>
    <w:rsid w:val="00DA518C"/>
    <w:rsid w:val="00DA555E"/>
    <w:rsid w:val="00DA582F"/>
    <w:rsid w:val="00DA5902"/>
    <w:rsid w:val="00DA5A22"/>
    <w:rsid w:val="00DA5A83"/>
    <w:rsid w:val="00DA5D28"/>
    <w:rsid w:val="00DA5E52"/>
    <w:rsid w:val="00DA60B8"/>
    <w:rsid w:val="00DA6186"/>
    <w:rsid w:val="00DA62D9"/>
    <w:rsid w:val="00DA6571"/>
    <w:rsid w:val="00DA68FF"/>
    <w:rsid w:val="00DA6CFD"/>
    <w:rsid w:val="00DA6EB5"/>
    <w:rsid w:val="00DA7020"/>
    <w:rsid w:val="00DA7210"/>
    <w:rsid w:val="00DA7512"/>
    <w:rsid w:val="00DA7540"/>
    <w:rsid w:val="00DA76F0"/>
    <w:rsid w:val="00DA7A04"/>
    <w:rsid w:val="00DA7F37"/>
    <w:rsid w:val="00DB0043"/>
    <w:rsid w:val="00DB00B7"/>
    <w:rsid w:val="00DB00E8"/>
    <w:rsid w:val="00DB019C"/>
    <w:rsid w:val="00DB02FE"/>
    <w:rsid w:val="00DB0370"/>
    <w:rsid w:val="00DB05E1"/>
    <w:rsid w:val="00DB0B8B"/>
    <w:rsid w:val="00DB0C62"/>
    <w:rsid w:val="00DB0D8A"/>
    <w:rsid w:val="00DB0DEE"/>
    <w:rsid w:val="00DB0EB6"/>
    <w:rsid w:val="00DB127B"/>
    <w:rsid w:val="00DB13D3"/>
    <w:rsid w:val="00DB1672"/>
    <w:rsid w:val="00DB16D9"/>
    <w:rsid w:val="00DB1772"/>
    <w:rsid w:val="00DB18F6"/>
    <w:rsid w:val="00DB1985"/>
    <w:rsid w:val="00DB1A0C"/>
    <w:rsid w:val="00DB1CA3"/>
    <w:rsid w:val="00DB1D39"/>
    <w:rsid w:val="00DB1FF5"/>
    <w:rsid w:val="00DB2111"/>
    <w:rsid w:val="00DB215D"/>
    <w:rsid w:val="00DB239A"/>
    <w:rsid w:val="00DB244D"/>
    <w:rsid w:val="00DB27A0"/>
    <w:rsid w:val="00DB282A"/>
    <w:rsid w:val="00DB293A"/>
    <w:rsid w:val="00DB29D2"/>
    <w:rsid w:val="00DB2AD1"/>
    <w:rsid w:val="00DB2D64"/>
    <w:rsid w:val="00DB2F64"/>
    <w:rsid w:val="00DB3098"/>
    <w:rsid w:val="00DB31C3"/>
    <w:rsid w:val="00DB3215"/>
    <w:rsid w:val="00DB339E"/>
    <w:rsid w:val="00DB3486"/>
    <w:rsid w:val="00DB34D7"/>
    <w:rsid w:val="00DB3591"/>
    <w:rsid w:val="00DB3642"/>
    <w:rsid w:val="00DB369E"/>
    <w:rsid w:val="00DB3BA3"/>
    <w:rsid w:val="00DB3D31"/>
    <w:rsid w:val="00DB41C5"/>
    <w:rsid w:val="00DB41DD"/>
    <w:rsid w:val="00DB436B"/>
    <w:rsid w:val="00DB4378"/>
    <w:rsid w:val="00DB4463"/>
    <w:rsid w:val="00DB4568"/>
    <w:rsid w:val="00DB4722"/>
    <w:rsid w:val="00DB49C4"/>
    <w:rsid w:val="00DB4CC1"/>
    <w:rsid w:val="00DB4E40"/>
    <w:rsid w:val="00DB4E46"/>
    <w:rsid w:val="00DB4EDF"/>
    <w:rsid w:val="00DB5744"/>
    <w:rsid w:val="00DB5803"/>
    <w:rsid w:val="00DB5809"/>
    <w:rsid w:val="00DB58DB"/>
    <w:rsid w:val="00DB5927"/>
    <w:rsid w:val="00DB5C87"/>
    <w:rsid w:val="00DB5EB2"/>
    <w:rsid w:val="00DB5FD3"/>
    <w:rsid w:val="00DB63C0"/>
    <w:rsid w:val="00DB650E"/>
    <w:rsid w:val="00DB66D4"/>
    <w:rsid w:val="00DB6742"/>
    <w:rsid w:val="00DB6A26"/>
    <w:rsid w:val="00DB6B78"/>
    <w:rsid w:val="00DB6E5D"/>
    <w:rsid w:val="00DB6F1A"/>
    <w:rsid w:val="00DB71A7"/>
    <w:rsid w:val="00DB71AF"/>
    <w:rsid w:val="00DB72C9"/>
    <w:rsid w:val="00DB72D9"/>
    <w:rsid w:val="00DB737E"/>
    <w:rsid w:val="00DB759D"/>
    <w:rsid w:val="00DB7905"/>
    <w:rsid w:val="00DB79A1"/>
    <w:rsid w:val="00DB7D31"/>
    <w:rsid w:val="00DB7D50"/>
    <w:rsid w:val="00DB7D8D"/>
    <w:rsid w:val="00DC000B"/>
    <w:rsid w:val="00DC00E4"/>
    <w:rsid w:val="00DC01C1"/>
    <w:rsid w:val="00DC0220"/>
    <w:rsid w:val="00DC0244"/>
    <w:rsid w:val="00DC032A"/>
    <w:rsid w:val="00DC053E"/>
    <w:rsid w:val="00DC0668"/>
    <w:rsid w:val="00DC0687"/>
    <w:rsid w:val="00DC07F7"/>
    <w:rsid w:val="00DC0949"/>
    <w:rsid w:val="00DC09C0"/>
    <w:rsid w:val="00DC0AA0"/>
    <w:rsid w:val="00DC0B20"/>
    <w:rsid w:val="00DC0DE2"/>
    <w:rsid w:val="00DC0E09"/>
    <w:rsid w:val="00DC0E4B"/>
    <w:rsid w:val="00DC0E55"/>
    <w:rsid w:val="00DC1053"/>
    <w:rsid w:val="00DC13BB"/>
    <w:rsid w:val="00DC1824"/>
    <w:rsid w:val="00DC1862"/>
    <w:rsid w:val="00DC1AA9"/>
    <w:rsid w:val="00DC1B02"/>
    <w:rsid w:val="00DC1E0E"/>
    <w:rsid w:val="00DC1E70"/>
    <w:rsid w:val="00DC2014"/>
    <w:rsid w:val="00DC2224"/>
    <w:rsid w:val="00DC27ED"/>
    <w:rsid w:val="00DC28F0"/>
    <w:rsid w:val="00DC2906"/>
    <w:rsid w:val="00DC2A05"/>
    <w:rsid w:val="00DC2A8C"/>
    <w:rsid w:val="00DC2B42"/>
    <w:rsid w:val="00DC2F93"/>
    <w:rsid w:val="00DC30DC"/>
    <w:rsid w:val="00DC313F"/>
    <w:rsid w:val="00DC332C"/>
    <w:rsid w:val="00DC34A0"/>
    <w:rsid w:val="00DC35E2"/>
    <w:rsid w:val="00DC3750"/>
    <w:rsid w:val="00DC3A3A"/>
    <w:rsid w:val="00DC3AAD"/>
    <w:rsid w:val="00DC3D34"/>
    <w:rsid w:val="00DC3F1B"/>
    <w:rsid w:val="00DC4045"/>
    <w:rsid w:val="00DC4214"/>
    <w:rsid w:val="00DC454F"/>
    <w:rsid w:val="00DC45B0"/>
    <w:rsid w:val="00DC4B9B"/>
    <w:rsid w:val="00DC4E6B"/>
    <w:rsid w:val="00DC4F54"/>
    <w:rsid w:val="00DC50CE"/>
    <w:rsid w:val="00DC57EB"/>
    <w:rsid w:val="00DC5A2B"/>
    <w:rsid w:val="00DC5A6C"/>
    <w:rsid w:val="00DC5AA1"/>
    <w:rsid w:val="00DC5C7D"/>
    <w:rsid w:val="00DC5D1A"/>
    <w:rsid w:val="00DC608C"/>
    <w:rsid w:val="00DC61B9"/>
    <w:rsid w:val="00DC61DA"/>
    <w:rsid w:val="00DC62A3"/>
    <w:rsid w:val="00DC65F9"/>
    <w:rsid w:val="00DC69C7"/>
    <w:rsid w:val="00DC6C13"/>
    <w:rsid w:val="00DC70CD"/>
    <w:rsid w:val="00DC7279"/>
    <w:rsid w:val="00DC72C1"/>
    <w:rsid w:val="00DC72C5"/>
    <w:rsid w:val="00DC73B4"/>
    <w:rsid w:val="00DC73D2"/>
    <w:rsid w:val="00DC74CE"/>
    <w:rsid w:val="00DC799E"/>
    <w:rsid w:val="00DC7A71"/>
    <w:rsid w:val="00DC7A86"/>
    <w:rsid w:val="00DC7A92"/>
    <w:rsid w:val="00DC7D57"/>
    <w:rsid w:val="00DC7E22"/>
    <w:rsid w:val="00DC7E9A"/>
    <w:rsid w:val="00DD031C"/>
    <w:rsid w:val="00DD048E"/>
    <w:rsid w:val="00DD05F6"/>
    <w:rsid w:val="00DD0784"/>
    <w:rsid w:val="00DD07AE"/>
    <w:rsid w:val="00DD086E"/>
    <w:rsid w:val="00DD097A"/>
    <w:rsid w:val="00DD0B0A"/>
    <w:rsid w:val="00DD10C0"/>
    <w:rsid w:val="00DD10D0"/>
    <w:rsid w:val="00DD12E5"/>
    <w:rsid w:val="00DD135D"/>
    <w:rsid w:val="00DD1478"/>
    <w:rsid w:val="00DD17F3"/>
    <w:rsid w:val="00DD1B3F"/>
    <w:rsid w:val="00DD1B5D"/>
    <w:rsid w:val="00DD1BD0"/>
    <w:rsid w:val="00DD1D2F"/>
    <w:rsid w:val="00DD1F44"/>
    <w:rsid w:val="00DD2011"/>
    <w:rsid w:val="00DD245A"/>
    <w:rsid w:val="00DD25A0"/>
    <w:rsid w:val="00DD2642"/>
    <w:rsid w:val="00DD2765"/>
    <w:rsid w:val="00DD27EA"/>
    <w:rsid w:val="00DD2D4A"/>
    <w:rsid w:val="00DD2DB9"/>
    <w:rsid w:val="00DD2EDE"/>
    <w:rsid w:val="00DD2F85"/>
    <w:rsid w:val="00DD304A"/>
    <w:rsid w:val="00DD356B"/>
    <w:rsid w:val="00DD360A"/>
    <w:rsid w:val="00DD3BFD"/>
    <w:rsid w:val="00DD3C85"/>
    <w:rsid w:val="00DD3D20"/>
    <w:rsid w:val="00DD3D75"/>
    <w:rsid w:val="00DD3D95"/>
    <w:rsid w:val="00DD3DCF"/>
    <w:rsid w:val="00DD3E2E"/>
    <w:rsid w:val="00DD43A9"/>
    <w:rsid w:val="00DD45D6"/>
    <w:rsid w:val="00DD4850"/>
    <w:rsid w:val="00DD4932"/>
    <w:rsid w:val="00DD499D"/>
    <w:rsid w:val="00DD49F8"/>
    <w:rsid w:val="00DD4A03"/>
    <w:rsid w:val="00DD4C37"/>
    <w:rsid w:val="00DD4D99"/>
    <w:rsid w:val="00DD4E60"/>
    <w:rsid w:val="00DD4E85"/>
    <w:rsid w:val="00DD4F70"/>
    <w:rsid w:val="00DD4FCC"/>
    <w:rsid w:val="00DD5344"/>
    <w:rsid w:val="00DD5378"/>
    <w:rsid w:val="00DD540D"/>
    <w:rsid w:val="00DD572A"/>
    <w:rsid w:val="00DD5757"/>
    <w:rsid w:val="00DD5815"/>
    <w:rsid w:val="00DD5A04"/>
    <w:rsid w:val="00DD5A15"/>
    <w:rsid w:val="00DD5A16"/>
    <w:rsid w:val="00DD5B4B"/>
    <w:rsid w:val="00DD5BA9"/>
    <w:rsid w:val="00DD5DED"/>
    <w:rsid w:val="00DD5EC4"/>
    <w:rsid w:val="00DD60CB"/>
    <w:rsid w:val="00DD64AC"/>
    <w:rsid w:val="00DD6656"/>
    <w:rsid w:val="00DD6892"/>
    <w:rsid w:val="00DD6928"/>
    <w:rsid w:val="00DD69C1"/>
    <w:rsid w:val="00DD69FC"/>
    <w:rsid w:val="00DD6AEF"/>
    <w:rsid w:val="00DD6C00"/>
    <w:rsid w:val="00DD6EB6"/>
    <w:rsid w:val="00DD6FAA"/>
    <w:rsid w:val="00DD7025"/>
    <w:rsid w:val="00DD71DA"/>
    <w:rsid w:val="00DD7335"/>
    <w:rsid w:val="00DD74DA"/>
    <w:rsid w:val="00DD75FD"/>
    <w:rsid w:val="00DD7611"/>
    <w:rsid w:val="00DD781C"/>
    <w:rsid w:val="00DD7857"/>
    <w:rsid w:val="00DD78F2"/>
    <w:rsid w:val="00DD7CEC"/>
    <w:rsid w:val="00DD7D82"/>
    <w:rsid w:val="00DD7DB4"/>
    <w:rsid w:val="00DD7E9E"/>
    <w:rsid w:val="00DE00BA"/>
    <w:rsid w:val="00DE014A"/>
    <w:rsid w:val="00DE04B2"/>
    <w:rsid w:val="00DE06AC"/>
    <w:rsid w:val="00DE06FB"/>
    <w:rsid w:val="00DE0756"/>
    <w:rsid w:val="00DE0918"/>
    <w:rsid w:val="00DE09CF"/>
    <w:rsid w:val="00DE0ABC"/>
    <w:rsid w:val="00DE0D6E"/>
    <w:rsid w:val="00DE0FF8"/>
    <w:rsid w:val="00DE10FF"/>
    <w:rsid w:val="00DE13C2"/>
    <w:rsid w:val="00DE142E"/>
    <w:rsid w:val="00DE14BA"/>
    <w:rsid w:val="00DE14EB"/>
    <w:rsid w:val="00DE154F"/>
    <w:rsid w:val="00DE16C6"/>
    <w:rsid w:val="00DE16FC"/>
    <w:rsid w:val="00DE178C"/>
    <w:rsid w:val="00DE1810"/>
    <w:rsid w:val="00DE1A6B"/>
    <w:rsid w:val="00DE1B1C"/>
    <w:rsid w:val="00DE1C36"/>
    <w:rsid w:val="00DE1CD8"/>
    <w:rsid w:val="00DE1CF0"/>
    <w:rsid w:val="00DE1E31"/>
    <w:rsid w:val="00DE1E4F"/>
    <w:rsid w:val="00DE24C0"/>
    <w:rsid w:val="00DE25C1"/>
    <w:rsid w:val="00DE25C8"/>
    <w:rsid w:val="00DE261E"/>
    <w:rsid w:val="00DE2A03"/>
    <w:rsid w:val="00DE2F40"/>
    <w:rsid w:val="00DE2F79"/>
    <w:rsid w:val="00DE319B"/>
    <w:rsid w:val="00DE31AA"/>
    <w:rsid w:val="00DE32C6"/>
    <w:rsid w:val="00DE33DE"/>
    <w:rsid w:val="00DE33F9"/>
    <w:rsid w:val="00DE34AA"/>
    <w:rsid w:val="00DE363E"/>
    <w:rsid w:val="00DE36F6"/>
    <w:rsid w:val="00DE3717"/>
    <w:rsid w:val="00DE3A3A"/>
    <w:rsid w:val="00DE3A9B"/>
    <w:rsid w:val="00DE3BEA"/>
    <w:rsid w:val="00DE3FE4"/>
    <w:rsid w:val="00DE401D"/>
    <w:rsid w:val="00DE406F"/>
    <w:rsid w:val="00DE40AD"/>
    <w:rsid w:val="00DE456B"/>
    <w:rsid w:val="00DE4672"/>
    <w:rsid w:val="00DE46E9"/>
    <w:rsid w:val="00DE47E5"/>
    <w:rsid w:val="00DE4917"/>
    <w:rsid w:val="00DE4A98"/>
    <w:rsid w:val="00DE4BF3"/>
    <w:rsid w:val="00DE4EE3"/>
    <w:rsid w:val="00DE4F84"/>
    <w:rsid w:val="00DE5473"/>
    <w:rsid w:val="00DE56E9"/>
    <w:rsid w:val="00DE5935"/>
    <w:rsid w:val="00DE5AA1"/>
    <w:rsid w:val="00DE5B58"/>
    <w:rsid w:val="00DE5C6B"/>
    <w:rsid w:val="00DE5CCF"/>
    <w:rsid w:val="00DE5D7B"/>
    <w:rsid w:val="00DE5E1A"/>
    <w:rsid w:val="00DE5E72"/>
    <w:rsid w:val="00DE5F60"/>
    <w:rsid w:val="00DE60C8"/>
    <w:rsid w:val="00DE62DC"/>
    <w:rsid w:val="00DE6447"/>
    <w:rsid w:val="00DE6665"/>
    <w:rsid w:val="00DE67FA"/>
    <w:rsid w:val="00DE6993"/>
    <w:rsid w:val="00DE69A4"/>
    <w:rsid w:val="00DE6C66"/>
    <w:rsid w:val="00DE6C9D"/>
    <w:rsid w:val="00DE7031"/>
    <w:rsid w:val="00DE720F"/>
    <w:rsid w:val="00DE7343"/>
    <w:rsid w:val="00DE768A"/>
    <w:rsid w:val="00DE76BD"/>
    <w:rsid w:val="00DE76CA"/>
    <w:rsid w:val="00DE775D"/>
    <w:rsid w:val="00DE7BDA"/>
    <w:rsid w:val="00DE7C0D"/>
    <w:rsid w:val="00DE7D9D"/>
    <w:rsid w:val="00DE7FB5"/>
    <w:rsid w:val="00DF0065"/>
    <w:rsid w:val="00DF0187"/>
    <w:rsid w:val="00DF04CC"/>
    <w:rsid w:val="00DF0624"/>
    <w:rsid w:val="00DF07A8"/>
    <w:rsid w:val="00DF0847"/>
    <w:rsid w:val="00DF0905"/>
    <w:rsid w:val="00DF09B4"/>
    <w:rsid w:val="00DF0DE7"/>
    <w:rsid w:val="00DF1312"/>
    <w:rsid w:val="00DF1482"/>
    <w:rsid w:val="00DF1D74"/>
    <w:rsid w:val="00DF1DEC"/>
    <w:rsid w:val="00DF1F5A"/>
    <w:rsid w:val="00DF2196"/>
    <w:rsid w:val="00DF225E"/>
    <w:rsid w:val="00DF26C0"/>
    <w:rsid w:val="00DF291C"/>
    <w:rsid w:val="00DF294A"/>
    <w:rsid w:val="00DF2C2D"/>
    <w:rsid w:val="00DF2C2E"/>
    <w:rsid w:val="00DF2D54"/>
    <w:rsid w:val="00DF2DC9"/>
    <w:rsid w:val="00DF3278"/>
    <w:rsid w:val="00DF3353"/>
    <w:rsid w:val="00DF3565"/>
    <w:rsid w:val="00DF364B"/>
    <w:rsid w:val="00DF3705"/>
    <w:rsid w:val="00DF3748"/>
    <w:rsid w:val="00DF3884"/>
    <w:rsid w:val="00DF3A0B"/>
    <w:rsid w:val="00DF3A5E"/>
    <w:rsid w:val="00DF3BD4"/>
    <w:rsid w:val="00DF3BE5"/>
    <w:rsid w:val="00DF3BFF"/>
    <w:rsid w:val="00DF3DAD"/>
    <w:rsid w:val="00DF3E57"/>
    <w:rsid w:val="00DF3F05"/>
    <w:rsid w:val="00DF415C"/>
    <w:rsid w:val="00DF46C8"/>
    <w:rsid w:val="00DF4AA1"/>
    <w:rsid w:val="00DF4B21"/>
    <w:rsid w:val="00DF4BB7"/>
    <w:rsid w:val="00DF4CF8"/>
    <w:rsid w:val="00DF517E"/>
    <w:rsid w:val="00DF54D7"/>
    <w:rsid w:val="00DF567A"/>
    <w:rsid w:val="00DF569D"/>
    <w:rsid w:val="00DF56DC"/>
    <w:rsid w:val="00DF571B"/>
    <w:rsid w:val="00DF5C6D"/>
    <w:rsid w:val="00DF5D4B"/>
    <w:rsid w:val="00DF5E34"/>
    <w:rsid w:val="00DF5E7A"/>
    <w:rsid w:val="00DF6055"/>
    <w:rsid w:val="00DF6066"/>
    <w:rsid w:val="00DF6096"/>
    <w:rsid w:val="00DF669B"/>
    <w:rsid w:val="00DF67A7"/>
    <w:rsid w:val="00DF6C4D"/>
    <w:rsid w:val="00DF7177"/>
    <w:rsid w:val="00DF745D"/>
    <w:rsid w:val="00DF7622"/>
    <w:rsid w:val="00DF76B5"/>
    <w:rsid w:val="00DF78A9"/>
    <w:rsid w:val="00DF7B84"/>
    <w:rsid w:val="00DF7B8E"/>
    <w:rsid w:val="00DF7BE4"/>
    <w:rsid w:val="00DF7E50"/>
    <w:rsid w:val="00DF7F59"/>
    <w:rsid w:val="00DF7F91"/>
    <w:rsid w:val="00E00516"/>
    <w:rsid w:val="00E0087C"/>
    <w:rsid w:val="00E00FE4"/>
    <w:rsid w:val="00E010B3"/>
    <w:rsid w:val="00E01112"/>
    <w:rsid w:val="00E0117C"/>
    <w:rsid w:val="00E01273"/>
    <w:rsid w:val="00E01443"/>
    <w:rsid w:val="00E016E0"/>
    <w:rsid w:val="00E01816"/>
    <w:rsid w:val="00E0189F"/>
    <w:rsid w:val="00E018B6"/>
    <w:rsid w:val="00E01921"/>
    <w:rsid w:val="00E01999"/>
    <w:rsid w:val="00E0199C"/>
    <w:rsid w:val="00E01DF3"/>
    <w:rsid w:val="00E01E81"/>
    <w:rsid w:val="00E01EE5"/>
    <w:rsid w:val="00E0213B"/>
    <w:rsid w:val="00E021F4"/>
    <w:rsid w:val="00E022C7"/>
    <w:rsid w:val="00E02345"/>
    <w:rsid w:val="00E02360"/>
    <w:rsid w:val="00E024EE"/>
    <w:rsid w:val="00E0261E"/>
    <w:rsid w:val="00E02A85"/>
    <w:rsid w:val="00E02B20"/>
    <w:rsid w:val="00E02B4E"/>
    <w:rsid w:val="00E02BC7"/>
    <w:rsid w:val="00E02C38"/>
    <w:rsid w:val="00E02C85"/>
    <w:rsid w:val="00E0301F"/>
    <w:rsid w:val="00E030EC"/>
    <w:rsid w:val="00E03213"/>
    <w:rsid w:val="00E03732"/>
    <w:rsid w:val="00E03773"/>
    <w:rsid w:val="00E037D2"/>
    <w:rsid w:val="00E03825"/>
    <w:rsid w:val="00E0386A"/>
    <w:rsid w:val="00E0416B"/>
    <w:rsid w:val="00E042B4"/>
    <w:rsid w:val="00E04506"/>
    <w:rsid w:val="00E0468E"/>
    <w:rsid w:val="00E04AA6"/>
    <w:rsid w:val="00E04B05"/>
    <w:rsid w:val="00E04D2B"/>
    <w:rsid w:val="00E04DC6"/>
    <w:rsid w:val="00E04FEA"/>
    <w:rsid w:val="00E04FF9"/>
    <w:rsid w:val="00E0503B"/>
    <w:rsid w:val="00E052FB"/>
    <w:rsid w:val="00E0532B"/>
    <w:rsid w:val="00E05371"/>
    <w:rsid w:val="00E055EA"/>
    <w:rsid w:val="00E0582E"/>
    <w:rsid w:val="00E058F6"/>
    <w:rsid w:val="00E059DF"/>
    <w:rsid w:val="00E05B62"/>
    <w:rsid w:val="00E05EFA"/>
    <w:rsid w:val="00E061CA"/>
    <w:rsid w:val="00E0658E"/>
    <w:rsid w:val="00E065C6"/>
    <w:rsid w:val="00E066CD"/>
    <w:rsid w:val="00E06813"/>
    <w:rsid w:val="00E06855"/>
    <w:rsid w:val="00E06947"/>
    <w:rsid w:val="00E06A4D"/>
    <w:rsid w:val="00E06A61"/>
    <w:rsid w:val="00E06CFA"/>
    <w:rsid w:val="00E0719A"/>
    <w:rsid w:val="00E072C9"/>
    <w:rsid w:val="00E07509"/>
    <w:rsid w:val="00E07A0E"/>
    <w:rsid w:val="00E07AFA"/>
    <w:rsid w:val="00E07CAC"/>
    <w:rsid w:val="00E07F95"/>
    <w:rsid w:val="00E10069"/>
    <w:rsid w:val="00E10242"/>
    <w:rsid w:val="00E10348"/>
    <w:rsid w:val="00E10725"/>
    <w:rsid w:val="00E108FB"/>
    <w:rsid w:val="00E1094F"/>
    <w:rsid w:val="00E10A3F"/>
    <w:rsid w:val="00E10C3F"/>
    <w:rsid w:val="00E111B0"/>
    <w:rsid w:val="00E1120E"/>
    <w:rsid w:val="00E11622"/>
    <w:rsid w:val="00E11647"/>
    <w:rsid w:val="00E11DE8"/>
    <w:rsid w:val="00E11F05"/>
    <w:rsid w:val="00E11F8E"/>
    <w:rsid w:val="00E123CA"/>
    <w:rsid w:val="00E12577"/>
    <w:rsid w:val="00E12BE1"/>
    <w:rsid w:val="00E130CD"/>
    <w:rsid w:val="00E132BB"/>
    <w:rsid w:val="00E132E2"/>
    <w:rsid w:val="00E133FB"/>
    <w:rsid w:val="00E13473"/>
    <w:rsid w:val="00E135C0"/>
    <w:rsid w:val="00E13629"/>
    <w:rsid w:val="00E13672"/>
    <w:rsid w:val="00E137CF"/>
    <w:rsid w:val="00E13928"/>
    <w:rsid w:val="00E13AD2"/>
    <w:rsid w:val="00E13B16"/>
    <w:rsid w:val="00E13D3C"/>
    <w:rsid w:val="00E13F14"/>
    <w:rsid w:val="00E140B8"/>
    <w:rsid w:val="00E1420E"/>
    <w:rsid w:val="00E1422F"/>
    <w:rsid w:val="00E14535"/>
    <w:rsid w:val="00E14621"/>
    <w:rsid w:val="00E147B3"/>
    <w:rsid w:val="00E147FE"/>
    <w:rsid w:val="00E1485F"/>
    <w:rsid w:val="00E14AEC"/>
    <w:rsid w:val="00E14F18"/>
    <w:rsid w:val="00E150A0"/>
    <w:rsid w:val="00E150FD"/>
    <w:rsid w:val="00E15225"/>
    <w:rsid w:val="00E1535E"/>
    <w:rsid w:val="00E15366"/>
    <w:rsid w:val="00E1548C"/>
    <w:rsid w:val="00E154E0"/>
    <w:rsid w:val="00E1563C"/>
    <w:rsid w:val="00E156E1"/>
    <w:rsid w:val="00E15BA4"/>
    <w:rsid w:val="00E15F9E"/>
    <w:rsid w:val="00E16078"/>
    <w:rsid w:val="00E1615F"/>
    <w:rsid w:val="00E161C7"/>
    <w:rsid w:val="00E16241"/>
    <w:rsid w:val="00E16412"/>
    <w:rsid w:val="00E16522"/>
    <w:rsid w:val="00E166AD"/>
    <w:rsid w:val="00E166BC"/>
    <w:rsid w:val="00E16992"/>
    <w:rsid w:val="00E16BEC"/>
    <w:rsid w:val="00E1734C"/>
    <w:rsid w:val="00E175B1"/>
    <w:rsid w:val="00E17785"/>
    <w:rsid w:val="00E17865"/>
    <w:rsid w:val="00E17897"/>
    <w:rsid w:val="00E178A2"/>
    <w:rsid w:val="00E178DB"/>
    <w:rsid w:val="00E1792B"/>
    <w:rsid w:val="00E17AD2"/>
    <w:rsid w:val="00E20255"/>
    <w:rsid w:val="00E20330"/>
    <w:rsid w:val="00E20475"/>
    <w:rsid w:val="00E204F9"/>
    <w:rsid w:val="00E20511"/>
    <w:rsid w:val="00E20520"/>
    <w:rsid w:val="00E205C1"/>
    <w:rsid w:val="00E205EB"/>
    <w:rsid w:val="00E20624"/>
    <w:rsid w:val="00E20650"/>
    <w:rsid w:val="00E2089B"/>
    <w:rsid w:val="00E20A8C"/>
    <w:rsid w:val="00E20B8E"/>
    <w:rsid w:val="00E20C32"/>
    <w:rsid w:val="00E20CA5"/>
    <w:rsid w:val="00E20D4A"/>
    <w:rsid w:val="00E20EC7"/>
    <w:rsid w:val="00E20F4B"/>
    <w:rsid w:val="00E21000"/>
    <w:rsid w:val="00E210D4"/>
    <w:rsid w:val="00E212E3"/>
    <w:rsid w:val="00E21382"/>
    <w:rsid w:val="00E215E1"/>
    <w:rsid w:val="00E216F4"/>
    <w:rsid w:val="00E21A79"/>
    <w:rsid w:val="00E21ABC"/>
    <w:rsid w:val="00E21ACF"/>
    <w:rsid w:val="00E21D38"/>
    <w:rsid w:val="00E21ECB"/>
    <w:rsid w:val="00E21EFD"/>
    <w:rsid w:val="00E22045"/>
    <w:rsid w:val="00E223CB"/>
    <w:rsid w:val="00E2249F"/>
    <w:rsid w:val="00E22555"/>
    <w:rsid w:val="00E22693"/>
    <w:rsid w:val="00E22C8D"/>
    <w:rsid w:val="00E22F81"/>
    <w:rsid w:val="00E23244"/>
    <w:rsid w:val="00E23383"/>
    <w:rsid w:val="00E23737"/>
    <w:rsid w:val="00E237B3"/>
    <w:rsid w:val="00E238AD"/>
    <w:rsid w:val="00E23926"/>
    <w:rsid w:val="00E239D1"/>
    <w:rsid w:val="00E23C0C"/>
    <w:rsid w:val="00E2404F"/>
    <w:rsid w:val="00E24146"/>
    <w:rsid w:val="00E246ED"/>
    <w:rsid w:val="00E24791"/>
    <w:rsid w:val="00E2480F"/>
    <w:rsid w:val="00E24810"/>
    <w:rsid w:val="00E2482A"/>
    <w:rsid w:val="00E248CC"/>
    <w:rsid w:val="00E24B50"/>
    <w:rsid w:val="00E24C4C"/>
    <w:rsid w:val="00E24DA9"/>
    <w:rsid w:val="00E2525C"/>
    <w:rsid w:val="00E256C7"/>
    <w:rsid w:val="00E259D5"/>
    <w:rsid w:val="00E259E3"/>
    <w:rsid w:val="00E25A82"/>
    <w:rsid w:val="00E25B63"/>
    <w:rsid w:val="00E25FFD"/>
    <w:rsid w:val="00E26AC1"/>
    <w:rsid w:val="00E26AE2"/>
    <w:rsid w:val="00E26DA8"/>
    <w:rsid w:val="00E26F0F"/>
    <w:rsid w:val="00E276BF"/>
    <w:rsid w:val="00E277ED"/>
    <w:rsid w:val="00E27BB1"/>
    <w:rsid w:val="00E27C19"/>
    <w:rsid w:val="00E27C62"/>
    <w:rsid w:val="00E30022"/>
    <w:rsid w:val="00E30165"/>
    <w:rsid w:val="00E30289"/>
    <w:rsid w:val="00E302C0"/>
    <w:rsid w:val="00E30366"/>
    <w:rsid w:val="00E30415"/>
    <w:rsid w:val="00E30759"/>
    <w:rsid w:val="00E30D88"/>
    <w:rsid w:val="00E30EC5"/>
    <w:rsid w:val="00E31027"/>
    <w:rsid w:val="00E311C5"/>
    <w:rsid w:val="00E312F9"/>
    <w:rsid w:val="00E3137C"/>
    <w:rsid w:val="00E313A3"/>
    <w:rsid w:val="00E3163B"/>
    <w:rsid w:val="00E316AA"/>
    <w:rsid w:val="00E317B6"/>
    <w:rsid w:val="00E3199B"/>
    <w:rsid w:val="00E31B2F"/>
    <w:rsid w:val="00E31B43"/>
    <w:rsid w:val="00E31C22"/>
    <w:rsid w:val="00E31D73"/>
    <w:rsid w:val="00E31D81"/>
    <w:rsid w:val="00E31E70"/>
    <w:rsid w:val="00E31FDB"/>
    <w:rsid w:val="00E322B4"/>
    <w:rsid w:val="00E324B8"/>
    <w:rsid w:val="00E327BB"/>
    <w:rsid w:val="00E328AE"/>
    <w:rsid w:val="00E329D8"/>
    <w:rsid w:val="00E32BFA"/>
    <w:rsid w:val="00E32C62"/>
    <w:rsid w:val="00E32EC4"/>
    <w:rsid w:val="00E32F54"/>
    <w:rsid w:val="00E32FA8"/>
    <w:rsid w:val="00E3316D"/>
    <w:rsid w:val="00E332B2"/>
    <w:rsid w:val="00E332C7"/>
    <w:rsid w:val="00E335C9"/>
    <w:rsid w:val="00E33B0C"/>
    <w:rsid w:val="00E33B76"/>
    <w:rsid w:val="00E33D4C"/>
    <w:rsid w:val="00E33D88"/>
    <w:rsid w:val="00E33F66"/>
    <w:rsid w:val="00E33FA3"/>
    <w:rsid w:val="00E34070"/>
    <w:rsid w:val="00E344CD"/>
    <w:rsid w:val="00E346DB"/>
    <w:rsid w:val="00E34752"/>
    <w:rsid w:val="00E34A91"/>
    <w:rsid w:val="00E34AAE"/>
    <w:rsid w:val="00E34C3B"/>
    <w:rsid w:val="00E34D70"/>
    <w:rsid w:val="00E34F7C"/>
    <w:rsid w:val="00E34FD7"/>
    <w:rsid w:val="00E351F8"/>
    <w:rsid w:val="00E3533C"/>
    <w:rsid w:val="00E35613"/>
    <w:rsid w:val="00E35628"/>
    <w:rsid w:val="00E35B10"/>
    <w:rsid w:val="00E35B45"/>
    <w:rsid w:val="00E35E83"/>
    <w:rsid w:val="00E3617E"/>
    <w:rsid w:val="00E3623A"/>
    <w:rsid w:val="00E362DE"/>
    <w:rsid w:val="00E363B4"/>
    <w:rsid w:val="00E363EE"/>
    <w:rsid w:val="00E36423"/>
    <w:rsid w:val="00E3645D"/>
    <w:rsid w:val="00E366F5"/>
    <w:rsid w:val="00E3674D"/>
    <w:rsid w:val="00E367F0"/>
    <w:rsid w:val="00E3690C"/>
    <w:rsid w:val="00E369A1"/>
    <w:rsid w:val="00E36A29"/>
    <w:rsid w:val="00E36A7E"/>
    <w:rsid w:val="00E36B54"/>
    <w:rsid w:val="00E36B9E"/>
    <w:rsid w:val="00E36BBE"/>
    <w:rsid w:val="00E36CE8"/>
    <w:rsid w:val="00E36F6D"/>
    <w:rsid w:val="00E37196"/>
    <w:rsid w:val="00E3724F"/>
    <w:rsid w:val="00E37283"/>
    <w:rsid w:val="00E372BE"/>
    <w:rsid w:val="00E3733A"/>
    <w:rsid w:val="00E375DF"/>
    <w:rsid w:val="00E379DC"/>
    <w:rsid w:val="00E37B2E"/>
    <w:rsid w:val="00E37BB1"/>
    <w:rsid w:val="00E37F07"/>
    <w:rsid w:val="00E37F56"/>
    <w:rsid w:val="00E40217"/>
    <w:rsid w:val="00E40401"/>
    <w:rsid w:val="00E4040E"/>
    <w:rsid w:val="00E4045B"/>
    <w:rsid w:val="00E404A8"/>
    <w:rsid w:val="00E40652"/>
    <w:rsid w:val="00E40672"/>
    <w:rsid w:val="00E40893"/>
    <w:rsid w:val="00E40905"/>
    <w:rsid w:val="00E4092A"/>
    <w:rsid w:val="00E40E33"/>
    <w:rsid w:val="00E40E8A"/>
    <w:rsid w:val="00E40F1D"/>
    <w:rsid w:val="00E410AA"/>
    <w:rsid w:val="00E41132"/>
    <w:rsid w:val="00E413C3"/>
    <w:rsid w:val="00E41854"/>
    <w:rsid w:val="00E418F8"/>
    <w:rsid w:val="00E41AD5"/>
    <w:rsid w:val="00E41DE1"/>
    <w:rsid w:val="00E41E65"/>
    <w:rsid w:val="00E41FC9"/>
    <w:rsid w:val="00E4228B"/>
    <w:rsid w:val="00E42568"/>
    <w:rsid w:val="00E426FB"/>
    <w:rsid w:val="00E4286C"/>
    <w:rsid w:val="00E42975"/>
    <w:rsid w:val="00E42AB6"/>
    <w:rsid w:val="00E42ACC"/>
    <w:rsid w:val="00E42C00"/>
    <w:rsid w:val="00E42E83"/>
    <w:rsid w:val="00E42F21"/>
    <w:rsid w:val="00E42F43"/>
    <w:rsid w:val="00E43006"/>
    <w:rsid w:val="00E43033"/>
    <w:rsid w:val="00E43036"/>
    <w:rsid w:val="00E431CE"/>
    <w:rsid w:val="00E43369"/>
    <w:rsid w:val="00E4350E"/>
    <w:rsid w:val="00E43592"/>
    <w:rsid w:val="00E436E0"/>
    <w:rsid w:val="00E4376B"/>
    <w:rsid w:val="00E43787"/>
    <w:rsid w:val="00E437F0"/>
    <w:rsid w:val="00E43F18"/>
    <w:rsid w:val="00E43F9B"/>
    <w:rsid w:val="00E440B8"/>
    <w:rsid w:val="00E442C4"/>
    <w:rsid w:val="00E44731"/>
    <w:rsid w:val="00E44740"/>
    <w:rsid w:val="00E44D94"/>
    <w:rsid w:val="00E44F75"/>
    <w:rsid w:val="00E4505D"/>
    <w:rsid w:val="00E45276"/>
    <w:rsid w:val="00E4538E"/>
    <w:rsid w:val="00E455FE"/>
    <w:rsid w:val="00E458C7"/>
    <w:rsid w:val="00E45CF5"/>
    <w:rsid w:val="00E45F07"/>
    <w:rsid w:val="00E46165"/>
    <w:rsid w:val="00E46236"/>
    <w:rsid w:val="00E46241"/>
    <w:rsid w:val="00E46326"/>
    <w:rsid w:val="00E465DE"/>
    <w:rsid w:val="00E4660B"/>
    <w:rsid w:val="00E46B0C"/>
    <w:rsid w:val="00E46B66"/>
    <w:rsid w:val="00E46DBD"/>
    <w:rsid w:val="00E46EF6"/>
    <w:rsid w:val="00E4703F"/>
    <w:rsid w:val="00E47069"/>
    <w:rsid w:val="00E4742D"/>
    <w:rsid w:val="00E47440"/>
    <w:rsid w:val="00E475AA"/>
    <w:rsid w:val="00E478AC"/>
    <w:rsid w:val="00E479BF"/>
    <w:rsid w:val="00E47A09"/>
    <w:rsid w:val="00E47B35"/>
    <w:rsid w:val="00E47D62"/>
    <w:rsid w:val="00E5005A"/>
    <w:rsid w:val="00E501A9"/>
    <w:rsid w:val="00E5027D"/>
    <w:rsid w:val="00E50286"/>
    <w:rsid w:val="00E503B9"/>
    <w:rsid w:val="00E5056F"/>
    <w:rsid w:val="00E50757"/>
    <w:rsid w:val="00E50C9E"/>
    <w:rsid w:val="00E50E01"/>
    <w:rsid w:val="00E511F4"/>
    <w:rsid w:val="00E51301"/>
    <w:rsid w:val="00E51389"/>
    <w:rsid w:val="00E51505"/>
    <w:rsid w:val="00E516F8"/>
    <w:rsid w:val="00E519DF"/>
    <w:rsid w:val="00E51A99"/>
    <w:rsid w:val="00E51D04"/>
    <w:rsid w:val="00E51D7A"/>
    <w:rsid w:val="00E51F63"/>
    <w:rsid w:val="00E52256"/>
    <w:rsid w:val="00E52335"/>
    <w:rsid w:val="00E523E3"/>
    <w:rsid w:val="00E525C2"/>
    <w:rsid w:val="00E526B4"/>
    <w:rsid w:val="00E5290D"/>
    <w:rsid w:val="00E52913"/>
    <w:rsid w:val="00E52A90"/>
    <w:rsid w:val="00E52ACA"/>
    <w:rsid w:val="00E52B3A"/>
    <w:rsid w:val="00E52BBE"/>
    <w:rsid w:val="00E52CA4"/>
    <w:rsid w:val="00E52E6F"/>
    <w:rsid w:val="00E52F94"/>
    <w:rsid w:val="00E530A7"/>
    <w:rsid w:val="00E533C4"/>
    <w:rsid w:val="00E5374F"/>
    <w:rsid w:val="00E53847"/>
    <w:rsid w:val="00E53ABE"/>
    <w:rsid w:val="00E53B50"/>
    <w:rsid w:val="00E53C1E"/>
    <w:rsid w:val="00E53FCA"/>
    <w:rsid w:val="00E54372"/>
    <w:rsid w:val="00E5444B"/>
    <w:rsid w:val="00E5455B"/>
    <w:rsid w:val="00E545E8"/>
    <w:rsid w:val="00E5465E"/>
    <w:rsid w:val="00E54809"/>
    <w:rsid w:val="00E54905"/>
    <w:rsid w:val="00E54B55"/>
    <w:rsid w:val="00E54BAA"/>
    <w:rsid w:val="00E54D45"/>
    <w:rsid w:val="00E54F76"/>
    <w:rsid w:val="00E5501D"/>
    <w:rsid w:val="00E55086"/>
    <w:rsid w:val="00E552B6"/>
    <w:rsid w:val="00E552F7"/>
    <w:rsid w:val="00E555E7"/>
    <w:rsid w:val="00E559C6"/>
    <w:rsid w:val="00E55AA9"/>
    <w:rsid w:val="00E55B0F"/>
    <w:rsid w:val="00E55C25"/>
    <w:rsid w:val="00E55C53"/>
    <w:rsid w:val="00E55C61"/>
    <w:rsid w:val="00E55CA6"/>
    <w:rsid w:val="00E55D04"/>
    <w:rsid w:val="00E55DA8"/>
    <w:rsid w:val="00E55FEE"/>
    <w:rsid w:val="00E5604B"/>
    <w:rsid w:val="00E560B8"/>
    <w:rsid w:val="00E560DB"/>
    <w:rsid w:val="00E5636D"/>
    <w:rsid w:val="00E5647C"/>
    <w:rsid w:val="00E567AD"/>
    <w:rsid w:val="00E567AF"/>
    <w:rsid w:val="00E567ED"/>
    <w:rsid w:val="00E569AA"/>
    <w:rsid w:val="00E56ACB"/>
    <w:rsid w:val="00E56B41"/>
    <w:rsid w:val="00E56C4B"/>
    <w:rsid w:val="00E56EB8"/>
    <w:rsid w:val="00E571D5"/>
    <w:rsid w:val="00E57526"/>
    <w:rsid w:val="00E575FF"/>
    <w:rsid w:val="00E57B9F"/>
    <w:rsid w:val="00E57D31"/>
    <w:rsid w:val="00E57D9F"/>
    <w:rsid w:val="00E57F02"/>
    <w:rsid w:val="00E57FDD"/>
    <w:rsid w:val="00E60250"/>
    <w:rsid w:val="00E60631"/>
    <w:rsid w:val="00E60897"/>
    <w:rsid w:val="00E6089B"/>
    <w:rsid w:val="00E60A11"/>
    <w:rsid w:val="00E60AE3"/>
    <w:rsid w:val="00E60D8B"/>
    <w:rsid w:val="00E60E9F"/>
    <w:rsid w:val="00E60FD8"/>
    <w:rsid w:val="00E6148C"/>
    <w:rsid w:val="00E618BC"/>
    <w:rsid w:val="00E61A66"/>
    <w:rsid w:val="00E61B81"/>
    <w:rsid w:val="00E61C6B"/>
    <w:rsid w:val="00E61DED"/>
    <w:rsid w:val="00E61FDC"/>
    <w:rsid w:val="00E62239"/>
    <w:rsid w:val="00E626E9"/>
    <w:rsid w:val="00E627E9"/>
    <w:rsid w:val="00E6295B"/>
    <w:rsid w:val="00E62C15"/>
    <w:rsid w:val="00E62DA3"/>
    <w:rsid w:val="00E62F0E"/>
    <w:rsid w:val="00E62FF3"/>
    <w:rsid w:val="00E631CF"/>
    <w:rsid w:val="00E63289"/>
    <w:rsid w:val="00E635B5"/>
    <w:rsid w:val="00E63653"/>
    <w:rsid w:val="00E63752"/>
    <w:rsid w:val="00E63C2C"/>
    <w:rsid w:val="00E63CA1"/>
    <w:rsid w:val="00E63F6E"/>
    <w:rsid w:val="00E64047"/>
    <w:rsid w:val="00E640C3"/>
    <w:rsid w:val="00E6448E"/>
    <w:rsid w:val="00E64688"/>
    <w:rsid w:val="00E649DA"/>
    <w:rsid w:val="00E64BB9"/>
    <w:rsid w:val="00E64D5C"/>
    <w:rsid w:val="00E64E89"/>
    <w:rsid w:val="00E64F1D"/>
    <w:rsid w:val="00E65049"/>
    <w:rsid w:val="00E65127"/>
    <w:rsid w:val="00E6513F"/>
    <w:rsid w:val="00E65346"/>
    <w:rsid w:val="00E653F0"/>
    <w:rsid w:val="00E655E9"/>
    <w:rsid w:val="00E65630"/>
    <w:rsid w:val="00E6566B"/>
    <w:rsid w:val="00E657B6"/>
    <w:rsid w:val="00E657CD"/>
    <w:rsid w:val="00E65856"/>
    <w:rsid w:val="00E65A1C"/>
    <w:rsid w:val="00E65B8F"/>
    <w:rsid w:val="00E65BE3"/>
    <w:rsid w:val="00E65CF0"/>
    <w:rsid w:val="00E65CF7"/>
    <w:rsid w:val="00E65E62"/>
    <w:rsid w:val="00E65FED"/>
    <w:rsid w:val="00E66072"/>
    <w:rsid w:val="00E660AE"/>
    <w:rsid w:val="00E662EC"/>
    <w:rsid w:val="00E666C1"/>
    <w:rsid w:val="00E668BE"/>
    <w:rsid w:val="00E668CB"/>
    <w:rsid w:val="00E66964"/>
    <w:rsid w:val="00E66AAB"/>
    <w:rsid w:val="00E66AB3"/>
    <w:rsid w:val="00E6700F"/>
    <w:rsid w:val="00E67334"/>
    <w:rsid w:val="00E67340"/>
    <w:rsid w:val="00E673AB"/>
    <w:rsid w:val="00E67589"/>
    <w:rsid w:val="00E677D0"/>
    <w:rsid w:val="00E6785C"/>
    <w:rsid w:val="00E67990"/>
    <w:rsid w:val="00E679CC"/>
    <w:rsid w:val="00E67A5C"/>
    <w:rsid w:val="00E67C53"/>
    <w:rsid w:val="00E67D38"/>
    <w:rsid w:val="00E67D4F"/>
    <w:rsid w:val="00E67D9D"/>
    <w:rsid w:val="00E67E22"/>
    <w:rsid w:val="00E7014D"/>
    <w:rsid w:val="00E705A7"/>
    <w:rsid w:val="00E707A1"/>
    <w:rsid w:val="00E70901"/>
    <w:rsid w:val="00E709F5"/>
    <w:rsid w:val="00E70B5F"/>
    <w:rsid w:val="00E70CEC"/>
    <w:rsid w:val="00E70F77"/>
    <w:rsid w:val="00E71277"/>
    <w:rsid w:val="00E713B7"/>
    <w:rsid w:val="00E7141A"/>
    <w:rsid w:val="00E7150D"/>
    <w:rsid w:val="00E7158A"/>
    <w:rsid w:val="00E718C9"/>
    <w:rsid w:val="00E718FE"/>
    <w:rsid w:val="00E7198A"/>
    <w:rsid w:val="00E71AC3"/>
    <w:rsid w:val="00E71B22"/>
    <w:rsid w:val="00E72068"/>
    <w:rsid w:val="00E72370"/>
    <w:rsid w:val="00E72548"/>
    <w:rsid w:val="00E729A4"/>
    <w:rsid w:val="00E72A2F"/>
    <w:rsid w:val="00E72A6F"/>
    <w:rsid w:val="00E72EC4"/>
    <w:rsid w:val="00E72F14"/>
    <w:rsid w:val="00E72FAF"/>
    <w:rsid w:val="00E733C6"/>
    <w:rsid w:val="00E73665"/>
    <w:rsid w:val="00E736B2"/>
    <w:rsid w:val="00E73754"/>
    <w:rsid w:val="00E73836"/>
    <w:rsid w:val="00E73BCA"/>
    <w:rsid w:val="00E7408F"/>
    <w:rsid w:val="00E741CD"/>
    <w:rsid w:val="00E741FA"/>
    <w:rsid w:val="00E74506"/>
    <w:rsid w:val="00E74624"/>
    <w:rsid w:val="00E746B5"/>
    <w:rsid w:val="00E7473B"/>
    <w:rsid w:val="00E74981"/>
    <w:rsid w:val="00E74A17"/>
    <w:rsid w:val="00E74C75"/>
    <w:rsid w:val="00E74C90"/>
    <w:rsid w:val="00E74CC5"/>
    <w:rsid w:val="00E75082"/>
    <w:rsid w:val="00E7526D"/>
    <w:rsid w:val="00E75417"/>
    <w:rsid w:val="00E754CE"/>
    <w:rsid w:val="00E7562A"/>
    <w:rsid w:val="00E756A2"/>
    <w:rsid w:val="00E7599D"/>
    <w:rsid w:val="00E75A75"/>
    <w:rsid w:val="00E75AD0"/>
    <w:rsid w:val="00E75B49"/>
    <w:rsid w:val="00E75EAE"/>
    <w:rsid w:val="00E762FC"/>
    <w:rsid w:val="00E764A9"/>
    <w:rsid w:val="00E768AE"/>
    <w:rsid w:val="00E768FE"/>
    <w:rsid w:val="00E769F3"/>
    <w:rsid w:val="00E76B40"/>
    <w:rsid w:val="00E76B73"/>
    <w:rsid w:val="00E76C98"/>
    <w:rsid w:val="00E77049"/>
    <w:rsid w:val="00E77303"/>
    <w:rsid w:val="00E77567"/>
    <w:rsid w:val="00E7757A"/>
    <w:rsid w:val="00E77753"/>
    <w:rsid w:val="00E778AA"/>
    <w:rsid w:val="00E778CD"/>
    <w:rsid w:val="00E803FE"/>
    <w:rsid w:val="00E80847"/>
    <w:rsid w:val="00E80F00"/>
    <w:rsid w:val="00E80FF9"/>
    <w:rsid w:val="00E8102E"/>
    <w:rsid w:val="00E81112"/>
    <w:rsid w:val="00E81169"/>
    <w:rsid w:val="00E8121E"/>
    <w:rsid w:val="00E813CA"/>
    <w:rsid w:val="00E81466"/>
    <w:rsid w:val="00E81548"/>
    <w:rsid w:val="00E8161D"/>
    <w:rsid w:val="00E8183D"/>
    <w:rsid w:val="00E81945"/>
    <w:rsid w:val="00E81AF3"/>
    <w:rsid w:val="00E81B7B"/>
    <w:rsid w:val="00E81C31"/>
    <w:rsid w:val="00E81E17"/>
    <w:rsid w:val="00E81E73"/>
    <w:rsid w:val="00E81EE4"/>
    <w:rsid w:val="00E81FFB"/>
    <w:rsid w:val="00E8203D"/>
    <w:rsid w:val="00E82095"/>
    <w:rsid w:val="00E82303"/>
    <w:rsid w:val="00E826D5"/>
    <w:rsid w:val="00E8297E"/>
    <w:rsid w:val="00E82BF0"/>
    <w:rsid w:val="00E82EFB"/>
    <w:rsid w:val="00E83008"/>
    <w:rsid w:val="00E830EB"/>
    <w:rsid w:val="00E8322B"/>
    <w:rsid w:val="00E834C4"/>
    <w:rsid w:val="00E835F8"/>
    <w:rsid w:val="00E83737"/>
    <w:rsid w:val="00E83B93"/>
    <w:rsid w:val="00E83C24"/>
    <w:rsid w:val="00E83C96"/>
    <w:rsid w:val="00E83EC3"/>
    <w:rsid w:val="00E83F9B"/>
    <w:rsid w:val="00E8416A"/>
    <w:rsid w:val="00E847FF"/>
    <w:rsid w:val="00E84D62"/>
    <w:rsid w:val="00E84E06"/>
    <w:rsid w:val="00E84E3C"/>
    <w:rsid w:val="00E8522B"/>
    <w:rsid w:val="00E85312"/>
    <w:rsid w:val="00E8534D"/>
    <w:rsid w:val="00E85393"/>
    <w:rsid w:val="00E85CD9"/>
    <w:rsid w:val="00E85DDC"/>
    <w:rsid w:val="00E85F25"/>
    <w:rsid w:val="00E85FA3"/>
    <w:rsid w:val="00E8601E"/>
    <w:rsid w:val="00E8603D"/>
    <w:rsid w:val="00E86071"/>
    <w:rsid w:val="00E860E3"/>
    <w:rsid w:val="00E8631A"/>
    <w:rsid w:val="00E863D1"/>
    <w:rsid w:val="00E86419"/>
    <w:rsid w:val="00E865A0"/>
    <w:rsid w:val="00E86B21"/>
    <w:rsid w:val="00E86C50"/>
    <w:rsid w:val="00E86D0D"/>
    <w:rsid w:val="00E86FC3"/>
    <w:rsid w:val="00E871D3"/>
    <w:rsid w:val="00E871DE"/>
    <w:rsid w:val="00E87221"/>
    <w:rsid w:val="00E8727F"/>
    <w:rsid w:val="00E872C2"/>
    <w:rsid w:val="00E87615"/>
    <w:rsid w:val="00E878E3"/>
    <w:rsid w:val="00E87900"/>
    <w:rsid w:val="00E87958"/>
    <w:rsid w:val="00E879A4"/>
    <w:rsid w:val="00E87A63"/>
    <w:rsid w:val="00E87B5D"/>
    <w:rsid w:val="00E87BC5"/>
    <w:rsid w:val="00E87F3D"/>
    <w:rsid w:val="00E87F4C"/>
    <w:rsid w:val="00E90057"/>
    <w:rsid w:val="00E90171"/>
    <w:rsid w:val="00E90379"/>
    <w:rsid w:val="00E9076D"/>
    <w:rsid w:val="00E909D3"/>
    <w:rsid w:val="00E909D8"/>
    <w:rsid w:val="00E90AE1"/>
    <w:rsid w:val="00E90B22"/>
    <w:rsid w:val="00E90B9A"/>
    <w:rsid w:val="00E90BC4"/>
    <w:rsid w:val="00E90C20"/>
    <w:rsid w:val="00E9107A"/>
    <w:rsid w:val="00E9132C"/>
    <w:rsid w:val="00E914F6"/>
    <w:rsid w:val="00E91515"/>
    <w:rsid w:val="00E91536"/>
    <w:rsid w:val="00E915C7"/>
    <w:rsid w:val="00E91883"/>
    <w:rsid w:val="00E91949"/>
    <w:rsid w:val="00E91AC1"/>
    <w:rsid w:val="00E91C3C"/>
    <w:rsid w:val="00E91D3B"/>
    <w:rsid w:val="00E91EBC"/>
    <w:rsid w:val="00E91EC7"/>
    <w:rsid w:val="00E91F30"/>
    <w:rsid w:val="00E9201A"/>
    <w:rsid w:val="00E921C6"/>
    <w:rsid w:val="00E92307"/>
    <w:rsid w:val="00E923D0"/>
    <w:rsid w:val="00E92547"/>
    <w:rsid w:val="00E9254B"/>
    <w:rsid w:val="00E926E4"/>
    <w:rsid w:val="00E9281F"/>
    <w:rsid w:val="00E92839"/>
    <w:rsid w:val="00E92AB9"/>
    <w:rsid w:val="00E92BDF"/>
    <w:rsid w:val="00E92C47"/>
    <w:rsid w:val="00E92C64"/>
    <w:rsid w:val="00E92D41"/>
    <w:rsid w:val="00E92D83"/>
    <w:rsid w:val="00E92DEE"/>
    <w:rsid w:val="00E92E1C"/>
    <w:rsid w:val="00E930D9"/>
    <w:rsid w:val="00E93329"/>
    <w:rsid w:val="00E934FE"/>
    <w:rsid w:val="00E935A5"/>
    <w:rsid w:val="00E936F5"/>
    <w:rsid w:val="00E93B9B"/>
    <w:rsid w:val="00E93BD7"/>
    <w:rsid w:val="00E93D57"/>
    <w:rsid w:val="00E93F29"/>
    <w:rsid w:val="00E944F2"/>
    <w:rsid w:val="00E945AD"/>
    <w:rsid w:val="00E9460F"/>
    <w:rsid w:val="00E947DB"/>
    <w:rsid w:val="00E94E25"/>
    <w:rsid w:val="00E94EB4"/>
    <w:rsid w:val="00E94F30"/>
    <w:rsid w:val="00E95209"/>
    <w:rsid w:val="00E9527A"/>
    <w:rsid w:val="00E954A9"/>
    <w:rsid w:val="00E95557"/>
    <w:rsid w:val="00E95578"/>
    <w:rsid w:val="00E955DC"/>
    <w:rsid w:val="00E95736"/>
    <w:rsid w:val="00E95AEA"/>
    <w:rsid w:val="00E95C12"/>
    <w:rsid w:val="00E95FD2"/>
    <w:rsid w:val="00E96355"/>
    <w:rsid w:val="00E96442"/>
    <w:rsid w:val="00E9663D"/>
    <w:rsid w:val="00E96695"/>
    <w:rsid w:val="00E96724"/>
    <w:rsid w:val="00E9678E"/>
    <w:rsid w:val="00E96796"/>
    <w:rsid w:val="00E96916"/>
    <w:rsid w:val="00E969C1"/>
    <w:rsid w:val="00E96D39"/>
    <w:rsid w:val="00E96DDD"/>
    <w:rsid w:val="00E96E0A"/>
    <w:rsid w:val="00E96F24"/>
    <w:rsid w:val="00E96F4E"/>
    <w:rsid w:val="00E96FDA"/>
    <w:rsid w:val="00E96FDF"/>
    <w:rsid w:val="00E97213"/>
    <w:rsid w:val="00E972A4"/>
    <w:rsid w:val="00E9743C"/>
    <w:rsid w:val="00E97460"/>
    <w:rsid w:val="00E97559"/>
    <w:rsid w:val="00E975CD"/>
    <w:rsid w:val="00E976B4"/>
    <w:rsid w:val="00E9771E"/>
    <w:rsid w:val="00E97A38"/>
    <w:rsid w:val="00E97A4E"/>
    <w:rsid w:val="00E97BB8"/>
    <w:rsid w:val="00E97DD2"/>
    <w:rsid w:val="00E97E17"/>
    <w:rsid w:val="00E97E3C"/>
    <w:rsid w:val="00E97E81"/>
    <w:rsid w:val="00EA023C"/>
    <w:rsid w:val="00EA03D1"/>
    <w:rsid w:val="00EA03F2"/>
    <w:rsid w:val="00EA099F"/>
    <w:rsid w:val="00EA1006"/>
    <w:rsid w:val="00EA1227"/>
    <w:rsid w:val="00EA1246"/>
    <w:rsid w:val="00EA1564"/>
    <w:rsid w:val="00EA16B2"/>
    <w:rsid w:val="00EA1732"/>
    <w:rsid w:val="00EA18B2"/>
    <w:rsid w:val="00EA1964"/>
    <w:rsid w:val="00EA1B90"/>
    <w:rsid w:val="00EA1BC8"/>
    <w:rsid w:val="00EA1F43"/>
    <w:rsid w:val="00EA1F86"/>
    <w:rsid w:val="00EA22B4"/>
    <w:rsid w:val="00EA24B8"/>
    <w:rsid w:val="00EA27C4"/>
    <w:rsid w:val="00EA29CA"/>
    <w:rsid w:val="00EA2D3A"/>
    <w:rsid w:val="00EA2EA6"/>
    <w:rsid w:val="00EA2F06"/>
    <w:rsid w:val="00EA30FA"/>
    <w:rsid w:val="00EA3107"/>
    <w:rsid w:val="00EA3723"/>
    <w:rsid w:val="00EA3896"/>
    <w:rsid w:val="00EA3950"/>
    <w:rsid w:val="00EA3A3C"/>
    <w:rsid w:val="00EA3BE7"/>
    <w:rsid w:val="00EA3CEE"/>
    <w:rsid w:val="00EA3F68"/>
    <w:rsid w:val="00EA3F6C"/>
    <w:rsid w:val="00EA3FAF"/>
    <w:rsid w:val="00EA400F"/>
    <w:rsid w:val="00EA406C"/>
    <w:rsid w:val="00EA4302"/>
    <w:rsid w:val="00EA461B"/>
    <w:rsid w:val="00EA4E1B"/>
    <w:rsid w:val="00EA4F14"/>
    <w:rsid w:val="00EA51FE"/>
    <w:rsid w:val="00EA5274"/>
    <w:rsid w:val="00EA5960"/>
    <w:rsid w:val="00EA5A9D"/>
    <w:rsid w:val="00EA5CDE"/>
    <w:rsid w:val="00EA6164"/>
    <w:rsid w:val="00EA631C"/>
    <w:rsid w:val="00EA63B7"/>
    <w:rsid w:val="00EA648F"/>
    <w:rsid w:val="00EA6711"/>
    <w:rsid w:val="00EA67D8"/>
    <w:rsid w:val="00EA69E2"/>
    <w:rsid w:val="00EA6BFC"/>
    <w:rsid w:val="00EA6FB7"/>
    <w:rsid w:val="00EA7079"/>
    <w:rsid w:val="00EA711A"/>
    <w:rsid w:val="00EA7158"/>
    <w:rsid w:val="00EA718F"/>
    <w:rsid w:val="00EA7483"/>
    <w:rsid w:val="00EA751A"/>
    <w:rsid w:val="00EA7AEE"/>
    <w:rsid w:val="00EA7D26"/>
    <w:rsid w:val="00EA7FB1"/>
    <w:rsid w:val="00EB002E"/>
    <w:rsid w:val="00EB003B"/>
    <w:rsid w:val="00EB010D"/>
    <w:rsid w:val="00EB0530"/>
    <w:rsid w:val="00EB05EE"/>
    <w:rsid w:val="00EB07C1"/>
    <w:rsid w:val="00EB09C3"/>
    <w:rsid w:val="00EB0A61"/>
    <w:rsid w:val="00EB0AD0"/>
    <w:rsid w:val="00EB0C58"/>
    <w:rsid w:val="00EB0DF0"/>
    <w:rsid w:val="00EB1851"/>
    <w:rsid w:val="00EB1CB7"/>
    <w:rsid w:val="00EB1DF9"/>
    <w:rsid w:val="00EB1F7D"/>
    <w:rsid w:val="00EB245B"/>
    <w:rsid w:val="00EB2698"/>
    <w:rsid w:val="00EB2718"/>
    <w:rsid w:val="00EB296B"/>
    <w:rsid w:val="00EB2A34"/>
    <w:rsid w:val="00EB2AAD"/>
    <w:rsid w:val="00EB2E52"/>
    <w:rsid w:val="00EB2F82"/>
    <w:rsid w:val="00EB2F8E"/>
    <w:rsid w:val="00EB2FA9"/>
    <w:rsid w:val="00EB2FE7"/>
    <w:rsid w:val="00EB3175"/>
    <w:rsid w:val="00EB31B6"/>
    <w:rsid w:val="00EB3391"/>
    <w:rsid w:val="00EB34F1"/>
    <w:rsid w:val="00EB34F2"/>
    <w:rsid w:val="00EB35CD"/>
    <w:rsid w:val="00EB3A4B"/>
    <w:rsid w:val="00EB3AC1"/>
    <w:rsid w:val="00EB3B81"/>
    <w:rsid w:val="00EB3DA3"/>
    <w:rsid w:val="00EB3EB9"/>
    <w:rsid w:val="00EB3FC5"/>
    <w:rsid w:val="00EB405E"/>
    <w:rsid w:val="00EB40B1"/>
    <w:rsid w:val="00EB4184"/>
    <w:rsid w:val="00EB4191"/>
    <w:rsid w:val="00EB43B1"/>
    <w:rsid w:val="00EB43C5"/>
    <w:rsid w:val="00EB46E3"/>
    <w:rsid w:val="00EB4850"/>
    <w:rsid w:val="00EB485D"/>
    <w:rsid w:val="00EB4869"/>
    <w:rsid w:val="00EB4999"/>
    <w:rsid w:val="00EB4C6E"/>
    <w:rsid w:val="00EB4DBD"/>
    <w:rsid w:val="00EB4E27"/>
    <w:rsid w:val="00EB527F"/>
    <w:rsid w:val="00EB5528"/>
    <w:rsid w:val="00EB55A3"/>
    <w:rsid w:val="00EB5AF7"/>
    <w:rsid w:val="00EB6542"/>
    <w:rsid w:val="00EB66F6"/>
    <w:rsid w:val="00EB6804"/>
    <w:rsid w:val="00EB6899"/>
    <w:rsid w:val="00EB692E"/>
    <w:rsid w:val="00EB6C0D"/>
    <w:rsid w:val="00EB6DBB"/>
    <w:rsid w:val="00EB7064"/>
    <w:rsid w:val="00EB7292"/>
    <w:rsid w:val="00EB72D8"/>
    <w:rsid w:val="00EB763D"/>
    <w:rsid w:val="00EB7730"/>
    <w:rsid w:val="00EB7941"/>
    <w:rsid w:val="00EB796D"/>
    <w:rsid w:val="00EB79E1"/>
    <w:rsid w:val="00EB7AA3"/>
    <w:rsid w:val="00EB7D85"/>
    <w:rsid w:val="00EB7EAF"/>
    <w:rsid w:val="00EC0026"/>
    <w:rsid w:val="00EC061E"/>
    <w:rsid w:val="00EC0CAC"/>
    <w:rsid w:val="00EC0F34"/>
    <w:rsid w:val="00EC1366"/>
    <w:rsid w:val="00EC1430"/>
    <w:rsid w:val="00EC146B"/>
    <w:rsid w:val="00EC177E"/>
    <w:rsid w:val="00EC1B0B"/>
    <w:rsid w:val="00EC1C7C"/>
    <w:rsid w:val="00EC1C9E"/>
    <w:rsid w:val="00EC1D14"/>
    <w:rsid w:val="00EC1DCA"/>
    <w:rsid w:val="00EC1DFA"/>
    <w:rsid w:val="00EC1E12"/>
    <w:rsid w:val="00EC1E55"/>
    <w:rsid w:val="00EC1E5E"/>
    <w:rsid w:val="00EC1F17"/>
    <w:rsid w:val="00EC2345"/>
    <w:rsid w:val="00EC2361"/>
    <w:rsid w:val="00EC251B"/>
    <w:rsid w:val="00EC25C5"/>
    <w:rsid w:val="00EC268F"/>
    <w:rsid w:val="00EC26AE"/>
    <w:rsid w:val="00EC2957"/>
    <w:rsid w:val="00EC2BA3"/>
    <w:rsid w:val="00EC2BF4"/>
    <w:rsid w:val="00EC2CF6"/>
    <w:rsid w:val="00EC31E7"/>
    <w:rsid w:val="00EC3697"/>
    <w:rsid w:val="00EC37E3"/>
    <w:rsid w:val="00EC398C"/>
    <w:rsid w:val="00EC3A17"/>
    <w:rsid w:val="00EC3A50"/>
    <w:rsid w:val="00EC3AD5"/>
    <w:rsid w:val="00EC3C30"/>
    <w:rsid w:val="00EC3F3D"/>
    <w:rsid w:val="00EC4006"/>
    <w:rsid w:val="00EC4156"/>
    <w:rsid w:val="00EC42AF"/>
    <w:rsid w:val="00EC43B3"/>
    <w:rsid w:val="00EC4721"/>
    <w:rsid w:val="00EC49F4"/>
    <w:rsid w:val="00EC4C64"/>
    <w:rsid w:val="00EC4EBE"/>
    <w:rsid w:val="00EC50C3"/>
    <w:rsid w:val="00EC5343"/>
    <w:rsid w:val="00EC536E"/>
    <w:rsid w:val="00EC5480"/>
    <w:rsid w:val="00EC55EB"/>
    <w:rsid w:val="00EC5B27"/>
    <w:rsid w:val="00EC5BA2"/>
    <w:rsid w:val="00EC5BD8"/>
    <w:rsid w:val="00EC5BF5"/>
    <w:rsid w:val="00EC5D1F"/>
    <w:rsid w:val="00EC5D28"/>
    <w:rsid w:val="00EC5E2B"/>
    <w:rsid w:val="00EC5F03"/>
    <w:rsid w:val="00EC622D"/>
    <w:rsid w:val="00EC67A6"/>
    <w:rsid w:val="00EC69A2"/>
    <w:rsid w:val="00EC6BA4"/>
    <w:rsid w:val="00EC6C2A"/>
    <w:rsid w:val="00EC6DC5"/>
    <w:rsid w:val="00EC6E00"/>
    <w:rsid w:val="00EC6F7A"/>
    <w:rsid w:val="00EC7286"/>
    <w:rsid w:val="00EC73D2"/>
    <w:rsid w:val="00EC76CB"/>
    <w:rsid w:val="00EC786A"/>
    <w:rsid w:val="00EC7A84"/>
    <w:rsid w:val="00EC7BD1"/>
    <w:rsid w:val="00EC7C8F"/>
    <w:rsid w:val="00EC7DCC"/>
    <w:rsid w:val="00EC7F53"/>
    <w:rsid w:val="00EC7FAF"/>
    <w:rsid w:val="00ED00C8"/>
    <w:rsid w:val="00ED0143"/>
    <w:rsid w:val="00ED02A3"/>
    <w:rsid w:val="00ED02D0"/>
    <w:rsid w:val="00ED0484"/>
    <w:rsid w:val="00ED04D0"/>
    <w:rsid w:val="00ED057E"/>
    <w:rsid w:val="00ED09FF"/>
    <w:rsid w:val="00ED0A7F"/>
    <w:rsid w:val="00ED0AB7"/>
    <w:rsid w:val="00ED0B2A"/>
    <w:rsid w:val="00ED0BD6"/>
    <w:rsid w:val="00ED0C1A"/>
    <w:rsid w:val="00ED0D51"/>
    <w:rsid w:val="00ED0D77"/>
    <w:rsid w:val="00ED1053"/>
    <w:rsid w:val="00ED1340"/>
    <w:rsid w:val="00ED14D5"/>
    <w:rsid w:val="00ED15D1"/>
    <w:rsid w:val="00ED1981"/>
    <w:rsid w:val="00ED19DB"/>
    <w:rsid w:val="00ED1BD3"/>
    <w:rsid w:val="00ED1CAF"/>
    <w:rsid w:val="00ED1D6E"/>
    <w:rsid w:val="00ED1FEB"/>
    <w:rsid w:val="00ED1FF9"/>
    <w:rsid w:val="00ED20C1"/>
    <w:rsid w:val="00ED2168"/>
    <w:rsid w:val="00ED21C9"/>
    <w:rsid w:val="00ED22E6"/>
    <w:rsid w:val="00ED25F2"/>
    <w:rsid w:val="00ED2670"/>
    <w:rsid w:val="00ED2A59"/>
    <w:rsid w:val="00ED2B17"/>
    <w:rsid w:val="00ED2E8D"/>
    <w:rsid w:val="00ED3926"/>
    <w:rsid w:val="00ED3B3D"/>
    <w:rsid w:val="00ED3C1A"/>
    <w:rsid w:val="00ED3D78"/>
    <w:rsid w:val="00ED3D88"/>
    <w:rsid w:val="00ED3F1F"/>
    <w:rsid w:val="00ED4475"/>
    <w:rsid w:val="00ED44F1"/>
    <w:rsid w:val="00ED4A10"/>
    <w:rsid w:val="00ED4B22"/>
    <w:rsid w:val="00ED4E9C"/>
    <w:rsid w:val="00ED531E"/>
    <w:rsid w:val="00ED5928"/>
    <w:rsid w:val="00ED5A46"/>
    <w:rsid w:val="00ED5AE7"/>
    <w:rsid w:val="00ED5B12"/>
    <w:rsid w:val="00ED5D41"/>
    <w:rsid w:val="00ED5EAE"/>
    <w:rsid w:val="00ED61F4"/>
    <w:rsid w:val="00ED65A7"/>
    <w:rsid w:val="00ED66F8"/>
    <w:rsid w:val="00ED68E2"/>
    <w:rsid w:val="00ED6906"/>
    <w:rsid w:val="00ED69B8"/>
    <w:rsid w:val="00ED69BD"/>
    <w:rsid w:val="00ED6B93"/>
    <w:rsid w:val="00ED6BE3"/>
    <w:rsid w:val="00ED6C06"/>
    <w:rsid w:val="00ED6C9B"/>
    <w:rsid w:val="00ED6D27"/>
    <w:rsid w:val="00ED6E25"/>
    <w:rsid w:val="00ED6F09"/>
    <w:rsid w:val="00ED701C"/>
    <w:rsid w:val="00ED703A"/>
    <w:rsid w:val="00ED73CC"/>
    <w:rsid w:val="00ED7679"/>
    <w:rsid w:val="00ED78EB"/>
    <w:rsid w:val="00ED7A7B"/>
    <w:rsid w:val="00ED7D21"/>
    <w:rsid w:val="00ED7D4B"/>
    <w:rsid w:val="00ED7E03"/>
    <w:rsid w:val="00EE0019"/>
    <w:rsid w:val="00EE0041"/>
    <w:rsid w:val="00EE015C"/>
    <w:rsid w:val="00EE019F"/>
    <w:rsid w:val="00EE01A9"/>
    <w:rsid w:val="00EE0624"/>
    <w:rsid w:val="00EE0739"/>
    <w:rsid w:val="00EE07F4"/>
    <w:rsid w:val="00EE0BD7"/>
    <w:rsid w:val="00EE0BFF"/>
    <w:rsid w:val="00EE0D33"/>
    <w:rsid w:val="00EE0E4D"/>
    <w:rsid w:val="00EE1026"/>
    <w:rsid w:val="00EE127B"/>
    <w:rsid w:val="00EE127C"/>
    <w:rsid w:val="00EE177A"/>
    <w:rsid w:val="00EE1794"/>
    <w:rsid w:val="00EE1AB8"/>
    <w:rsid w:val="00EE1DF1"/>
    <w:rsid w:val="00EE1EFD"/>
    <w:rsid w:val="00EE1FEB"/>
    <w:rsid w:val="00EE20F3"/>
    <w:rsid w:val="00EE23F7"/>
    <w:rsid w:val="00EE28AC"/>
    <w:rsid w:val="00EE2A71"/>
    <w:rsid w:val="00EE2C6E"/>
    <w:rsid w:val="00EE2F96"/>
    <w:rsid w:val="00EE303E"/>
    <w:rsid w:val="00EE3667"/>
    <w:rsid w:val="00EE3761"/>
    <w:rsid w:val="00EE387C"/>
    <w:rsid w:val="00EE3931"/>
    <w:rsid w:val="00EE3A6E"/>
    <w:rsid w:val="00EE3BE7"/>
    <w:rsid w:val="00EE3C94"/>
    <w:rsid w:val="00EE3F2A"/>
    <w:rsid w:val="00EE3FC0"/>
    <w:rsid w:val="00EE40FB"/>
    <w:rsid w:val="00EE4134"/>
    <w:rsid w:val="00EE4275"/>
    <w:rsid w:val="00EE44A3"/>
    <w:rsid w:val="00EE46A4"/>
    <w:rsid w:val="00EE4898"/>
    <w:rsid w:val="00EE48BE"/>
    <w:rsid w:val="00EE48FB"/>
    <w:rsid w:val="00EE4BBB"/>
    <w:rsid w:val="00EE4BD3"/>
    <w:rsid w:val="00EE4C66"/>
    <w:rsid w:val="00EE4D46"/>
    <w:rsid w:val="00EE4E22"/>
    <w:rsid w:val="00EE4EEA"/>
    <w:rsid w:val="00EE51C9"/>
    <w:rsid w:val="00EE54F4"/>
    <w:rsid w:val="00EE55A9"/>
    <w:rsid w:val="00EE55F6"/>
    <w:rsid w:val="00EE56A2"/>
    <w:rsid w:val="00EE57DB"/>
    <w:rsid w:val="00EE5962"/>
    <w:rsid w:val="00EE5D2D"/>
    <w:rsid w:val="00EE5D82"/>
    <w:rsid w:val="00EE5DD5"/>
    <w:rsid w:val="00EE60E5"/>
    <w:rsid w:val="00EE68A2"/>
    <w:rsid w:val="00EE68F1"/>
    <w:rsid w:val="00EE6E9F"/>
    <w:rsid w:val="00EE7242"/>
    <w:rsid w:val="00EE75F6"/>
    <w:rsid w:val="00EE76D2"/>
    <w:rsid w:val="00EE76F4"/>
    <w:rsid w:val="00EE7741"/>
    <w:rsid w:val="00EE78EB"/>
    <w:rsid w:val="00EE78FE"/>
    <w:rsid w:val="00EE793D"/>
    <w:rsid w:val="00EE79A1"/>
    <w:rsid w:val="00EE79F2"/>
    <w:rsid w:val="00EE7AFE"/>
    <w:rsid w:val="00EE7B6C"/>
    <w:rsid w:val="00EE7DFD"/>
    <w:rsid w:val="00EE7F45"/>
    <w:rsid w:val="00EF01D0"/>
    <w:rsid w:val="00EF0241"/>
    <w:rsid w:val="00EF027B"/>
    <w:rsid w:val="00EF047D"/>
    <w:rsid w:val="00EF075D"/>
    <w:rsid w:val="00EF094B"/>
    <w:rsid w:val="00EF0A50"/>
    <w:rsid w:val="00EF0ABC"/>
    <w:rsid w:val="00EF0BA5"/>
    <w:rsid w:val="00EF112C"/>
    <w:rsid w:val="00EF1385"/>
    <w:rsid w:val="00EF1400"/>
    <w:rsid w:val="00EF1791"/>
    <w:rsid w:val="00EF1883"/>
    <w:rsid w:val="00EF1BBB"/>
    <w:rsid w:val="00EF1E25"/>
    <w:rsid w:val="00EF1EEE"/>
    <w:rsid w:val="00EF1FA0"/>
    <w:rsid w:val="00EF20B4"/>
    <w:rsid w:val="00EF23DF"/>
    <w:rsid w:val="00EF2423"/>
    <w:rsid w:val="00EF2456"/>
    <w:rsid w:val="00EF280F"/>
    <w:rsid w:val="00EF2A20"/>
    <w:rsid w:val="00EF2F83"/>
    <w:rsid w:val="00EF2FC4"/>
    <w:rsid w:val="00EF3685"/>
    <w:rsid w:val="00EF3AAD"/>
    <w:rsid w:val="00EF3BB0"/>
    <w:rsid w:val="00EF3C57"/>
    <w:rsid w:val="00EF4057"/>
    <w:rsid w:val="00EF40FE"/>
    <w:rsid w:val="00EF4151"/>
    <w:rsid w:val="00EF4312"/>
    <w:rsid w:val="00EF43F7"/>
    <w:rsid w:val="00EF447B"/>
    <w:rsid w:val="00EF4594"/>
    <w:rsid w:val="00EF4794"/>
    <w:rsid w:val="00EF49B3"/>
    <w:rsid w:val="00EF4A13"/>
    <w:rsid w:val="00EF4B6E"/>
    <w:rsid w:val="00EF4DCA"/>
    <w:rsid w:val="00EF5046"/>
    <w:rsid w:val="00EF52E5"/>
    <w:rsid w:val="00EF53A7"/>
    <w:rsid w:val="00EF560B"/>
    <w:rsid w:val="00EF5726"/>
    <w:rsid w:val="00EF589D"/>
    <w:rsid w:val="00EF589F"/>
    <w:rsid w:val="00EF5A1D"/>
    <w:rsid w:val="00EF5D28"/>
    <w:rsid w:val="00EF5DB7"/>
    <w:rsid w:val="00EF6247"/>
    <w:rsid w:val="00EF627E"/>
    <w:rsid w:val="00EF6629"/>
    <w:rsid w:val="00EF66E0"/>
    <w:rsid w:val="00EF682B"/>
    <w:rsid w:val="00EF6A15"/>
    <w:rsid w:val="00EF6B88"/>
    <w:rsid w:val="00EF6CE3"/>
    <w:rsid w:val="00EF6D74"/>
    <w:rsid w:val="00EF6FA9"/>
    <w:rsid w:val="00EF6FC6"/>
    <w:rsid w:val="00EF7185"/>
    <w:rsid w:val="00EF72EB"/>
    <w:rsid w:val="00EF7468"/>
    <w:rsid w:val="00EF7759"/>
    <w:rsid w:val="00EF776B"/>
    <w:rsid w:val="00EF7843"/>
    <w:rsid w:val="00EF7B68"/>
    <w:rsid w:val="00EF7C4E"/>
    <w:rsid w:val="00EF7CD1"/>
    <w:rsid w:val="00EF7F18"/>
    <w:rsid w:val="00EF7F22"/>
    <w:rsid w:val="00F000D0"/>
    <w:rsid w:val="00F004C1"/>
    <w:rsid w:val="00F0051D"/>
    <w:rsid w:val="00F00528"/>
    <w:rsid w:val="00F008D7"/>
    <w:rsid w:val="00F00C33"/>
    <w:rsid w:val="00F00E79"/>
    <w:rsid w:val="00F010E4"/>
    <w:rsid w:val="00F014FB"/>
    <w:rsid w:val="00F01603"/>
    <w:rsid w:val="00F018EA"/>
    <w:rsid w:val="00F01967"/>
    <w:rsid w:val="00F01E16"/>
    <w:rsid w:val="00F01E32"/>
    <w:rsid w:val="00F01E37"/>
    <w:rsid w:val="00F01EC6"/>
    <w:rsid w:val="00F01FA1"/>
    <w:rsid w:val="00F01FF3"/>
    <w:rsid w:val="00F02049"/>
    <w:rsid w:val="00F02164"/>
    <w:rsid w:val="00F02265"/>
    <w:rsid w:val="00F02405"/>
    <w:rsid w:val="00F02412"/>
    <w:rsid w:val="00F024F7"/>
    <w:rsid w:val="00F02512"/>
    <w:rsid w:val="00F025C4"/>
    <w:rsid w:val="00F02689"/>
    <w:rsid w:val="00F02738"/>
    <w:rsid w:val="00F02781"/>
    <w:rsid w:val="00F0281E"/>
    <w:rsid w:val="00F0282A"/>
    <w:rsid w:val="00F029B8"/>
    <w:rsid w:val="00F02C18"/>
    <w:rsid w:val="00F02D02"/>
    <w:rsid w:val="00F02F5E"/>
    <w:rsid w:val="00F034FD"/>
    <w:rsid w:val="00F03615"/>
    <w:rsid w:val="00F03723"/>
    <w:rsid w:val="00F03944"/>
    <w:rsid w:val="00F03A05"/>
    <w:rsid w:val="00F03A45"/>
    <w:rsid w:val="00F04127"/>
    <w:rsid w:val="00F0425D"/>
    <w:rsid w:val="00F043F4"/>
    <w:rsid w:val="00F04603"/>
    <w:rsid w:val="00F04665"/>
    <w:rsid w:val="00F048D0"/>
    <w:rsid w:val="00F04D1B"/>
    <w:rsid w:val="00F0503B"/>
    <w:rsid w:val="00F0526E"/>
    <w:rsid w:val="00F052AD"/>
    <w:rsid w:val="00F053AC"/>
    <w:rsid w:val="00F05532"/>
    <w:rsid w:val="00F05563"/>
    <w:rsid w:val="00F056AC"/>
    <w:rsid w:val="00F0586C"/>
    <w:rsid w:val="00F05A36"/>
    <w:rsid w:val="00F05A92"/>
    <w:rsid w:val="00F05B85"/>
    <w:rsid w:val="00F05DC7"/>
    <w:rsid w:val="00F05DCB"/>
    <w:rsid w:val="00F05E28"/>
    <w:rsid w:val="00F0604F"/>
    <w:rsid w:val="00F06086"/>
    <w:rsid w:val="00F06149"/>
    <w:rsid w:val="00F061EC"/>
    <w:rsid w:val="00F062EC"/>
    <w:rsid w:val="00F0657F"/>
    <w:rsid w:val="00F066D0"/>
    <w:rsid w:val="00F06733"/>
    <w:rsid w:val="00F06741"/>
    <w:rsid w:val="00F068FF"/>
    <w:rsid w:val="00F06925"/>
    <w:rsid w:val="00F06A43"/>
    <w:rsid w:val="00F06EB0"/>
    <w:rsid w:val="00F06F9E"/>
    <w:rsid w:val="00F07096"/>
    <w:rsid w:val="00F0710C"/>
    <w:rsid w:val="00F073C9"/>
    <w:rsid w:val="00F07747"/>
    <w:rsid w:val="00F07916"/>
    <w:rsid w:val="00F07922"/>
    <w:rsid w:val="00F079EB"/>
    <w:rsid w:val="00F07A01"/>
    <w:rsid w:val="00F07AD5"/>
    <w:rsid w:val="00F07B54"/>
    <w:rsid w:val="00F07CFA"/>
    <w:rsid w:val="00F07F55"/>
    <w:rsid w:val="00F10278"/>
    <w:rsid w:val="00F102B4"/>
    <w:rsid w:val="00F10472"/>
    <w:rsid w:val="00F10803"/>
    <w:rsid w:val="00F10C90"/>
    <w:rsid w:val="00F10CA0"/>
    <w:rsid w:val="00F10D34"/>
    <w:rsid w:val="00F10DE3"/>
    <w:rsid w:val="00F10EBE"/>
    <w:rsid w:val="00F11051"/>
    <w:rsid w:val="00F1107B"/>
    <w:rsid w:val="00F11340"/>
    <w:rsid w:val="00F11373"/>
    <w:rsid w:val="00F113C6"/>
    <w:rsid w:val="00F114F1"/>
    <w:rsid w:val="00F1158D"/>
    <w:rsid w:val="00F11A05"/>
    <w:rsid w:val="00F11C37"/>
    <w:rsid w:val="00F11E43"/>
    <w:rsid w:val="00F11E72"/>
    <w:rsid w:val="00F11EC3"/>
    <w:rsid w:val="00F11F02"/>
    <w:rsid w:val="00F11F6B"/>
    <w:rsid w:val="00F121E4"/>
    <w:rsid w:val="00F1228C"/>
    <w:rsid w:val="00F12320"/>
    <w:rsid w:val="00F1244B"/>
    <w:rsid w:val="00F12611"/>
    <w:rsid w:val="00F1262E"/>
    <w:rsid w:val="00F1282E"/>
    <w:rsid w:val="00F128C1"/>
    <w:rsid w:val="00F12B4F"/>
    <w:rsid w:val="00F12B62"/>
    <w:rsid w:val="00F12B84"/>
    <w:rsid w:val="00F12FD7"/>
    <w:rsid w:val="00F1306B"/>
    <w:rsid w:val="00F131FA"/>
    <w:rsid w:val="00F132D7"/>
    <w:rsid w:val="00F13661"/>
    <w:rsid w:val="00F136A4"/>
    <w:rsid w:val="00F13DB3"/>
    <w:rsid w:val="00F13F1E"/>
    <w:rsid w:val="00F140E1"/>
    <w:rsid w:val="00F1411F"/>
    <w:rsid w:val="00F14245"/>
    <w:rsid w:val="00F14258"/>
    <w:rsid w:val="00F153AF"/>
    <w:rsid w:val="00F154E6"/>
    <w:rsid w:val="00F15643"/>
    <w:rsid w:val="00F15862"/>
    <w:rsid w:val="00F15B01"/>
    <w:rsid w:val="00F15C43"/>
    <w:rsid w:val="00F15CB3"/>
    <w:rsid w:val="00F15D24"/>
    <w:rsid w:val="00F15F95"/>
    <w:rsid w:val="00F16166"/>
    <w:rsid w:val="00F1630F"/>
    <w:rsid w:val="00F16327"/>
    <w:rsid w:val="00F1641A"/>
    <w:rsid w:val="00F16449"/>
    <w:rsid w:val="00F16602"/>
    <w:rsid w:val="00F16856"/>
    <w:rsid w:val="00F16874"/>
    <w:rsid w:val="00F168E7"/>
    <w:rsid w:val="00F16C35"/>
    <w:rsid w:val="00F16D18"/>
    <w:rsid w:val="00F16D26"/>
    <w:rsid w:val="00F17184"/>
    <w:rsid w:val="00F17668"/>
    <w:rsid w:val="00F176D4"/>
    <w:rsid w:val="00F1789B"/>
    <w:rsid w:val="00F17971"/>
    <w:rsid w:val="00F17972"/>
    <w:rsid w:val="00F17ABA"/>
    <w:rsid w:val="00F17B6D"/>
    <w:rsid w:val="00F17BAC"/>
    <w:rsid w:val="00F17F95"/>
    <w:rsid w:val="00F200F2"/>
    <w:rsid w:val="00F2020B"/>
    <w:rsid w:val="00F20892"/>
    <w:rsid w:val="00F20B4F"/>
    <w:rsid w:val="00F20BDB"/>
    <w:rsid w:val="00F20C03"/>
    <w:rsid w:val="00F20D6A"/>
    <w:rsid w:val="00F2119C"/>
    <w:rsid w:val="00F2124A"/>
    <w:rsid w:val="00F2135B"/>
    <w:rsid w:val="00F21486"/>
    <w:rsid w:val="00F21761"/>
    <w:rsid w:val="00F21780"/>
    <w:rsid w:val="00F21851"/>
    <w:rsid w:val="00F218C9"/>
    <w:rsid w:val="00F21B1E"/>
    <w:rsid w:val="00F21B74"/>
    <w:rsid w:val="00F21CBE"/>
    <w:rsid w:val="00F22303"/>
    <w:rsid w:val="00F229CD"/>
    <w:rsid w:val="00F22CCE"/>
    <w:rsid w:val="00F22E88"/>
    <w:rsid w:val="00F22FC3"/>
    <w:rsid w:val="00F231C2"/>
    <w:rsid w:val="00F231C9"/>
    <w:rsid w:val="00F232F6"/>
    <w:rsid w:val="00F23307"/>
    <w:rsid w:val="00F233B9"/>
    <w:rsid w:val="00F233D9"/>
    <w:rsid w:val="00F233FF"/>
    <w:rsid w:val="00F23443"/>
    <w:rsid w:val="00F23684"/>
    <w:rsid w:val="00F23730"/>
    <w:rsid w:val="00F2398D"/>
    <w:rsid w:val="00F23A22"/>
    <w:rsid w:val="00F23C50"/>
    <w:rsid w:val="00F24614"/>
    <w:rsid w:val="00F24851"/>
    <w:rsid w:val="00F24A85"/>
    <w:rsid w:val="00F24CE2"/>
    <w:rsid w:val="00F24F27"/>
    <w:rsid w:val="00F2503A"/>
    <w:rsid w:val="00F2510F"/>
    <w:rsid w:val="00F253EC"/>
    <w:rsid w:val="00F2544F"/>
    <w:rsid w:val="00F25D31"/>
    <w:rsid w:val="00F25D86"/>
    <w:rsid w:val="00F25EF0"/>
    <w:rsid w:val="00F25F80"/>
    <w:rsid w:val="00F262B9"/>
    <w:rsid w:val="00F2636D"/>
    <w:rsid w:val="00F26521"/>
    <w:rsid w:val="00F2669B"/>
    <w:rsid w:val="00F26900"/>
    <w:rsid w:val="00F2691C"/>
    <w:rsid w:val="00F269FD"/>
    <w:rsid w:val="00F26AA6"/>
    <w:rsid w:val="00F26AF7"/>
    <w:rsid w:val="00F26D03"/>
    <w:rsid w:val="00F2709F"/>
    <w:rsid w:val="00F271B5"/>
    <w:rsid w:val="00F2725B"/>
    <w:rsid w:val="00F273CA"/>
    <w:rsid w:val="00F278BF"/>
    <w:rsid w:val="00F27D56"/>
    <w:rsid w:val="00F27D61"/>
    <w:rsid w:val="00F27E88"/>
    <w:rsid w:val="00F27FF4"/>
    <w:rsid w:val="00F301ED"/>
    <w:rsid w:val="00F3028E"/>
    <w:rsid w:val="00F302AC"/>
    <w:rsid w:val="00F302EC"/>
    <w:rsid w:val="00F30309"/>
    <w:rsid w:val="00F30350"/>
    <w:rsid w:val="00F305DC"/>
    <w:rsid w:val="00F30665"/>
    <w:rsid w:val="00F30A2E"/>
    <w:rsid w:val="00F30B57"/>
    <w:rsid w:val="00F30BC5"/>
    <w:rsid w:val="00F30D7B"/>
    <w:rsid w:val="00F30F07"/>
    <w:rsid w:val="00F30F0E"/>
    <w:rsid w:val="00F31028"/>
    <w:rsid w:val="00F31035"/>
    <w:rsid w:val="00F3144B"/>
    <w:rsid w:val="00F31504"/>
    <w:rsid w:val="00F317E7"/>
    <w:rsid w:val="00F318DF"/>
    <w:rsid w:val="00F31994"/>
    <w:rsid w:val="00F31A77"/>
    <w:rsid w:val="00F31AC1"/>
    <w:rsid w:val="00F31CBC"/>
    <w:rsid w:val="00F31D56"/>
    <w:rsid w:val="00F31DDC"/>
    <w:rsid w:val="00F31E4D"/>
    <w:rsid w:val="00F31EE3"/>
    <w:rsid w:val="00F31FD9"/>
    <w:rsid w:val="00F32004"/>
    <w:rsid w:val="00F32345"/>
    <w:rsid w:val="00F323CF"/>
    <w:rsid w:val="00F32A69"/>
    <w:rsid w:val="00F32E34"/>
    <w:rsid w:val="00F32E75"/>
    <w:rsid w:val="00F32E98"/>
    <w:rsid w:val="00F32F76"/>
    <w:rsid w:val="00F33101"/>
    <w:rsid w:val="00F33185"/>
    <w:rsid w:val="00F33499"/>
    <w:rsid w:val="00F3378D"/>
    <w:rsid w:val="00F3389E"/>
    <w:rsid w:val="00F339C5"/>
    <w:rsid w:val="00F33B2F"/>
    <w:rsid w:val="00F33E78"/>
    <w:rsid w:val="00F34090"/>
    <w:rsid w:val="00F344EE"/>
    <w:rsid w:val="00F3490E"/>
    <w:rsid w:val="00F349E8"/>
    <w:rsid w:val="00F34CBA"/>
    <w:rsid w:val="00F34CC6"/>
    <w:rsid w:val="00F35014"/>
    <w:rsid w:val="00F350CB"/>
    <w:rsid w:val="00F354D2"/>
    <w:rsid w:val="00F355AE"/>
    <w:rsid w:val="00F3561F"/>
    <w:rsid w:val="00F35790"/>
    <w:rsid w:val="00F357CB"/>
    <w:rsid w:val="00F357F4"/>
    <w:rsid w:val="00F3594F"/>
    <w:rsid w:val="00F35A1E"/>
    <w:rsid w:val="00F35A5A"/>
    <w:rsid w:val="00F35C09"/>
    <w:rsid w:val="00F35D21"/>
    <w:rsid w:val="00F35E0C"/>
    <w:rsid w:val="00F35ED0"/>
    <w:rsid w:val="00F35F84"/>
    <w:rsid w:val="00F360FF"/>
    <w:rsid w:val="00F361CC"/>
    <w:rsid w:val="00F362C2"/>
    <w:rsid w:val="00F3644E"/>
    <w:rsid w:val="00F365BF"/>
    <w:rsid w:val="00F367A6"/>
    <w:rsid w:val="00F367D6"/>
    <w:rsid w:val="00F368E8"/>
    <w:rsid w:val="00F369D0"/>
    <w:rsid w:val="00F36B37"/>
    <w:rsid w:val="00F36B5F"/>
    <w:rsid w:val="00F36BB9"/>
    <w:rsid w:val="00F36CEF"/>
    <w:rsid w:val="00F36D5F"/>
    <w:rsid w:val="00F36F34"/>
    <w:rsid w:val="00F370AA"/>
    <w:rsid w:val="00F37680"/>
    <w:rsid w:val="00F37987"/>
    <w:rsid w:val="00F37988"/>
    <w:rsid w:val="00F37AB6"/>
    <w:rsid w:val="00F37B85"/>
    <w:rsid w:val="00F37D86"/>
    <w:rsid w:val="00F40391"/>
    <w:rsid w:val="00F40658"/>
    <w:rsid w:val="00F40689"/>
    <w:rsid w:val="00F4069E"/>
    <w:rsid w:val="00F407E6"/>
    <w:rsid w:val="00F40A1E"/>
    <w:rsid w:val="00F40A50"/>
    <w:rsid w:val="00F40B35"/>
    <w:rsid w:val="00F40D13"/>
    <w:rsid w:val="00F40DF7"/>
    <w:rsid w:val="00F40E9A"/>
    <w:rsid w:val="00F40ED8"/>
    <w:rsid w:val="00F4101A"/>
    <w:rsid w:val="00F411A1"/>
    <w:rsid w:val="00F411E1"/>
    <w:rsid w:val="00F412B9"/>
    <w:rsid w:val="00F414C5"/>
    <w:rsid w:val="00F416E3"/>
    <w:rsid w:val="00F4171B"/>
    <w:rsid w:val="00F41849"/>
    <w:rsid w:val="00F41879"/>
    <w:rsid w:val="00F4189F"/>
    <w:rsid w:val="00F41BDE"/>
    <w:rsid w:val="00F41CC7"/>
    <w:rsid w:val="00F41D83"/>
    <w:rsid w:val="00F41E17"/>
    <w:rsid w:val="00F41EAC"/>
    <w:rsid w:val="00F41F0D"/>
    <w:rsid w:val="00F41F4C"/>
    <w:rsid w:val="00F41FD4"/>
    <w:rsid w:val="00F42102"/>
    <w:rsid w:val="00F42343"/>
    <w:rsid w:val="00F4243C"/>
    <w:rsid w:val="00F424AA"/>
    <w:rsid w:val="00F425FA"/>
    <w:rsid w:val="00F42601"/>
    <w:rsid w:val="00F4281C"/>
    <w:rsid w:val="00F428B9"/>
    <w:rsid w:val="00F42A22"/>
    <w:rsid w:val="00F42A53"/>
    <w:rsid w:val="00F42BED"/>
    <w:rsid w:val="00F42F00"/>
    <w:rsid w:val="00F43008"/>
    <w:rsid w:val="00F43362"/>
    <w:rsid w:val="00F43588"/>
    <w:rsid w:val="00F435F0"/>
    <w:rsid w:val="00F436D3"/>
    <w:rsid w:val="00F43868"/>
    <w:rsid w:val="00F438CB"/>
    <w:rsid w:val="00F43AB1"/>
    <w:rsid w:val="00F43C1E"/>
    <w:rsid w:val="00F43CC5"/>
    <w:rsid w:val="00F43D43"/>
    <w:rsid w:val="00F43F4A"/>
    <w:rsid w:val="00F43F70"/>
    <w:rsid w:val="00F43FF1"/>
    <w:rsid w:val="00F4421A"/>
    <w:rsid w:val="00F44273"/>
    <w:rsid w:val="00F44293"/>
    <w:rsid w:val="00F444F5"/>
    <w:rsid w:val="00F44518"/>
    <w:rsid w:val="00F44555"/>
    <w:rsid w:val="00F445E0"/>
    <w:rsid w:val="00F44649"/>
    <w:rsid w:val="00F446B1"/>
    <w:rsid w:val="00F44776"/>
    <w:rsid w:val="00F44796"/>
    <w:rsid w:val="00F449CB"/>
    <w:rsid w:val="00F44C27"/>
    <w:rsid w:val="00F44C8A"/>
    <w:rsid w:val="00F44CC5"/>
    <w:rsid w:val="00F44E90"/>
    <w:rsid w:val="00F44EDF"/>
    <w:rsid w:val="00F44FA4"/>
    <w:rsid w:val="00F45037"/>
    <w:rsid w:val="00F4506F"/>
    <w:rsid w:val="00F450AB"/>
    <w:rsid w:val="00F45322"/>
    <w:rsid w:val="00F4536D"/>
    <w:rsid w:val="00F45590"/>
    <w:rsid w:val="00F45823"/>
    <w:rsid w:val="00F45A92"/>
    <w:rsid w:val="00F45AD4"/>
    <w:rsid w:val="00F45C10"/>
    <w:rsid w:val="00F45E3D"/>
    <w:rsid w:val="00F45F1A"/>
    <w:rsid w:val="00F46445"/>
    <w:rsid w:val="00F467D7"/>
    <w:rsid w:val="00F46C5C"/>
    <w:rsid w:val="00F46C82"/>
    <w:rsid w:val="00F46EE2"/>
    <w:rsid w:val="00F471D2"/>
    <w:rsid w:val="00F475CE"/>
    <w:rsid w:val="00F476F8"/>
    <w:rsid w:val="00F47763"/>
    <w:rsid w:val="00F477C5"/>
    <w:rsid w:val="00F47814"/>
    <w:rsid w:val="00F47B3A"/>
    <w:rsid w:val="00F47C4F"/>
    <w:rsid w:val="00F47E1B"/>
    <w:rsid w:val="00F47E97"/>
    <w:rsid w:val="00F47ECA"/>
    <w:rsid w:val="00F5044B"/>
    <w:rsid w:val="00F5047D"/>
    <w:rsid w:val="00F508D6"/>
    <w:rsid w:val="00F50C0F"/>
    <w:rsid w:val="00F50E0E"/>
    <w:rsid w:val="00F50E2F"/>
    <w:rsid w:val="00F50E52"/>
    <w:rsid w:val="00F51063"/>
    <w:rsid w:val="00F511BA"/>
    <w:rsid w:val="00F511EE"/>
    <w:rsid w:val="00F5138E"/>
    <w:rsid w:val="00F5144D"/>
    <w:rsid w:val="00F518EC"/>
    <w:rsid w:val="00F51B49"/>
    <w:rsid w:val="00F51B74"/>
    <w:rsid w:val="00F51C1E"/>
    <w:rsid w:val="00F51C2A"/>
    <w:rsid w:val="00F51D65"/>
    <w:rsid w:val="00F51E21"/>
    <w:rsid w:val="00F51EBF"/>
    <w:rsid w:val="00F5203D"/>
    <w:rsid w:val="00F5227D"/>
    <w:rsid w:val="00F52860"/>
    <w:rsid w:val="00F528E7"/>
    <w:rsid w:val="00F528FF"/>
    <w:rsid w:val="00F5294C"/>
    <w:rsid w:val="00F529AE"/>
    <w:rsid w:val="00F52BD9"/>
    <w:rsid w:val="00F52D3D"/>
    <w:rsid w:val="00F52DF4"/>
    <w:rsid w:val="00F52F6F"/>
    <w:rsid w:val="00F53175"/>
    <w:rsid w:val="00F53222"/>
    <w:rsid w:val="00F53629"/>
    <w:rsid w:val="00F53652"/>
    <w:rsid w:val="00F539FC"/>
    <w:rsid w:val="00F53A78"/>
    <w:rsid w:val="00F53CFA"/>
    <w:rsid w:val="00F54023"/>
    <w:rsid w:val="00F540BB"/>
    <w:rsid w:val="00F5435A"/>
    <w:rsid w:val="00F543C3"/>
    <w:rsid w:val="00F54776"/>
    <w:rsid w:val="00F5491A"/>
    <w:rsid w:val="00F5494F"/>
    <w:rsid w:val="00F5499F"/>
    <w:rsid w:val="00F54A17"/>
    <w:rsid w:val="00F54AD5"/>
    <w:rsid w:val="00F54B5C"/>
    <w:rsid w:val="00F54D9C"/>
    <w:rsid w:val="00F55023"/>
    <w:rsid w:val="00F5576A"/>
    <w:rsid w:val="00F55A27"/>
    <w:rsid w:val="00F55B5C"/>
    <w:rsid w:val="00F55BC7"/>
    <w:rsid w:val="00F55C06"/>
    <w:rsid w:val="00F55D58"/>
    <w:rsid w:val="00F55D67"/>
    <w:rsid w:val="00F55D94"/>
    <w:rsid w:val="00F55FE1"/>
    <w:rsid w:val="00F56934"/>
    <w:rsid w:val="00F56946"/>
    <w:rsid w:val="00F56A23"/>
    <w:rsid w:val="00F56D73"/>
    <w:rsid w:val="00F56DE5"/>
    <w:rsid w:val="00F571CF"/>
    <w:rsid w:val="00F57242"/>
    <w:rsid w:val="00F57805"/>
    <w:rsid w:val="00F57946"/>
    <w:rsid w:val="00F57949"/>
    <w:rsid w:val="00F57A92"/>
    <w:rsid w:val="00F57C1D"/>
    <w:rsid w:val="00F57DC4"/>
    <w:rsid w:val="00F601FE"/>
    <w:rsid w:val="00F6025B"/>
    <w:rsid w:val="00F6043A"/>
    <w:rsid w:val="00F60469"/>
    <w:rsid w:val="00F60696"/>
    <w:rsid w:val="00F606AA"/>
    <w:rsid w:val="00F606FB"/>
    <w:rsid w:val="00F608DC"/>
    <w:rsid w:val="00F608DD"/>
    <w:rsid w:val="00F60C05"/>
    <w:rsid w:val="00F60D2A"/>
    <w:rsid w:val="00F60F42"/>
    <w:rsid w:val="00F60FFB"/>
    <w:rsid w:val="00F611F6"/>
    <w:rsid w:val="00F611FA"/>
    <w:rsid w:val="00F6130F"/>
    <w:rsid w:val="00F61406"/>
    <w:rsid w:val="00F61422"/>
    <w:rsid w:val="00F6144F"/>
    <w:rsid w:val="00F6155F"/>
    <w:rsid w:val="00F615CE"/>
    <w:rsid w:val="00F61C29"/>
    <w:rsid w:val="00F61DF8"/>
    <w:rsid w:val="00F61F67"/>
    <w:rsid w:val="00F61FF6"/>
    <w:rsid w:val="00F620C4"/>
    <w:rsid w:val="00F620DC"/>
    <w:rsid w:val="00F62542"/>
    <w:rsid w:val="00F625EC"/>
    <w:rsid w:val="00F62C73"/>
    <w:rsid w:val="00F62CE1"/>
    <w:rsid w:val="00F62CE8"/>
    <w:rsid w:val="00F634E7"/>
    <w:rsid w:val="00F63507"/>
    <w:rsid w:val="00F636E8"/>
    <w:rsid w:val="00F637AA"/>
    <w:rsid w:val="00F63856"/>
    <w:rsid w:val="00F63899"/>
    <w:rsid w:val="00F6389C"/>
    <w:rsid w:val="00F63B15"/>
    <w:rsid w:val="00F63F2A"/>
    <w:rsid w:val="00F6419E"/>
    <w:rsid w:val="00F647B9"/>
    <w:rsid w:val="00F647CC"/>
    <w:rsid w:val="00F647DE"/>
    <w:rsid w:val="00F647FE"/>
    <w:rsid w:val="00F64A2F"/>
    <w:rsid w:val="00F64A37"/>
    <w:rsid w:val="00F64C25"/>
    <w:rsid w:val="00F64D76"/>
    <w:rsid w:val="00F64DE3"/>
    <w:rsid w:val="00F64FC3"/>
    <w:rsid w:val="00F6512A"/>
    <w:rsid w:val="00F6527A"/>
    <w:rsid w:val="00F65430"/>
    <w:rsid w:val="00F65609"/>
    <w:rsid w:val="00F65846"/>
    <w:rsid w:val="00F65E0A"/>
    <w:rsid w:val="00F65E6D"/>
    <w:rsid w:val="00F65ED5"/>
    <w:rsid w:val="00F66009"/>
    <w:rsid w:val="00F66105"/>
    <w:rsid w:val="00F661D5"/>
    <w:rsid w:val="00F66228"/>
    <w:rsid w:val="00F663FD"/>
    <w:rsid w:val="00F66441"/>
    <w:rsid w:val="00F666B3"/>
    <w:rsid w:val="00F66749"/>
    <w:rsid w:val="00F6679E"/>
    <w:rsid w:val="00F6693B"/>
    <w:rsid w:val="00F669D6"/>
    <w:rsid w:val="00F66AA5"/>
    <w:rsid w:val="00F66B56"/>
    <w:rsid w:val="00F66DBD"/>
    <w:rsid w:val="00F66EDE"/>
    <w:rsid w:val="00F671D4"/>
    <w:rsid w:val="00F673FC"/>
    <w:rsid w:val="00F67651"/>
    <w:rsid w:val="00F67A90"/>
    <w:rsid w:val="00F67F0F"/>
    <w:rsid w:val="00F700A3"/>
    <w:rsid w:val="00F7014F"/>
    <w:rsid w:val="00F702A6"/>
    <w:rsid w:val="00F702F0"/>
    <w:rsid w:val="00F70354"/>
    <w:rsid w:val="00F703AF"/>
    <w:rsid w:val="00F70468"/>
    <w:rsid w:val="00F70626"/>
    <w:rsid w:val="00F70646"/>
    <w:rsid w:val="00F706C8"/>
    <w:rsid w:val="00F70954"/>
    <w:rsid w:val="00F70AB7"/>
    <w:rsid w:val="00F70AE5"/>
    <w:rsid w:val="00F70D77"/>
    <w:rsid w:val="00F7104D"/>
    <w:rsid w:val="00F71394"/>
    <w:rsid w:val="00F71481"/>
    <w:rsid w:val="00F716E6"/>
    <w:rsid w:val="00F71710"/>
    <w:rsid w:val="00F7186A"/>
    <w:rsid w:val="00F71881"/>
    <w:rsid w:val="00F71A06"/>
    <w:rsid w:val="00F72033"/>
    <w:rsid w:val="00F720B6"/>
    <w:rsid w:val="00F72298"/>
    <w:rsid w:val="00F722BF"/>
    <w:rsid w:val="00F72432"/>
    <w:rsid w:val="00F7250D"/>
    <w:rsid w:val="00F725AA"/>
    <w:rsid w:val="00F7262E"/>
    <w:rsid w:val="00F726FE"/>
    <w:rsid w:val="00F7270E"/>
    <w:rsid w:val="00F72A52"/>
    <w:rsid w:val="00F72BA3"/>
    <w:rsid w:val="00F73330"/>
    <w:rsid w:val="00F73649"/>
    <w:rsid w:val="00F73798"/>
    <w:rsid w:val="00F737AD"/>
    <w:rsid w:val="00F73870"/>
    <w:rsid w:val="00F73A77"/>
    <w:rsid w:val="00F73AA3"/>
    <w:rsid w:val="00F73B7A"/>
    <w:rsid w:val="00F73B8E"/>
    <w:rsid w:val="00F74132"/>
    <w:rsid w:val="00F7448D"/>
    <w:rsid w:val="00F7453A"/>
    <w:rsid w:val="00F7465B"/>
    <w:rsid w:val="00F7468D"/>
    <w:rsid w:val="00F74784"/>
    <w:rsid w:val="00F74967"/>
    <w:rsid w:val="00F74EB8"/>
    <w:rsid w:val="00F74ED7"/>
    <w:rsid w:val="00F74F88"/>
    <w:rsid w:val="00F74FCE"/>
    <w:rsid w:val="00F74FFB"/>
    <w:rsid w:val="00F751A8"/>
    <w:rsid w:val="00F75216"/>
    <w:rsid w:val="00F7523E"/>
    <w:rsid w:val="00F752A3"/>
    <w:rsid w:val="00F755F3"/>
    <w:rsid w:val="00F758B7"/>
    <w:rsid w:val="00F75A59"/>
    <w:rsid w:val="00F75BAE"/>
    <w:rsid w:val="00F75D23"/>
    <w:rsid w:val="00F760A5"/>
    <w:rsid w:val="00F7631A"/>
    <w:rsid w:val="00F76348"/>
    <w:rsid w:val="00F766B5"/>
    <w:rsid w:val="00F7673A"/>
    <w:rsid w:val="00F76789"/>
    <w:rsid w:val="00F769DE"/>
    <w:rsid w:val="00F76A75"/>
    <w:rsid w:val="00F76AC9"/>
    <w:rsid w:val="00F76B5D"/>
    <w:rsid w:val="00F76B67"/>
    <w:rsid w:val="00F76D49"/>
    <w:rsid w:val="00F76EFF"/>
    <w:rsid w:val="00F77038"/>
    <w:rsid w:val="00F77218"/>
    <w:rsid w:val="00F7738E"/>
    <w:rsid w:val="00F776EF"/>
    <w:rsid w:val="00F7793A"/>
    <w:rsid w:val="00F7796D"/>
    <w:rsid w:val="00F77BA0"/>
    <w:rsid w:val="00F77BDC"/>
    <w:rsid w:val="00F77BFF"/>
    <w:rsid w:val="00F77C2C"/>
    <w:rsid w:val="00F77D36"/>
    <w:rsid w:val="00F80149"/>
    <w:rsid w:val="00F80351"/>
    <w:rsid w:val="00F80382"/>
    <w:rsid w:val="00F80436"/>
    <w:rsid w:val="00F806BA"/>
    <w:rsid w:val="00F80AF0"/>
    <w:rsid w:val="00F80B1F"/>
    <w:rsid w:val="00F80C57"/>
    <w:rsid w:val="00F80CA1"/>
    <w:rsid w:val="00F80F37"/>
    <w:rsid w:val="00F811B7"/>
    <w:rsid w:val="00F811D3"/>
    <w:rsid w:val="00F81208"/>
    <w:rsid w:val="00F81259"/>
    <w:rsid w:val="00F81265"/>
    <w:rsid w:val="00F8136E"/>
    <w:rsid w:val="00F81608"/>
    <w:rsid w:val="00F81705"/>
    <w:rsid w:val="00F81863"/>
    <w:rsid w:val="00F81D57"/>
    <w:rsid w:val="00F81E97"/>
    <w:rsid w:val="00F8269F"/>
    <w:rsid w:val="00F828A9"/>
    <w:rsid w:val="00F829BF"/>
    <w:rsid w:val="00F82ABE"/>
    <w:rsid w:val="00F82C4F"/>
    <w:rsid w:val="00F82D79"/>
    <w:rsid w:val="00F830BE"/>
    <w:rsid w:val="00F83189"/>
    <w:rsid w:val="00F83221"/>
    <w:rsid w:val="00F837BD"/>
    <w:rsid w:val="00F8386E"/>
    <w:rsid w:val="00F838C0"/>
    <w:rsid w:val="00F83BFD"/>
    <w:rsid w:val="00F83EE6"/>
    <w:rsid w:val="00F83F57"/>
    <w:rsid w:val="00F8437D"/>
    <w:rsid w:val="00F8446A"/>
    <w:rsid w:val="00F848B4"/>
    <w:rsid w:val="00F8494F"/>
    <w:rsid w:val="00F84B93"/>
    <w:rsid w:val="00F84C05"/>
    <w:rsid w:val="00F84C6F"/>
    <w:rsid w:val="00F84D56"/>
    <w:rsid w:val="00F85186"/>
    <w:rsid w:val="00F852A6"/>
    <w:rsid w:val="00F85332"/>
    <w:rsid w:val="00F854AB"/>
    <w:rsid w:val="00F8562D"/>
    <w:rsid w:val="00F858F7"/>
    <w:rsid w:val="00F85978"/>
    <w:rsid w:val="00F85A00"/>
    <w:rsid w:val="00F85CE7"/>
    <w:rsid w:val="00F85DEC"/>
    <w:rsid w:val="00F85FC2"/>
    <w:rsid w:val="00F8624D"/>
    <w:rsid w:val="00F865CD"/>
    <w:rsid w:val="00F867CE"/>
    <w:rsid w:val="00F8690A"/>
    <w:rsid w:val="00F86A9C"/>
    <w:rsid w:val="00F86C71"/>
    <w:rsid w:val="00F86D51"/>
    <w:rsid w:val="00F86D91"/>
    <w:rsid w:val="00F8708F"/>
    <w:rsid w:val="00F873D2"/>
    <w:rsid w:val="00F87426"/>
    <w:rsid w:val="00F87564"/>
    <w:rsid w:val="00F87662"/>
    <w:rsid w:val="00F87783"/>
    <w:rsid w:val="00F879F3"/>
    <w:rsid w:val="00F87A2A"/>
    <w:rsid w:val="00F87AF0"/>
    <w:rsid w:val="00F87B44"/>
    <w:rsid w:val="00F87B8E"/>
    <w:rsid w:val="00F87B9C"/>
    <w:rsid w:val="00F87E83"/>
    <w:rsid w:val="00F900C3"/>
    <w:rsid w:val="00F90187"/>
    <w:rsid w:val="00F902D8"/>
    <w:rsid w:val="00F905BC"/>
    <w:rsid w:val="00F907CB"/>
    <w:rsid w:val="00F90823"/>
    <w:rsid w:val="00F90C7F"/>
    <w:rsid w:val="00F91046"/>
    <w:rsid w:val="00F910A3"/>
    <w:rsid w:val="00F91190"/>
    <w:rsid w:val="00F91910"/>
    <w:rsid w:val="00F91C68"/>
    <w:rsid w:val="00F91E65"/>
    <w:rsid w:val="00F91ECE"/>
    <w:rsid w:val="00F91F1E"/>
    <w:rsid w:val="00F92024"/>
    <w:rsid w:val="00F92130"/>
    <w:rsid w:val="00F921E3"/>
    <w:rsid w:val="00F922B8"/>
    <w:rsid w:val="00F922BD"/>
    <w:rsid w:val="00F92616"/>
    <w:rsid w:val="00F9277F"/>
    <w:rsid w:val="00F927FD"/>
    <w:rsid w:val="00F92BA7"/>
    <w:rsid w:val="00F92BD9"/>
    <w:rsid w:val="00F92C6F"/>
    <w:rsid w:val="00F92E97"/>
    <w:rsid w:val="00F92FA9"/>
    <w:rsid w:val="00F93118"/>
    <w:rsid w:val="00F934F7"/>
    <w:rsid w:val="00F9382B"/>
    <w:rsid w:val="00F939A2"/>
    <w:rsid w:val="00F93ACF"/>
    <w:rsid w:val="00F93C7B"/>
    <w:rsid w:val="00F93D49"/>
    <w:rsid w:val="00F93E5E"/>
    <w:rsid w:val="00F93EBF"/>
    <w:rsid w:val="00F94024"/>
    <w:rsid w:val="00F943BB"/>
    <w:rsid w:val="00F94402"/>
    <w:rsid w:val="00F94597"/>
    <w:rsid w:val="00F94599"/>
    <w:rsid w:val="00F94666"/>
    <w:rsid w:val="00F947CB"/>
    <w:rsid w:val="00F94C49"/>
    <w:rsid w:val="00F94DA3"/>
    <w:rsid w:val="00F95337"/>
    <w:rsid w:val="00F953EC"/>
    <w:rsid w:val="00F954A2"/>
    <w:rsid w:val="00F955D0"/>
    <w:rsid w:val="00F955D8"/>
    <w:rsid w:val="00F95AF4"/>
    <w:rsid w:val="00F95B31"/>
    <w:rsid w:val="00F95BCB"/>
    <w:rsid w:val="00F95E81"/>
    <w:rsid w:val="00F96093"/>
    <w:rsid w:val="00F96094"/>
    <w:rsid w:val="00F961A0"/>
    <w:rsid w:val="00F96211"/>
    <w:rsid w:val="00F96924"/>
    <w:rsid w:val="00F96A32"/>
    <w:rsid w:val="00F9701F"/>
    <w:rsid w:val="00F9726A"/>
    <w:rsid w:val="00F97668"/>
    <w:rsid w:val="00F97808"/>
    <w:rsid w:val="00F9788B"/>
    <w:rsid w:val="00F97914"/>
    <w:rsid w:val="00F97B1B"/>
    <w:rsid w:val="00F97D6D"/>
    <w:rsid w:val="00FA0246"/>
    <w:rsid w:val="00FA047F"/>
    <w:rsid w:val="00FA04C5"/>
    <w:rsid w:val="00FA06DE"/>
    <w:rsid w:val="00FA0860"/>
    <w:rsid w:val="00FA0CC5"/>
    <w:rsid w:val="00FA11A4"/>
    <w:rsid w:val="00FA11AF"/>
    <w:rsid w:val="00FA1311"/>
    <w:rsid w:val="00FA1375"/>
    <w:rsid w:val="00FA1608"/>
    <w:rsid w:val="00FA1A68"/>
    <w:rsid w:val="00FA1BE1"/>
    <w:rsid w:val="00FA1CEB"/>
    <w:rsid w:val="00FA1D65"/>
    <w:rsid w:val="00FA1EE3"/>
    <w:rsid w:val="00FA1F9E"/>
    <w:rsid w:val="00FA22BA"/>
    <w:rsid w:val="00FA22BB"/>
    <w:rsid w:val="00FA2726"/>
    <w:rsid w:val="00FA2B60"/>
    <w:rsid w:val="00FA2BC1"/>
    <w:rsid w:val="00FA2DCF"/>
    <w:rsid w:val="00FA2F1C"/>
    <w:rsid w:val="00FA31F3"/>
    <w:rsid w:val="00FA3582"/>
    <w:rsid w:val="00FA39CB"/>
    <w:rsid w:val="00FA3CA6"/>
    <w:rsid w:val="00FA3DCF"/>
    <w:rsid w:val="00FA3DD9"/>
    <w:rsid w:val="00FA3E7E"/>
    <w:rsid w:val="00FA3F30"/>
    <w:rsid w:val="00FA3F40"/>
    <w:rsid w:val="00FA3F44"/>
    <w:rsid w:val="00FA403B"/>
    <w:rsid w:val="00FA42AF"/>
    <w:rsid w:val="00FA4451"/>
    <w:rsid w:val="00FA4458"/>
    <w:rsid w:val="00FA492D"/>
    <w:rsid w:val="00FA4982"/>
    <w:rsid w:val="00FA49A1"/>
    <w:rsid w:val="00FA4A86"/>
    <w:rsid w:val="00FA4AAB"/>
    <w:rsid w:val="00FA4AF4"/>
    <w:rsid w:val="00FA4BC1"/>
    <w:rsid w:val="00FA4BF1"/>
    <w:rsid w:val="00FA4C30"/>
    <w:rsid w:val="00FA4C44"/>
    <w:rsid w:val="00FA4EF9"/>
    <w:rsid w:val="00FA4FBF"/>
    <w:rsid w:val="00FA50B1"/>
    <w:rsid w:val="00FA50E6"/>
    <w:rsid w:val="00FA51D7"/>
    <w:rsid w:val="00FA5326"/>
    <w:rsid w:val="00FA54AA"/>
    <w:rsid w:val="00FA5CE1"/>
    <w:rsid w:val="00FA5E26"/>
    <w:rsid w:val="00FA5F49"/>
    <w:rsid w:val="00FA607A"/>
    <w:rsid w:val="00FA6422"/>
    <w:rsid w:val="00FA6793"/>
    <w:rsid w:val="00FA68A0"/>
    <w:rsid w:val="00FA6A47"/>
    <w:rsid w:val="00FA6B8B"/>
    <w:rsid w:val="00FA6E81"/>
    <w:rsid w:val="00FA6EB1"/>
    <w:rsid w:val="00FA726F"/>
    <w:rsid w:val="00FA7599"/>
    <w:rsid w:val="00FA7611"/>
    <w:rsid w:val="00FA76EA"/>
    <w:rsid w:val="00FA7701"/>
    <w:rsid w:val="00FA774C"/>
    <w:rsid w:val="00FA77D1"/>
    <w:rsid w:val="00FA7A94"/>
    <w:rsid w:val="00FA7BD0"/>
    <w:rsid w:val="00FA7C35"/>
    <w:rsid w:val="00FB0007"/>
    <w:rsid w:val="00FB00DA"/>
    <w:rsid w:val="00FB02D2"/>
    <w:rsid w:val="00FB0598"/>
    <w:rsid w:val="00FB0952"/>
    <w:rsid w:val="00FB09CE"/>
    <w:rsid w:val="00FB0C67"/>
    <w:rsid w:val="00FB0CFE"/>
    <w:rsid w:val="00FB1282"/>
    <w:rsid w:val="00FB128C"/>
    <w:rsid w:val="00FB1373"/>
    <w:rsid w:val="00FB15D8"/>
    <w:rsid w:val="00FB1D41"/>
    <w:rsid w:val="00FB2399"/>
    <w:rsid w:val="00FB243D"/>
    <w:rsid w:val="00FB24C1"/>
    <w:rsid w:val="00FB2516"/>
    <w:rsid w:val="00FB2840"/>
    <w:rsid w:val="00FB2B68"/>
    <w:rsid w:val="00FB2E11"/>
    <w:rsid w:val="00FB2F7F"/>
    <w:rsid w:val="00FB2F8F"/>
    <w:rsid w:val="00FB2FAD"/>
    <w:rsid w:val="00FB3416"/>
    <w:rsid w:val="00FB34A9"/>
    <w:rsid w:val="00FB34BD"/>
    <w:rsid w:val="00FB355B"/>
    <w:rsid w:val="00FB363C"/>
    <w:rsid w:val="00FB38A3"/>
    <w:rsid w:val="00FB398E"/>
    <w:rsid w:val="00FB3C1E"/>
    <w:rsid w:val="00FB3EDB"/>
    <w:rsid w:val="00FB3F35"/>
    <w:rsid w:val="00FB3F51"/>
    <w:rsid w:val="00FB409A"/>
    <w:rsid w:val="00FB4259"/>
    <w:rsid w:val="00FB4528"/>
    <w:rsid w:val="00FB4606"/>
    <w:rsid w:val="00FB470B"/>
    <w:rsid w:val="00FB470E"/>
    <w:rsid w:val="00FB486B"/>
    <w:rsid w:val="00FB4B52"/>
    <w:rsid w:val="00FB4C6B"/>
    <w:rsid w:val="00FB4CD1"/>
    <w:rsid w:val="00FB50EF"/>
    <w:rsid w:val="00FB523D"/>
    <w:rsid w:val="00FB54B3"/>
    <w:rsid w:val="00FB5664"/>
    <w:rsid w:val="00FB569B"/>
    <w:rsid w:val="00FB5C4C"/>
    <w:rsid w:val="00FB5F1E"/>
    <w:rsid w:val="00FB6348"/>
    <w:rsid w:val="00FB670B"/>
    <w:rsid w:val="00FB6712"/>
    <w:rsid w:val="00FB67CA"/>
    <w:rsid w:val="00FB6838"/>
    <w:rsid w:val="00FB697D"/>
    <w:rsid w:val="00FB69DD"/>
    <w:rsid w:val="00FB6A5B"/>
    <w:rsid w:val="00FB6B61"/>
    <w:rsid w:val="00FB6E10"/>
    <w:rsid w:val="00FB6FC7"/>
    <w:rsid w:val="00FB7186"/>
    <w:rsid w:val="00FB71CF"/>
    <w:rsid w:val="00FB722D"/>
    <w:rsid w:val="00FB7375"/>
    <w:rsid w:val="00FB75F3"/>
    <w:rsid w:val="00FB778E"/>
    <w:rsid w:val="00FB7BF5"/>
    <w:rsid w:val="00FB7DB4"/>
    <w:rsid w:val="00FB7F0C"/>
    <w:rsid w:val="00FC01F4"/>
    <w:rsid w:val="00FC01FF"/>
    <w:rsid w:val="00FC032D"/>
    <w:rsid w:val="00FC04D3"/>
    <w:rsid w:val="00FC0553"/>
    <w:rsid w:val="00FC0737"/>
    <w:rsid w:val="00FC07F3"/>
    <w:rsid w:val="00FC0B20"/>
    <w:rsid w:val="00FC0DAC"/>
    <w:rsid w:val="00FC0DF8"/>
    <w:rsid w:val="00FC13D3"/>
    <w:rsid w:val="00FC1679"/>
    <w:rsid w:val="00FC1845"/>
    <w:rsid w:val="00FC18D4"/>
    <w:rsid w:val="00FC190C"/>
    <w:rsid w:val="00FC1EEF"/>
    <w:rsid w:val="00FC1FFE"/>
    <w:rsid w:val="00FC2153"/>
    <w:rsid w:val="00FC2371"/>
    <w:rsid w:val="00FC245D"/>
    <w:rsid w:val="00FC2553"/>
    <w:rsid w:val="00FC2581"/>
    <w:rsid w:val="00FC25DD"/>
    <w:rsid w:val="00FC2689"/>
    <w:rsid w:val="00FC26E4"/>
    <w:rsid w:val="00FC26F3"/>
    <w:rsid w:val="00FC2713"/>
    <w:rsid w:val="00FC27F1"/>
    <w:rsid w:val="00FC2954"/>
    <w:rsid w:val="00FC2A81"/>
    <w:rsid w:val="00FC2BC4"/>
    <w:rsid w:val="00FC2CAB"/>
    <w:rsid w:val="00FC2CC9"/>
    <w:rsid w:val="00FC2FA7"/>
    <w:rsid w:val="00FC2FAB"/>
    <w:rsid w:val="00FC3090"/>
    <w:rsid w:val="00FC32DD"/>
    <w:rsid w:val="00FC3464"/>
    <w:rsid w:val="00FC35A5"/>
    <w:rsid w:val="00FC35D1"/>
    <w:rsid w:val="00FC373D"/>
    <w:rsid w:val="00FC3740"/>
    <w:rsid w:val="00FC3810"/>
    <w:rsid w:val="00FC38F5"/>
    <w:rsid w:val="00FC3AC6"/>
    <w:rsid w:val="00FC3BE6"/>
    <w:rsid w:val="00FC3C65"/>
    <w:rsid w:val="00FC3CC7"/>
    <w:rsid w:val="00FC3CD8"/>
    <w:rsid w:val="00FC3D4F"/>
    <w:rsid w:val="00FC3DB1"/>
    <w:rsid w:val="00FC3EFB"/>
    <w:rsid w:val="00FC40FD"/>
    <w:rsid w:val="00FC4131"/>
    <w:rsid w:val="00FC421D"/>
    <w:rsid w:val="00FC4727"/>
    <w:rsid w:val="00FC497B"/>
    <w:rsid w:val="00FC4AE3"/>
    <w:rsid w:val="00FC4C02"/>
    <w:rsid w:val="00FC4D88"/>
    <w:rsid w:val="00FC51D5"/>
    <w:rsid w:val="00FC52AC"/>
    <w:rsid w:val="00FC5717"/>
    <w:rsid w:val="00FC577E"/>
    <w:rsid w:val="00FC5882"/>
    <w:rsid w:val="00FC58A8"/>
    <w:rsid w:val="00FC593E"/>
    <w:rsid w:val="00FC59FB"/>
    <w:rsid w:val="00FC5BEB"/>
    <w:rsid w:val="00FC5C89"/>
    <w:rsid w:val="00FC62C8"/>
    <w:rsid w:val="00FC6409"/>
    <w:rsid w:val="00FC6432"/>
    <w:rsid w:val="00FC65E7"/>
    <w:rsid w:val="00FC6A3A"/>
    <w:rsid w:val="00FC6D4A"/>
    <w:rsid w:val="00FC6F72"/>
    <w:rsid w:val="00FC6FC5"/>
    <w:rsid w:val="00FC6FCC"/>
    <w:rsid w:val="00FC71D7"/>
    <w:rsid w:val="00FC73CB"/>
    <w:rsid w:val="00FC75AA"/>
    <w:rsid w:val="00FC7856"/>
    <w:rsid w:val="00FC79E0"/>
    <w:rsid w:val="00FC7D20"/>
    <w:rsid w:val="00FC7E40"/>
    <w:rsid w:val="00FC7F00"/>
    <w:rsid w:val="00FD019A"/>
    <w:rsid w:val="00FD02A3"/>
    <w:rsid w:val="00FD034E"/>
    <w:rsid w:val="00FD04E5"/>
    <w:rsid w:val="00FD06C8"/>
    <w:rsid w:val="00FD06E7"/>
    <w:rsid w:val="00FD0888"/>
    <w:rsid w:val="00FD0894"/>
    <w:rsid w:val="00FD0A55"/>
    <w:rsid w:val="00FD0CA6"/>
    <w:rsid w:val="00FD0DE6"/>
    <w:rsid w:val="00FD0E85"/>
    <w:rsid w:val="00FD0ED2"/>
    <w:rsid w:val="00FD1005"/>
    <w:rsid w:val="00FD1086"/>
    <w:rsid w:val="00FD132F"/>
    <w:rsid w:val="00FD154B"/>
    <w:rsid w:val="00FD1950"/>
    <w:rsid w:val="00FD1A23"/>
    <w:rsid w:val="00FD1A31"/>
    <w:rsid w:val="00FD1C7A"/>
    <w:rsid w:val="00FD1F81"/>
    <w:rsid w:val="00FD2033"/>
    <w:rsid w:val="00FD20BF"/>
    <w:rsid w:val="00FD20D1"/>
    <w:rsid w:val="00FD21C7"/>
    <w:rsid w:val="00FD223B"/>
    <w:rsid w:val="00FD23D3"/>
    <w:rsid w:val="00FD24C6"/>
    <w:rsid w:val="00FD250E"/>
    <w:rsid w:val="00FD2524"/>
    <w:rsid w:val="00FD2582"/>
    <w:rsid w:val="00FD27BB"/>
    <w:rsid w:val="00FD28F4"/>
    <w:rsid w:val="00FD2962"/>
    <w:rsid w:val="00FD2A94"/>
    <w:rsid w:val="00FD2B77"/>
    <w:rsid w:val="00FD2BDF"/>
    <w:rsid w:val="00FD2C12"/>
    <w:rsid w:val="00FD2CD5"/>
    <w:rsid w:val="00FD31CB"/>
    <w:rsid w:val="00FD31CF"/>
    <w:rsid w:val="00FD3A93"/>
    <w:rsid w:val="00FD3AF0"/>
    <w:rsid w:val="00FD4043"/>
    <w:rsid w:val="00FD4050"/>
    <w:rsid w:val="00FD40D1"/>
    <w:rsid w:val="00FD4238"/>
    <w:rsid w:val="00FD47FB"/>
    <w:rsid w:val="00FD4998"/>
    <w:rsid w:val="00FD4B63"/>
    <w:rsid w:val="00FD4D57"/>
    <w:rsid w:val="00FD4DB4"/>
    <w:rsid w:val="00FD4F1E"/>
    <w:rsid w:val="00FD4F9B"/>
    <w:rsid w:val="00FD51C6"/>
    <w:rsid w:val="00FD525C"/>
    <w:rsid w:val="00FD5335"/>
    <w:rsid w:val="00FD534A"/>
    <w:rsid w:val="00FD56A0"/>
    <w:rsid w:val="00FD5742"/>
    <w:rsid w:val="00FD5966"/>
    <w:rsid w:val="00FD599F"/>
    <w:rsid w:val="00FD5A3A"/>
    <w:rsid w:val="00FD5A3B"/>
    <w:rsid w:val="00FD5AC4"/>
    <w:rsid w:val="00FD5BD1"/>
    <w:rsid w:val="00FD5D1A"/>
    <w:rsid w:val="00FD5E66"/>
    <w:rsid w:val="00FD60CD"/>
    <w:rsid w:val="00FD66D7"/>
    <w:rsid w:val="00FD676B"/>
    <w:rsid w:val="00FD67A4"/>
    <w:rsid w:val="00FD6C6A"/>
    <w:rsid w:val="00FD7645"/>
    <w:rsid w:val="00FD76A7"/>
    <w:rsid w:val="00FD7727"/>
    <w:rsid w:val="00FD7B3B"/>
    <w:rsid w:val="00FE0269"/>
    <w:rsid w:val="00FE031D"/>
    <w:rsid w:val="00FE042C"/>
    <w:rsid w:val="00FE0499"/>
    <w:rsid w:val="00FE071F"/>
    <w:rsid w:val="00FE076F"/>
    <w:rsid w:val="00FE079E"/>
    <w:rsid w:val="00FE08E5"/>
    <w:rsid w:val="00FE0903"/>
    <w:rsid w:val="00FE0A80"/>
    <w:rsid w:val="00FE0AD9"/>
    <w:rsid w:val="00FE0B8A"/>
    <w:rsid w:val="00FE0F88"/>
    <w:rsid w:val="00FE10FE"/>
    <w:rsid w:val="00FE1367"/>
    <w:rsid w:val="00FE13C9"/>
    <w:rsid w:val="00FE1923"/>
    <w:rsid w:val="00FE19FC"/>
    <w:rsid w:val="00FE1B2B"/>
    <w:rsid w:val="00FE1B52"/>
    <w:rsid w:val="00FE1CAF"/>
    <w:rsid w:val="00FE1D06"/>
    <w:rsid w:val="00FE2195"/>
    <w:rsid w:val="00FE224B"/>
    <w:rsid w:val="00FE23AD"/>
    <w:rsid w:val="00FE23C2"/>
    <w:rsid w:val="00FE25AC"/>
    <w:rsid w:val="00FE266B"/>
    <w:rsid w:val="00FE2702"/>
    <w:rsid w:val="00FE2970"/>
    <w:rsid w:val="00FE2A08"/>
    <w:rsid w:val="00FE2A58"/>
    <w:rsid w:val="00FE2D44"/>
    <w:rsid w:val="00FE2E06"/>
    <w:rsid w:val="00FE2ED9"/>
    <w:rsid w:val="00FE30A6"/>
    <w:rsid w:val="00FE31D2"/>
    <w:rsid w:val="00FE327F"/>
    <w:rsid w:val="00FE32F2"/>
    <w:rsid w:val="00FE334A"/>
    <w:rsid w:val="00FE336E"/>
    <w:rsid w:val="00FE33B6"/>
    <w:rsid w:val="00FE3436"/>
    <w:rsid w:val="00FE3665"/>
    <w:rsid w:val="00FE38D6"/>
    <w:rsid w:val="00FE3B0C"/>
    <w:rsid w:val="00FE3CE2"/>
    <w:rsid w:val="00FE3DB7"/>
    <w:rsid w:val="00FE3EE1"/>
    <w:rsid w:val="00FE3FC0"/>
    <w:rsid w:val="00FE41C0"/>
    <w:rsid w:val="00FE41CF"/>
    <w:rsid w:val="00FE42B1"/>
    <w:rsid w:val="00FE4318"/>
    <w:rsid w:val="00FE4413"/>
    <w:rsid w:val="00FE46DE"/>
    <w:rsid w:val="00FE4991"/>
    <w:rsid w:val="00FE4DA9"/>
    <w:rsid w:val="00FE4DF3"/>
    <w:rsid w:val="00FE4FF3"/>
    <w:rsid w:val="00FE5161"/>
    <w:rsid w:val="00FE53C2"/>
    <w:rsid w:val="00FE54DB"/>
    <w:rsid w:val="00FE562E"/>
    <w:rsid w:val="00FE581F"/>
    <w:rsid w:val="00FE5CD2"/>
    <w:rsid w:val="00FE5D8E"/>
    <w:rsid w:val="00FE5EEB"/>
    <w:rsid w:val="00FE6455"/>
    <w:rsid w:val="00FE64AF"/>
    <w:rsid w:val="00FE66EB"/>
    <w:rsid w:val="00FE67A4"/>
    <w:rsid w:val="00FE6956"/>
    <w:rsid w:val="00FE6A39"/>
    <w:rsid w:val="00FE6AEC"/>
    <w:rsid w:val="00FE6D89"/>
    <w:rsid w:val="00FE703D"/>
    <w:rsid w:val="00FE7267"/>
    <w:rsid w:val="00FE7277"/>
    <w:rsid w:val="00FE74A2"/>
    <w:rsid w:val="00FE75BA"/>
    <w:rsid w:val="00FE77E0"/>
    <w:rsid w:val="00FE788E"/>
    <w:rsid w:val="00FE78B3"/>
    <w:rsid w:val="00FE7B2B"/>
    <w:rsid w:val="00FE7B3F"/>
    <w:rsid w:val="00FE7B8E"/>
    <w:rsid w:val="00FE7CA5"/>
    <w:rsid w:val="00FF002C"/>
    <w:rsid w:val="00FF03C6"/>
    <w:rsid w:val="00FF058F"/>
    <w:rsid w:val="00FF0644"/>
    <w:rsid w:val="00FF07D3"/>
    <w:rsid w:val="00FF0882"/>
    <w:rsid w:val="00FF0B32"/>
    <w:rsid w:val="00FF0B4F"/>
    <w:rsid w:val="00FF0E9B"/>
    <w:rsid w:val="00FF1016"/>
    <w:rsid w:val="00FF1064"/>
    <w:rsid w:val="00FF10AB"/>
    <w:rsid w:val="00FF1151"/>
    <w:rsid w:val="00FF1366"/>
    <w:rsid w:val="00FF15B7"/>
    <w:rsid w:val="00FF164B"/>
    <w:rsid w:val="00FF18F9"/>
    <w:rsid w:val="00FF1930"/>
    <w:rsid w:val="00FF19AA"/>
    <w:rsid w:val="00FF1CB0"/>
    <w:rsid w:val="00FF1E58"/>
    <w:rsid w:val="00FF2259"/>
    <w:rsid w:val="00FF2285"/>
    <w:rsid w:val="00FF22AB"/>
    <w:rsid w:val="00FF238E"/>
    <w:rsid w:val="00FF25DD"/>
    <w:rsid w:val="00FF2690"/>
    <w:rsid w:val="00FF287B"/>
    <w:rsid w:val="00FF2DEA"/>
    <w:rsid w:val="00FF2EB9"/>
    <w:rsid w:val="00FF3111"/>
    <w:rsid w:val="00FF313A"/>
    <w:rsid w:val="00FF3432"/>
    <w:rsid w:val="00FF369A"/>
    <w:rsid w:val="00FF3972"/>
    <w:rsid w:val="00FF3B4A"/>
    <w:rsid w:val="00FF3B5B"/>
    <w:rsid w:val="00FF3BED"/>
    <w:rsid w:val="00FF3C08"/>
    <w:rsid w:val="00FF3C5E"/>
    <w:rsid w:val="00FF3C88"/>
    <w:rsid w:val="00FF3D76"/>
    <w:rsid w:val="00FF3DCD"/>
    <w:rsid w:val="00FF4218"/>
    <w:rsid w:val="00FF4459"/>
    <w:rsid w:val="00FF4564"/>
    <w:rsid w:val="00FF4864"/>
    <w:rsid w:val="00FF4CD3"/>
    <w:rsid w:val="00FF5052"/>
    <w:rsid w:val="00FF524D"/>
    <w:rsid w:val="00FF5478"/>
    <w:rsid w:val="00FF55C8"/>
    <w:rsid w:val="00FF5706"/>
    <w:rsid w:val="00FF5957"/>
    <w:rsid w:val="00FF59B5"/>
    <w:rsid w:val="00FF5ADB"/>
    <w:rsid w:val="00FF5B09"/>
    <w:rsid w:val="00FF5C70"/>
    <w:rsid w:val="00FF5C83"/>
    <w:rsid w:val="00FF5D02"/>
    <w:rsid w:val="00FF5E49"/>
    <w:rsid w:val="00FF60FB"/>
    <w:rsid w:val="00FF6142"/>
    <w:rsid w:val="00FF629D"/>
    <w:rsid w:val="00FF62EC"/>
    <w:rsid w:val="00FF63BF"/>
    <w:rsid w:val="00FF6443"/>
    <w:rsid w:val="00FF6685"/>
    <w:rsid w:val="00FF6E01"/>
    <w:rsid w:val="00FF6E83"/>
    <w:rsid w:val="00FF6EC0"/>
    <w:rsid w:val="00FF72C9"/>
    <w:rsid w:val="00FF72CD"/>
    <w:rsid w:val="00FF7527"/>
    <w:rsid w:val="00FF7565"/>
    <w:rsid w:val="00FF769D"/>
    <w:rsid w:val="00FF77D0"/>
    <w:rsid w:val="00FF7A04"/>
    <w:rsid w:val="01107219"/>
    <w:rsid w:val="01334982"/>
    <w:rsid w:val="01417433"/>
    <w:rsid w:val="0172BCCD"/>
    <w:rsid w:val="0175B1AF"/>
    <w:rsid w:val="01ADCF64"/>
    <w:rsid w:val="01D7672C"/>
    <w:rsid w:val="01F3FE2D"/>
    <w:rsid w:val="0217B31D"/>
    <w:rsid w:val="0227FFDF"/>
    <w:rsid w:val="02436E88"/>
    <w:rsid w:val="02638D7C"/>
    <w:rsid w:val="028222D6"/>
    <w:rsid w:val="02AE9BC5"/>
    <w:rsid w:val="02B1BC6A"/>
    <w:rsid w:val="02B844C4"/>
    <w:rsid w:val="02BBCAAE"/>
    <w:rsid w:val="02C95A0C"/>
    <w:rsid w:val="037D5539"/>
    <w:rsid w:val="0385ACC5"/>
    <w:rsid w:val="03877BE4"/>
    <w:rsid w:val="0388EA04"/>
    <w:rsid w:val="038EFFDA"/>
    <w:rsid w:val="03E70C6D"/>
    <w:rsid w:val="0436B141"/>
    <w:rsid w:val="044E758E"/>
    <w:rsid w:val="0463703B"/>
    <w:rsid w:val="048B52E8"/>
    <w:rsid w:val="04A02472"/>
    <w:rsid w:val="04BEEAB7"/>
    <w:rsid w:val="04D0A427"/>
    <w:rsid w:val="0509B98C"/>
    <w:rsid w:val="053E244E"/>
    <w:rsid w:val="054BC9A0"/>
    <w:rsid w:val="055EA3EA"/>
    <w:rsid w:val="05827FBA"/>
    <w:rsid w:val="05838400"/>
    <w:rsid w:val="05AADA6A"/>
    <w:rsid w:val="05C4A707"/>
    <w:rsid w:val="05D50804"/>
    <w:rsid w:val="0614EBF5"/>
    <w:rsid w:val="062FC64B"/>
    <w:rsid w:val="06629EBD"/>
    <w:rsid w:val="067D5F9D"/>
    <w:rsid w:val="068418CF"/>
    <w:rsid w:val="06842755"/>
    <w:rsid w:val="068DADF1"/>
    <w:rsid w:val="068F7A4C"/>
    <w:rsid w:val="0691222D"/>
    <w:rsid w:val="0691C717"/>
    <w:rsid w:val="06B4F823"/>
    <w:rsid w:val="0732DAE9"/>
    <w:rsid w:val="07662E30"/>
    <w:rsid w:val="078FEE09"/>
    <w:rsid w:val="079EB98F"/>
    <w:rsid w:val="07A8CF74"/>
    <w:rsid w:val="07D42AF8"/>
    <w:rsid w:val="07E0220F"/>
    <w:rsid w:val="081B65D9"/>
    <w:rsid w:val="083F4A98"/>
    <w:rsid w:val="084F534A"/>
    <w:rsid w:val="0851C850"/>
    <w:rsid w:val="08C255C5"/>
    <w:rsid w:val="09143092"/>
    <w:rsid w:val="092250C9"/>
    <w:rsid w:val="09324BF4"/>
    <w:rsid w:val="093DC08D"/>
    <w:rsid w:val="09478DA8"/>
    <w:rsid w:val="0954E276"/>
    <w:rsid w:val="0954F2EA"/>
    <w:rsid w:val="095C46F6"/>
    <w:rsid w:val="096BA1E8"/>
    <w:rsid w:val="097599E9"/>
    <w:rsid w:val="0995803C"/>
    <w:rsid w:val="09CA1295"/>
    <w:rsid w:val="09D63F43"/>
    <w:rsid w:val="0A26ADFE"/>
    <w:rsid w:val="0A81D14F"/>
    <w:rsid w:val="0A88518D"/>
    <w:rsid w:val="0AA9E2A4"/>
    <w:rsid w:val="0AAEE569"/>
    <w:rsid w:val="0AB6CD16"/>
    <w:rsid w:val="0AC39ED6"/>
    <w:rsid w:val="0B00145E"/>
    <w:rsid w:val="0B1F9E8F"/>
    <w:rsid w:val="0B4E6E2C"/>
    <w:rsid w:val="0B623A7D"/>
    <w:rsid w:val="0BA7F7E6"/>
    <w:rsid w:val="0C1C7DE2"/>
    <w:rsid w:val="0C813073"/>
    <w:rsid w:val="0C9F6387"/>
    <w:rsid w:val="0CA859EF"/>
    <w:rsid w:val="0CFD4481"/>
    <w:rsid w:val="0D0AA662"/>
    <w:rsid w:val="0D204EE9"/>
    <w:rsid w:val="0D2203DC"/>
    <w:rsid w:val="0D712FA5"/>
    <w:rsid w:val="0D86F488"/>
    <w:rsid w:val="0D9E2109"/>
    <w:rsid w:val="0DA5C06F"/>
    <w:rsid w:val="0E0A5D60"/>
    <w:rsid w:val="0E0A82D0"/>
    <w:rsid w:val="0E246E2A"/>
    <w:rsid w:val="0E314F86"/>
    <w:rsid w:val="0E370FC2"/>
    <w:rsid w:val="0E4DEC5F"/>
    <w:rsid w:val="0E5CB2CA"/>
    <w:rsid w:val="0E5CCE25"/>
    <w:rsid w:val="0E61C370"/>
    <w:rsid w:val="0E8D6790"/>
    <w:rsid w:val="0EA3E438"/>
    <w:rsid w:val="0EAD4D54"/>
    <w:rsid w:val="0EC277EA"/>
    <w:rsid w:val="0EC5E822"/>
    <w:rsid w:val="0EEE89DE"/>
    <w:rsid w:val="0EF8911A"/>
    <w:rsid w:val="0F01B9B8"/>
    <w:rsid w:val="0F054A48"/>
    <w:rsid w:val="0F16E4A0"/>
    <w:rsid w:val="0F1D9AB2"/>
    <w:rsid w:val="0F4EE9C4"/>
    <w:rsid w:val="0F6FC011"/>
    <w:rsid w:val="0F7F7927"/>
    <w:rsid w:val="0F9D537E"/>
    <w:rsid w:val="0FBF0585"/>
    <w:rsid w:val="0FE9C802"/>
    <w:rsid w:val="0FF25575"/>
    <w:rsid w:val="1025438D"/>
    <w:rsid w:val="1040A77D"/>
    <w:rsid w:val="1060A396"/>
    <w:rsid w:val="106F8B60"/>
    <w:rsid w:val="10813C11"/>
    <w:rsid w:val="10828837"/>
    <w:rsid w:val="10932E17"/>
    <w:rsid w:val="10973DFC"/>
    <w:rsid w:val="10C118F5"/>
    <w:rsid w:val="10F1C483"/>
    <w:rsid w:val="110757CF"/>
    <w:rsid w:val="113B024D"/>
    <w:rsid w:val="113EE183"/>
    <w:rsid w:val="1141AC15"/>
    <w:rsid w:val="11689EDB"/>
    <w:rsid w:val="118DB3C3"/>
    <w:rsid w:val="119E8703"/>
    <w:rsid w:val="11C5CB3B"/>
    <w:rsid w:val="11EB18B7"/>
    <w:rsid w:val="11F6EB43"/>
    <w:rsid w:val="11F7135F"/>
    <w:rsid w:val="1225F698"/>
    <w:rsid w:val="12293778"/>
    <w:rsid w:val="1231DA91"/>
    <w:rsid w:val="12635E38"/>
    <w:rsid w:val="12951206"/>
    <w:rsid w:val="129DE2A3"/>
    <w:rsid w:val="12AA2BEF"/>
    <w:rsid w:val="12AB1D97"/>
    <w:rsid w:val="135C6411"/>
    <w:rsid w:val="13743C17"/>
    <w:rsid w:val="137C87D1"/>
    <w:rsid w:val="138C9E25"/>
    <w:rsid w:val="139A8FAB"/>
    <w:rsid w:val="13A40039"/>
    <w:rsid w:val="13A788BB"/>
    <w:rsid w:val="13AFDC79"/>
    <w:rsid w:val="13B0030C"/>
    <w:rsid w:val="13C2B4B1"/>
    <w:rsid w:val="13C3BE7E"/>
    <w:rsid w:val="13D35EA4"/>
    <w:rsid w:val="1405B272"/>
    <w:rsid w:val="1407F16A"/>
    <w:rsid w:val="141C38BD"/>
    <w:rsid w:val="14237B85"/>
    <w:rsid w:val="1424BF24"/>
    <w:rsid w:val="14495497"/>
    <w:rsid w:val="145BA0F4"/>
    <w:rsid w:val="1463C037"/>
    <w:rsid w:val="14B04E13"/>
    <w:rsid w:val="14CF5F28"/>
    <w:rsid w:val="14E4C6C3"/>
    <w:rsid w:val="14FEF9AF"/>
    <w:rsid w:val="150AA22B"/>
    <w:rsid w:val="150CBFE4"/>
    <w:rsid w:val="1553FCFC"/>
    <w:rsid w:val="15DE0F81"/>
    <w:rsid w:val="15FBB210"/>
    <w:rsid w:val="16042205"/>
    <w:rsid w:val="1604FDE9"/>
    <w:rsid w:val="1605DD24"/>
    <w:rsid w:val="162C0EF6"/>
    <w:rsid w:val="16351BA9"/>
    <w:rsid w:val="16375A04"/>
    <w:rsid w:val="166D5371"/>
    <w:rsid w:val="16725970"/>
    <w:rsid w:val="1677B546"/>
    <w:rsid w:val="1689F7CD"/>
    <w:rsid w:val="1698D554"/>
    <w:rsid w:val="16A8A0CA"/>
    <w:rsid w:val="16BF57A9"/>
    <w:rsid w:val="16C4C1EC"/>
    <w:rsid w:val="16D48F89"/>
    <w:rsid w:val="16E937DC"/>
    <w:rsid w:val="16F4CE3E"/>
    <w:rsid w:val="1702E5AF"/>
    <w:rsid w:val="172034A3"/>
    <w:rsid w:val="176F01FE"/>
    <w:rsid w:val="177A787B"/>
    <w:rsid w:val="17900906"/>
    <w:rsid w:val="17B25A13"/>
    <w:rsid w:val="17BDB297"/>
    <w:rsid w:val="18165EDA"/>
    <w:rsid w:val="18175927"/>
    <w:rsid w:val="183BE5EF"/>
    <w:rsid w:val="1840BEBC"/>
    <w:rsid w:val="190F0A09"/>
    <w:rsid w:val="191B826E"/>
    <w:rsid w:val="1946FF00"/>
    <w:rsid w:val="19644C30"/>
    <w:rsid w:val="19A13BA1"/>
    <w:rsid w:val="19AB837B"/>
    <w:rsid w:val="19C3A857"/>
    <w:rsid w:val="19E0F8F3"/>
    <w:rsid w:val="19E3DB57"/>
    <w:rsid w:val="1A06B342"/>
    <w:rsid w:val="1A0969AD"/>
    <w:rsid w:val="1A332480"/>
    <w:rsid w:val="1A44D8FA"/>
    <w:rsid w:val="1A7CA096"/>
    <w:rsid w:val="1A911210"/>
    <w:rsid w:val="1A949324"/>
    <w:rsid w:val="1AAD262B"/>
    <w:rsid w:val="1AB02718"/>
    <w:rsid w:val="1AC717E5"/>
    <w:rsid w:val="1B022C51"/>
    <w:rsid w:val="1B0381CF"/>
    <w:rsid w:val="1B1F4247"/>
    <w:rsid w:val="1B3B66B4"/>
    <w:rsid w:val="1B66FE43"/>
    <w:rsid w:val="1B902861"/>
    <w:rsid w:val="1B9FD261"/>
    <w:rsid w:val="1BC05477"/>
    <w:rsid w:val="1BC24431"/>
    <w:rsid w:val="1BC46C45"/>
    <w:rsid w:val="1BE4B753"/>
    <w:rsid w:val="1BE84CEC"/>
    <w:rsid w:val="1C00518B"/>
    <w:rsid w:val="1C05FA61"/>
    <w:rsid w:val="1C131D21"/>
    <w:rsid w:val="1C3F2347"/>
    <w:rsid w:val="1C6BC512"/>
    <w:rsid w:val="1C7E96CA"/>
    <w:rsid w:val="1C9307B4"/>
    <w:rsid w:val="1CA586FE"/>
    <w:rsid w:val="1CEE62E9"/>
    <w:rsid w:val="1D46319C"/>
    <w:rsid w:val="1D9FB6F2"/>
    <w:rsid w:val="1DAF3FF4"/>
    <w:rsid w:val="1DE089A8"/>
    <w:rsid w:val="1DE24526"/>
    <w:rsid w:val="1E032B62"/>
    <w:rsid w:val="1E071318"/>
    <w:rsid w:val="1E0D278B"/>
    <w:rsid w:val="1E5AF600"/>
    <w:rsid w:val="1E88A183"/>
    <w:rsid w:val="1E9AFE4E"/>
    <w:rsid w:val="1ED70B9D"/>
    <w:rsid w:val="1EEE1A4F"/>
    <w:rsid w:val="1F00EAEE"/>
    <w:rsid w:val="1F13821D"/>
    <w:rsid w:val="1F2346C8"/>
    <w:rsid w:val="1F2A52F9"/>
    <w:rsid w:val="1F4534F7"/>
    <w:rsid w:val="1F532CF2"/>
    <w:rsid w:val="1F81D1C6"/>
    <w:rsid w:val="1F999E44"/>
    <w:rsid w:val="1FDE16F4"/>
    <w:rsid w:val="1FEC782B"/>
    <w:rsid w:val="1FEC923A"/>
    <w:rsid w:val="1FF5E636"/>
    <w:rsid w:val="1FF9FDA1"/>
    <w:rsid w:val="20058A78"/>
    <w:rsid w:val="20151E5F"/>
    <w:rsid w:val="2030FDB4"/>
    <w:rsid w:val="203C0632"/>
    <w:rsid w:val="20483836"/>
    <w:rsid w:val="204D29D1"/>
    <w:rsid w:val="2056F5D8"/>
    <w:rsid w:val="207B9AC2"/>
    <w:rsid w:val="20CA39D6"/>
    <w:rsid w:val="20EF6F54"/>
    <w:rsid w:val="210A32F6"/>
    <w:rsid w:val="214BF7D6"/>
    <w:rsid w:val="21595A02"/>
    <w:rsid w:val="216B9A9F"/>
    <w:rsid w:val="2216D4B3"/>
    <w:rsid w:val="221D8640"/>
    <w:rsid w:val="22226114"/>
    <w:rsid w:val="222A030D"/>
    <w:rsid w:val="22418774"/>
    <w:rsid w:val="224BA0E7"/>
    <w:rsid w:val="224BB8A3"/>
    <w:rsid w:val="2271E9EE"/>
    <w:rsid w:val="227A5B5E"/>
    <w:rsid w:val="229B73EB"/>
    <w:rsid w:val="22A1A65E"/>
    <w:rsid w:val="22C172BB"/>
    <w:rsid w:val="22DAAC30"/>
    <w:rsid w:val="22E5E8C2"/>
    <w:rsid w:val="23068E3C"/>
    <w:rsid w:val="23108A27"/>
    <w:rsid w:val="235A5D38"/>
    <w:rsid w:val="23672544"/>
    <w:rsid w:val="23727986"/>
    <w:rsid w:val="2385F390"/>
    <w:rsid w:val="23966F76"/>
    <w:rsid w:val="239953C3"/>
    <w:rsid w:val="23B71656"/>
    <w:rsid w:val="23C7A55A"/>
    <w:rsid w:val="23DDD17D"/>
    <w:rsid w:val="23E56C6C"/>
    <w:rsid w:val="24043FF3"/>
    <w:rsid w:val="240D5767"/>
    <w:rsid w:val="243B3C29"/>
    <w:rsid w:val="244FC07B"/>
    <w:rsid w:val="246AEF4A"/>
    <w:rsid w:val="246D5DF0"/>
    <w:rsid w:val="2475192A"/>
    <w:rsid w:val="247B7880"/>
    <w:rsid w:val="2491A8FD"/>
    <w:rsid w:val="24BE8D49"/>
    <w:rsid w:val="24BED4A6"/>
    <w:rsid w:val="24C402C1"/>
    <w:rsid w:val="24F2E1B9"/>
    <w:rsid w:val="24FFF7E4"/>
    <w:rsid w:val="250F869C"/>
    <w:rsid w:val="251EB0B2"/>
    <w:rsid w:val="252C8B5F"/>
    <w:rsid w:val="2532D02C"/>
    <w:rsid w:val="257EE047"/>
    <w:rsid w:val="25A6E57D"/>
    <w:rsid w:val="25C902B4"/>
    <w:rsid w:val="25F52857"/>
    <w:rsid w:val="260B68BD"/>
    <w:rsid w:val="262C8504"/>
    <w:rsid w:val="267290F0"/>
    <w:rsid w:val="26972743"/>
    <w:rsid w:val="26AABBB2"/>
    <w:rsid w:val="26BAF656"/>
    <w:rsid w:val="26BBE6B9"/>
    <w:rsid w:val="270AC139"/>
    <w:rsid w:val="271AAB94"/>
    <w:rsid w:val="27203BA0"/>
    <w:rsid w:val="2760364E"/>
    <w:rsid w:val="2762E60E"/>
    <w:rsid w:val="27653DEC"/>
    <w:rsid w:val="277BE185"/>
    <w:rsid w:val="27A3C5A6"/>
    <w:rsid w:val="27B0186C"/>
    <w:rsid w:val="27B2489D"/>
    <w:rsid w:val="27BF01F1"/>
    <w:rsid w:val="27E704EB"/>
    <w:rsid w:val="27F85B5E"/>
    <w:rsid w:val="27FF3FA2"/>
    <w:rsid w:val="281EAEAB"/>
    <w:rsid w:val="281EF8B5"/>
    <w:rsid w:val="28220E18"/>
    <w:rsid w:val="287A472E"/>
    <w:rsid w:val="28897666"/>
    <w:rsid w:val="28978D50"/>
    <w:rsid w:val="289B34ED"/>
    <w:rsid w:val="28A34736"/>
    <w:rsid w:val="28AC5C5A"/>
    <w:rsid w:val="28AD7DD3"/>
    <w:rsid w:val="28EACE1F"/>
    <w:rsid w:val="290AA26A"/>
    <w:rsid w:val="290C12C8"/>
    <w:rsid w:val="293F4CD5"/>
    <w:rsid w:val="294FC8C3"/>
    <w:rsid w:val="29593BB2"/>
    <w:rsid w:val="295A307B"/>
    <w:rsid w:val="29769151"/>
    <w:rsid w:val="298A8F22"/>
    <w:rsid w:val="29A6E260"/>
    <w:rsid w:val="29B78A01"/>
    <w:rsid w:val="29D22D9B"/>
    <w:rsid w:val="29E29540"/>
    <w:rsid w:val="29EB3B95"/>
    <w:rsid w:val="29EDD4C0"/>
    <w:rsid w:val="29F1065F"/>
    <w:rsid w:val="2A05B11E"/>
    <w:rsid w:val="2A1BA1A7"/>
    <w:rsid w:val="2A1FD77B"/>
    <w:rsid w:val="2A601427"/>
    <w:rsid w:val="2A607D4D"/>
    <w:rsid w:val="2A9CEB60"/>
    <w:rsid w:val="2AA1D0DF"/>
    <w:rsid w:val="2AF53766"/>
    <w:rsid w:val="2AF91498"/>
    <w:rsid w:val="2B074942"/>
    <w:rsid w:val="2B233322"/>
    <w:rsid w:val="2B51CD75"/>
    <w:rsid w:val="2B5D5069"/>
    <w:rsid w:val="2B6DA384"/>
    <w:rsid w:val="2B6F41B9"/>
    <w:rsid w:val="2B71622F"/>
    <w:rsid w:val="2B91FADC"/>
    <w:rsid w:val="2BE1F07F"/>
    <w:rsid w:val="2BE32078"/>
    <w:rsid w:val="2C1A1652"/>
    <w:rsid w:val="2C1C28A3"/>
    <w:rsid w:val="2C32C9CA"/>
    <w:rsid w:val="2C411CC0"/>
    <w:rsid w:val="2C452F63"/>
    <w:rsid w:val="2C559175"/>
    <w:rsid w:val="2C9F16E7"/>
    <w:rsid w:val="2CC07CF1"/>
    <w:rsid w:val="2CD8106F"/>
    <w:rsid w:val="2CDD896B"/>
    <w:rsid w:val="2CE4C68C"/>
    <w:rsid w:val="2CF0A1FB"/>
    <w:rsid w:val="2CFCED17"/>
    <w:rsid w:val="2D2007B3"/>
    <w:rsid w:val="2D287D07"/>
    <w:rsid w:val="2D2D9147"/>
    <w:rsid w:val="2D39CC52"/>
    <w:rsid w:val="2D5063C7"/>
    <w:rsid w:val="2D6523C1"/>
    <w:rsid w:val="2D6D9532"/>
    <w:rsid w:val="2D8963D9"/>
    <w:rsid w:val="2DAD1797"/>
    <w:rsid w:val="2DB66BC7"/>
    <w:rsid w:val="2E05558C"/>
    <w:rsid w:val="2E13378E"/>
    <w:rsid w:val="2E3A0871"/>
    <w:rsid w:val="2E41AA90"/>
    <w:rsid w:val="2E58231B"/>
    <w:rsid w:val="2E7F089B"/>
    <w:rsid w:val="2E915705"/>
    <w:rsid w:val="2EA1038A"/>
    <w:rsid w:val="2ECD3BBC"/>
    <w:rsid w:val="2EFABED4"/>
    <w:rsid w:val="2F0F4B5A"/>
    <w:rsid w:val="2F2AB7A7"/>
    <w:rsid w:val="2F2DF0DC"/>
    <w:rsid w:val="2F6384E2"/>
    <w:rsid w:val="2FD20D9A"/>
    <w:rsid w:val="2FF23A3E"/>
    <w:rsid w:val="305014E4"/>
    <w:rsid w:val="3066BC28"/>
    <w:rsid w:val="306868DC"/>
    <w:rsid w:val="306B4670"/>
    <w:rsid w:val="3098FF46"/>
    <w:rsid w:val="30E85B72"/>
    <w:rsid w:val="30F81548"/>
    <w:rsid w:val="310442A2"/>
    <w:rsid w:val="310EFA2E"/>
    <w:rsid w:val="3114878D"/>
    <w:rsid w:val="311AD8DC"/>
    <w:rsid w:val="31288C77"/>
    <w:rsid w:val="3143CFC3"/>
    <w:rsid w:val="31451479"/>
    <w:rsid w:val="3169616F"/>
    <w:rsid w:val="31703593"/>
    <w:rsid w:val="318FB411"/>
    <w:rsid w:val="31D02DB2"/>
    <w:rsid w:val="31D51ED5"/>
    <w:rsid w:val="31DBBE8B"/>
    <w:rsid w:val="31FAA026"/>
    <w:rsid w:val="320619E5"/>
    <w:rsid w:val="321C6D2C"/>
    <w:rsid w:val="322EA555"/>
    <w:rsid w:val="32460BAA"/>
    <w:rsid w:val="326C3DDB"/>
    <w:rsid w:val="328DABDF"/>
    <w:rsid w:val="328EED2A"/>
    <w:rsid w:val="32926E8E"/>
    <w:rsid w:val="32AF8024"/>
    <w:rsid w:val="32B73F04"/>
    <w:rsid w:val="32C57327"/>
    <w:rsid w:val="3332CC33"/>
    <w:rsid w:val="33545191"/>
    <w:rsid w:val="3357CB68"/>
    <w:rsid w:val="337B2B59"/>
    <w:rsid w:val="338BE48E"/>
    <w:rsid w:val="33A1B5D4"/>
    <w:rsid w:val="33A34132"/>
    <w:rsid w:val="33C522CF"/>
    <w:rsid w:val="33FB5042"/>
    <w:rsid w:val="3413DC0D"/>
    <w:rsid w:val="34267184"/>
    <w:rsid w:val="342C517E"/>
    <w:rsid w:val="343B67AB"/>
    <w:rsid w:val="34407AD9"/>
    <w:rsid w:val="34478DC9"/>
    <w:rsid w:val="348C5748"/>
    <w:rsid w:val="348F1A66"/>
    <w:rsid w:val="3499289D"/>
    <w:rsid w:val="349AF8C9"/>
    <w:rsid w:val="34A7CAD7"/>
    <w:rsid w:val="34A9D118"/>
    <w:rsid w:val="34CBE9E7"/>
    <w:rsid w:val="34D92B44"/>
    <w:rsid w:val="34E6DF1F"/>
    <w:rsid w:val="34F9E17B"/>
    <w:rsid w:val="354E7C44"/>
    <w:rsid w:val="35672F68"/>
    <w:rsid w:val="35768675"/>
    <w:rsid w:val="3598C3EF"/>
    <w:rsid w:val="359AFDEB"/>
    <w:rsid w:val="35A06AFC"/>
    <w:rsid w:val="35C14835"/>
    <w:rsid w:val="35C83573"/>
    <w:rsid w:val="35CA2E5D"/>
    <w:rsid w:val="35F1142B"/>
    <w:rsid w:val="363E4E7D"/>
    <w:rsid w:val="36471E03"/>
    <w:rsid w:val="367BDD7F"/>
    <w:rsid w:val="3689C3DF"/>
    <w:rsid w:val="369B33FE"/>
    <w:rsid w:val="36A2B426"/>
    <w:rsid w:val="36A3CDB9"/>
    <w:rsid w:val="36AF513E"/>
    <w:rsid w:val="36CAC5C0"/>
    <w:rsid w:val="36D5ABC6"/>
    <w:rsid w:val="36E304FF"/>
    <w:rsid w:val="36F4C028"/>
    <w:rsid w:val="3712C7C1"/>
    <w:rsid w:val="37132792"/>
    <w:rsid w:val="371B9A50"/>
    <w:rsid w:val="371F1167"/>
    <w:rsid w:val="373603FD"/>
    <w:rsid w:val="376F5721"/>
    <w:rsid w:val="377411CD"/>
    <w:rsid w:val="37B6B8D6"/>
    <w:rsid w:val="37D2B15C"/>
    <w:rsid w:val="380C7711"/>
    <w:rsid w:val="381025E1"/>
    <w:rsid w:val="381C1834"/>
    <w:rsid w:val="3826DAF0"/>
    <w:rsid w:val="38363652"/>
    <w:rsid w:val="38364514"/>
    <w:rsid w:val="38494275"/>
    <w:rsid w:val="38498AFD"/>
    <w:rsid w:val="38557633"/>
    <w:rsid w:val="38617857"/>
    <w:rsid w:val="38684F2B"/>
    <w:rsid w:val="3892DD82"/>
    <w:rsid w:val="38A14AB1"/>
    <w:rsid w:val="3908EA58"/>
    <w:rsid w:val="39195C27"/>
    <w:rsid w:val="392045B8"/>
    <w:rsid w:val="39718139"/>
    <w:rsid w:val="39A5CDA6"/>
    <w:rsid w:val="39A9C480"/>
    <w:rsid w:val="39C0F553"/>
    <w:rsid w:val="39D1FF93"/>
    <w:rsid w:val="39FDE0DE"/>
    <w:rsid w:val="3A01A5FE"/>
    <w:rsid w:val="3A1026AC"/>
    <w:rsid w:val="3A12B180"/>
    <w:rsid w:val="3A163999"/>
    <w:rsid w:val="3A3B266E"/>
    <w:rsid w:val="3A82E0DA"/>
    <w:rsid w:val="3AFDE095"/>
    <w:rsid w:val="3B20C474"/>
    <w:rsid w:val="3B2C547F"/>
    <w:rsid w:val="3B42E611"/>
    <w:rsid w:val="3B5003D5"/>
    <w:rsid w:val="3B6D7445"/>
    <w:rsid w:val="3B90EA61"/>
    <w:rsid w:val="3BA9ADA8"/>
    <w:rsid w:val="3BBF9A7F"/>
    <w:rsid w:val="3BE2B072"/>
    <w:rsid w:val="3C04CFC2"/>
    <w:rsid w:val="3C12CDA8"/>
    <w:rsid w:val="3C22B257"/>
    <w:rsid w:val="3C3C3784"/>
    <w:rsid w:val="3C69D1FC"/>
    <w:rsid w:val="3C958EAA"/>
    <w:rsid w:val="3C95D10A"/>
    <w:rsid w:val="3CA1113F"/>
    <w:rsid w:val="3CBB95EB"/>
    <w:rsid w:val="3CE05852"/>
    <w:rsid w:val="3D334432"/>
    <w:rsid w:val="3D37D966"/>
    <w:rsid w:val="3D4D4939"/>
    <w:rsid w:val="3D6A6289"/>
    <w:rsid w:val="3D91F719"/>
    <w:rsid w:val="3DB741C7"/>
    <w:rsid w:val="3DBB4B0E"/>
    <w:rsid w:val="3E0623D1"/>
    <w:rsid w:val="3E3A0B00"/>
    <w:rsid w:val="3E4F5589"/>
    <w:rsid w:val="3E619105"/>
    <w:rsid w:val="3E80D0E9"/>
    <w:rsid w:val="3E84D2A4"/>
    <w:rsid w:val="3E9AA90D"/>
    <w:rsid w:val="3EB5D3DE"/>
    <w:rsid w:val="3F5120A4"/>
    <w:rsid w:val="3F5146C9"/>
    <w:rsid w:val="3F5C7691"/>
    <w:rsid w:val="3F8126F5"/>
    <w:rsid w:val="3F89E7D7"/>
    <w:rsid w:val="3F951855"/>
    <w:rsid w:val="3F9D640D"/>
    <w:rsid w:val="3FEA0723"/>
    <w:rsid w:val="3FEDFC1F"/>
    <w:rsid w:val="3FFE13E6"/>
    <w:rsid w:val="401E69DD"/>
    <w:rsid w:val="40256757"/>
    <w:rsid w:val="402CFDF5"/>
    <w:rsid w:val="40322811"/>
    <w:rsid w:val="403F53EB"/>
    <w:rsid w:val="40410449"/>
    <w:rsid w:val="4047B64C"/>
    <w:rsid w:val="407A206A"/>
    <w:rsid w:val="409C2CF2"/>
    <w:rsid w:val="40BAE01B"/>
    <w:rsid w:val="40E0B95C"/>
    <w:rsid w:val="40E98FB6"/>
    <w:rsid w:val="41239D96"/>
    <w:rsid w:val="4133CB1B"/>
    <w:rsid w:val="4154A010"/>
    <w:rsid w:val="41613EAC"/>
    <w:rsid w:val="4185F276"/>
    <w:rsid w:val="419F9EBF"/>
    <w:rsid w:val="41F2BE4F"/>
    <w:rsid w:val="420527DA"/>
    <w:rsid w:val="422964CA"/>
    <w:rsid w:val="425A510C"/>
    <w:rsid w:val="426B0206"/>
    <w:rsid w:val="427B7625"/>
    <w:rsid w:val="427E64B3"/>
    <w:rsid w:val="42A1EE39"/>
    <w:rsid w:val="42A7856D"/>
    <w:rsid w:val="42D95A6E"/>
    <w:rsid w:val="4321AC70"/>
    <w:rsid w:val="43272A74"/>
    <w:rsid w:val="435C019C"/>
    <w:rsid w:val="435D3116"/>
    <w:rsid w:val="436A88F2"/>
    <w:rsid w:val="437A1D01"/>
    <w:rsid w:val="43971897"/>
    <w:rsid w:val="43CB2889"/>
    <w:rsid w:val="43CB6ACD"/>
    <w:rsid w:val="43CC5DB3"/>
    <w:rsid w:val="43D37679"/>
    <w:rsid w:val="43DA6367"/>
    <w:rsid w:val="43E51997"/>
    <w:rsid w:val="43EF22C6"/>
    <w:rsid w:val="44188FE1"/>
    <w:rsid w:val="44327E64"/>
    <w:rsid w:val="445BD0BB"/>
    <w:rsid w:val="445E1C59"/>
    <w:rsid w:val="4464C37C"/>
    <w:rsid w:val="4467EACD"/>
    <w:rsid w:val="446C1881"/>
    <w:rsid w:val="449CBD25"/>
    <w:rsid w:val="44B6FDC1"/>
    <w:rsid w:val="44F4A44E"/>
    <w:rsid w:val="45030EF9"/>
    <w:rsid w:val="45175566"/>
    <w:rsid w:val="451E5463"/>
    <w:rsid w:val="453B24E7"/>
    <w:rsid w:val="4553B7F5"/>
    <w:rsid w:val="456F84C4"/>
    <w:rsid w:val="4576E62B"/>
    <w:rsid w:val="4596282C"/>
    <w:rsid w:val="46023BCE"/>
    <w:rsid w:val="4609948F"/>
    <w:rsid w:val="46244E97"/>
    <w:rsid w:val="464C5CBC"/>
    <w:rsid w:val="469A9A9B"/>
    <w:rsid w:val="469B0878"/>
    <w:rsid w:val="46B5D2C2"/>
    <w:rsid w:val="46CCFE08"/>
    <w:rsid w:val="46DFAB31"/>
    <w:rsid w:val="46EEFCCD"/>
    <w:rsid w:val="471F7676"/>
    <w:rsid w:val="47328CA3"/>
    <w:rsid w:val="4736DD60"/>
    <w:rsid w:val="477CA4B6"/>
    <w:rsid w:val="4789F1B7"/>
    <w:rsid w:val="47B28B92"/>
    <w:rsid w:val="47B4A3AC"/>
    <w:rsid w:val="47D24045"/>
    <w:rsid w:val="480341DE"/>
    <w:rsid w:val="4830C912"/>
    <w:rsid w:val="486E2CF6"/>
    <w:rsid w:val="48AF42E8"/>
    <w:rsid w:val="48C803DF"/>
    <w:rsid w:val="48DAD315"/>
    <w:rsid w:val="48E1306C"/>
    <w:rsid w:val="48FA757E"/>
    <w:rsid w:val="4919FB7F"/>
    <w:rsid w:val="493BB78C"/>
    <w:rsid w:val="493E1630"/>
    <w:rsid w:val="49464CB2"/>
    <w:rsid w:val="4957553F"/>
    <w:rsid w:val="49823887"/>
    <w:rsid w:val="49996EC7"/>
    <w:rsid w:val="49D5CA8E"/>
    <w:rsid w:val="49EBE290"/>
    <w:rsid w:val="49FEB107"/>
    <w:rsid w:val="4A023973"/>
    <w:rsid w:val="4A04CFF7"/>
    <w:rsid w:val="4A21A796"/>
    <w:rsid w:val="4A5CE301"/>
    <w:rsid w:val="4A6C087C"/>
    <w:rsid w:val="4A882419"/>
    <w:rsid w:val="4AA150A7"/>
    <w:rsid w:val="4ABCFFE8"/>
    <w:rsid w:val="4AC6215D"/>
    <w:rsid w:val="4AE15CC5"/>
    <w:rsid w:val="4B2587FF"/>
    <w:rsid w:val="4B5EBD8B"/>
    <w:rsid w:val="4B69903B"/>
    <w:rsid w:val="4B6EA78F"/>
    <w:rsid w:val="4B9E0393"/>
    <w:rsid w:val="4BA5CA62"/>
    <w:rsid w:val="4C0815C4"/>
    <w:rsid w:val="4C342B40"/>
    <w:rsid w:val="4C4473B3"/>
    <w:rsid w:val="4C5DBB8C"/>
    <w:rsid w:val="4C7FABB1"/>
    <w:rsid w:val="4C80158A"/>
    <w:rsid w:val="4C8969B1"/>
    <w:rsid w:val="4C95D8B7"/>
    <w:rsid w:val="4C96FCCC"/>
    <w:rsid w:val="4C9734CE"/>
    <w:rsid w:val="4C9DCF31"/>
    <w:rsid w:val="4CB456DB"/>
    <w:rsid w:val="4CE839AC"/>
    <w:rsid w:val="4CEFC2C9"/>
    <w:rsid w:val="4D287990"/>
    <w:rsid w:val="4D6B1F45"/>
    <w:rsid w:val="4D77A6C3"/>
    <w:rsid w:val="4D96F046"/>
    <w:rsid w:val="4DA95FCA"/>
    <w:rsid w:val="4DD02011"/>
    <w:rsid w:val="4DDD397F"/>
    <w:rsid w:val="4DF70AA4"/>
    <w:rsid w:val="4E07345A"/>
    <w:rsid w:val="4E10F665"/>
    <w:rsid w:val="4E1F5FCC"/>
    <w:rsid w:val="4E408322"/>
    <w:rsid w:val="4E56A01E"/>
    <w:rsid w:val="4E662922"/>
    <w:rsid w:val="4E67B84E"/>
    <w:rsid w:val="4E759E3A"/>
    <w:rsid w:val="4E8A0334"/>
    <w:rsid w:val="4E8E4954"/>
    <w:rsid w:val="4EA30221"/>
    <w:rsid w:val="4EAC3058"/>
    <w:rsid w:val="4EB39E36"/>
    <w:rsid w:val="4EB54DA8"/>
    <w:rsid w:val="4EB59162"/>
    <w:rsid w:val="4EB8A37D"/>
    <w:rsid w:val="4ED2D70C"/>
    <w:rsid w:val="4F0509F9"/>
    <w:rsid w:val="4F1D6040"/>
    <w:rsid w:val="4F2B2FF7"/>
    <w:rsid w:val="4F3264AC"/>
    <w:rsid w:val="4F594B08"/>
    <w:rsid w:val="4F8247E4"/>
    <w:rsid w:val="4F89E5B0"/>
    <w:rsid w:val="4F9ADCE5"/>
    <w:rsid w:val="4F9E81E8"/>
    <w:rsid w:val="4FA50C5A"/>
    <w:rsid w:val="4FC82D61"/>
    <w:rsid w:val="4FD5BFEC"/>
    <w:rsid w:val="501701ED"/>
    <w:rsid w:val="502763F7"/>
    <w:rsid w:val="5065EB7E"/>
    <w:rsid w:val="5089A714"/>
    <w:rsid w:val="50955341"/>
    <w:rsid w:val="50EDDAE5"/>
    <w:rsid w:val="50F3231D"/>
    <w:rsid w:val="51005C7F"/>
    <w:rsid w:val="51051773"/>
    <w:rsid w:val="510D911A"/>
    <w:rsid w:val="51566F23"/>
    <w:rsid w:val="516C889E"/>
    <w:rsid w:val="517C879C"/>
    <w:rsid w:val="518241D8"/>
    <w:rsid w:val="5193A7D8"/>
    <w:rsid w:val="5197557B"/>
    <w:rsid w:val="51A892CE"/>
    <w:rsid w:val="51AFE44C"/>
    <w:rsid w:val="51B5412D"/>
    <w:rsid w:val="51CD3776"/>
    <w:rsid w:val="51E513D8"/>
    <w:rsid w:val="51F37354"/>
    <w:rsid w:val="51F3C2B3"/>
    <w:rsid w:val="51FC3262"/>
    <w:rsid w:val="5229B986"/>
    <w:rsid w:val="5234DF52"/>
    <w:rsid w:val="52378634"/>
    <w:rsid w:val="5279F833"/>
    <w:rsid w:val="528A40AA"/>
    <w:rsid w:val="52903A24"/>
    <w:rsid w:val="52C4F94A"/>
    <w:rsid w:val="52CB0BE7"/>
    <w:rsid w:val="52FD8D87"/>
    <w:rsid w:val="532D2B9E"/>
    <w:rsid w:val="535AE472"/>
    <w:rsid w:val="5360BF13"/>
    <w:rsid w:val="53750D3C"/>
    <w:rsid w:val="53B066EE"/>
    <w:rsid w:val="53CF0C1A"/>
    <w:rsid w:val="540D2913"/>
    <w:rsid w:val="54223663"/>
    <w:rsid w:val="543B6756"/>
    <w:rsid w:val="549C41C2"/>
    <w:rsid w:val="54AC1D37"/>
    <w:rsid w:val="54CA442E"/>
    <w:rsid w:val="54F3684A"/>
    <w:rsid w:val="5508D55B"/>
    <w:rsid w:val="5526065C"/>
    <w:rsid w:val="55464EC8"/>
    <w:rsid w:val="5547CAE4"/>
    <w:rsid w:val="5555E9F8"/>
    <w:rsid w:val="5567DB86"/>
    <w:rsid w:val="558704CC"/>
    <w:rsid w:val="559BA1A4"/>
    <w:rsid w:val="55C4F184"/>
    <w:rsid w:val="55D6FDF0"/>
    <w:rsid w:val="55E425A2"/>
    <w:rsid w:val="55EF85C0"/>
    <w:rsid w:val="562BE188"/>
    <w:rsid w:val="5653A520"/>
    <w:rsid w:val="56981554"/>
    <w:rsid w:val="56B25047"/>
    <w:rsid w:val="56C4A13F"/>
    <w:rsid w:val="56CF9D1C"/>
    <w:rsid w:val="56E8F32A"/>
    <w:rsid w:val="56EDFB35"/>
    <w:rsid w:val="570052F7"/>
    <w:rsid w:val="572BE698"/>
    <w:rsid w:val="5783FA8B"/>
    <w:rsid w:val="578E90E6"/>
    <w:rsid w:val="57AB37A7"/>
    <w:rsid w:val="57AFB2EB"/>
    <w:rsid w:val="57BAE312"/>
    <w:rsid w:val="57F4B284"/>
    <w:rsid w:val="58267425"/>
    <w:rsid w:val="5864A3CF"/>
    <w:rsid w:val="586BE49E"/>
    <w:rsid w:val="588A5373"/>
    <w:rsid w:val="58B95546"/>
    <w:rsid w:val="58CA1AD8"/>
    <w:rsid w:val="58F2F829"/>
    <w:rsid w:val="58FE738A"/>
    <w:rsid w:val="59119516"/>
    <w:rsid w:val="59284C33"/>
    <w:rsid w:val="59301AA7"/>
    <w:rsid w:val="59329FEB"/>
    <w:rsid w:val="5935897D"/>
    <w:rsid w:val="593765EC"/>
    <w:rsid w:val="59461514"/>
    <w:rsid w:val="59781E9F"/>
    <w:rsid w:val="597DE4FE"/>
    <w:rsid w:val="59897533"/>
    <w:rsid w:val="5992BA34"/>
    <w:rsid w:val="59984E74"/>
    <w:rsid w:val="599F0C00"/>
    <w:rsid w:val="59AD76B5"/>
    <w:rsid w:val="59BDD033"/>
    <w:rsid w:val="59E552AA"/>
    <w:rsid w:val="5A0AA9F2"/>
    <w:rsid w:val="5A417CBB"/>
    <w:rsid w:val="5A7F3F57"/>
    <w:rsid w:val="5A7F52E2"/>
    <w:rsid w:val="5A82B3DD"/>
    <w:rsid w:val="5A982CFE"/>
    <w:rsid w:val="5AA484B1"/>
    <w:rsid w:val="5ABF9D96"/>
    <w:rsid w:val="5AD22F61"/>
    <w:rsid w:val="5AE82A29"/>
    <w:rsid w:val="5AF1927A"/>
    <w:rsid w:val="5B0172D9"/>
    <w:rsid w:val="5B09AF5C"/>
    <w:rsid w:val="5BAD6A49"/>
    <w:rsid w:val="5BE25C27"/>
    <w:rsid w:val="5BE93FC8"/>
    <w:rsid w:val="5BF288AB"/>
    <w:rsid w:val="5C093099"/>
    <w:rsid w:val="5C102ADA"/>
    <w:rsid w:val="5C480AD4"/>
    <w:rsid w:val="5C62B3F6"/>
    <w:rsid w:val="5C77A265"/>
    <w:rsid w:val="5C801B62"/>
    <w:rsid w:val="5C9EE1B5"/>
    <w:rsid w:val="5CB734D5"/>
    <w:rsid w:val="5CE50863"/>
    <w:rsid w:val="5CEF7A61"/>
    <w:rsid w:val="5D045C8C"/>
    <w:rsid w:val="5D1675C6"/>
    <w:rsid w:val="5D2DE78B"/>
    <w:rsid w:val="5D31DADD"/>
    <w:rsid w:val="5D3EDA35"/>
    <w:rsid w:val="5D6425CE"/>
    <w:rsid w:val="5D845468"/>
    <w:rsid w:val="5DAEAF4D"/>
    <w:rsid w:val="5DE04386"/>
    <w:rsid w:val="5DE7F060"/>
    <w:rsid w:val="5E057A6A"/>
    <w:rsid w:val="5E375903"/>
    <w:rsid w:val="5E3F4C39"/>
    <w:rsid w:val="5E410C2E"/>
    <w:rsid w:val="5E6E3D1E"/>
    <w:rsid w:val="5E7B6210"/>
    <w:rsid w:val="5E8C93B9"/>
    <w:rsid w:val="5EA332DE"/>
    <w:rsid w:val="5EB272A4"/>
    <w:rsid w:val="5EB7A136"/>
    <w:rsid w:val="5EBCA71A"/>
    <w:rsid w:val="5EC15E21"/>
    <w:rsid w:val="5EC50EE7"/>
    <w:rsid w:val="5ECB79B1"/>
    <w:rsid w:val="5F0FECD6"/>
    <w:rsid w:val="5F2CC12F"/>
    <w:rsid w:val="5F2FF2BF"/>
    <w:rsid w:val="5F413A7B"/>
    <w:rsid w:val="5F50C2E5"/>
    <w:rsid w:val="5F673E60"/>
    <w:rsid w:val="5F848557"/>
    <w:rsid w:val="5F9FDFCC"/>
    <w:rsid w:val="5FA135E8"/>
    <w:rsid w:val="5FA2A982"/>
    <w:rsid w:val="5FC1BE20"/>
    <w:rsid w:val="5FDE43E1"/>
    <w:rsid w:val="5FE80598"/>
    <w:rsid w:val="5FF11C5D"/>
    <w:rsid w:val="5FFCA047"/>
    <w:rsid w:val="601F3188"/>
    <w:rsid w:val="6038EB9E"/>
    <w:rsid w:val="6068EC53"/>
    <w:rsid w:val="60957E48"/>
    <w:rsid w:val="60CB2250"/>
    <w:rsid w:val="60D58E82"/>
    <w:rsid w:val="60E6AD03"/>
    <w:rsid w:val="610AB910"/>
    <w:rsid w:val="612C1298"/>
    <w:rsid w:val="6137D4B8"/>
    <w:rsid w:val="61432962"/>
    <w:rsid w:val="61616A48"/>
    <w:rsid w:val="61665EB3"/>
    <w:rsid w:val="619BA167"/>
    <w:rsid w:val="61C42DEF"/>
    <w:rsid w:val="61D5C1D6"/>
    <w:rsid w:val="61E22CC8"/>
    <w:rsid w:val="61E8238C"/>
    <w:rsid w:val="6221C918"/>
    <w:rsid w:val="622D398D"/>
    <w:rsid w:val="62526975"/>
    <w:rsid w:val="6252825D"/>
    <w:rsid w:val="628CE2B0"/>
    <w:rsid w:val="62A1979C"/>
    <w:rsid w:val="62BBF7C9"/>
    <w:rsid w:val="62C03C18"/>
    <w:rsid w:val="62CEBDDA"/>
    <w:rsid w:val="630D56DD"/>
    <w:rsid w:val="63194ECA"/>
    <w:rsid w:val="636AE4B2"/>
    <w:rsid w:val="636CD598"/>
    <w:rsid w:val="638148BA"/>
    <w:rsid w:val="6389BC4E"/>
    <w:rsid w:val="63C84661"/>
    <w:rsid w:val="63C9C54F"/>
    <w:rsid w:val="63DC0D7C"/>
    <w:rsid w:val="63E780E8"/>
    <w:rsid w:val="641B233A"/>
    <w:rsid w:val="643CE65F"/>
    <w:rsid w:val="6448FA0A"/>
    <w:rsid w:val="6462887C"/>
    <w:rsid w:val="647B92CB"/>
    <w:rsid w:val="64C69D1D"/>
    <w:rsid w:val="64FBD656"/>
    <w:rsid w:val="652526AC"/>
    <w:rsid w:val="653B46CE"/>
    <w:rsid w:val="653F60F6"/>
    <w:rsid w:val="655F391B"/>
    <w:rsid w:val="65978D68"/>
    <w:rsid w:val="65A1C1D5"/>
    <w:rsid w:val="65B1B5A5"/>
    <w:rsid w:val="65C21099"/>
    <w:rsid w:val="65C985A1"/>
    <w:rsid w:val="66035A1B"/>
    <w:rsid w:val="661302DC"/>
    <w:rsid w:val="66143F97"/>
    <w:rsid w:val="66396318"/>
    <w:rsid w:val="66402B8A"/>
    <w:rsid w:val="665E99B0"/>
    <w:rsid w:val="666225B8"/>
    <w:rsid w:val="66A46DDE"/>
    <w:rsid w:val="66C41B95"/>
    <w:rsid w:val="66C9FCC6"/>
    <w:rsid w:val="66E332AB"/>
    <w:rsid w:val="66EBEA80"/>
    <w:rsid w:val="66ECAB31"/>
    <w:rsid w:val="66FA82AC"/>
    <w:rsid w:val="67003760"/>
    <w:rsid w:val="679C0B46"/>
    <w:rsid w:val="67C05BE1"/>
    <w:rsid w:val="67D6D607"/>
    <w:rsid w:val="684F6330"/>
    <w:rsid w:val="687D7D5E"/>
    <w:rsid w:val="6897B264"/>
    <w:rsid w:val="68B559E7"/>
    <w:rsid w:val="68E80585"/>
    <w:rsid w:val="69289A7E"/>
    <w:rsid w:val="692DC4BA"/>
    <w:rsid w:val="694533CA"/>
    <w:rsid w:val="69618469"/>
    <w:rsid w:val="696B82EE"/>
    <w:rsid w:val="6992C6E5"/>
    <w:rsid w:val="69AB4F4D"/>
    <w:rsid w:val="69DE8BA0"/>
    <w:rsid w:val="69DEA564"/>
    <w:rsid w:val="69EDA742"/>
    <w:rsid w:val="69F836C1"/>
    <w:rsid w:val="6A0970E3"/>
    <w:rsid w:val="6A0C00CE"/>
    <w:rsid w:val="6A396405"/>
    <w:rsid w:val="6A433323"/>
    <w:rsid w:val="6A4BBD32"/>
    <w:rsid w:val="6A4D60AB"/>
    <w:rsid w:val="6A8E4288"/>
    <w:rsid w:val="6A9A9236"/>
    <w:rsid w:val="6AB8F107"/>
    <w:rsid w:val="6ABAC222"/>
    <w:rsid w:val="6AC1195D"/>
    <w:rsid w:val="6AC522ED"/>
    <w:rsid w:val="6ACDF03B"/>
    <w:rsid w:val="6ADB01A4"/>
    <w:rsid w:val="6AE13C78"/>
    <w:rsid w:val="6AE48DD5"/>
    <w:rsid w:val="6AEF6772"/>
    <w:rsid w:val="6AF8CD07"/>
    <w:rsid w:val="6AFBE449"/>
    <w:rsid w:val="6B45446F"/>
    <w:rsid w:val="6B69CE4A"/>
    <w:rsid w:val="6B7157D2"/>
    <w:rsid w:val="6BB61F02"/>
    <w:rsid w:val="6BC734EC"/>
    <w:rsid w:val="6BD53F91"/>
    <w:rsid w:val="6BE10B85"/>
    <w:rsid w:val="6BE5AA9D"/>
    <w:rsid w:val="6BFAABE7"/>
    <w:rsid w:val="6C551F29"/>
    <w:rsid w:val="6C628F68"/>
    <w:rsid w:val="6C64EDE3"/>
    <w:rsid w:val="6C799C4C"/>
    <w:rsid w:val="6C79FC1F"/>
    <w:rsid w:val="6CB7283E"/>
    <w:rsid w:val="6CC1ADAC"/>
    <w:rsid w:val="6CEDE959"/>
    <w:rsid w:val="6CF3F32F"/>
    <w:rsid w:val="6CFEC5E7"/>
    <w:rsid w:val="6D20B3C4"/>
    <w:rsid w:val="6D254FFE"/>
    <w:rsid w:val="6D28231D"/>
    <w:rsid w:val="6D338E19"/>
    <w:rsid w:val="6D384DC5"/>
    <w:rsid w:val="6D56BC16"/>
    <w:rsid w:val="6D667F40"/>
    <w:rsid w:val="6D8BC725"/>
    <w:rsid w:val="6DABEC02"/>
    <w:rsid w:val="6DBB6373"/>
    <w:rsid w:val="6DC39D56"/>
    <w:rsid w:val="6DD727A0"/>
    <w:rsid w:val="6DF87EFF"/>
    <w:rsid w:val="6E01476F"/>
    <w:rsid w:val="6E04A9A3"/>
    <w:rsid w:val="6E123151"/>
    <w:rsid w:val="6E12AB72"/>
    <w:rsid w:val="6E270096"/>
    <w:rsid w:val="6E43C6BE"/>
    <w:rsid w:val="6E5ACE2C"/>
    <w:rsid w:val="6E8855AB"/>
    <w:rsid w:val="6E901F61"/>
    <w:rsid w:val="6EA6A209"/>
    <w:rsid w:val="6EC1BAA4"/>
    <w:rsid w:val="6EDE6115"/>
    <w:rsid w:val="6EEB0617"/>
    <w:rsid w:val="6EFD8998"/>
    <w:rsid w:val="6EFDE93E"/>
    <w:rsid w:val="6EFF47D2"/>
    <w:rsid w:val="6F24CEE9"/>
    <w:rsid w:val="6F255378"/>
    <w:rsid w:val="6F3A2821"/>
    <w:rsid w:val="6F45082F"/>
    <w:rsid w:val="6F592EB6"/>
    <w:rsid w:val="6F616882"/>
    <w:rsid w:val="6F66B846"/>
    <w:rsid w:val="6F90042E"/>
    <w:rsid w:val="6F926CEC"/>
    <w:rsid w:val="6FAD1E13"/>
    <w:rsid w:val="6FB02CEB"/>
    <w:rsid w:val="6FB0928D"/>
    <w:rsid w:val="6FF4D51C"/>
    <w:rsid w:val="6FF5756E"/>
    <w:rsid w:val="701A597C"/>
    <w:rsid w:val="705BCFFE"/>
    <w:rsid w:val="706F007C"/>
    <w:rsid w:val="707238FA"/>
    <w:rsid w:val="7077977D"/>
    <w:rsid w:val="708BA62A"/>
    <w:rsid w:val="70A0E4BC"/>
    <w:rsid w:val="70A29D1F"/>
    <w:rsid w:val="70A43EB3"/>
    <w:rsid w:val="70A61E2A"/>
    <w:rsid w:val="70CCE59A"/>
    <w:rsid w:val="70D84841"/>
    <w:rsid w:val="70DC7537"/>
    <w:rsid w:val="70DD5FAB"/>
    <w:rsid w:val="70E59E40"/>
    <w:rsid w:val="70F24E65"/>
    <w:rsid w:val="71354040"/>
    <w:rsid w:val="71413640"/>
    <w:rsid w:val="7162A455"/>
    <w:rsid w:val="71850130"/>
    <w:rsid w:val="718D4927"/>
    <w:rsid w:val="719FB28C"/>
    <w:rsid w:val="71B0374B"/>
    <w:rsid w:val="71C9903A"/>
    <w:rsid w:val="71D62EB2"/>
    <w:rsid w:val="720A8E28"/>
    <w:rsid w:val="7224F6E6"/>
    <w:rsid w:val="72306489"/>
    <w:rsid w:val="723E6531"/>
    <w:rsid w:val="7241DAF9"/>
    <w:rsid w:val="725E96B1"/>
    <w:rsid w:val="72841E66"/>
    <w:rsid w:val="72924BC1"/>
    <w:rsid w:val="72DC6226"/>
    <w:rsid w:val="73038202"/>
    <w:rsid w:val="73076090"/>
    <w:rsid w:val="730CB8D8"/>
    <w:rsid w:val="731AF216"/>
    <w:rsid w:val="73218477"/>
    <w:rsid w:val="73476675"/>
    <w:rsid w:val="7349EF4D"/>
    <w:rsid w:val="736E4492"/>
    <w:rsid w:val="73D59D93"/>
    <w:rsid w:val="73F6C454"/>
    <w:rsid w:val="74096BD9"/>
    <w:rsid w:val="74283D64"/>
    <w:rsid w:val="74459BFA"/>
    <w:rsid w:val="74A224BC"/>
    <w:rsid w:val="74A3D072"/>
    <w:rsid w:val="74CD190C"/>
    <w:rsid w:val="755C1AF9"/>
    <w:rsid w:val="758C1226"/>
    <w:rsid w:val="759B477D"/>
    <w:rsid w:val="75ACB67B"/>
    <w:rsid w:val="75B0D8E2"/>
    <w:rsid w:val="75D25629"/>
    <w:rsid w:val="761411DE"/>
    <w:rsid w:val="76378A96"/>
    <w:rsid w:val="76506911"/>
    <w:rsid w:val="76578991"/>
    <w:rsid w:val="76AF86F5"/>
    <w:rsid w:val="76BEEFE8"/>
    <w:rsid w:val="76C7ACB1"/>
    <w:rsid w:val="7747C316"/>
    <w:rsid w:val="7748C52D"/>
    <w:rsid w:val="775905B2"/>
    <w:rsid w:val="775E64D9"/>
    <w:rsid w:val="77939313"/>
    <w:rsid w:val="77DE7585"/>
    <w:rsid w:val="77E2F505"/>
    <w:rsid w:val="77E46D9C"/>
    <w:rsid w:val="77F6E26E"/>
    <w:rsid w:val="78014B8D"/>
    <w:rsid w:val="7804FC39"/>
    <w:rsid w:val="7811A7A5"/>
    <w:rsid w:val="7813C37C"/>
    <w:rsid w:val="782CA883"/>
    <w:rsid w:val="783EAB94"/>
    <w:rsid w:val="786013A3"/>
    <w:rsid w:val="78BD4BD4"/>
    <w:rsid w:val="78D91FBE"/>
    <w:rsid w:val="78E13A99"/>
    <w:rsid w:val="7900A50B"/>
    <w:rsid w:val="799DB67D"/>
    <w:rsid w:val="79D2BE84"/>
    <w:rsid w:val="7A0A2AE3"/>
    <w:rsid w:val="7A17D16D"/>
    <w:rsid w:val="7A32A78A"/>
    <w:rsid w:val="7A478C89"/>
    <w:rsid w:val="7A50328D"/>
    <w:rsid w:val="7A6E444E"/>
    <w:rsid w:val="7AA199C6"/>
    <w:rsid w:val="7AA35037"/>
    <w:rsid w:val="7AAAC75E"/>
    <w:rsid w:val="7AC02EE6"/>
    <w:rsid w:val="7AC4A571"/>
    <w:rsid w:val="7B00D579"/>
    <w:rsid w:val="7B48AFD8"/>
    <w:rsid w:val="7B522D47"/>
    <w:rsid w:val="7B623E9E"/>
    <w:rsid w:val="7B762D2B"/>
    <w:rsid w:val="7B9ECAFB"/>
    <w:rsid w:val="7B9FE4D7"/>
    <w:rsid w:val="7BB36CD1"/>
    <w:rsid w:val="7BC99AC5"/>
    <w:rsid w:val="7BD80F6F"/>
    <w:rsid w:val="7C1FE8D0"/>
    <w:rsid w:val="7C51B401"/>
    <w:rsid w:val="7C539EA5"/>
    <w:rsid w:val="7C663A88"/>
    <w:rsid w:val="7C66FB8C"/>
    <w:rsid w:val="7C90E328"/>
    <w:rsid w:val="7CABE141"/>
    <w:rsid w:val="7CB3C9CE"/>
    <w:rsid w:val="7CB41122"/>
    <w:rsid w:val="7CBBD313"/>
    <w:rsid w:val="7D0FA69C"/>
    <w:rsid w:val="7D1B5C3E"/>
    <w:rsid w:val="7D33932D"/>
    <w:rsid w:val="7D3775A1"/>
    <w:rsid w:val="7D3A915C"/>
    <w:rsid w:val="7D5663E8"/>
    <w:rsid w:val="7D89C938"/>
    <w:rsid w:val="7D9B6C47"/>
    <w:rsid w:val="7DCD9B34"/>
    <w:rsid w:val="7DD3725F"/>
    <w:rsid w:val="7DE340FC"/>
    <w:rsid w:val="7DE8AAFD"/>
    <w:rsid w:val="7DF7E170"/>
    <w:rsid w:val="7E085632"/>
    <w:rsid w:val="7E0D3C77"/>
    <w:rsid w:val="7E6F3D27"/>
    <w:rsid w:val="7ED415F9"/>
    <w:rsid w:val="7EDB9C74"/>
    <w:rsid w:val="7F116993"/>
    <w:rsid w:val="7F3339EC"/>
    <w:rsid w:val="7F40C293"/>
    <w:rsid w:val="7F4BFF16"/>
    <w:rsid w:val="7F59AAAF"/>
    <w:rsid w:val="7F8FB7C4"/>
    <w:rsid w:val="7F92112C"/>
    <w:rsid w:val="7F93ADE3"/>
    <w:rsid w:val="7FA13F11"/>
    <w:rsid w:val="7FC43137"/>
    <w:rsid w:val="7FCF925E"/>
    <w:rsid w:val="7FD240B0"/>
    <w:rsid w:val="7FE9F7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7A287D"/>
  <w15:chartTrackingRefBased/>
  <w15:docId w15:val="{B8000C8A-8F56-49FA-8DAB-DB472AED9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5D5"/>
    <w:pPr>
      <w:snapToGrid w:val="0"/>
      <w:spacing w:before="60" w:after="60"/>
    </w:pPr>
  </w:style>
  <w:style w:type="paragraph" w:styleId="Heading1">
    <w:name w:val="heading 1"/>
    <w:aliases w:val="H_ Ch_G Chapter Heading"/>
    <w:basedOn w:val="Normal"/>
    <w:next w:val="Normal"/>
    <w:link w:val="Heading1Char"/>
    <w:autoRedefine/>
    <w:uiPriority w:val="9"/>
    <w:qFormat/>
    <w:rsid w:val="00640F63"/>
    <w:pPr>
      <w:keepNext/>
      <w:keepLines/>
      <w:numPr>
        <w:numId w:val="37"/>
      </w:numPr>
      <w:adjustRightInd w:val="0"/>
      <w:jc w:val="left"/>
      <w:outlineLvl w:val="0"/>
    </w:pPr>
    <w:rPr>
      <w:rFonts w:eastAsiaTheme="majorEastAsia" w:cstheme="minorHAnsi"/>
      <w:b/>
      <w:smallCaps/>
      <w:snapToGrid w:val="0"/>
      <w:color w:val="000000" w:themeColor="text1"/>
      <w:kern w:val="22"/>
      <w:sz w:val="28"/>
    </w:rPr>
  </w:style>
  <w:style w:type="paragraph" w:styleId="Heading2">
    <w:name w:val="heading 2"/>
    <w:aliases w:val="H_1_G Heading 1"/>
    <w:basedOn w:val="Normal"/>
    <w:next w:val="Normal"/>
    <w:link w:val="Heading2Char"/>
    <w:autoRedefine/>
    <w:uiPriority w:val="9"/>
    <w:unhideWhenUsed/>
    <w:qFormat/>
    <w:rsid w:val="00A048D1"/>
    <w:pPr>
      <w:keepNext/>
      <w:keepLines/>
      <w:spacing w:before="240" w:after="240"/>
      <w:outlineLvl w:val="1"/>
    </w:pPr>
    <w:rPr>
      <w:rFonts w:eastAsiaTheme="majorEastAsia" w:cstheme="minorHAnsi"/>
      <w:b/>
      <w:snapToGrid w:val="0"/>
      <w:color w:val="000000" w:themeColor="text1"/>
      <w:sz w:val="24"/>
      <w:szCs w:val="24"/>
    </w:rPr>
  </w:style>
  <w:style w:type="paragraph" w:styleId="Heading3">
    <w:name w:val="heading 3"/>
    <w:aliases w:val="H_2/3_G Heading 2"/>
    <w:basedOn w:val="Normal"/>
    <w:next w:val="Normal"/>
    <w:link w:val="Heading3Char"/>
    <w:autoRedefine/>
    <w:uiPriority w:val="9"/>
    <w:unhideWhenUsed/>
    <w:qFormat/>
    <w:rsid w:val="00EA18B2"/>
    <w:pPr>
      <w:spacing w:before="240" w:after="120"/>
      <w:outlineLvl w:val="2"/>
    </w:pPr>
    <w:rPr>
      <w:rFonts w:eastAsiaTheme="majorEastAsia" w:cstheme="minorHAnsi"/>
      <w:b/>
      <w:bCs/>
      <w:snapToGrid w:val="0"/>
      <w:color w:val="000000" w:themeColor="text1"/>
      <w:sz w:val="24"/>
      <w:szCs w:val="24"/>
    </w:rPr>
  </w:style>
  <w:style w:type="paragraph" w:styleId="Heading4">
    <w:name w:val="heading 4"/>
    <w:basedOn w:val="Normal"/>
    <w:next w:val="Normal"/>
    <w:link w:val="Heading4Char"/>
    <w:uiPriority w:val="9"/>
    <w:unhideWhenUsed/>
    <w:qFormat/>
    <w:rsid w:val="00C004A0"/>
    <w:pPr>
      <w:keepNext/>
      <w:keepLines/>
      <w:spacing w:before="40" w:after="0"/>
      <w:outlineLvl w:val="3"/>
    </w:pPr>
    <w:rPr>
      <w:rFonts w:ascii="Cambria" w:eastAsia="MS Gothic" w:hAnsi="Cambria" w:cs="Times New Roman"/>
      <w:b/>
      <w:bCs/>
      <w:i/>
      <w:iCs/>
      <w:color w:val="4F81BD"/>
    </w:rPr>
  </w:style>
  <w:style w:type="paragraph" w:styleId="Heading5">
    <w:name w:val="heading 5"/>
    <w:basedOn w:val="Normal"/>
    <w:next w:val="Normal"/>
    <w:link w:val="Heading5Char"/>
    <w:uiPriority w:val="9"/>
    <w:unhideWhenUsed/>
    <w:qFormat/>
    <w:rsid w:val="00C004A0"/>
    <w:pPr>
      <w:keepNext/>
      <w:keepLines/>
      <w:spacing w:before="40" w:after="0"/>
      <w:outlineLvl w:val="4"/>
    </w:pPr>
    <w:rPr>
      <w:rFonts w:ascii="Cambria" w:eastAsia="MS Gothic" w:hAnsi="Cambria" w:cs="Times New Roman"/>
      <w:color w:val="243F60"/>
    </w:rPr>
  </w:style>
  <w:style w:type="paragraph" w:styleId="Heading6">
    <w:name w:val="heading 6"/>
    <w:basedOn w:val="Normal"/>
    <w:next w:val="Normal"/>
    <w:link w:val="Heading6Char"/>
    <w:uiPriority w:val="9"/>
    <w:unhideWhenUsed/>
    <w:qFormat/>
    <w:rsid w:val="00C004A0"/>
    <w:pPr>
      <w:keepNext/>
      <w:keepLines/>
      <w:spacing w:before="40" w:after="0"/>
      <w:outlineLvl w:val="5"/>
    </w:pPr>
    <w:rPr>
      <w:rFonts w:ascii="Cambria" w:eastAsia="MS Gothic" w:hAnsi="Cambria" w:cs="Times New Roman"/>
      <w:i/>
      <w:iCs/>
      <w:color w:val="243F60"/>
    </w:rPr>
  </w:style>
  <w:style w:type="paragraph" w:styleId="Heading7">
    <w:name w:val="heading 7"/>
    <w:basedOn w:val="Normal"/>
    <w:next w:val="Normal"/>
    <w:link w:val="Heading7Char"/>
    <w:uiPriority w:val="9"/>
    <w:unhideWhenUsed/>
    <w:qFormat/>
    <w:rsid w:val="00C004A0"/>
    <w:pPr>
      <w:keepNext/>
      <w:keepLines/>
      <w:spacing w:before="40" w:after="0"/>
      <w:outlineLvl w:val="6"/>
    </w:pPr>
    <w:rPr>
      <w:rFonts w:ascii="Cambria" w:eastAsia="MS Gothic" w:hAnsi="Cambria" w:cs="Times New Roman"/>
      <w:i/>
      <w:iCs/>
      <w:color w:val="404040"/>
    </w:rPr>
  </w:style>
  <w:style w:type="paragraph" w:styleId="Heading8">
    <w:name w:val="heading 8"/>
    <w:basedOn w:val="Normal"/>
    <w:next w:val="Normal"/>
    <w:link w:val="Heading8Char"/>
    <w:uiPriority w:val="9"/>
    <w:unhideWhenUsed/>
    <w:qFormat/>
    <w:rsid w:val="00C004A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C004A0"/>
    <w:pPr>
      <w:keepNext/>
      <w:keepLines/>
      <w:spacing w:before="40" w:after="0"/>
      <w:outlineLvl w:val="8"/>
    </w:pPr>
    <w:rPr>
      <w:rFonts w:ascii="Cambria" w:eastAsia="MS Gothic"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op report footnote,fn,Geneva 9,Font: Geneva 9,Boston 10,Testo nota a piè di pagina Carattere Carattere,Testo nota a piè di pagina Carattere,Testo nota a piè di pagina Carattere1 Carattere,otnote Text,single space,footnote text,A"/>
    <w:basedOn w:val="Normal"/>
    <w:link w:val="FootnoteTextChar"/>
    <w:autoRedefine/>
    <w:uiPriority w:val="99"/>
    <w:unhideWhenUsed/>
    <w:qFormat/>
    <w:rsid w:val="000247FC"/>
    <w:pPr>
      <w:suppressLineNumbers/>
      <w:suppressAutoHyphens/>
      <w:spacing w:before="0" w:after="0"/>
    </w:pPr>
    <w:rPr>
      <w:rFonts w:eastAsiaTheme="minorEastAsia" w:cstheme="minorHAnsi"/>
      <w:color w:val="000000" w:themeColor="text1"/>
      <w:sz w:val="20"/>
      <w:szCs w:val="20"/>
    </w:rPr>
  </w:style>
  <w:style w:type="character" w:customStyle="1" w:styleId="FootnoteTextChar">
    <w:name w:val="Footnote Text Char"/>
    <w:aliases w:val="cop report footnote Char,fn Char,Geneva 9 Char,Font: Geneva 9 Char,Boston 10 Char,Testo nota a piè di pagina Carattere Carattere Char,Testo nota a piè di pagina Carattere Char,Testo nota a piè di pagina Carattere1 Carattere Char"/>
    <w:basedOn w:val="DefaultParagraphFont"/>
    <w:link w:val="FootnoteText"/>
    <w:uiPriority w:val="99"/>
    <w:qFormat/>
    <w:rsid w:val="000247FC"/>
    <w:rPr>
      <w:rFonts w:eastAsiaTheme="minorEastAsia" w:cstheme="minorHAnsi"/>
      <w:color w:val="000000" w:themeColor="text1"/>
      <w:sz w:val="20"/>
      <w:szCs w:val="20"/>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qFormat/>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unhideWhenUsed/>
    <w:rsid w:val="006257F6"/>
    <w:rPr>
      <w:rFonts w:ascii="Segoe UI" w:hAnsi="Segoe UI" w:cs="Segoe UI"/>
      <w:sz w:val="18"/>
      <w:szCs w:val="18"/>
    </w:rPr>
  </w:style>
  <w:style w:type="character" w:customStyle="1" w:styleId="BalloonTextChar">
    <w:name w:val="Balloon Text Char"/>
    <w:basedOn w:val="DefaultParagraphFont"/>
    <w:link w:val="BalloonText"/>
    <w:uiPriority w:val="99"/>
    <w:rsid w:val="006257F6"/>
    <w:rPr>
      <w:rFonts w:ascii="Segoe UI" w:hAnsi="Segoe UI" w:cs="Segoe UI"/>
      <w:sz w:val="18"/>
      <w:szCs w:val="18"/>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
    <w:basedOn w:val="Normal"/>
    <w:link w:val="ListParagraphChar"/>
    <w:autoRedefine/>
    <w:uiPriority w:val="34"/>
    <w:qFormat/>
    <w:rsid w:val="000B33CF"/>
    <w:pPr>
      <w:numPr>
        <w:numId w:val="40"/>
      </w:numPr>
      <w:tabs>
        <w:tab w:val="left" w:pos="709"/>
      </w:tabs>
      <w:autoSpaceDE w:val="0"/>
      <w:autoSpaceDN w:val="0"/>
      <w:adjustRightInd w:val="0"/>
      <w:snapToGrid/>
      <w:spacing w:before="120" w:after="120"/>
      <w:ind w:left="0" w:firstLine="0"/>
    </w:pPr>
    <w:rPr>
      <w:rFonts w:eastAsia="MS Mincho" w:cstheme="minorHAnsi"/>
      <w:snapToGrid w:val="0"/>
      <w:color w:val="000000"/>
      <w:sz w:val="24"/>
      <w:szCs w:val="24"/>
    </w:rPr>
  </w:style>
  <w:style w:type="paragraph" w:customStyle="1" w:styleId="Para1">
    <w:name w:val="Para1"/>
    <w:basedOn w:val="Normal"/>
    <w:link w:val="Para1Char"/>
    <w:rsid w:val="00FB355B"/>
    <w:pPr>
      <w:numPr>
        <w:numId w:val="1"/>
      </w:numPr>
      <w:tabs>
        <w:tab w:val="clear" w:pos="360"/>
      </w:tabs>
      <w:spacing w:after="120"/>
      <w:ind w:left="720" w:hanging="360"/>
    </w:pPr>
    <w:rPr>
      <w:rFonts w:ascii="Times New Roman" w:eastAsia="MS Mincho" w:hAnsi="Times New Roman" w:cs="Angsana New"/>
      <w:snapToGrid w:val="0"/>
      <w:szCs w:val="18"/>
    </w:rPr>
  </w:style>
  <w:style w:type="paragraph" w:customStyle="1" w:styleId="Para3">
    <w:name w:val="Para3"/>
    <w:basedOn w:val="Normal"/>
    <w:uiPriority w:val="99"/>
    <w:rsid w:val="00FB355B"/>
    <w:pPr>
      <w:numPr>
        <w:ilvl w:val="2"/>
        <w:numId w:val="1"/>
      </w:numPr>
      <w:tabs>
        <w:tab w:val="clear" w:pos="1260"/>
        <w:tab w:val="left" w:pos="1980"/>
      </w:tabs>
      <w:spacing w:before="80" w:after="80"/>
      <w:ind w:left="2160" w:hanging="180"/>
    </w:pPr>
    <w:rPr>
      <w:rFonts w:ascii="Times New Roman" w:eastAsia="MS Mincho" w:hAnsi="Times New Roman" w:cs="Angsana New"/>
      <w:szCs w:val="20"/>
    </w:rPr>
  </w:style>
  <w:style w:type="table" w:styleId="TableGrid">
    <w:name w:val="Table Grid"/>
    <w:basedOn w:val="TableNormal"/>
    <w:uiPriority w:val="39"/>
    <w:rsid w:val="00273B2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unhideWhenUsed/>
    <w:rsid w:val="000A6F0C"/>
    <w:rPr>
      <w:sz w:val="16"/>
      <w:szCs w:val="16"/>
    </w:rPr>
  </w:style>
  <w:style w:type="paragraph" w:styleId="CommentText">
    <w:name w:val="annotation text"/>
    <w:basedOn w:val="Normal"/>
    <w:link w:val="CommentTextChar"/>
    <w:uiPriority w:val="99"/>
    <w:unhideWhenUsed/>
    <w:rsid w:val="000A6F0C"/>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unhideWhenUsed/>
    <w:rsid w:val="000A6F0C"/>
    <w:rPr>
      <w:b/>
      <w:bCs/>
    </w:rPr>
  </w:style>
  <w:style w:type="character" w:customStyle="1" w:styleId="CommentSubjectChar">
    <w:name w:val="Comment Subject Char"/>
    <w:basedOn w:val="CommentTextChar"/>
    <w:link w:val="CommentSubject"/>
    <w:uiPriority w:val="99"/>
    <w:rsid w:val="000A6F0C"/>
    <w:rPr>
      <w:b/>
      <w:bCs/>
      <w:sz w:val="20"/>
      <w:szCs w:val="20"/>
    </w:rPr>
  </w:style>
  <w:style w:type="character" w:styleId="UnresolvedMention">
    <w:name w:val="Unresolved Mention"/>
    <w:basedOn w:val="DefaultParagraphFont"/>
    <w:uiPriority w:val="99"/>
    <w:unhideWhenUsed/>
    <w:rsid w:val="00970CE4"/>
    <w:rPr>
      <w:color w:val="605E5C"/>
      <w:shd w:val="clear" w:color="auto" w:fill="E1DFDD"/>
    </w:rPr>
  </w:style>
  <w:style w:type="table" w:styleId="PlainTable4">
    <w:name w:val="Plain Table 4"/>
    <w:basedOn w:val="TableNormal"/>
    <w:uiPriority w:val="44"/>
    <w:rsid w:val="000631E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unhideWhenUsed/>
    <w:rsid w:val="002C6D8B"/>
    <w:rPr>
      <w:color w:val="800080"/>
      <w:u w:val="single"/>
    </w:rPr>
  </w:style>
  <w:style w:type="paragraph" w:customStyle="1" w:styleId="msonormal0">
    <w:name w:val="msonormal"/>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aliases w:val="H_ Ch_G Chapter Heading Char"/>
    <w:basedOn w:val="DefaultParagraphFont"/>
    <w:link w:val="Heading1"/>
    <w:uiPriority w:val="9"/>
    <w:rsid w:val="00640F63"/>
    <w:rPr>
      <w:rFonts w:eastAsiaTheme="majorEastAsia" w:cstheme="minorHAnsi"/>
      <w:b/>
      <w:smallCaps/>
      <w:snapToGrid w:val="0"/>
      <w:color w:val="000000" w:themeColor="text1"/>
      <w:kern w:val="22"/>
      <w:sz w:val="28"/>
    </w:rPr>
  </w:style>
  <w:style w:type="character" w:customStyle="1" w:styleId="Heading2Char">
    <w:name w:val="Heading 2 Char"/>
    <w:aliases w:val="H_1_G Heading 1 Char"/>
    <w:basedOn w:val="DefaultParagraphFont"/>
    <w:link w:val="Heading2"/>
    <w:uiPriority w:val="9"/>
    <w:rsid w:val="00A048D1"/>
    <w:rPr>
      <w:rFonts w:eastAsiaTheme="majorEastAsia" w:cstheme="minorHAnsi"/>
      <w:b/>
      <w:snapToGrid w:val="0"/>
      <w:color w:val="000000" w:themeColor="text1"/>
      <w:sz w:val="24"/>
      <w:szCs w:val="24"/>
      <w:lang w:val="fr-FR"/>
    </w:rPr>
  </w:style>
  <w:style w:type="character" w:customStyle="1" w:styleId="Heading3Char">
    <w:name w:val="Heading 3 Char"/>
    <w:aliases w:val="H_2/3_G Heading 2 Char"/>
    <w:basedOn w:val="DefaultParagraphFont"/>
    <w:link w:val="Heading3"/>
    <w:uiPriority w:val="9"/>
    <w:rsid w:val="00EA18B2"/>
    <w:rPr>
      <w:rFonts w:eastAsiaTheme="majorEastAsia" w:cstheme="minorHAnsi"/>
      <w:b/>
      <w:bCs/>
      <w:snapToGrid w:val="0"/>
      <w:color w:val="000000" w:themeColor="text1"/>
      <w:sz w:val="24"/>
      <w:szCs w:val="24"/>
      <w:lang w:val="fr-FR"/>
    </w:rPr>
  </w:style>
  <w:style w:type="paragraph" w:styleId="TOC2">
    <w:name w:val="toc 2"/>
    <w:basedOn w:val="Normal"/>
    <w:next w:val="Normal"/>
    <w:autoRedefine/>
    <w:uiPriority w:val="39"/>
    <w:unhideWhenUsed/>
    <w:rsid w:val="009E14FB"/>
    <w:pPr>
      <w:tabs>
        <w:tab w:val="right" w:leader="dot" w:pos="9360"/>
      </w:tabs>
      <w:spacing w:after="100"/>
      <w:ind w:left="720"/>
    </w:pPr>
    <w:rPr>
      <w:rFonts w:eastAsiaTheme="majorEastAsia" w:cstheme="minorHAnsi"/>
      <w:noProof/>
      <w:snapToGrid w:val="0"/>
    </w:rPr>
  </w:style>
  <w:style w:type="paragraph" w:styleId="TOC1">
    <w:name w:val="toc 1"/>
    <w:basedOn w:val="Normal"/>
    <w:next w:val="Normal"/>
    <w:autoRedefine/>
    <w:uiPriority w:val="39"/>
    <w:unhideWhenUsed/>
    <w:qFormat/>
    <w:rsid w:val="008661B9"/>
    <w:pPr>
      <w:tabs>
        <w:tab w:val="left" w:pos="440"/>
        <w:tab w:val="right" w:leader="dot" w:pos="9350"/>
      </w:tabs>
      <w:adjustRightInd w:val="0"/>
      <w:spacing w:after="120"/>
      <w:ind w:left="864" w:hanging="864"/>
    </w:pPr>
    <w:rPr>
      <w:bCs/>
      <w:noProof/>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rPr>
  </w:style>
  <w:style w:type="paragraph" w:customStyle="1" w:styleId="HEADINGNOTFORTOC">
    <w:name w:val="HEADING (NOT FOR TOC)"/>
    <w:basedOn w:val="Heading1"/>
    <w:next w:val="Heading2"/>
    <w:uiPriority w:val="99"/>
    <w:rsid w:val="00AF2846"/>
    <w:pPr>
      <w:keepLines w:val="0"/>
      <w:tabs>
        <w:tab w:val="left" w:pos="720"/>
      </w:tabs>
      <w:spacing w:after="120"/>
    </w:pPr>
    <w:rPr>
      <w:rFonts w:eastAsia="Times New Roman"/>
      <w:caps/>
      <w:smallCaps w:val="0"/>
    </w:rPr>
  </w:style>
  <w:style w:type="paragraph" w:customStyle="1" w:styleId="meetingname">
    <w:name w:val="meeting name"/>
    <w:basedOn w:val="Normal"/>
    <w:qFormat/>
    <w:rsid w:val="00AF2846"/>
    <w:pPr>
      <w:ind w:left="170" w:right="3119" w:hanging="170"/>
    </w:pPr>
    <w:rPr>
      <w:rFonts w:ascii="Times New Roman" w:eastAsia="Malgun Gothic" w:hAnsi="Times New Roman" w:cs="Times New Roman"/>
      <w:caps/>
      <w:snapToGrid w:val="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rsid w:val="00D55579"/>
    <w:pPr>
      <w:spacing w:after="0"/>
    </w:pPr>
  </w:style>
  <w:style w:type="paragraph" w:customStyle="1" w:styleId="SubParagraphLevel1">
    <w:name w:val="Sub Paragraph Level 1"/>
    <w:basedOn w:val="ListParagraph"/>
    <w:link w:val="SubParagraphLevel1Char"/>
    <w:qFormat/>
    <w:rsid w:val="007B7193"/>
    <w:pPr>
      <w:numPr>
        <w:numId w:val="4"/>
      </w:numPr>
    </w:pPr>
    <w:rPr>
      <w:rFonts w:eastAsiaTheme="minorEastAsia" w:cs="Times New Roman"/>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2"/>
      </w:numPr>
      <w:spacing w:line="276" w:lineRule="auto"/>
      <w:ind w:left="720" w:hanging="360"/>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CA4757"/>
    <w:pPr>
      <w:numPr>
        <w:ilvl w:val="1"/>
        <w:numId w:val="3"/>
      </w:numPr>
      <w:spacing w:after="0"/>
    </w:pPr>
  </w:style>
  <w:style w:type="paragraph" w:styleId="Caption">
    <w:name w:val="caption"/>
    <w:basedOn w:val="Normal"/>
    <w:next w:val="Normal"/>
    <w:autoRedefine/>
    <w:uiPriority w:val="35"/>
    <w:unhideWhenUsed/>
    <w:qFormat/>
    <w:rsid w:val="00E223CB"/>
    <w:pPr>
      <w:keepNext/>
      <w:spacing w:before="240"/>
      <w:jc w:val="left"/>
    </w:pPr>
    <w:rPr>
      <w:b/>
      <w:iCs/>
      <w:color w:val="000000" w:themeColor="text1"/>
      <w:sz w:val="24"/>
      <w:szCs w:val="18"/>
    </w:r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
    <w:basedOn w:val="DefaultParagraphFont"/>
    <w:link w:val="ListParagraph"/>
    <w:uiPriority w:val="34"/>
    <w:qFormat/>
    <w:rsid w:val="000B33CF"/>
    <w:rPr>
      <w:rFonts w:eastAsia="MS Mincho" w:cstheme="minorHAnsi"/>
      <w:snapToGrid w:val="0"/>
      <w:color w:val="000000"/>
      <w:sz w:val="24"/>
      <w:szCs w:val="24"/>
    </w:rPr>
  </w:style>
  <w:style w:type="character" w:customStyle="1" w:styleId="bullettextChar">
    <w:name w:val="bullet text Char"/>
    <w:basedOn w:val="ListParagraphChar"/>
    <w:link w:val="bullettext"/>
    <w:rsid w:val="00CA4757"/>
    <w:rPr>
      <w:rFonts w:eastAsia="MS Mincho" w:cstheme="minorHAnsi"/>
      <w:snapToGrid w:val="0"/>
      <w:color w:val="000000"/>
      <w:sz w:val="24"/>
      <w:szCs w:val="24"/>
    </w:rPr>
  </w:style>
  <w:style w:type="paragraph" w:styleId="TableofFigures">
    <w:name w:val="table of figures"/>
    <w:aliases w:val="List of Figures"/>
    <w:basedOn w:val="Normal"/>
    <w:next w:val="Normal"/>
    <w:autoRedefine/>
    <w:uiPriority w:val="99"/>
    <w:unhideWhenUsed/>
    <w:rsid w:val="00756C88"/>
    <w:pPr>
      <w:tabs>
        <w:tab w:val="right" w:leader="dot" w:pos="9350"/>
      </w:tabs>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
    <w:basedOn w:val="DefaultParagraphFont"/>
    <w:link w:val="CharChar1CharCharCharChar1CharCharCharCharCharCharCharChar"/>
    <w:uiPriority w:val="99"/>
    <w:unhideWhenUsed/>
    <w:qFormat/>
    <w:rsid w:val="00B70FFD"/>
    <w:rPr>
      <w:vertAlign w:val="superscript"/>
    </w:rPr>
  </w:style>
  <w:style w:type="paragraph" w:styleId="PlainText">
    <w:name w:val="Plain Text"/>
    <w:basedOn w:val="Normal"/>
    <w:link w:val="PlainTextChar"/>
    <w:uiPriority w:val="99"/>
    <w:unhideWhenUsed/>
    <w:rsid w:val="00AC2F02"/>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pPr>
    <w:rPr>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pPr>
    <w:rPr>
      <w:rFonts w:eastAsiaTheme="minorEastAsia" w:cs="Calibri"/>
      <w:snapToGrid/>
      <w:lang w:eastAsia="de-DE"/>
    </w:rPr>
  </w:style>
  <w:style w:type="character" w:customStyle="1" w:styleId="tabletextwithiChar">
    <w:name w:val="table text with i Char"/>
    <w:aliases w:val="ii Char,iii Char"/>
    <w:basedOn w:val="ListParagraphChar"/>
    <w:link w:val="tabletextwithi"/>
    <w:rsid w:val="006C2BDC"/>
    <w:rPr>
      <w:rFonts w:eastAsiaTheme="minorEastAsia" w:cs="Calibri"/>
      <w:snapToGrid/>
      <w:color w:val="000000"/>
      <w:sz w:val="24"/>
      <w:szCs w:val="24"/>
      <w:lang w:eastAsia="de-DE"/>
    </w:rPr>
  </w:style>
  <w:style w:type="paragraph" w:customStyle="1" w:styleId="Default">
    <w:name w:val="Default"/>
    <w:link w:val="DefaultChar"/>
    <w:rsid w:val="00DA7020"/>
    <w:pPr>
      <w:autoSpaceDE w:val="0"/>
      <w:autoSpaceDN w:val="0"/>
      <w:adjustRightInd w:val="0"/>
      <w:spacing w:after="0"/>
    </w:pPr>
    <w:rPr>
      <w:rFonts w:ascii="Calibri" w:hAnsi="Calibri" w:cs="Calibri"/>
      <w:color w:val="000000"/>
      <w:sz w:val="24"/>
      <w:szCs w:val="24"/>
    </w:rPr>
  </w:style>
  <w:style w:type="paragraph" w:customStyle="1" w:styleId="Char2">
    <w:name w:val="Char2"/>
    <w:basedOn w:val="Normal"/>
    <w:uiPriority w:val="99"/>
    <w:qFormat/>
    <w:rsid w:val="00DA7020"/>
    <w:pPr>
      <w:spacing w:line="240" w:lineRule="exact"/>
    </w:pPr>
    <w:rPr>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rPr>
  </w:style>
  <w:style w:type="paragraph" w:styleId="EndnoteText">
    <w:name w:val="endnote text"/>
    <w:basedOn w:val="Normal"/>
    <w:link w:val="EndnoteTextChar"/>
    <w:uiPriority w:val="99"/>
    <w:unhideWhenUsed/>
    <w:rsid w:val="00180746"/>
    <w:rPr>
      <w:sz w:val="20"/>
      <w:szCs w:val="20"/>
    </w:rPr>
  </w:style>
  <w:style w:type="character" w:customStyle="1" w:styleId="EndnoteTextChar">
    <w:name w:val="Endnote Text Char"/>
    <w:basedOn w:val="DefaultParagraphFont"/>
    <w:link w:val="EndnoteText"/>
    <w:uiPriority w:val="99"/>
    <w:rsid w:val="00180746"/>
    <w:rPr>
      <w:sz w:val="20"/>
      <w:szCs w:val="20"/>
    </w:rPr>
  </w:style>
  <w:style w:type="character" w:styleId="EndnoteReference">
    <w:name w:val="endnote reference"/>
    <w:basedOn w:val="DefaultParagraphFont"/>
    <w:uiPriority w:val="99"/>
    <w:unhideWhenUsed/>
    <w:rsid w:val="00180746"/>
    <w:rPr>
      <w:vertAlign w:val="superscript"/>
    </w:rPr>
  </w:style>
  <w:style w:type="table" w:customStyle="1" w:styleId="PlainTable21">
    <w:name w:val="Plain Table 21"/>
    <w:basedOn w:val="TableNormal"/>
    <w:next w:val="PlainTable2"/>
    <w:uiPriority w:val="42"/>
    <w:rsid w:val="008847A6"/>
    <w:pPr>
      <w:spacing w:after="0"/>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847A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styleId="GridTable1Light-Accent4">
    <w:name w:val="Grid Table 1 Light Accent 4"/>
    <w:basedOn w:val="TableNormal"/>
    <w:uiPriority w:val="46"/>
    <w:rsid w:val="001534C4"/>
    <w:pPr>
      <w:spacing w:after="0"/>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34C4"/>
    <w:pPr>
      <w:spacing w:after="0"/>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AC4260"/>
    <w:rPr>
      <w:color w:val="2B579A"/>
      <w:shd w:val="clear" w:color="auto" w:fill="E1DFDD"/>
    </w:rPr>
  </w:style>
  <w:style w:type="paragraph" w:styleId="Title">
    <w:name w:val="Title"/>
    <w:basedOn w:val="Normal"/>
    <w:next w:val="Normal"/>
    <w:link w:val="TitleChar"/>
    <w:uiPriority w:val="10"/>
    <w:qFormat/>
    <w:rsid w:val="000B6DD3"/>
    <w:pPr>
      <w:keepNext/>
      <w:keepLines/>
      <w:spacing w:before="480" w:after="120" w:line="259" w:lineRule="auto"/>
      <w:jc w:val="left"/>
    </w:pPr>
    <w:rPr>
      <w:rFonts w:ascii="Calibri" w:eastAsia="Calibri" w:hAnsi="Calibri" w:cs="Calibri"/>
      <w:b/>
      <w:sz w:val="72"/>
      <w:szCs w:val="72"/>
    </w:rPr>
  </w:style>
  <w:style w:type="character" w:customStyle="1" w:styleId="TitleChar">
    <w:name w:val="Title Char"/>
    <w:basedOn w:val="DefaultParagraphFont"/>
    <w:link w:val="Title"/>
    <w:uiPriority w:val="10"/>
    <w:rsid w:val="000B6DD3"/>
    <w:rPr>
      <w:rFonts w:ascii="Calibri" w:eastAsia="Calibri" w:hAnsi="Calibri" w:cs="Calibri"/>
      <w:b/>
      <w:sz w:val="72"/>
      <w:szCs w:val="72"/>
      <w:lang w:val="fr-FR"/>
    </w:rPr>
  </w:style>
  <w:style w:type="paragraph" w:styleId="NormalWeb">
    <w:name w:val="Normal (Web)"/>
    <w:basedOn w:val="Normal"/>
    <w:uiPriority w:val="99"/>
    <w:unhideWhenUsed/>
    <w:rsid w:val="00A5135B"/>
    <w:pPr>
      <w:snapToGrid/>
      <w:spacing w:before="100" w:beforeAutospacing="1" w:after="100" w:afterAutospacing="1"/>
      <w:jc w:val="left"/>
    </w:pPr>
    <w:rPr>
      <w:rFonts w:ascii="Times New Roman" w:eastAsia="Times New Roman" w:hAnsi="Times New Roman" w:cs="Times New Roman"/>
      <w:sz w:val="24"/>
      <w:szCs w:val="24"/>
      <w:lang w:eastAsia="ja-JP"/>
    </w:rPr>
  </w:style>
  <w:style w:type="paragraph" w:customStyle="1" w:styleId="footnote">
    <w:name w:val="footnote"/>
    <w:basedOn w:val="Default"/>
    <w:link w:val="footnoteChar"/>
    <w:autoRedefine/>
    <w:qFormat/>
    <w:rsid w:val="0038791E"/>
    <w:pPr>
      <w:spacing w:before="0"/>
      <w:jc w:val="left"/>
    </w:pPr>
    <w:rPr>
      <w:rFonts w:asciiTheme="minorHAnsi" w:hAnsiTheme="minorHAnsi" w:cstheme="minorHAnsi"/>
      <w:sz w:val="20"/>
      <w:szCs w:val="20"/>
    </w:rPr>
  </w:style>
  <w:style w:type="character" w:customStyle="1" w:styleId="footnoteChar">
    <w:name w:val="footnote Char"/>
    <w:basedOn w:val="DefaultParagraphFont"/>
    <w:link w:val="footnote"/>
    <w:rsid w:val="0038791E"/>
    <w:rPr>
      <w:rFonts w:eastAsia="SimSun" w:cstheme="minorHAnsi"/>
      <w:color w:val="000000"/>
      <w:sz w:val="20"/>
      <w:szCs w:val="20"/>
    </w:rPr>
  </w:style>
  <w:style w:type="paragraph" w:customStyle="1" w:styleId="Bulletseparate">
    <w:name w:val="Bullet separate"/>
    <w:basedOn w:val="Normal"/>
    <w:link w:val="BulletseparateChar"/>
    <w:qFormat/>
    <w:rsid w:val="00893221"/>
    <w:pPr>
      <w:numPr>
        <w:numId w:val="10"/>
      </w:numPr>
      <w:tabs>
        <w:tab w:val="num" w:pos="720"/>
      </w:tabs>
      <w:snapToGrid/>
      <w:spacing w:before="0" w:after="0"/>
      <w:jc w:val="left"/>
    </w:pPr>
    <w:rPr>
      <w:rFonts w:ascii="Calibri" w:hAnsi="Calibri" w:cs="Times New Roman"/>
    </w:rPr>
  </w:style>
  <w:style w:type="character" w:customStyle="1" w:styleId="BulletseparateChar">
    <w:name w:val="Bullet separate Char"/>
    <w:basedOn w:val="DefaultParagraphFont"/>
    <w:link w:val="Bulletseparate"/>
    <w:rsid w:val="00893221"/>
    <w:rPr>
      <w:rFonts w:ascii="Calibri" w:hAnsi="Calibri" w:cs="Times New Roman"/>
    </w:rPr>
  </w:style>
  <w:style w:type="paragraph" w:customStyle="1" w:styleId="tabletext">
    <w:name w:val="table text"/>
    <w:basedOn w:val="Normal"/>
    <w:link w:val="tabletextChar"/>
    <w:autoRedefine/>
    <w:qFormat/>
    <w:rsid w:val="00715F27"/>
    <w:pPr>
      <w:spacing w:before="0" w:after="0"/>
      <w:jc w:val="right"/>
    </w:pPr>
    <w:rPr>
      <w:rFonts w:eastAsia="Times New Roman" w:cstheme="minorHAnsi"/>
      <w:b/>
      <w:bCs/>
      <w:color w:val="000000"/>
    </w:rPr>
  </w:style>
  <w:style w:type="character" w:customStyle="1" w:styleId="tabletextChar">
    <w:name w:val="table text Char"/>
    <w:basedOn w:val="DefaultParagraphFont"/>
    <w:link w:val="tabletext"/>
    <w:rsid w:val="00715F27"/>
    <w:rPr>
      <w:rFonts w:eastAsia="Times New Roman" w:cstheme="minorHAnsi"/>
      <w:b/>
      <w:bCs/>
      <w:color w:val="000000"/>
    </w:rPr>
  </w:style>
  <w:style w:type="character" w:customStyle="1" w:styleId="Heading8Char">
    <w:name w:val="Heading 8 Char"/>
    <w:basedOn w:val="DefaultParagraphFont"/>
    <w:link w:val="Heading8"/>
    <w:uiPriority w:val="9"/>
    <w:rsid w:val="00C004A0"/>
    <w:rPr>
      <w:rFonts w:asciiTheme="majorHAnsi" w:eastAsiaTheme="majorEastAsia" w:hAnsiTheme="majorHAnsi" w:cstheme="majorBidi"/>
      <w:color w:val="272727" w:themeColor="text1" w:themeTint="D8"/>
      <w:sz w:val="21"/>
      <w:szCs w:val="21"/>
    </w:rPr>
  </w:style>
  <w:style w:type="paragraph" w:customStyle="1" w:styleId="H4GHeading41">
    <w:name w:val="H_4_G Heading 41"/>
    <w:basedOn w:val="Normal"/>
    <w:next w:val="Normal"/>
    <w:uiPriority w:val="9"/>
    <w:unhideWhenUsed/>
    <w:qFormat/>
    <w:rsid w:val="00C004A0"/>
    <w:pPr>
      <w:keepNext/>
      <w:keepLines/>
      <w:snapToGrid/>
      <w:spacing w:before="200" w:after="120" w:line="276" w:lineRule="auto"/>
      <w:jc w:val="left"/>
      <w:outlineLvl w:val="3"/>
    </w:pPr>
    <w:rPr>
      <w:rFonts w:ascii="Cambria" w:eastAsia="MS Gothic" w:hAnsi="Cambria" w:cs="Times New Roman"/>
      <w:b/>
      <w:bCs/>
      <w:i/>
      <w:iCs/>
      <w:color w:val="4F81BD"/>
    </w:rPr>
  </w:style>
  <w:style w:type="paragraph" w:customStyle="1" w:styleId="Heading51">
    <w:name w:val="Heading 51"/>
    <w:basedOn w:val="Normal"/>
    <w:next w:val="Normal"/>
    <w:uiPriority w:val="9"/>
    <w:unhideWhenUsed/>
    <w:qFormat/>
    <w:rsid w:val="00C004A0"/>
    <w:pPr>
      <w:keepNext/>
      <w:keepLines/>
      <w:snapToGrid/>
      <w:spacing w:before="200" w:after="120" w:line="276" w:lineRule="auto"/>
      <w:jc w:val="left"/>
      <w:outlineLvl w:val="4"/>
    </w:pPr>
    <w:rPr>
      <w:rFonts w:ascii="Cambria" w:eastAsia="MS Gothic" w:hAnsi="Cambria" w:cs="Times New Roman"/>
      <w:color w:val="243F60"/>
    </w:rPr>
  </w:style>
  <w:style w:type="paragraph" w:customStyle="1" w:styleId="Heading61">
    <w:name w:val="Heading 61"/>
    <w:basedOn w:val="Normal"/>
    <w:next w:val="Normal"/>
    <w:uiPriority w:val="9"/>
    <w:unhideWhenUsed/>
    <w:qFormat/>
    <w:rsid w:val="00C004A0"/>
    <w:pPr>
      <w:keepNext/>
      <w:keepLines/>
      <w:snapToGrid/>
      <w:spacing w:before="200" w:after="120" w:line="276" w:lineRule="auto"/>
      <w:ind w:left="3600"/>
      <w:jc w:val="left"/>
      <w:outlineLvl w:val="5"/>
    </w:pPr>
    <w:rPr>
      <w:rFonts w:ascii="Cambria" w:eastAsia="MS Gothic" w:hAnsi="Cambria" w:cs="Times New Roman"/>
      <w:i/>
      <w:iCs/>
      <w:color w:val="243F60"/>
    </w:rPr>
  </w:style>
  <w:style w:type="paragraph" w:customStyle="1" w:styleId="Heading71">
    <w:name w:val="Heading 71"/>
    <w:basedOn w:val="Normal"/>
    <w:next w:val="Normal"/>
    <w:uiPriority w:val="9"/>
    <w:unhideWhenUsed/>
    <w:qFormat/>
    <w:rsid w:val="00C004A0"/>
    <w:pPr>
      <w:keepNext/>
      <w:keepLines/>
      <w:snapToGrid/>
      <w:spacing w:before="200" w:after="120" w:line="276" w:lineRule="auto"/>
      <w:ind w:left="4320"/>
      <w:jc w:val="left"/>
      <w:outlineLvl w:val="6"/>
    </w:pPr>
    <w:rPr>
      <w:rFonts w:ascii="Cambria" w:eastAsia="MS Gothic" w:hAnsi="Cambria" w:cs="Times New Roman"/>
      <w:i/>
      <w:iCs/>
      <w:color w:val="404040"/>
    </w:rPr>
  </w:style>
  <w:style w:type="paragraph" w:customStyle="1" w:styleId="Heading91">
    <w:name w:val="Heading 91"/>
    <w:basedOn w:val="Normal"/>
    <w:next w:val="Normal"/>
    <w:uiPriority w:val="9"/>
    <w:unhideWhenUsed/>
    <w:qFormat/>
    <w:rsid w:val="00C004A0"/>
    <w:pPr>
      <w:keepNext/>
      <w:keepLines/>
      <w:snapToGrid/>
      <w:spacing w:before="200" w:after="120" w:line="276" w:lineRule="auto"/>
      <w:ind w:left="5760"/>
      <w:jc w:val="left"/>
      <w:outlineLvl w:val="8"/>
    </w:pPr>
    <w:rPr>
      <w:rFonts w:ascii="Cambria" w:eastAsia="MS Gothic" w:hAnsi="Cambria" w:cs="Times New Roman"/>
      <w:i/>
      <w:iCs/>
      <w:color w:val="404040"/>
      <w:sz w:val="20"/>
      <w:szCs w:val="20"/>
    </w:rPr>
  </w:style>
  <w:style w:type="numbering" w:customStyle="1" w:styleId="NoList2">
    <w:name w:val="No List2"/>
    <w:next w:val="NoList"/>
    <w:uiPriority w:val="99"/>
    <w:semiHidden/>
    <w:unhideWhenUsed/>
    <w:rsid w:val="00C004A0"/>
  </w:style>
  <w:style w:type="character" w:customStyle="1" w:styleId="Heading4Char">
    <w:name w:val="Heading 4 Char"/>
    <w:basedOn w:val="DefaultParagraphFont"/>
    <w:link w:val="Heading4"/>
    <w:uiPriority w:val="9"/>
    <w:rsid w:val="00C004A0"/>
    <w:rPr>
      <w:rFonts w:ascii="Cambria" w:eastAsia="MS Gothic" w:hAnsi="Cambria" w:cs="Times New Roman"/>
      <w:b/>
      <w:bCs/>
      <w:i/>
      <w:iCs/>
      <w:color w:val="4F81BD"/>
    </w:rPr>
  </w:style>
  <w:style w:type="character" w:customStyle="1" w:styleId="Heading5Char">
    <w:name w:val="Heading 5 Char"/>
    <w:basedOn w:val="DefaultParagraphFont"/>
    <w:link w:val="Heading5"/>
    <w:uiPriority w:val="9"/>
    <w:rsid w:val="00C004A0"/>
    <w:rPr>
      <w:rFonts w:ascii="Cambria" w:eastAsia="MS Gothic" w:hAnsi="Cambria" w:cs="Times New Roman"/>
      <w:color w:val="243F60"/>
      <w:lang w:val="fr-FR"/>
    </w:rPr>
  </w:style>
  <w:style w:type="character" w:customStyle="1" w:styleId="Heading6Char">
    <w:name w:val="Heading 6 Char"/>
    <w:basedOn w:val="DefaultParagraphFont"/>
    <w:link w:val="Heading6"/>
    <w:uiPriority w:val="9"/>
    <w:rsid w:val="00C004A0"/>
    <w:rPr>
      <w:rFonts w:ascii="Cambria" w:eastAsia="MS Gothic" w:hAnsi="Cambria" w:cs="Times New Roman"/>
      <w:i/>
      <w:iCs/>
      <w:color w:val="243F60"/>
    </w:rPr>
  </w:style>
  <w:style w:type="character" w:customStyle="1" w:styleId="Heading7Char">
    <w:name w:val="Heading 7 Char"/>
    <w:basedOn w:val="DefaultParagraphFont"/>
    <w:link w:val="Heading7"/>
    <w:uiPriority w:val="9"/>
    <w:rsid w:val="00C004A0"/>
    <w:rPr>
      <w:rFonts w:ascii="Cambria" w:eastAsia="MS Gothic" w:hAnsi="Cambria" w:cs="Times New Roman"/>
      <w:i/>
      <w:iCs/>
      <w:color w:val="404040"/>
    </w:rPr>
  </w:style>
  <w:style w:type="character" w:customStyle="1" w:styleId="Heading9Char">
    <w:name w:val="Heading 9 Char"/>
    <w:basedOn w:val="DefaultParagraphFont"/>
    <w:link w:val="Heading9"/>
    <w:uiPriority w:val="9"/>
    <w:rsid w:val="00C004A0"/>
    <w:rPr>
      <w:rFonts w:ascii="Cambria" w:eastAsia="MS Gothic" w:hAnsi="Cambria" w:cs="Times New Roman"/>
      <w:i/>
      <w:iCs/>
      <w:color w:val="404040"/>
      <w:sz w:val="20"/>
      <w:szCs w:val="20"/>
    </w:rPr>
  </w:style>
  <w:style w:type="character" w:customStyle="1" w:styleId="DefaultChar">
    <w:name w:val="Default Char"/>
    <w:basedOn w:val="DefaultParagraphFont"/>
    <w:link w:val="Default"/>
    <w:rsid w:val="00C004A0"/>
    <w:rPr>
      <w:rFonts w:ascii="Calibri" w:hAnsi="Calibri" w:cs="Calibri"/>
      <w:color w:val="000000"/>
      <w:sz w:val="24"/>
      <w:szCs w:val="24"/>
    </w:rPr>
  </w:style>
  <w:style w:type="paragraph" w:customStyle="1" w:styleId="CM7">
    <w:name w:val="CM7"/>
    <w:basedOn w:val="Default"/>
    <w:next w:val="Default"/>
    <w:uiPriority w:val="99"/>
    <w:rsid w:val="00C004A0"/>
    <w:pPr>
      <w:spacing w:before="0"/>
      <w:jc w:val="left"/>
    </w:pPr>
    <w:rPr>
      <w:rFonts w:ascii="Times New Roman" w:eastAsia="MS Mincho" w:hAnsi="Times New Roman" w:cs="Times New Roman"/>
      <w:color w:val="auto"/>
    </w:rPr>
  </w:style>
  <w:style w:type="paragraph" w:customStyle="1" w:styleId="CM8">
    <w:name w:val="CM8"/>
    <w:basedOn w:val="Default"/>
    <w:next w:val="Default"/>
    <w:uiPriority w:val="99"/>
    <w:rsid w:val="00C004A0"/>
    <w:pPr>
      <w:spacing w:before="0"/>
      <w:jc w:val="left"/>
    </w:pPr>
    <w:rPr>
      <w:rFonts w:ascii="Times New Roman" w:eastAsia="MS Mincho" w:hAnsi="Times New Roman" w:cs="Times New Roman"/>
      <w:color w:val="auto"/>
    </w:rPr>
  </w:style>
  <w:style w:type="paragraph" w:customStyle="1" w:styleId="Paragraphwith">
    <w:name w:val="Paragraph with #"/>
    <w:basedOn w:val="Default"/>
    <w:link w:val="ParagraphwithChar"/>
    <w:autoRedefine/>
    <w:qFormat/>
    <w:rsid w:val="00C004A0"/>
    <w:pPr>
      <w:numPr>
        <w:numId w:val="12"/>
      </w:numPr>
      <w:tabs>
        <w:tab w:val="num" w:pos="720"/>
      </w:tabs>
      <w:spacing w:before="0" w:after="240"/>
      <w:ind w:left="720"/>
      <w:jc w:val="left"/>
    </w:pPr>
    <w:rPr>
      <w:rFonts w:ascii="Times New Roman" w:eastAsia="MS Mincho" w:hAnsi="Times New Roman" w:cs="Times New Roman"/>
    </w:rPr>
  </w:style>
  <w:style w:type="character" w:customStyle="1" w:styleId="ParagraphwithChar">
    <w:name w:val="Paragraph with # Char"/>
    <w:basedOn w:val="DefaultChar"/>
    <w:link w:val="Paragraphwith"/>
    <w:rsid w:val="00C004A0"/>
    <w:rPr>
      <w:rFonts w:ascii="Times New Roman" w:eastAsia="MS Mincho" w:hAnsi="Times New Roman" w:cs="Times New Roman"/>
      <w:color w:val="000000"/>
      <w:sz w:val="24"/>
      <w:szCs w:val="24"/>
    </w:rPr>
  </w:style>
  <w:style w:type="paragraph" w:customStyle="1" w:styleId="Subparaa">
    <w:name w:val="Sub para (a)"/>
    <w:basedOn w:val="Default"/>
    <w:link w:val="SubparaaChar"/>
    <w:autoRedefine/>
    <w:qFormat/>
    <w:rsid w:val="00C004A0"/>
    <w:pPr>
      <w:numPr>
        <w:numId w:val="14"/>
      </w:numPr>
      <w:tabs>
        <w:tab w:val="num" w:pos="720"/>
      </w:tabs>
      <w:spacing w:before="120" w:after="120"/>
      <w:ind w:left="720"/>
      <w:jc w:val="left"/>
    </w:pPr>
    <w:rPr>
      <w:rFonts w:ascii="Times New Roman" w:eastAsia="MS Mincho" w:hAnsi="Times New Roman"/>
      <w:lang w:eastAsia="de-DE"/>
    </w:rPr>
  </w:style>
  <w:style w:type="character" w:customStyle="1" w:styleId="SubparaaChar">
    <w:name w:val="Sub para (a) Char"/>
    <w:basedOn w:val="DefaultChar"/>
    <w:link w:val="Subparaa"/>
    <w:rsid w:val="00C004A0"/>
    <w:rPr>
      <w:rFonts w:ascii="Times New Roman" w:eastAsia="MS Mincho" w:hAnsi="Times New Roman" w:cs="Calibri"/>
      <w:color w:val="000000"/>
      <w:sz w:val="24"/>
      <w:szCs w:val="24"/>
      <w:lang w:eastAsia="de-DE"/>
    </w:rPr>
  </w:style>
  <w:style w:type="paragraph" w:customStyle="1" w:styleId="ListParagrapha">
    <w:name w:val="List Paragraph (a)"/>
    <w:basedOn w:val="ListParagraph"/>
    <w:link w:val="ListParagraphaChar"/>
    <w:autoRedefine/>
    <w:qFormat/>
    <w:rsid w:val="00C004A0"/>
    <w:pPr>
      <w:tabs>
        <w:tab w:val="left" w:pos="-90"/>
      </w:tabs>
      <w:autoSpaceDE/>
      <w:autoSpaceDN/>
      <w:adjustRightInd/>
      <w:spacing w:before="240" w:after="0"/>
    </w:pPr>
    <w:rPr>
      <w:rFonts w:cs="Calibri"/>
      <w:snapToGrid/>
      <w:color w:val="auto"/>
      <w:lang w:eastAsia="de-DE"/>
    </w:rPr>
  </w:style>
  <w:style w:type="paragraph" w:customStyle="1" w:styleId="Table">
    <w:name w:val="Table"/>
    <w:uiPriority w:val="99"/>
    <w:qFormat/>
    <w:rsid w:val="00C004A0"/>
    <w:pPr>
      <w:spacing w:before="0" w:after="0"/>
      <w:jc w:val="left"/>
    </w:pPr>
    <w:rPr>
      <w:rFonts w:ascii="Times New Roman" w:eastAsia="MS Mincho" w:hAnsi="Times New Roman" w:cs="Times New Roman"/>
      <w:sz w:val="20"/>
      <w:szCs w:val="24"/>
    </w:rPr>
  </w:style>
  <w:style w:type="table" w:customStyle="1" w:styleId="TableGrid1">
    <w:name w:val="Table Grid1"/>
    <w:basedOn w:val="TableNormal"/>
    <w:next w:val="TableGrid"/>
    <w:uiPriority w:val="39"/>
    <w:rsid w:val="00C004A0"/>
    <w:pPr>
      <w:spacing w:before="0" w:after="0"/>
      <w:jc w:val="lef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Paragraphwith">
    <w:name w:val="Main Paragraph with #"/>
    <w:basedOn w:val="ListParagraph"/>
    <w:link w:val="MainParagraphwithChar"/>
    <w:autoRedefine/>
    <w:qFormat/>
    <w:rsid w:val="00C004A0"/>
    <w:pPr>
      <w:tabs>
        <w:tab w:val="left" w:pos="4068"/>
      </w:tabs>
      <w:autoSpaceDE/>
      <w:autoSpaceDN/>
      <w:adjustRightInd/>
      <w:spacing w:after="0"/>
      <w:ind w:left="1800"/>
    </w:pPr>
    <w:rPr>
      <w:rFonts w:cs="Calibri"/>
      <w:snapToGrid/>
      <w:color w:val="auto"/>
      <w:lang w:eastAsia="zh-CN"/>
    </w:rPr>
  </w:style>
  <w:style w:type="character" w:customStyle="1" w:styleId="MainParagraphwithChar">
    <w:name w:val="Main Paragraph with # Char"/>
    <w:link w:val="MainParagraphwith"/>
    <w:rsid w:val="00C004A0"/>
    <w:rPr>
      <w:rFonts w:eastAsia="MS Mincho" w:cs="Calibri"/>
      <w:sz w:val="24"/>
      <w:szCs w:val="24"/>
      <w:lang w:eastAsia="zh-CN"/>
    </w:rPr>
  </w:style>
  <w:style w:type="table" w:customStyle="1" w:styleId="MediumList2-Accent11">
    <w:name w:val="Medium List 2 - Accent 11"/>
    <w:basedOn w:val="TableNormal"/>
    <w:next w:val="MediumList2-Accent1"/>
    <w:uiPriority w:val="66"/>
    <w:rsid w:val="00C004A0"/>
    <w:pPr>
      <w:spacing w:before="0" w:after="0"/>
      <w:jc w:val="left"/>
    </w:pPr>
    <w:rPr>
      <w:rFonts w:ascii="Cambria" w:eastAsia="MS Gothic" w:hAnsi="Cambria" w:cs="Times New Roman"/>
      <w:color w:val="000000"/>
      <w:lang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
    <w:name w:val="Light List - Accent 31"/>
    <w:basedOn w:val="TableNormal"/>
    <w:next w:val="LightList-Accent3"/>
    <w:uiPriority w:val="61"/>
    <w:rsid w:val="00C004A0"/>
    <w:pPr>
      <w:spacing w:before="0" w:after="0"/>
      <w:jc w:val="left"/>
    </w:pPr>
    <w:rPr>
      <w:rFonts w:eastAsia="MS Mincho"/>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SubheadA">
    <w:name w:val="Subhead A"/>
    <w:basedOn w:val="Normal"/>
    <w:link w:val="SubheadAChar"/>
    <w:rsid w:val="00C004A0"/>
    <w:pPr>
      <w:snapToGrid/>
      <w:spacing w:before="0" w:after="120" w:line="276" w:lineRule="auto"/>
      <w:jc w:val="left"/>
    </w:pPr>
    <w:rPr>
      <w:rFonts w:ascii="Times New Roman" w:eastAsia="Times New Roman" w:hAnsi="Times New Roman" w:cs="Times New Roman"/>
      <w:smallCaps/>
      <w:sz w:val="24"/>
      <w:szCs w:val="20"/>
    </w:rPr>
  </w:style>
  <w:style w:type="character" w:customStyle="1" w:styleId="SubheadAChar">
    <w:name w:val="Subhead A Char"/>
    <w:basedOn w:val="DefaultParagraphFont"/>
    <w:link w:val="SubheadA"/>
    <w:rsid w:val="00C004A0"/>
    <w:rPr>
      <w:rFonts w:ascii="Times New Roman" w:eastAsia="Times New Roman" w:hAnsi="Times New Roman" w:cs="Times New Roman"/>
      <w:smallCaps/>
      <w:sz w:val="24"/>
      <w:szCs w:val="20"/>
    </w:rPr>
  </w:style>
  <w:style w:type="paragraph" w:customStyle="1" w:styleId="MainParanoChapter">
    <w:name w:val="Main Para no Chapter #"/>
    <w:basedOn w:val="Normal"/>
    <w:link w:val="MainParanoChapterChar"/>
    <w:autoRedefine/>
    <w:qFormat/>
    <w:rsid w:val="00C004A0"/>
    <w:pPr>
      <w:snapToGrid/>
      <w:spacing w:before="0" w:after="240" w:line="276" w:lineRule="auto"/>
      <w:jc w:val="left"/>
    </w:pPr>
    <w:rPr>
      <w:rFonts w:eastAsia="MS Gothic" w:cs="Calibri"/>
      <w:color w:val="4F81BD"/>
    </w:rPr>
  </w:style>
  <w:style w:type="character" w:customStyle="1" w:styleId="MainParanoChapterChar">
    <w:name w:val="Main Para no Chapter # Char"/>
    <w:basedOn w:val="DefaultParagraphFont"/>
    <w:link w:val="MainParanoChapter"/>
    <w:rsid w:val="00C004A0"/>
    <w:rPr>
      <w:rFonts w:eastAsia="MS Gothic" w:cs="Calibri"/>
      <w:color w:val="4F81BD"/>
      <w:lang w:val="fr-FR"/>
    </w:rPr>
  </w:style>
  <w:style w:type="paragraph" w:customStyle="1" w:styleId="Sub-Para1underX">
    <w:name w:val="Sub-Para 1 under X."/>
    <w:basedOn w:val="Normal"/>
    <w:link w:val="Sub-Para1underXChar"/>
    <w:uiPriority w:val="99"/>
    <w:qFormat/>
    <w:rsid w:val="00C004A0"/>
    <w:pPr>
      <w:numPr>
        <w:ilvl w:val="2"/>
        <w:numId w:val="11"/>
      </w:numPr>
      <w:tabs>
        <w:tab w:val="clear" w:pos="1080"/>
      </w:tabs>
      <w:snapToGrid/>
      <w:spacing w:before="0" w:after="240" w:line="276" w:lineRule="auto"/>
      <w:ind w:left="2520" w:hanging="180"/>
      <w:jc w:val="left"/>
      <w:outlineLvl w:val="2"/>
    </w:pPr>
    <w:rPr>
      <w:rFonts w:ascii="Times New Roman" w:eastAsia="Times New Roman" w:hAnsi="Times New Roman" w:cs="Times New Roman"/>
      <w:sz w:val="24"/>
      <w:szCs w:val="24"/>
    </w:rPr>
  </w:style>
  <w:style w:type="paragraph" w:customStyle="1" w:styleId="Heading1a">
    <w:name w:val="Heading 1a"/>
    <w:basedOn w:val="Normal"/>
    <w:next w:val="Normal"/>
    <w:uiPriority w:val="99"/>
    <w:rsid w:val="00C004A0"/>
    <w:pPr>
      <w:keepNext/>
      <w:keepLines/>
      <w:numPr>
        <w:numId w:val="11"/>
      </w:numPr>
      <w:snapToGrid/>
      <w:spacing w:before="1440" w:after="240" w:line="276" w:lineRule="auto"/>
      <w:ind w:left="1080" w:hanging="360"/>
      <w:jc w:val="center"/>
      <w:outlineLvl w:val="0"/>
    </w:pPr>
    <w:rPr>
      <w:rFonts w:ascii="Times New Roman" w:eastAsia="Times New Roman" w:hAnsi="Times New Roman" w:cs="Times New Roman"/>
      <w:b/>
      <w:caps/>
      <w:sz w:val="32"/>
      <w:szCs w:val="24"/>
    </w:rPr>
  </w:style>
  <w:style w:type="paragraph" w:customStyle="1" w:styleId="Sub-Para2underX">
    <w:name w:val="Sub-Para 2 under X."/>
    <w:basedOn w:val="Normal"/>
    <w:uiPriority w:val="99"/>
    <w:rsid w:val="00C004A0"/>
    <w:pPr>
      <w:numPr>
        <w:ilvl w:val="3"/>
        <w:numId w:val="11"/>
      </w:numPr>
      <w:tabs>
        <w:tab w:val="clear" w:pos="1800"/>
      </w:tabs>
      <w:snapToGrid/>
      <w:spacing w:before="0" w:after="240" w:line="276" w:lineRule="auto"/>
      <w:ind w:left="3240"/>
      <w:jc w:val="left"/>
      <w:outlineLvl w:val="3"/>
    </w:pPr>
    <w:rPr>
      <w:rFonts w:ascii="Times New Roman" w:eastAsia="Times New Roman" w:hAnsi="Times New Roman" w:cs="Times New Roman"/>
      <w:sz w:val="24"/>
      <w:szCs w:val="24"/>
    </w:rPr>
  </w:style>
  <w:style w:type="paragraph" w:customStyle="1" w:styleId="Sub-Para3underX">
    <w:name w:val="Sub-Para 3 under X."/>
    <w:basedOn w:val="Normal"/>
    <w:uiPriority w:val="99"/>
    <w:rsid w:val="00C004A0"/>
    <w:pPr>
      <w:tabs>
        <w:tab w:val="num" w:pos="1440"/>
      </w:tabs>
      <w:snapToGrid/>
      <w:spacing w:before="0" w:after="240" w:line="276" w:lineRule="auto"/>
      <w:ind w:left="1440" w:hanging="360"/>
      <w:jc w:val="left"/>
      <w:outlineLvl w:val="4"/>
    </w:pPr>
    <w:rPr>
      <w:rFonts w:ascii="Times New Roman" w:eastAsia="Times New Roman" w:hAnsi="Times New Roman" w:cs="Times New Roman"/>
      <w:sz w:val="24"/>
      <w:szCs w:val="24"/>
    </w:rPr>
  </w:style>
  <w:style w:type="paragraph" w:customStyle="1" w:styleId="Sub-Para4underX">
    <w:name w:val="Sub-Para 4 under X."/>
    <w:basedOn w:val="Normal"/>
    <w:uiPriority w:val="99"/>
    <w:rsid w:val="00C004A0"/>
    <w:pPr>
      <w:numPr>
        <w:ilvl w:val="5"/>
        <w:numId w:val="11"/>
      </w:numPr>
      <w:tabs>
        <w:tab w:val="clear" w:pos="2160"/>
      </w:tabs>
      <w:snapToGrid/>
      <w:spacing w:before="0" w:after="240" w:line="276" w:lineRule="auto"/>
      <w:ind w:left="4680" w:hanging="180"/>
      <w:jc w:val="left"/>
      <w:outlineLvl w:val="5"/>
    </w:pPr>
    <w:rPr>
      <w:rFonts w:ascii="Times New Roman" w:eastAsia="Times New Roman" w:hAnsi="Times New Roman" w:cs="Times New Roman"/>
      <w:sz w:val="24"/>
      <w:szCs w:val="24"/>
    </w:rPr>
  </w:style>
  <w:style w:type="paragraph" w:customStyle="1" w:styleId="Numbered">
    <w:name w:val="Numbered"/>
    <w:basedOn w:val="Normal"/>
    <w:link w:val="NumberedChar"/>
    <w:qFormat/>
    <w:rsid w:val="00C004A0"/>
    <w:pPr>
      <w:widowControl w:val="0"/>
      <w:tabs>
        <w:tab w:val="left" w:pos="397"/>
      </w:tabs>
      <w:autoSpaceDE w:val="0"/>
      <w:autoSpaceDN w:val="0"/>
      <w:adjustRightInd w:val="0"/>
      <w:snapToGrid/>
      <w:spacing w:before="120" w:after="240" w:line="240" w:lineRule="atLeast"/>
    </w:pPr>
    <w:rPr>
      <w:rFonts w:ascii="Times New Roman" w:eastAsia="Arial Unicode MS" w:hAnsi="Times New Roman" w:cs="Times New Roman"/>
      <w:sz w:val="20"/>
      <w:szCs w:val="20"/>
    </w:rPr>
  </w:style>
  <w:style w:type="character" w:customStyle="1" w:styleId="NumberedChar">
    <w:name w:val="Numbered Char"/>
    <w:basedOn w:val="DefaultParagraphFont"/>
    <w:link w:val="Numbered"/>
    <w:rsid w:val="00C004A0"/>
    <w:rPr>
      <w:rFonts w:ascii="Times New Roman" w:eastAsia="Arial Unicode MS" w:hAnsi="Times New Roman" w:cs="Times New Roman"/>
      <w:sz w:val="20"/>
      <w:szCs w:val="20"/>
    </w:rPr>
  </w:style>
  <w:style w:type="paragraph" w:customStyle="1" w:styleId="TOC41">
    <w:name w:val="TOC 41"/>
    <w:basedOn w:val="Normal"/>
    <w:next w:val="Normal"/>
    <w:autoRedefine/>
    <w:unhideWhenUsed/>
    <w:rsid w:val="00C004A0"/>
    <w:pPr>
      <w:snapToGrid/>
      <w:spacing w:before="0" w:after="100" w:line="276" w:lineRule="auto"/>
      <w:ind w:left="660"/>
      <w:jc w:val="left"/>
    </w:pPr>
    <w:rPr>
      <w:rFonts w:eastAsia="MS Mincho"/>
    </w:rPr>
  </w:style>
  <w:style w:type="paragraph" w:customStyle="1" w:styleId="Corpo">
    <w:name w:val="Corpo"/>
    <w:rsid w:val="00C004A0"/>
    <w:pPr>
      <w:pBdr>
        <w:top w:val="none" w:sz="96" w:space="31" w:color="FFFFFF" w:frame="1"/>
        <w:left w:val="none" w:sz="96" w:space="31" w:color="FFFFFF" w:frame="1"/>
        <w:bottom w:val="none" w:sz="96" w:space="31" w:color="FFFFFF" w:frame="1"/>
        <w:right w:val="none" w:sz="96" w:space="31" w:color="FFFFFF" w:frame="1"/>
        <w:bar w:val="none" w:sz="0" w:color="000000"/>
      </w:pBdr>
      <w:spacing w:before="0" w:after="0"/>
      <w:jc w:val="left"/>
    </w:pPr>
    <w:rPr>
      <w:rFonts w:ascii="Times New Roman" w:eastAsia="Arial Unicode MS" w:hAnsi="Arial Unicode MS" w:cs="Arial Unicode MS"/>
      <w:color w:val="000000"/>
      <w:sz w:val="24"/>
      <w:szCs w:val="24"/>
      <w:u w:color="000000"/>
    </w:rPr>
  </w:style>
  <w:style w:type="character" w:customStyle="1" w:styleId="Para1Char">
    <w:name w:val="Para1 Char"/>
    <w:link w:val="Para1"/>
    <w:locked/>
    <w:rsid w:val="00C004A0"/>
    <w:rPr>
      <w:rFonts w:ascii="Times New Roman" w:eastAsia="MS Mincho" w:hAnsi="Times New Roman" w:cs="Angsana New"/>
      <w:snapToGrid w:val="0"/>
      <w:szCs w:val="18"/>
    </w:rPr>
  </w:style>
  <w:style w:type="paragraph" w:customStyle="1" w:styleId="NoSpacing2">
    <w:name w:val="No Spacing2"/>
    <w:next w:val="NoSpacing"/>
    <w:link w:val="NoSpacingChar"/>
    <w:uiPriority w:val="1"/>
    <w:qFormat/>
    <w:rsid w:val="00C004A0"/>
    <w:pPr>
      <w:spacing w:before="0" w:after="0"/>
    </w:pPr>
    <w:rPr>
      <w:rFonts w:ascii="Cambria" w:eastAsia="MS Mincho" w:hAnsi="Cambria"/>
      <w:sz w:val="24"/>
      <w:szCs w:val="24"/>
    </w:rPr>
  </w:style>
  <w:style w:type="character" w:customStyle="1" w:styleId="NoSpacingChar">
    <w:name w:val="No Spacing Char"/>
    <w:basedOn w:val="DefaultParagraphFont"/>
    <w:link w:val="NoSpacing2"/>
    <w:uiPriority w:val="1"/>
    <w:rsid w:val="00C004A0"/>
    <w:rPr>
      <w:rFonts w:ascii="Cambria" w:hAnsi="Cambria"/>
      <w:sz w:val="24"/>
      <w:szCs w:val="24"/>
    </w:rPr>
  </w:style>
  <w:style w:type="table" w:customStyle="1" w:styleId="MediumGrid3-Accent31">
    <w:name w:val="Medium Grid 3 - Accent 31"/>
    <w:basedOn w:val="TableNormal"/>
    <w:next w:val="MediumGrid3-Accent3"/>
    <w:uiPriority w:val="69"/>
    <w:rsid w:val="00C004A0"/>
    <w:pPr>
      <w:spacing w:before="0" w:after="0"/>
      <w:jc w:val="left"/>
    </w:pPr>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olorfulGrid-Accent31">
    <w:name w:val="Colorful Grid - Accent 31"/>
    <w:basedOn w:val="TableNormal"/>
    <w:next w:val="ColorfulGrid-Accent3"/>
    <w:uiPriority w:val="73"/>
    <w:rsid w:val="00C004A0"/>
    <w:pPr>
      <w:spacing w:before="0" w:after="0"/>
      <w:jc w:val="left"/>
    </w:pPr>
    <w:rPr>
      <w:rFonts w:eastAsia="MS Mincho"/>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paragraph" w:customStyle="1" w:styleId="TOC51">
    <w:name w:val="TOC 51"/>
    <w:basedOn w:val="Normal"/>
    <w:next w:val="Normal"/>
    <w:autoRedefine/>
    <w:unhideWhenUsed/>
    <w:rsid w:val="00C004A0"/>
    <w:pPr>
      <w:snapToGrid/>
      <w:spacing w:before="0" w:after="120" w:line="276" w:lineRule="auto"/>
      <w:jc w:val="left"/>
    </w:pPr>
    <w:rPr>
      <w:rFonts w:eastAsia="MS Mincho"/>
    </w:rPr>
  </w:style>
  <w:style w:type="paragraph" w:customStyle="1" w:styleId="TOC61">
    <w:name w:val="TOC 61"/>
    <w:basedOn w:val="Normal"/>
    <w:next w:val="Normal"/>
    <w:autoRedefine/>
    <w:uiPriority w:val="99"/>
    <w:unhideWhenUsed/>
    <w:rsid w:val="00C004A0"/>
    <w:pPr>
      <w:snapToGrid/>
      <w:spacing w:before="0" w:after="120" w:line="276" w:lineRule="auto"/>
      <w:jc w:val="left"/>
    </w:pPr>
    <w:rPr>
      <w:rFonts w:eastAsia="MS Mincho"/>
    </w:rPr>
  </w:style>
  <w:style w:type="paragraph" w:customStyle="1" w:styleId="TOC71">
    <w:name w:val="TOC 71"/>
    <w:basedOn w:val="Normal"/>
    <w:next w:val="Normal"/>
    <w:autoRedefine/>
    <w:uiPriority w:val="99"/>
    <w:unhideWhenUsed/>
    <w:rsid w:val="00C004A0"/>
    <w:pPr>
      <w:snapToGrid/>
      <w:spacing w:before="0" w:after="120" w:line="276" w:lineRule="auto"/>
      <w:jc w:val="left"/>
    </w:pPr>
    <w:rPr>
      <w:rFonts w:eastAsia="MS Mincho"/>
    </w:rPr>
  </w:style>
  <w:style w:type="paragraph" w:customStyle="1" w:styleId="TOC81">
    <w:name w:val="TOC 81"/>
    <w:basedOn w:val="Normal"/>
    <w:next w:val="Normal"/>
    <w:autoRedefine/>
    <w:uiPriority w:val="99"/>
    <w:unhideWhenUsed/>
    <w:rsid w:val="00C004A0"/>
    <w:pPr>
      <w:snapToGrid/>
      <w:spacing w:before="0" w:after="120" w:line="276" w:lineRule="auto"/>
      <w:jc w:val="left"/>
    </w:pPr>
    <w:rPr>
      <w:rFonts w:eastAsia="MS Mincho"/>
    </w:rPr>
  </w:style>
  <w:style w:type="paragraph" w:customStyle="1" w:styleId="TOC91">
    <w:name w:val="TOC 91"/>
    <w:basedOn w:val="Normal"/>
    <w:next w:val="Normal"/>
    <w:autoRedefine/>
    <w:uiPriority w:val="99"/>
    <w:unhideWhenUsed/>
    <w:rsid w:val="00C004A0"/>
    <w:pPr>
      <w:snapToGrid/>
      <w:spacing w:before="0" w:after="120" w:line="276" w:lineRule="auto"/>
      <w:jc w:val="left"/>
    </w:pPr>
    <w:rPr>
      <w:rFonts w:eastAsia="MS Mincho"/>
    </w:rPr>
  </w:style>
  <w:style w:type="paragraph" w:customStyle="1" w:styleId="SubheadB">
    <w:name w:val="Subhead B"/>
    <w:basedOn w:val="Normal"/>
    <w:link w:val="SubheadBChar"/>
    <w:uiPriority w:val="99"/>
    <w:rsid w:val="00C004A0"/>
    <w:pPr>
      <w:tabs>
        <w:tab w:val="left" w:pos="720"/>
      </w:tabs>
      <w:snapToGrid/>
      <w:spacing w:before="0" w:after="120" w:line="276" w:lineRule="auto"/>
      <w:jc w:val="left"/>
    </w:pPr>
    <w:rPr>
      <w:rFonts w:ascii="Times New Roman Bold" w:eastAsia="Times New Roman" w:hAnsi="Times New Roman Bold" w:cs="Times New Roman"/>
      <w:b/>
      <w:sz w:val="24"/>
      <w:szCs w:val="20"/>
    </w:rPr>
  </w:style>
  <w:style w:type="character" w:customStyle="1" w:styleId="SubheadBChar">
    <w:name w:val="Subhead B Char"/>
    <w:basedOn w:val="DefaultParagraphFont"/>
    <w:link w:val="SubheadB"/>
    <w:uiPriority w:val="99"/>
    <w:rsid w:val="00C004A0"/>
    <w:rPr>
      <w:rFonts w:ascii="Times New Roman Bold" w:eastAsia="Times New Roman" w:hAnsi="Times New Roman Bold" w:cs="Times New Roman"/>
      <w:b/>
      <w:sz w:val="24"/>
      <w:szCs w:val="20"/>
    </w:rPr>
  </w:style>
  <w:style w:type="table" w:customStyle="1" w:styleId="MediumGrid1-Accent31">
    <w:name w:val="Medium Grid 1 - Accent 31"/>
    <w:basedOn w:val="TableNormal"/>
    <w:next w:val="MediumGrid1-Accent3"/>
    <w:uiPriority w:val="67"/>
    <w:rsid w:val="00C004A0"/>
    <w:pPr>
      <w:spacing w:before="0" w:after="0"/>
      <w:jc w:val="left"/>
    </w:pPr>
    <w:rPr>
      <w:rFonts w:eastAsia="MS Mincho"/>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3-Accent11">
    <w:name w:val="Medium Grid 3 - Accent 11"/>
    <w:basedOn w:val="TableNormal"/>
    <w:next w:val="MediumGrid3-Accent1"/>
    <w:uiPriority w:val="69"/>
    <w:rsid w:val="00C004A0"/>
    <w:pPr>
      <w:spacing w:before="0" w:after="0"/>
      <w:jc w:val="left"/>
    </w:pPr>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EndnoteTextChar1">
    <w:name w:val="Endnote Text Char1"/>
    <w:basedOn w:val="DefaultParagraphFont"/>
    <w:uiPriority w:val="99"/>
    <w:semiHidden/>
    <w:rsid w:val="00C004A0"/>
    <w:rPr>
      <w:sz w:val="20"/>
      <w:szCs w:val="20"/>
    </w:rPr>
  </w:style>
  <w:style w:type="table" w:customStyle="1" w:styleId="MediumShading1-Accent31">
    <w:name w:val="Medium Shading 1 - Accent 31"/>
    <w:basedOn w:val="TableNormal"/>
    <w:next w:val="MediumShading1-Accent3"/>
    <w:uiPriority w:val="63"/>
    <w:rsid w:val="00C004A0"/>
    <w:pPr>
      <w:spacing w:before="0" w:after="0"/>
      <w:jc w:val="left"/>
    </w:pPr>
    <w:rPr>
      <w:rFonts w:eastAsia="MS Mincho"/>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31">
    <w:name w:val="Medium Shading 2 - Accent 31"/>
    <w:basedOn w:val="TableNormal"/>
    <w:next w:val="MediumShading2-Accent3"/>
    <w:uiPriority w:val="64"/>
    <w:rsid w:val="00C004A0"/>
    <w:pPr>
      <w:spacing w:before="0" w:after="0"/>
      <w:jc w:val="left"/>
    </w:pPr>
    <w:rPr>
      <w:rFonts w:eastAsia="MS Minch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2-Accent31">
    <w:name w:val="Grid Table 2 - Accent 31"/>
    <w:basedOn w:val="TableNormal"/>
    <w:uiPriority w:val="47"/>
    <w:rsid w:val="00C004A0"/>
    <w:pPr>
      <w:spacing w:before="0" w:after="0"/>
      <w:jc w:val="left"/>
    </w:pPr>
    <w:rPr>
      <w:rFonts w:eastAsia="MS Mincho"/>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1">
    <w:name w:val="Grid Table 4 - Accent 31"/>
    <w:basedOn w:val="TableNormal"/>
    <w:uiPriority w:val="49"/>
    <w:rsid w:val="00C004A0"/>
    <w:pPr>
      <w:spacing w:before="0" w:after="0"/>
      <w:jc w:val="left"/>
    </w:pPr>
    <w:rPr>
      <w:rFonts w:eastAsia="MS Mincho"/>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eGridLight1">
    <w:name w:val="Table Grid Light1"/>
    <w:basedOn w:val="TableNormal"/>
    <w:uiPriority w:val="40"/>
    <w:rsid w:val="00C004A0"/>
    <w:pPr>
      <w:spacing w:before="0" w:after="0"/>
      <w:jc w:val="left"/>
    </w:pPr>
    <w:rPr>
      <w:rFonts w:eastAsia="MS Minch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containertitle">
    <w:name w:val="containertitle"/>
    <w:basedOn w:val="DefaultParagraphFont"/>
    <w:rsid w:val="00C004A0"/>
  </w:style>
  <w:style w:type="character" w:styleId="Emphasis">
    <w:name w:val="Emphasis"/>
    <w:basedOn w:val="DefaultParagraphFont"/>
    <w:uiPriority w:val="20"/>
    <w:qFormat/>
    <w:rsid w:val="00C004A0"/>
    <w:rPr>
      <w:b/>
      <w:bCs/>
      <w:i w:val="0"/>
      <w:iCs w:val="0"/>
    </w:rPr>
  </w:style>
  <w:style w:type="character" w:customStyle="1" w:styleId="st1">
    <w:name w:val="st1"/>
    <w:basedOn w:val="DefaultParagraphFont"/>
    <w:rsid w:val="00C004A0"/>
  </w:style>
  <w:style w:type="character" w:styleId="Strong">
    <w:name w:val="Strong"/>
    <w:basedOn w:val="DefaultParagraphFont"/>
    <w:uiPriority w:val="22"/>
    <w:qFormat/>
    <w:rsid w:val="00C004A0"/>
    <w:rPr>
      <w:b/>
      <w:bCs/>
    </w:rPr>
  </w:style>
  <w:style w:type="table" w:customStyle="1" w:styleId="TableGrid11">
    <w:name w:val="Table Grid11"/>
    <w:basedOn w:val="TableNormal"/>
    <w:next w:val="TableGrid"/>
    <w:uiPriority w:val="99"/>
    <w:rsid w:val="00C004A0"/>
    <w:pPr>
      <w:spacing w:before="0"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004A0"/>
    <w:pPr>
      <w:spacing w:before="0"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Geneva 9 Char1,Font: Geneva 9 Char1,Boston 10 Char1,f Char1,DNV-FT Char1,footnote3 Char1,text Char1,Geneva Char1,92 Char1,Font: Char1,Boston Char1,10 Char1,FOOTNOTES Char1,fn Char1,single space Char1,Footnote Text Rail EIS Char1"/>
    <w:rsid w:val="00C004A0"/>
    <w:rPr>
      <w:sz w:val="18"/>
      <w:lang w:val="fr-FR" w:eastAsia="en-US" w:bidi="ar-SA"/>
    </w:rPr>
  </w:style>
  <w:style w:type="table" w:customStyle="1" w:styleId="GridTable5Dark-Accent11">
    <w:name w:val="Grid Table 5 Dark - Accent 11"/>
    <w:basedOn w:val="TableNormal"/>
    <w:next w:val="GridTable5Dark-Accent1"/>
    <w:uiPriority w:val="50"/>
    <w:rsid w:val="00C004A0"/>
    <w:pPr>
      <w:spacing w:before="0" w:after="0"/>
      <w:jc w:val="left"/>
    </w:pPr>
    <w:rPr>
      <w:rFonts w:ascii="Times New Roman" w:eastAsia="MS Mincho" w:hAnsi="Times New Roman" w:cs="Times New Roman"/>
      <w:sz w:val="20"/>
      <w:szCs w:val="16"/>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3">
    <w:name w:val="Table Grid3"/>
    <w:basedOn w:val="TableNormal"/>
    <w:next w:val="TableGrid"/>
    <w:uiPriority w:val="39"/>
    <w:rsid w:val="00C004A0"/>
    <w:pPr>
      <w:spacing w:before="0" w:after="0"/>
      <w:jc w:val="lef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C004A0"/>
    <w:pPr>
      <w:spacing w:before="0" w:line="241" w:lineRule="atLeast"/>
      <w:jc w:val="left"/>
    </w:pPr>
    <w:rPr>
      <w:rFonts w:ascii="HelveticaNeueLT Std Lt" w:hAnsi="HelveticaNeueLT Std Lt" w:cs="Arial"/>
      <w:color w:val="auto"/>
    </w:rPr>
  </w:style>
  <w:style w:type="character" w:customStyle="1" w:styleId="A0">
    <w:name w:val="A0"/>
    <w:uiPriority w:val="99"/>
    <w:rsid w:val="00C004A0"/>
    <w:rPr>
      <w:rFonts w:cs="HelveticaNeueLT Std Lt"/>
      <w:color w:val="000000"/>
      <w:sz w:val="20"/>
      <w:szCs w:val="20"/>
    </w:rPr>
  </w:style>
  <w:style w:type="paragraph" w:customStyle="1" w:styleId="Pa25">
    <w:name w:val="Pa2+5"/>
    <w:basedOn w:val="Normal"/>
    <w:uiPriority w:val="99"/>
    <w:rsid w:val="00C004A0"/>
    <w:pPr>
      <w:autoSpaceDE w:val="0"/>
      <w:autoSpaceDN w:val="0"/>
      <w:snapToGrid/>
      <w:spacing w:before="0" w:after="120" w:line="201" w:lineRule="atLeast"/>
      <w:jc w:val="left"/>
    </w:pPr>
    <w:rPr>
      <w:rFonts w:ascii="Adobe Garamond Pro" w:hAnsi="Adobe Garamond Pro" w:cs="Calibri"/>
      <w:sz w:val="24"/>
      <w:szCs w:val="24"/>
    </w:rPr>
  </w:style>
  <w:style w:type="paragraph" w:customStyle="1" w:styleId="ydpc59d9d85yiv4372748443msonormal">
    <w:name w:val="ydpc59d9d85yiv4372748443msonormal"/>
    <w:basedOn w:val="Normal"/>
    <w:rsid w:val="00C004A0"/>
    <w:pPr>
      <w:snapToGrid/>
      <w:spacing w:before="100" w:beforeAutospacing="1" w:after="100" w:afterAutospacing="1" w:line="276" w:lineRule="auto"/>
      <w:jc w:val="left"/>
    </w:pPr>
    <w:rPr>
      <w:rFonts w:ascii="Times New Roman" w:eastAsia="MS Mincho" w:hAnsi="Times New Roman" w:cs="Times New Roman"/>
      <w:sz w:val="24"/>
      <w:szCs w:val="24"/>
      <w:lang w:eastAsia="ja-JP"/>
    </w:rPr>
  </w:style>
  <w:style w:type="numbering" w:customStyle="1" w:styleId="Normallist">
    <w:name w:val="Normal_list"/>
    <w:basedOn w:val="NoList"/>
    <w:rsid w:val="00C004A0"/>
    <w:pPr>
      <w:numPr>
        <w:numId w:val="28"/>
      </w:numPr>
    </w:pPr>
  </w:style>
  <w:style w:type="character" w:customStyle="1" w:styleId="normaltextrun1">
    <w:name w:val="normaltextrun1"/>
    <w:basedOn w:val="DefaultParagraphFont"/>
    <w:rsid w:val="00C004A0"/>
  </w:style>
  <w:style w:type="paragraph" w:customStyle="1" w:styleId="paragraph">
    <w:name w:val="paragraph"/>
    <w:basedOn w:val="Normal"/>
    <w:rsid w:val="00C004A0"/>
    <w:pPr>
      <w:snapToGrid/>
      <w:spacing w:before="0" w:after="120" w:line="276" w:lineRule="auto"/>
      <w:jc w:val="left"/>
    </w:pPr>
    <w:rPr>
      <w:rFonts w:ascii="Times New Roman" w:eastAsia="Times New Roman" w:hAnsi="Times New Roman" w:cs="Times New Roman"/>
      <w:sz w:val="24"/>
      <w:szCs w:val="24"/>
    </w:rPr>
  </w:style>
  <w:style w:type="character" w:customStyle="1" w:styleId="eop">
    <w:name w:val="eop"/>
    <w:basedOn w:val="DefaultParagraphFont"/>
    <w:rsid w:val="00C004A0"/>
  </w:style>
  <w:style w:type="character" w:customStyle="1" w:styleId="spellingerror">
    <w:name w:val="spellingerror"/>
    <w:basedOn w:val="DefaultParagraphFont"/>
    <w:rsid w:val="00C004A0"/>
  </w:style>
  <w:style w:type="paragraph" w:customStyle="1" w:styleId="Pa1">
    <w:name w:val="Pa1"/>
    <w:basedOn w:val="Normal"/>
    <w:uiPriority w:val="99"/>
    <w:rsid w:val="00C004A0"/>
    <w:pPr>
      <w:autoSpaceDE w:val="0"/>
      <w:autoSpaceDN w:val="0"/>
      <w:snapToGrid/>
      <w:spacing w:before="0" w:after="120" w:line="201" w:lineRule="atLeast"/>
      <w:jc w:val="left"/>
    </w:pPr>
    <w:rPr>
      <w:rFonts w:ascii="Times New Roman" w:hAnsi="Times New Roman" w:cs="Times New Roman"/>
      <w:sz w:val="24"/>
      <w:szCs w:val="24"/>
    </w:rPr>
  </w:style>
  <w:style w:type="paragraph" w:customStyle="1" w:styleId="Subparagrapha">
    <w:name w:val="Subparagraph (a)"/>
    <w:basedOn w:val="ListParagraph"/>
    <w:rsid w:val="00C004A0"/>
    <w:pPr>
      <w:numPr>
        <w:ilvl w:val="1"/>
        <w:numId w:val="13"/>
      </w:numPr>
      <w:autoSpaceDE/>
      <w:autoSpaceDN/>
      <w:adjustRightInd/>
      <w:spacing w:before="240" w:after="0"/>
    </w:pPr>
    <w:rPr>
      <w:rFonts w:ascii="Times New Roman" w:hAnsi="Times New Roman" w:cs="Times New Roman"/>
      <w:snapToGrid/>
      <w:color w:val="auto"/>
      <w:lang w:eastAsia="zh-CN"/>
    </w:rPr>
  </w:style>
  <w:style w:type="table" w:customStyle="1" w:styleId="TableGrid31">
    <w:name w:val="Table Grid31"/>
    <w:basedOn w:val="TableNormal"/>
    <w:next w:val="TableGrid"/>
    <w:uiPriority w:val="39"/>
    <w:rsid w:val="00C004A0"/>
    <w:pPr>
      <w:spacing w:before="0" w:after="0"/>
      <w:jc w:val="lef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99"/>
    <w:rsid w:val="00C004A0"/>
    <w:pPr>
      <w:spacing w:before="0" w:after="0"/>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Body">
    <w:name w:val="Body"/>
    <w:rsid w:val="00C004A0"/>
    <w:pPr>
      <w:pBdr>
        <w:top w:val="nil"/>
        <w:left w:val="nil"/>
        <w:bottom w:val="nil"/>
        <w:right w:val="nil"/>
        <w:between w:val="nil"/>
        <w:bar w:val="nil"/>
      </w:pBdr>
      <w:spacing w:before="0" w:after="120" w:line="276" w:lineRule="auto"/>
      <w:jc w:val="left"/>
    </w:pPr>
    <w:rPr>
      <w:rFonts w:ascii="Calibri" w:eastAsia="Calibri" w:hAnsi="Calibri" w:cs="Calibri"/>
      <w:color w:val="000000"/>
      <w:u w:color="000000"/>
      <w:bdr w:val="nil"/>
    </w:rPr>
  </w:style>
  <w:style w:type="character" w:customStyle="1" w:styleId="normaltextrun">
    <w:name w:val="normaltextrun"/>
    <w:basedOn w:val="DefaultParagraphFont"/>
    <w:rsid w:val="00C004A0"/>
  </w:style>
  <w:style w:type="character" w:customStyle="1" w:styleId="date-display-start">
    <w:name w:val="date-display-start"/>
    <w:basedOn w:val="DefaultParagraphFont"/>
    <w:rsid w:val="00C004A0"/>
  </w:style>
  <w:style w:type="character" w:customStyle="1" w:styleId="date-display-end">
    <w:name w:val="date-display-end"/>
    <w:basedOn w:val="DefaultParagraphFont"/>
    <w:rsid w:val="00C004A0"/>
  </w:style>
  <w:style w:type="character" w:customStyle="1" w:styleId="ng-binding">
    <w:name w:val="ng-binding"/>
    <w:basedOn w:val="DefaultParagraphFont"/>
    <w:rsid w:val="00C004A0"/>
  </w:style>
  <w:style w:type="character" w:customStyle="1" w:styleId="scxw105269243">
    <w:name w:val="scxw105269243"/>
    <w:basedOn w:val="DefaultParagraphFont"/>
    <w:rsid w:val="00C004A0"/>
  </w:style>
  <w:style w:type="character" w:customStyle="1" w:styleId="superscript">
    <w:name w:val="superscript"/>
    <w:basedOn w:val="DefaultParagraphFont"/>
    <w:rsid w:val="00C004A0"/>
  </w:style>
  <w:style w:type="character" w:customStyle="1" w:styleId="scxw96936853">
    <w:name w:val="scxw96936853"/>
    <w:basedOn w:val="DefaultParagraphFont"/>
    <w:rsid w:val="00C004A0"/>
  </w:style>
  <w:style w:type="paragraph" w:customStyle="1" w:styleId="numberedparagraph">
    <w:name w:val="numbered paragraph"/>
    <w:basedOn w:val="ListParagrapha"/>
    <w:link w:val="numberedparagraphChar"/>
    <w:autoRedefine/>
    <w:qFormat/>
    <w:rsid w:val="00C004A0"/>
  </w:style>
  <w:style w:type="character" w:customStyle="1" w:styleId="ListParagraphaChar">
    <w:name w:val="List Paragraph (a) Char"/>
    <w:basedOn w:val="DefaultParagraphFont"/>
    <w:link w:val="ListParagrapha"/>
    <w:rsid w:val="00C004A0"/>
    <w:rPr>
      <w:rFonts w:eastAsia="MS Mincho" w:cs="Calibri"/>
      <w:sz w:val="24"/>
      <w:szCs w:val="24"/>
      <w:lang w:eastAsia="de-DE"/>
    </w:rPr>
  </w:style>
  <w:style w:type="character" w:customStyle="1" w:styleId="numberedparagraphChar">
    <w:name w:val="numbered paragraph Char"/>
    <w:basedOn w:val="ListParagraphaChar"/>
    <w:link w:val="numberedparagraph"/>
    <w:rsid w:val="00C004A0"/>
    <w:rPr>
      <w:rFonts w:eastAsia="MS Mincho" w:cs="Calibri"/>
      <w:sz w:val="24"/>
      <w:szCs w:val="24"/>
      <w:lang w:eastAsia="de-DE"/>
    </w:rPr>
  </w:style>
  <w:style w:type="character" w:customStyle="1" w:styleId="ssens">
    <w:name w:val="ssens"/>
    <w:basedOn w:val="DefaultParagraphFont"/>
    <w:rsid w:val="00C004A0"/>
  </w:style>
  <w:style w:type="numbering" w:customStyle="1" w:styleId="AndrewsOutlineStyle">
    <w:name w:val="Andrew's Outline Style"/>
    <w:uiPriority w:val="99"/>
    <w:rsid w:val="00C004A0"/>
    <w:pPr>
      <w:numPr>
        <w:numId w:val="26"/>
      </w:numPr>
    </w:pPr>
  </w:style>
  <w:style w:type="paragraph" w:styleId="DocumentMap">
    <w:name w:val="Document Map"/>
    <w:basedOn w:val="Normal"/>
    <w:link w:val="DocumentMapChar"/>
    <w:uiPriority w:val="99"/>
    <w:rsid w:val="00C004A0"/>
    <w:pPr>
      <w:widowControl w:val="0"/>
      <w:autoSpaceDE w:val="0"/>
      <w:autoSpaceDN w:val="0"/>
      <w:adjustRightInd w:val="0"/>
      <w:snapToGrid/>
      <w:spacing w:before="0" w:after="120" w:line="276" w:lineRule="auto"/>
    </w:pPr>
    <w:rPr>
      <w:rFonts w:ascii="Tahoma" w:eastAsia="Arial Unicode MS" w:hAnsi="Tahoma" w:cs="Tahoma"/>
      <w:position w:val="4"/>
      <w:sz w:val="16"/>
      <w:szCs w:val="16"/>
    </w:rPr>
  </w:style>
  <w:style w:type="character" w:customStyle="1" w:styleId="DocumentMapChar">
    <w:name w:val="Document Map Char"/>
    <w:basedOn w:val="DefaultParagraphFont"/>
    <w:link w:val="DocumentMap"/>
    <w:uiPriority w:val="99"/>
    <w:rsid w:val="00C004A0"/>
    <w:rPr>
      <w:rFonts w:ascii="Tahoma" w:eastAsia="Arial Unicode MS" w:hAnsi="Tahoma" w:cs="Tahoma"/>
      <w:position w:val="4"/>
      <w:sz w:val="16"/>
      <w:szCs w:val="16"/>
    </w:rPr>
  </w:style>
  <w:style w:type="paragraph" w:customStyle="1" w:styleId="RegHead1">
    <w:name w:val="RegHead1"/>
    <w:basedOn w:val="Normal"/>
    <w:next w:val="RegHead2"/>
    <w:rsid w:val="00C004A0"/>
    <w:pPr>
      <w:keepNext/>
      <w:numPr>
        <w:numId w:val="15"/>
      </w:numPr>
      <w:tabs>
        <w:tab w:val="num" w:pos="720"/>
      </w:tabs>
      <w:snapToGrid/>
      <w:spacing w:before="180" w:after="120" w:line="276" w:lineRule="auto"/>
      <w:ind w:left="720" w:hanging="360"/>
      <w:jc w:val="center"/>
    </w:pPr>
    <w:rPr>
      <w:rFonts w:ascii="Arial Unicode MS" w:eastAsia="Arial Unicode MS" w:hAnsi="Calibri" w:cs="Arial Unicode MS"/>
      <w:b/>
      <w:bCs/>
      <w:sz w:val="28"/>
      <w:szCs w:val="28"/>
    </w:rPr>
  </w:style>
  <w:style w:type="paragraph" w:customStyle="1" w:styleId="RegHead2">
    <w:name w:val="RegHead2"/>
    <w:basedOn w:val="Normal"/>
    <w:next w:val="RegHead3"/>
    <w:rsid w:val="00C004A0"/>
    <w:pPr>
      <w:keepNext/>
      <w:numPr>
        <w:ilvl w:val="1"/>
        <w:numId w:val="15"/>
      </w:numPr>
      <w:tabs>
        <w:tab w:val="num" w:pos="1440"/>
      </w:tabs>
      <w:snapToGrid/>
      <w:spacing w:before="180" w:after="120" w:line="276" w:lineRule="auto"/>
      <w:ind w:left="1440" w:hanging="360"/>
      <w:jc w:val="center"/>
    </w:pPr>
    <w:rPr>
      <w:rFonts w:ascii="Arial Unicode MS" w:eastAsia="Arial Unicode MS" w:hAnsi="Calibri" w:cs="Arial Unicode MS"/>
      <w:b/>
      <w:bCs/>
    </w:rPr>
  </w:style>
  <w:style w:type="paragraph" w:customStyle="1" w:styleId="RegHead3">
    <w:name w:val="RegHead3"/>
    <w:basedOn w:val="Normal"/>
    <w:next w:val="RegPara"/>
    <w:rsid w:val="00C004A0"/>
    <w:pPr>
      <w:numPr>
        <w:ilvl w:val="2"/>
        <w:numId w:val="15"/>
      </w:numPr>
      <w:tabs>
        <w:tab w:val="num" w:pos="2160"/>
      </w:tabs>
      <w:snapToGrid/>
      <w:spacing w:before="180" w:after="120" w:line="276" w:lineRule="auto"/>
      <w:ind w:left="2160" w:hanging="360"/>
      <w:jc w:val="center"/>
    </w:pPr>
    <w:rPr>
      <w:rFonts w:ascii="Arial Unicode MS" w:eastAsia="Arial Unicode MS" w:hAnsi="Calibri" w:cs="Arial Unicode MS"/>
      <w:sz w:val="20"/>
      <w:szCs w:val="20"/>
      <w:u w:val="single"/>
    </w:rPr>
  </w:style>
  <w:style w:type="paragraph" w:customStyle="1" w:styleId="RegPara">
    <w:name w:val="RegPara"/>
    <w:basedOn w:val="Normal"/>
    <w:rsid w:val="00C004A0"/>
    <w:pPr>
      <w:numPr>
        <w:ilvl w:val="3"/>
        <w:numId w:val="15"/>
      </w:numPr>
      <w:tabs>
        <w:tab w:val="clear" w:pos="720"/>
        <w:tab w:val="num" w:pos="2880"/>
      </w:tabs>
      <w:snapToGrid/>
      <w:spacing w:before="180" w:after="120" w:line="276" w:lineRule="auto"/>
      <w:ind w:left="2880" w:hanging="360"/>
    </w:pPr>
    <w:rPr>
      <w:rFonts w:ascii="Arial Unicode MS" w:eastAsia="Arial Unicode MS" w:hAnsi="Calibri" w:cs="Arial Unicode MS"/>
      <w:lang w:eastAsia="de-DE"/>
    </w:rPr>
  </w:style>
  <w:style w:type="paragraph" w:customStyle="1" w:styleId="AnnoHead1">
    <w:name w:val="AnnoHead1"/>
    <w:basedOn w:val="Normal"/>
    <w:next w:val="AnnoHead2"/>
    <w:rsid w:val="00C004A0"/>
    <w:pPr>
      <w:numPr>
        <w:numId w:val="17"/>
      </w:numPr>
      <w:snapToGrid/>
      <w:spacing w:before="180" w:after="120" w:line="276" w:lineRule="auto"/>
      <w:ind w:left="1080" w:hanging="720"/>
      <w:jc w:val="center"/>
    </w:pPr>
    <w:rPr>
      <w:rFonts w:ascii="Arial Unicode MS" w:eastAsia="Arial Unicode MS" w:hAnsi="Calibri" w:cs="Arial Unicode MS"/>
      <w:b/>
      <w:bCs/>
      <w:sz w:val="28"/>
      <w:szCs w:val="28"/>
      <w:lang w:eastAsia="de-DE"/>
    </w:rPr>
  </w:style>
  <w:style w:type="paragraph" w:customStyle="1" w:styleId="AnnoHead2">
    <w:name w:val="AnnoHead2"/>
    <w:basedOn w:val="Normal"/>
    <w:next w:val="AnnoHead3"/>
    <w:rsid w:val="00C004A0"/>
    <w:pPr>
      <w:numPr>
        <w:ilvl w:val="1"/>
        <w:numId w:val="18"/>
      </w:numPr>
      <w:tabs>
        <w:tab w:val="num" w:pos="1440"/>
      </w:tabs>
      <w:snapToGrid/>
      <w:spacing w:before="180" w:after="120" w:line="276" w:lineRule="auto"/>
      <w:ind w:left="1440" w:hanging="360"/>
      <w:jc w:val="center"/>
    </w:pPr>
    <w:rPr>
      <w:rFonts w:ascii="Arial Unicode MS" w:eastAsia="Arial Unicode MS" w:hAnsi="Calibri" w:cs="Arial Unicode MS"/>
      <w:b/>
      <w:bCs/>
      <w:sz w:val="20"/>
      <w:szCs w:val="20"/>
      <w:lang w:eastAsia="de-DE"/>
    </w:rPr>
  </w:style>
  <w:style w:type="paragraph" w:customStyle="1" w:styleId="AnnoHead3">
    <w:name w:val="AnnoHead3"/>
    <w:basedOn w:val="Normal"/>
    <w:next w:val="AnnoPara"/>
    <w:rsid w:val="00C004A0"/>
    <w:pPr>
      <w:numPr>
        <w:ilvl w:val="2"/>
        <w:numId w:val="18"/>
      </w:numPr>
      <w:tabs>
        <w:tab w:val="clear" w:pos="720"/>
        <w:tab w:val="num" w:pos="2160"/>
      </w:tabs>
      <w:snapToGrid/>
      <w:spacing w:before="180" w:after="120" w:line="276" w:lineRule="auto"/>
      <w:ind w:left="2160" w:hanging="360"/>
    </w:pPr>
    <w:rPr>
      <w:rFonts w:ascii="Arial Unicode MS" w:eastAsia="Arial Unicode MS" w:hAnsi="Calibri" w:cs="Arial Unicode MS"/>
      <w:sz w:val="20"/>
      <w:szCs w:val="20"/>
      <w:u w:val="single"/>
      <w:lang w:eastAsia="de-DE"/>
    </w:rPr>
  </w:style>
  <w:style w:type="paragraph" w:customStyle="1" w:styleId="AnnoPara">
    <w:name w:val="AnnoPara"/>
    <w:basedOn w:val="Normal"/>
    <w:rsid w:val="00C004A0"/>
    <w:pPr>
      <w:numPr>
        <w:ilvl w:val="4"/>
        <w:numId w:val="18"/>
      </w:numPr>
      <w:tabs>
        <w:tab w:val="clear" w:pos="360"/>
        <w:tab w:val="num" w:pos="3600"/>
      </w:tabs>
      <w:snapToGrid/>
      <w:spacing w:before="180" w:after="120" w:line="276" w:lineRule="auto"/>
      <w:ind w:left="3600" w:hanging="360"/>
    </w:pPr>
    <w:rPr>
      <w:rFonts w:ascii="Arial Unicode MS" w:eastAsia="Arial Unicode MS" w:hAnsi="Calibri" w:cs="Arial Unicode MS"/>
      <w:lang w:eastAsia="de-DE"/>
    </w:rPr>
  </w:style>
  <w:style w:type="paragraph" w:customStyle="1" w:styleId="CUB">
    <w:name w:val="CUB"/>
    <w:basedOn w:val="Normal"/>
    <w:rsid w:val="00C004A0"/>
    <w:pPr>
      <w:snapToGrid/>
      <w:spacing w:before="0" w:after="120" w:line="276" w:lineRule="auto"/>
      <w:jc w:val="center"/>
    </w:pPr>
    <w:rPr>
      <w:rFonts w:ascii="Arial Unicode MS" w:eastAsia="Arial Unicode MS" w:hAnsi="Calibri" w:cs="Arial Unicode MS"/>
      <w:b/>
      <w:bCs/>
      <w:u w:val="single"/>
      <w:lang w:eastAsia="de-DE"/>
    </w:rPr>
  </w:style>
  <w:style w:type="paragraph" w:customStyle="1" w:styleId="DecPara">
    <w:name w:val="DecPara"/>
    <w:basedOn w:val="Normal"/>
    <w:rsid w:val="00C004A0"/>
    <w:pPr>
      <w:numPr>
        <w:numId w:val="16"/>
      </w:numPr>
      <w:tabs>
        <w:tab w:val="clear" w:pos="1440"/>
        <w:tab w:val="num" w:pos="720"/>
      </w:tabs>
      <w:snapToGrid/>
      <w:spacing w:before="180" w:after="120" w:line="276" w:lineRule="auto"/>
      <w:ind w:left="720" w:hanging="360"/>
    </w:pPr>
    <w:rPr>
      <w:rFonts w:ascii="Arial Unicode MS" w:eastAsia="Arial Unicode MS" w:hAnsi="Calibri" w:cs="Arial Unicode MS"/>
      <w:lang w:eastAsia="de-DE"/>
    </w:rPr>
  </w:style>
  <w:style w:type="paragraph" w:customStyle="1" w:styleId="HeadLevel3">
    <w:name w:val="HeadLevel3"/>
    <w:basedOn w:val="Normal"/>
    <w:autoRedefine/>
    <w:rsid w:val="00C004A0"/>
    <w:pPr>
      <w:snapToGrid/>
      <w:spacing w:before="0" w:after="120" w:line="276" w:lineRule="auto"/>
    </w:pPr>
    <w:rPr>
      <w:rFonts w:ascii="Arial Unicode MS" w:eastAsia="Arial Unicode MS" w:hAnsi="Calibri" w:cs="Arial Unicode MS"/>
      <w:lang w:eastAsia="de-DE"/>
    </w:rPr>
  </w:style>
  <w:style w:type="paragraph" w:customStyle="1" w:styleId="MainTitle">
    <w:name w:val="MainTitle"/>
    <w:basedOn w:val="Normal"/>
    <w:rsid w:val="00C004A0"/>
    <w:pPr>
      <w:snapToGrid/>
      <w:spacing w:before="0" w:after="120" w:line="276" w:lineRule="auto"/>
      <w:jc w:val="center"/>
    </w:pPr>
    <w:rPr>
      <w:rFonts w:ascii="Arial Unicode MS" w:eastAsia="Arial Unicode MS" w:hAnsi="Calibri" w:cs="Arial Unicode MS"/>
      <w:b/>
      <w:bCs/>
      <w:sz w:val="28"/>
      <w:szCs w:val="28"/>
      <w:lang w:eastAsia="de-DE"/>
    </w:rPr>
  </w:style>
  <w:style w:type="paragraph" w:customStyle="1" w:styleId="NoteSecretariat">
    <w:name w:val="NoteSecretariat"/>
    <w:basedOn w:val="Normal"/>
    <w:rsid w:val="00C004A0"/>
    <w:pPr>
      <w:snapToGrid/>
      <w:spacing w:before="0" w:after="120" w:line="276" w:lineRule="auto"/>
      <w:jc w:val="center"/>
    </w:pPr>
    <w:rPr>
      <w:rFonts w:ascii="Arial Unicode MS" w:eastAsia="Arial Unicode MS" w:hAnsi="Calibri" w:cs="Arial Unicode MS"/>
      <w:b/>
      <w:bCs/>
      <w:lang w:eastAsia="de-DE"/>
    </w:rPr>
  </w:style>
  <w:style w:type="character" w:styleId="PageNumber">
    <w:name w:val="page number"/>
    <w:basedOn w:val="DefaultParagraphFont"/>
    <w:rsid w:val="00C004A0"/>
    <w:rPr>
      <w:rFonts w:ascii="Times New Roman" w:hAnsi="Times New Roman" w:cs="Times New Roman"/>
      <w:b/>
      <w:bCs/>
      <w:sz w:val="22"/>
      <w:szCs w:val="22"/>
      <w:vertAlign w:val="baseline"/>
    </w:rPr>
  </w:style>
  <w:style w:type="paragraph" w:customStyle="1" w:styleId="FootnoteTable">
    <w:name w:val="FootnoteTable"/>
    <w:rsid w:val="00C004A0"/>
    <w:pPr>
      <w:spacing w:before="0" w:after="0"/>
      <w:jc w:val="left"/>
    </w:pPr>
    <w:rPr>
      <w:rFonts w:ascii="Times New Roman" w:eastAsia="MS Mincho" w:hAnsi="Times New Roman" w:cs="Times New Roman"/>
      <w:sz w:val="16"/>
      <w:szCs w:val="16"/>
    </w:rPr>
  </w:style>
  <w:style w:type="paragraph" w:customStyle="1" w:styleId="AnnexHead1">
    <w:name w:val="AnnexHead1"/>
    <w:basedOn w:val="Normal"/>
    <w:next w:val="Normal"/>
    <w:autoRedefine/>
    <w:rsid w:val="00C004A0"/>
    <w:pPr>
      <w:snapToGrid/>
      <w:spacing w:before="180" w:after="180" w:line="276" w:lineRule="auto"/>
      <w:jc w:val="center"/>
    </w:pPr>
    <w:rPr>
      <w:rFonts w:ascii="Arial Unicode MS" w:eastAsia="Arial Unicode MS" w:hAnsi="Calibri" w:cs="Arial Unicode MS"/>
      <w:u w:val="single"/>
    </w:rPr>
  </w:style>
  <w:style w:type="paragraph" w:customStyle="1" w:styleId="TableandFigure">
    <w:name w:val="Table and Figure"/>
    <w:basedOn w:val="Normal"/>
    <w:rsid w:val="00C004A0"/>
    <w:pPr>
      <w:snapToGrid/>
      <w:spacing w:before="180" w:after="120" w:line="276" w:lineRule="auto"/>
      <w:jc w:val="center"/>
    </w:pPr>
    <w:rPr>
      <w:rFonts w:ascii="Arial Unicode MS" w:eastAsia="Arial Unicode MS" w:hAnsi="Calibri" w:cs="Arial Unicode MS"/>
      <w:b/>
      <w:bCs/>
      <w:sz w:val="20"/>
      <w:szCs w:val="20"/>
    </w:rPr>
  </w:style>
  <w:style w:type="paragraph" w:customStyle="1" w:styleId="StyleTOC5Before136cm">
    <w:name w:val="Style TOC 5 + Before:  1.36 cm"/>
    <w:basedOn w:val="TOC5"/>
    <w:rsid w:val="00C004A0"/>
    <w:pPr>
      <w:widowControl w:val="0"/>
      <w:tabs>
        <w:tab w:val="right" w:leader="dot" w:pos="9621"/>
      </w:tabs>
      <w:autoSpaceDE w:val="0"/>
      <w:autoSpaceDN w:val="0"/>
      <w:adjustRightInd w:val="0"/>
      <w:snapToGrid/>
      <w:spacing w:before="0" w:after="120" w:line="276" w:lineRule="auto"/>
      <w:ind w:left="720"/>
      <w:jc w:val="center"/>
    </w:pPr>
    <w:rPr>
      <w:rFonts w:eastAsia="Arial Unicode MS" w:cs="Calibri"/>
      <w:b/>
      <w:bCs/>
      <w:smallCaps/>
      <w:noProof/>
      <w:position w:val="4"/>
      <w:sz w:val="20"/>
      <w:szCs w:val="20"/>
    </w:rPr>
  </w:style>
  <w:style w:type="paragraph" w:customStyle="1" w:styleId="AtxtChemicals">
    <w:name w:val="Atxt_Chemicals"/>
    <w:basedOn w:val="Normal"/>
    <w:rsid w:val="00C004A0"/>
    <w:pPr>
      <w:snapToGrid/>
      <w:spacing w:before="0" w:after="120" w:line="276" w:lineRule="auto"/>
    </w:pPr>
    <w:rPr>
      <w:rFonts w:ascii="Arial Unicode MS" w:eastAsia="Arial Unicode MS" w:hAnsi="Calibri" w:cs="Arial Unicode MS"/>
      <w:sz w:val="20"/>
      <w:szCs w:val="20"/>
      <w:lang w:eastAsia="de-DE"/>
    </w:rPr>
  </w:style>
  <w:style w:type="paragraph" w:customStyle="1" w:styleId="BulletListat10mm">
    <w:name w:val="Bullet List at 10mm"/>
    <w:basedOn w:val="Normal"/>
    <w:uiPriority w:val="99"/>
    <w:rsid w:val="00C004A0"/>
    <w:pPr>
      <w:widowControl w:val="0"/>
      <w:numPr>
        <w:numId w:val="19"/>
      </w:numPr>
      <w:tabs>
        <w:tab w:val="clear" w:pos="227"/>
      </w:tabs>
      <w:autoSpaceDE w:val="0"/>
      <w:autoSpaceDN w:val="0"/>
      <w:adjustRightInd w:val="0"/>
      <w:snapToGrid/>
      <w:spacing w:before="0" w:after="120" w:line="276" w:lineRule="auto"/>
      <w:ind w:left="720" w:hanging="360"/>
    </w:pPr>
    <w:rPr>
      <w:rFonts w:ascii="Times New Roman" w:eastAsia="Arial Unicode MS" w:hAnsi="Times New Roman" w:cs="Times New Roman"/>
      <w:position w:val="4"/>
      <w:sz w:val="20"/>
      <w:szCs w:val="20"/>
    </w:rPr>
  </w:style>
  <w:style w:type="character" w:customStyle="1" w:styleId="BulletListat10mmChar">
    <w:name w:val="Bullet List at 10mm Char"/>
    <w:basedOn w:val="DefaultParagraphFont"/>
    <w:uiPriority w:val="99"/>
    <w:rsid w:val="00C004A0"/>
    <w:rPr>
      <w:rFonts w:ascii="Times New Roman" w:eastAsia="Arial Unicode MS" w:hAnsi="Times New Roman" w:cs="Times New Roman"/>
      <w:position w:val="4"/>
      <w:sz w:val="24"/>
      <w:szCs w:val="24"/>
    </w:rPr>
  </w:style>
  <w:style w:type="paragraph" w:customStyle="1" w:styleId="Listindentletter">
    <w:name w:val="List indent letter"/>
    <w:basedOn w:val="Normal"/>
    <w:uiPriority w:val="99"/>
    <w:rsid w:val="00C004A0"/>
    <w:pPr>
      <w:numPr>
        <w:numId w:val="20"/>
      </w:numPr>
      <w:tabs>
        <w:tab w:val="clear" w:pos="360"/>
      </w:tabs>
      <w:snapToGrid/>
      <w:spacing w:before="0" w:after="120" w:line="276" w:lineRule="auto"/>
      <w:ind w:left="720"/>
    </w:pPr>
    <w:rPr>
      <w:rFonts w:ascii="Arial Unicode MS" w:eastAsia="Arial Unicode MS" w:hAnsi="Calibri" w:cs="Arial Unicode MS"/>
      <w:lang w:eastAsia="fr-FR"/>
    </w:rPr>
  </w:style>
  <w:style w:type="paragraph" w:customStyle="1" w:styleId="SameasH23withoutTOC">
    <w:name w:val="Same as H_2/3 without TOC"/>
    <w:basedOn w:val="Normal"/>
    <w:uiPriority w:val="99"/>
    <w:rsid w:val="00C004A0"/>
    <w:pPr>
      <w:widowControl w:val="0"/>
      <w:autoSpaceDE w:val="0"/>
      <w:autoSpaceDN w:val="0"/>
      <w:adjustRightInd w:val="0"/>
      <w:snapToGrid/>
      <w:spacing w:before="0" w:after="120" w:line="240" w:lineRule="exact"/>
      <w:ind w:left="1134" w:right="1134" w:hanging="1134"/>
    </w:pPr>
    <w:rPr>
      <w:rFonts w:ascii="Times New Roman" w:eastAsia="Arial Unicode MS" w:hAnsi="Times New Roman" w:cs="Times New Roman"/>
      <w:b/>
      <w:bCs/>
      <w:position w:val="4"/>
      <w:sz w:val="20"/>
      <w:szCs w:val="20"/>
    </w:rPr>
  </w:style>
  <w:style w:type="character" w:customStyle="1" w:styleId="SameasH23withoutTOCChar">
    <w:name w:val="Same as H_2/3 without TOC Char"/>
    <w:basedOn w:val="Heading3Char"/>
    <w:uiPriority w:val="99"/>
    <w:rsid w:val="00C004A0"/>
    <w:rPr>
      <w:rFonts w:eastAsiaTheme="majorEastAsia" w:cstheme="minorHAnsi"/>
      <w:b/>
      <w:bCs/>
      <w:snapToGrid w:val="0"/>
      <w:color w:val="000000" w:themeColor="text1"/>
      <w:sz w:val="24"/>
      <w:szCs w:val="24"/>
      <w:lang w:val="fr-FR"/>
    </w:rPr>
  </w:style>
  <w:style w:type="paragraph" w:customStyle="1" w:styleId="aAaBbCcDd">
    <w:name w:val="(a) AaBbCcDd"/>
    <w:basedOn w:val="Numbered"/>
    <w:qFormat/>
    <w:rsid w:val="00C004A0"/>
  </w:style>
  <w:style w:type="character" w:customStyle="1" w:styleId="aAaBbCcDdChar">
    <w:name w:val="(a) AaBbCcDd Char"/>
    <w:basedOn w:val="NumberedChar"/>
    <w:rsid w:val="00C004A0"/>
    <w:rPr>
      <w:rFonts w:ascii="Times New Roman" w:eastAsia="Arial Unicode MS" w:hAnsi="Times New Roman" w:cs="Times New Roman"/>
      <w:sz w:val="24"/>
      <w:szCs w:val="24"/>
    </w:rPr>
  </w:style>
  <w:style w:type="character" w:customStyle="1" w:styleId="TableChar">
    <w:name w:val="Table Char"/>
    <w:basedOn w:val="DefaultParagraphFont"/>
    <w:uiPriority w:val="99"/>
    <w:rsid w:val="00C004A0"/>
    <w:rPr>
      <w:rFonts w:ascii="Times New Roman" w:eastAsia="Arial Unicode MS" w:hAnsi="Times New Roman" w:cs="Times New Roman"/>
      <w:position w:val="4"/>
      <w:sz w:val="24"/>
      <w:szCs w:val="24"/>
    </w:rPr>
  </w:style>
  <w:style w:type="paragraph" w:customStyle="1" w:styleId="Footnote0">
    <w:name w:val="Footnote"/>
    <w:basedOn w:val="FootnoteText"/>
    <w:uiPriority w:val="99"/>
    <w:qFormat/>
    <w:rsid w:val="00C004A0"/>
    <w:pPr>
      <w:widowControl w:val="0"/>
      <w:suppressLineNumbers w:val="0"/>
      <w:suppressAutoHyphens w:val="0"/>
      <w:autoSpaceDE w:val="0"/>
      <w:autoSpaceDN w:val="0"/>
      <w:adjustRightInd w:val="0"/>
      <w:snapToGrid/>
    </w:pPr>
    <w:rPr>
      <w:rFonts w:ascii="Times New Roman" w:eastAsia="Arial Unicode MS" w:hAnsi="Times New Roman" w:cs="Times New Roman"/>
      <w:position w:val="4"/>
      <w:sz w:val="18"/>
      <w:szCs w:val="18"/>
    </w:rPr>
  </w:style>
  <w:style w:type="character" w:customStyle="1" w:styleId="FootnoteChar0">
    <w:name w:val="Footnote Char"/>
    <w:basedOn w:val="FootnoteTextChar"/>
    <w:uiPriority w:val="99"/>
    <w:rsid w:val="00C004A0"/>
    <w:rPr>
      <w:rFonts w:ascii="Times New Roman" w:eastAsia="Arial Unicode MS" w:hAnsi="Times New Roman" w:cs="Times New Roman"/>
      <w:color w:val="auto"/>
      <w:w w:val="100"/>
      <w:position w:val="4"/>
      <w:sz w:val="18"/>
      <w:szCs w:val="18"/>
      <w:lang w:val="fr-FR" w:eastAsia="en-US"/>
    </w:rPr>
  </w:style>
  <w:style w:type="paragraph" w:customStyle="1" w:styleId="font7">
    <w:name w:val="font7"/>
    <w:basedOn w:val="Normal"/>
    <w:uiPriority w:val="99"/>
    <w:rsid w:val="00C004A0"/>
    <w:pPr>
      <w:snapToGrid/>
      <w:spacing w:before="100" w:beforeAutospacing="1" w:after="100" w:afterAutospacing="1" w:line="276" w:lineRule="auto"/>
      <w:jc w:val="left"/>
    </w:pPr>
    <w:rPr>
      <w:rFonts w:ascii="Times New Roman" w:eastAsia="MS Mincho" w:hAnsi="Times New Roman" w:cs="Times New Roman"/>
      <w:i/>
      <w:iCs/>
      <w:color w:val="000000"/>
      <w:sz w:val="16"/>
      <w:szCs w:val="16"/>
    </w:rPr>
  </w:style>
  <w:style w:type="paragraph" w:customStyle="1" w:styleId="font8">
    <w:name w:val="font8"/>
    <w:basedOn w:val="Normal"/>
    <w:uiPriority w:val="99"/>
    <w:rsid w:val="00C004A0"/>
    <w:pPr>
      <w:snapToGrid/>
      <w:spacing w:before="100" w:beforeAutospacing="1" w:after="100" w:afterAutospacing="1" w:line="276" w:lineRule="auto"/>
      <w:jc w:val="left"/>
    </w:pPr>
    <w:rPr>
      <w:rFonts w:ascii="Times New Roman" w:eastAsia="MS Mincho" w:hAnsi="Times New Roman" w:cs="Times New Roman"/>
      <w:color w:val="000000"/>
      <w:sz w:val="18"/>
      <w:szCs w:val="18"/>
    </w:rPr>
  </w:style>
  <w:style w:type="paragraph" w:customStyle="1" w:styleId="xl84">
    <w:name w:val="xl84"/>
    <w:basedOn w:val="Normal"/>
    <w:rsid w:val="00C004A0"/>
    <w:pPr>
      <w:shd w:val="clear" w:color="000000" w:fill="FFFFFF"/>
      <w:snapToGrid/>
      <w:spacing w:before="100" w:beforeAutospacing="1" w:after="100" w:afterAutospacing="1" w:line="276" w:lineRule="auto"/>
      <w:jc w:val="left"/>
    </w:pPr>
    <w:rPr>
      <w:rFonts w:ascii="Times" w:eastAsia="MS Mincho" w:hAnsi="Times" w:cs="Times"/>
      <w:sz w:val="20"/>
      <w:szCs w:val="20"/>
    </w:rPr>
  </w:style>
  <w:style w:type="paragraph" w:customStyle="1" w:styleId="xl85">
    <w:name w:val="xl85"/>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20"/>
      <w:szCs w:val="20"/>
    </w:rPr>
  </w:style>
  <w:style w:type="paragraph" w:customStyle="1" w:styleId="xl86">
    <w:name w:val="xl86"/>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b/>
      <w:bCs/>
      <w:sz w:val="20"/>
      <w:szCs w:val="20"/>
    </w:rPr>
  </w:style>
  <w:style w:type="paragraph" w:customStyle="1" w:styleId="xl87">
    <w:name w:val="xl87"/>
    <w:basedOn w:val="Normal"/>
    <w:rsid w:val="00C004A0"/>
    <w:pPr>
      <w:pBdr>
        <w:top w:val="single" w:sz="8" w:space="0" w:color="auto"/>
        <w:bottom w:val="single" w:sz="8" w:space="0" w:color="auto"/>
      </w:pBdr>
      <w:shd w:val="clear" w:color="000000" w:fill="FFFFFF"/>
      <w:snapToGrid/>
      <w:spacing w:before="100" w:beforeAutospacing="1" w:after="100" w:afterAutospacing="1" w:line="276" w:lineRule="auto"/>
      <w:jc w:val="left"/>
    </w:pPr>
    <w:rPr>
      <w:rFonts w:ascii="Times New Roman" w:eastAsia="MS Mincho" w:hAnsi="Times New Roman" w:cs="Times New Roman"/>
      <w:i/>
      <w:iCs/>
      <w:sz w:val="16"/>
      <w:szCs w:val="16"/>
    </w:rPr>
  </w:style>
  <w:style w:type="paragraph" w:customStyle="1" w:styleId="xl88">
    <w:name w:val="xl88"/>
    <w:basedOn w:val="Normal"/>
    <w:rsid w:val="00C004A0"/>
    <w:pPr>
      <w:pBdr>
        <w:top w:val="single" w:sz="8" w:space="0" w:color="auto"/>
        <w:bottom w:val="single" w:sz="8" w:space="0" w:color="auto"/>
      </w:pBd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89">
    <w:name w:val="xl89"/>
    <w:basedOn w:val="Normal"/>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90">
    <w:name w:val="xl90"/>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b/>
      <w:bCs/>
      <w:sz w:val="20"/>
      <w:szCs w:val="20"/>
    </w:rPr>
  </w:style>
  <w:style w:type="paragraph" w:customStyle="1" w:styleId="xl91">
    <w:name w:val="xl91"/>
    <w:basedOn w:val="Normal"/>
    <w:rsid w:val="00C004A0"/>
    <w:pPr>
      <w:pBdr>
        <w:top w:val="single" w:sz="4" w:space="0" w:color="auto"/>
      </w:pBdr>
      <w:shd w:val="clear" w:color="000000" w:fill="FFFFFF"/>
      <w:snapToGrid/>
      <w:spacing w:before="100" w:beforeAutospacing="1" w:after="100" w:afterAutospacing="1" w:line="276" w:lineRule="auto"/>
      <w:jc w:val="left"/>
      <w:textAlignment w:val="center"/>
    </w:pPr>
    <w:rPr>
      <w:rFonts w:ascii="Times New Roman" w:eastAsia="MS Mincho" w:hAnsi="Times New Roman" w:cs="Times New Roman"/>
      <w:b/>
      <w:bCs/>
      <w:sz w:val="18"/>
      <w:szCs w:val="18"/>
    </w:rPr>
  </w:style>
  <w:style w:type="paragraph" w:customStyle="1" w:styleId="xl92">
    <w:name w:val="xl92"/>
    <w:basedOn w:val="Normal"/>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93">
    <w:name w:val="xl93"/>
    <w:basedOn w:val="Normal"/>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94">
    <w:name w:val="xl94"/>
    <w:basedOn w:val="Normal"/>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95">
    <w:name w:val="xl95"/>
    <w:basedOn w:val="Normal"/>
    <w:rsid w:val="00C004A0"/>
    <w:pPr>
      <w:shd w:val="clear" w:color="000000" w:fill="FFFFFF"/>
      <w:snapToGrid/>
      <w:spacing w:before="100" w:beforeAutospacing="1" w:after="100" w:afterAutospacing="1" w:line="276" w:lineRule="auto"/>
      <w:jc w:val="right"/>
    </w:pPr>
    <w:rPr>
      <w:rFonts w:ascii="Times New Roman" w:eastAsia="MS Mincho" w:hAnsi="Times New Roman" w:cs="Times New Roman"/>
      <w:sz w:val="18"/>
      <w:szCs w:val="18"/>
    </w:rPr>
  </w:style>
  <w:style w:type="paragraph" w:customStyle="1" w:styleId="xl96">
    <w:name w:val="xl96"/>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18"/>
      <w:szCs w:val="18"/>
    </w:rPr>
  </w:style>
  <w:style w:type="paragraph" w:customStyle="1" w:styleId="xl97">
    <w:name w:val="xl97"/>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8"/>
      <w:szCs w:val="18"/>
    </w:rPr>
  </w:style>
  <w:style w:type="paragraph" w:customStyle="1" w:styleId="xl98">
    <w:name w:val="xl98"/>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sz w:val="18"/>
      <w:szCs w:val="18"/>
    </w:rPr>
  </w:style>
  <w:style w:type="paragraph" w:customStyle="1" w:styleId="xl99">
    <w:name w:val="xl99"/>
    <w:basedOn w:val="Normal"/>
    <w:uiPriority w:val="99"/>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18"/>
      <w:szCs w:val="18"/>
    </w:rPr>
  </w:style>
  <w:style w:type="paragraph" w:customStyle="1" w:styleId="xl100">
    <w:name w:val="xl100"/>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01">
    <w:name w:val="xl101"/>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2">
    <w:name w:val="xl102"/>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3">
    <w:name w:val="xl103"/>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4">
    <w:name w:val="xl104"/>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5">
    <w:name w:val="xl105"/>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6">
    <w:name w:val="xl106"/>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7">
    <w:name w:val="xl107"/>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b/>
      <w:bCs/>
      <w:sz w:val="16"/>
      <w:szCs w:val="16"/>
    </w:rPr>
  </w:style>
  <w:style w:type="paragraph" w:customStyle="1" w:styleId="xl108">
    <w:name w:val="xl108"/>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9">
    <w:name w:val="xl109"/>
    <w:basedOn w:val="Normal"/>
    <w:uiPriority w:val="99"/>
    <w:rsid w:val="00C004A0"/>
    <w:pP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0">
    <w:name w:val="xl110"/>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11">
    <w:name w:val="xl111"/>
    <w:basedOn w:val="Normal"/>
    <w:uiPriority w:val="99"/>
    <w:rsid w:val="00C004A0"/>
    <w:pP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sz w:val="18"/>
      <w:szCs w:val="18"/>
    </w:rPr>
  </w:style>
  <w:style w:type="paragraph" w:customStyle="1" w:styleId="xl112">
    <w:name w:val="xl112"/>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13">
    <w:name w:val="xl113"/>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4">
    <w:name w:val="xl114"/>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15">
    <w:name w:val="xl115"/>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6">
    <w:name w:val="xl116"/>
    <w:basedOn w:val="Normal"/>
    <w:uiPriority w:val="99"/>
    <w:rsid w:val="00C004A0"/>
    <w:pPr>
      <w:pBdr>
        <w:top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character" w:customStyle="1" w:styleId="st">
    <w:name w:val="st"/>
    <w:basedOn w:val="DefaultParagraphFont"/>
    <w:rsid w:val="00C004A0"/>
    <w:rPr>
      <w:rFonts w:ascii="Times New Roman" w:hAnsi="Times New Roman" w:cs="Times New Roman"/>
    </w:rPr>
  </w:style>
  <w:style w:type="paragraph" w:customStyle="1" w:styleId="CM1">
    <w:name w:val="CM1"/>
    <w:basedOn w:val="Default"/>
    <w:next w:val="Default"/>
    <w:uiPriority w:val="99"/>
    <w:rsid w:val="00C004A0"/>
    <w:pPr>
      <w:widowControl w:val="0"/>
      <w:spacing w:before="0"/>
      <w:jc w:val="left"/>
    </w:pPr>
    <w:rPr>
      <w:rFonts w:ascii="Arial" w:hAnsi="Arial" w:cs="Arial"/>
      <w:color w:val="auto"/>
    </w:rPr>
  </w:style>
  <w:style w:type="paragraph" w:customStyle="1" w:styleId="CM35">
    <w:name w:val="CM35"/>
    <w:basedOn w:val="Default"/>
    <w:next w:val="Default"/>
    <w:uiPriority w:val="99"/>
    <w:rsid w:val="00C004A0"/>
    <w:pPr>
      <w:widowControl w:val="0"/>
      <w:spacing w:before="0" w:after="260"/>
      <w:jc w:val="left"/>
    </w:pPr>
    <w:rPr>
      <w:rFonts w:ascii="Arial" w:hAnsi="Arial" w:cs="Arial"/>
      <w:color w:val="auto"/>
    </w:rPr>
  </w:style>
  <w:style w:type="paragraph" w:customStyle="1" w:styleId="CM2">
    <w:name w:val="CM2"/>
    <w:basedOn w:val="Default"/>
    <w:next w:val="Default"/>
    <w:uiPriority w:val="99"/>
    <w:rsid w:val="00C004A0"/>
    <w:pPr>
      <w:widowControl w:val="0"/>
      <w:spacing w:before="0" w:line="278" w:lineRule="atLeast"/>
      <w:jc w:val="left"/>
    </w:pPr>
    <w:rPr>
      <w:rFonts w:ascii="Arial" w:hAnsi="Arial" w:cs="Arial"/>
      <w:color w:val="auto"/>
    </w:rPr>
  </w:style>
  <w:style w:type="paragraph" w:customStyle="1" w:styleId="CM3">
    <w:name w:val="CM3"/>
    <w:basedOn w:val="Default"/>
    <w:next w:val="Default"/>
    <w:uiPriority w:val="99"/>
    <w:rsid w:val="00C004A0"/>
    <w:pPr>
      <w:widowControl w:val="0"/>
      <w:spacing w:before="0"/>
      <w:jc w:val="left"/>
    </w:pPr>
    <w:rPr>
      <w:rFonts w:ascii="Arial" w:hAnsi="Arial" w:cs="Arial"/>
      <w:color w:val="auto"/>
    </w:rPr>
  </w:style>
  <w:style w:type="paragraph" w:customStyle="1" w:styleId="CM4">
    <w:name w:val="CM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5">
    <w:name w:val="CM5"/>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6">
    <w:name w:val="CM36"/>
    <w:basedOn w:val="Default"/>
    <w:next w:val="Default"/>
    <w:uiPriority w:val="99"/>
    <w:rsid w:val="00C004A0"/>
    <w:pPr>
      <w:widowControl w:val="0"/>
      <w:spacing w:before="0" w:after="548"/>
      <w:jc w:val="left"/>
    </w:pPr>
    <w:rPr>
      <w:rFonts w:ascii="Arial" w:hAnsi="Arial" w:cs="Arial"/>
      <w:color w:val="auto"/>
    </w:rPr>
  </w:style>
  <w:style w:type="paragraph" w:customStyle="1" w:styleId="CM37">
    <w:name w:val="CM37"/>
    <w:basedOn w:val="Default"/>
    <w:next w:val="Default"/>
    <w:uiPriority w:val="99"/>
    <w:rsid w:val="00C004A0"/>
    <w:pPr>
      <w:widowControl w:val="0"/>
      <w:spacing w:before="0" w:after="398"/>
      <w:jc w:val="left"/>
    </w:pPr>
    <w:rPr>
      <w:rFonts w:ascii="Arial" w:hAnsi="Arial" w:cs="Arial"/>
      <w:color w:val="auto"/>
    </w:rPr>
  </w:style>
  <w:style w:type="paragraph" w:customStyle="1" w:styleId="CM9">
    <w:name w:val="CM9"/>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1">
    <w:name w:val="CM11"/>
    <w:basedOn w:val="Default"/>
    <w:next w:val="Default"/>
    <w:uiPriority w:val="99"/>
    <w:rsid w:val="00C004A0"/>
    <w:pPr>
      <w:widowControl w:val="0"/>
      <w:spacing w:before="0" w:line="273" w:lineRule="atLeast"/>
      <w:jc w:val="left"/>
    </w:pPr>
    <w:rPr>
      <w:rFonts w:ascii="Arial" w:hAnsi="Arial" w:cs="Arial"/>
      <w:color w:val="auto"/>
    </w:rPr>
  </w:style>
  <w:style w:type="paragraph" w:customStyle="1" w:styleId="CM14">
    <w:name w:val="CM1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5">
    <w:name w:val="CM15"/>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40">
    <w:name w:val="CM40"/>
    <w:basedOn w:val="Default"/>
    <w:next w:val="Default"/>
    <w:uiPriority w:val="99"/>
    <w:rsid w:val="00C004A0"/>
    <w:pPr>
      <w:widowControl w:val="0"/>
      <w:spacing w:before="0" w:after="660"/>
      <w:jc w:val="left"/>
    </w:pPr>
    <w:rPr>
      <w:rFonts w:ascii="Arial" w:hAnsi="Arial" w:cs="Arial"/>
      <w:color w:val="auto"/>
    </w:rPr>
  </w:style>
  <w:style w:type="paragraph" w:customStyle="1" w:styleId="CM43">
    <w:name w:val="CM43"/>
    <w:basedOn w:val="Default"/>
    <w:next w:val="Default"/>
    <w:uiPriority w:val="99"/>
    <w:rsid w:val="00C004A0"/>
    <w:pPr>
      <w:widowControl w:val="0"/>
      <w:spacing w:before="0" w:after="320"/>
      <w:jc w:val="left"/>
    </w:pPr>
    <w:rPr>
      <w:rFonts w:ascii="Arial" w:hAnsi="Arial" w:cs="Arial"/>
      <w:color w:val="auto"/>
    </w:rPr>
  </w:style>
  <w:style w:type="paragraph" w:customStyle="1" w:styleId="CM16">
    <w:name w:val="CM16"/>
    <w:basedOn w:val="Default"/>
    <w:next w:val="Default"/>
    <w:uiPriority w:val="99"/>
    <w:rsid w:val="00C004A0"/>
    <w:pPr>
      <w:widowControl w:val="0"/>
      <w:spacing w:before="0"/>
      <w:jc w:val="left"/>
    </w:pPr>
    <w:rPr>
      <w:rFonts w:ascii="Arial" w:hAnsi="Arial" w:cs="Arial"/>
      <w:color w:val="auto"/>
    </w:rPr>
  </w:style>
  <w:style w:type="paragraph" w:customStyle="1" w:styleId="CM17">
    <w:name w:val="CM17"/>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8">
    <w:name w:val="CM18"/>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45">
    <w:name w:val="CM45"/>
    <w:basedOn w:val="Default"/>
    <w:next w:val="Default"/>
    <w:uiPriority w:val="99"/>
    <w:rsid w:val="00C004A0"/>
    <w:pPr>
      <w:widowControl w:val="0"/>
      <w:spacing w:before="0" w:after="180"/>
      <w:jc w:val="left"/>
    </w:pPr>
    <w:rPr>
      <w:rFonts w:ascii="Arial" w:hAnsi="Arial" w:cs="Arial"/>
      <w:color w:val="auto"/>
    </w:rPr>
  </w:style>
  <w:style w:type="paragraph" w:customStyle="1" w:styleId="CM22">
    <w:name w:val="CM22"/>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3">
    <w:name w:val="CM2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4">
    <w:name w:val="CM2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9">
    <w:name w:val="CM39"/>
    <w:basedOn w:val="Default"/>
    <w:next w:val="Default"/>
    <w:uiPriority w:val="99"/>
    <w:rsid w:val="00C004A0"/>
    <w:pPr>
      <w:widowControl w:val="0"/>
      <w:spacing w:before="0" w:after="1213"/>
      <w:jc w:val="left"/>
    </w:pPr>
    <w:rPr>
      <w:rFonts w:ascii="Arial" w:hAnsi="Arial" w:cs="Arial"/>
      <w:color w:val="auto"/>
    </w:rPr>
  </w:style>
  <w:style w:type="paragraph" w:customStyle="1" w:styleId="CM26">
    <w:name w:val="CM26"/>
    <w:basedOn w:val="Default"/>
    <w:next w:val="Default"/>
    <w:uiPriority w:val="99"/>
    <w:rsid w:val="00C004A0"/>
    <w:pPr>
      <w:widowControl w:val="0"/>
      <w:spacing w:before="0" w:line="253" w:lineRule="atLeast"/>
      <w:jc w:val="left"/>
    </w:pPr>
    <w:rPr>
      <w:rFonts w:ascii="Arial" w:hAnsi="Arial" w:cs="Arial"/>
      <w:color w:val="auto"/>
    </w:rPr>
  </w:style>
  <w:style w:type="paragraph" w:customStyle="1" w:styleId="CM13">
    <w:name w:val="CM1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5">
    <w:name w:val="CM25"/>
    <w:basedOn w:val="Default"/>
    <w:next w:val="Default"/>
    <w:uiPriority w:val="99"/>
    <w:rsid w:val="00C004A0"/>
    <w:pPr>
      <w:widowControl w:val="0"/>
      <w:spacing w:before="0" w:line="263" w:lineRule="atLeast"/>
      <w:jc w:val="left"/>
    </w:pPr>
    <w:rPr>
      <w:rFonts w:ascii="Arial" w:hAnsi="Arial" w:cs="Arial"/>
      <w:color w:val="auto"/>
    </w:rPr>
  </w:style>
  <w:style w:type="paragraph" w:customStyle="1" w:styleId="CM27">
    <w:name w:val="CM27"/>
    <w:basedOn w:val="Default"/>
    <w:next w:val="Default"/>
    <w:uiPriority w:val="99"/>
    <w:rsid w:val="00C004A0"/>
    <w:pPr>
      <w:widowControl w:val="0"/>
      <w:spacing w:before="0" w:line="258" w:lineRule="atLeast"/>
      <w:jc w:val="left"/>
    </w:pPr>
    <w:rPr>
      <w:rFonts w:ascii="Arial" w:hAnsi="Arial" w:cs="Arial"/>
      <w:color w:val="auto"/>
    </w:rPr>
  </w:style>
  <w:style w:type="paragraph" w:customStyle="1" w:styleId="CM47">
    <w:name w:val="CM47"/>
    <w:basedOn w:val="Default"/>
    <w:next w:val="Default"/>
    <w:uiPriority w:val="99"/>
    <w:rsid w:val="00C004A0"/>
    <w:pPr>
      <w:widowControl w:val="0"/>
      <w:spacing w:before="0" w:after="120"/>
      <w:jc w:val="left"/>
    </w:pPr>
    <w:rPr>
      <w:rFonts w:ascii="Arial" w:hAnsi="Arial" w:cs="Arial"/>
      <w:color w:val="auto"/>
    </w:rPr>
  </w:style>
  <w:style w:type="paragraph" w:customStyle="1" w:styleId="CM29">
    <w:name w:val="CM29"/>
    <w:basedOn w:val="Default"/>
    <w:next w:val="Default"/>
    <w:uiPriority w:val="99"/>
    <w:rsid w:val="00C004A0"/>
    <w:pPr>
      <w:widowControl w:val="0"/>
      <w:spacing w:before="0" w:line="231" w:lineRule="atLeast"/>
      <w:jc w:val="left"/>
    </w:pPr>
    <w:rPr>
      <w:rFonts w:ascii="Arial" w:hAnsi="Arial" w:cs="Arial"/>
      <w:color w:val="auto"/>
    </w:rPr>
  </w:style>
  <w:style w:type="paragraph" w:customStyle="1" w:styleId="CM31">
    <w:name w:val="CM31"/>
    <w:basedOn w:val="Default"/>
    <w:next w:val="Default"/>
    <w:uiPriority w:val="99"/>
    <w:rsid w:val="00C004A0"/>
    <w:pPr>
      <w:widowControl w:val="0"/>
      <w:spacing w:before="0" w:line="231" w:lineRule="atLeast"/>
      <w:jc w:val="left"/>
    </w:pPr>
    <w:rPr>
      <w:rFonts w:ascii="Arial" w:hAnsi="Arial" w:cs="Arial"/>
      <w:color w:val="auto"/>
    </w:rPr>
  </w:style>
  <w:style w:type="paragraph" w:customStyle="1" w:styleId="CM38">
    <w:name w:val="CM38"/>
    <w:basedOn w:val="Default"/>
    <w:next w:val="Default"/>
    <w:uiPriority w:val="99"/>
    <w:rsid w:val="00C004A0"/>
    <w:pPr>
      <w:widowControl w:val="0"/>
      <w:spacing w:before="0" w:after="775"/>
      <w:jc w:val="left"/>
    </w:pPr>
    <w:rPr>
      <w:rFonts w:ascii="Arial" w:hAnsi="Arial" w:cs="Arial"/>
      <w:color w:val="auto"/>
    </w:rPr>
  </w:style>
  <w:style w:type="paragraph" w:customStyle="1" w:styleId="CM33">
    <w:name w:val="CM3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4">
    <w:name w:val="CM34"/>
    <w:basedOn w:val="Default"/>
    <w:next w:val="Default"/>
    <w:uiPriority w:val="99"/>
    <w:rsid w:val="00C004A0"/>
    <w:pPr>
      <w:widowControl w:val="0"/>
      <w:spacing w:before="0" w:line="186" w:lineRule="atLeast"/>
      <w:jc w:val="left"/>
    </w:pPr>
    <w:rPr>
      <w:rFonts w:ascii="Arial" w:hAnsi="Arial" w:cs="Arial"/>
      <w:color w:val="auto"/>
    </w:rPr>
  </w:style>
  <w:style w:type="paragraph" w:styleId="BodyText">
    <w:name w:val="Body Text"/>
    <w:basedOn w:val="Normal"/>
    <w:link w:val="BodyTextChar"/>
    <w:uiPriority w:val="99"/>
    <w:qFormat/>
    <w:rsid w:val="00C004A0"/>
    <w:pPr>
      <w:snapToGrid/>
      <w:spacing w:before="120" w:after="120" w:line="276" w:lineRule="auto"/>
      <w:ind w:firstLine="720"/>
    </w:pPr>
    <w:rPr>
      <w:rFonts w:ascii="Times New Roman" w:hAnsi="Times New Roman" w:cs="Times New Roman"/>
    </w:rPr>
  </w:style>
  <w:style w:type="character" w:customStyle="1" w:styleId="BodyTextChar">
    <w:name w:val="Body Text Char"/>
    <w:basedOn w:val="DefaultParagraphFont"/>
    <w:link w:val="BodyText"/>
    <w:uiPriority w:val="99"/>
    <w:rsid w:val="00C004A0"/>
    <w:rPr>
      <w:rFonts w:ascii="Times New Roman" w:eastAsia="SimSun" w:hAnsi="Times New Roman" w:cs="Times New Roman"/>
      <w:lang w:val="fr-FR"/>
    </w:rPr>
  </w:style>
  <w:style w:type="paragraph" w:customStyle="1" w:styleId="Annex">
    <w:name w:val="Annex"/>
    <w:basedOn w:val="Normal"/>
    <w:uiPriority w:val="99"/>
    <w:qFormat/>
    <w:rsid w:val="00C004A0"/>
    <w:pPr>
      <w:snapToGrid/>
      <w:spacing w:before="0" w:after="120" w:line="276" w:lineRule="auto"/>
      <w:jc w:val="left"/>
    </w:pPr>
    <w:rPr>
      <w:rFonts w:ascii="Times New Roman" w:hAnsi="Times New Roman" w:cs="Times New Roman"/>
      <w:smallCaps/>
      <w:sz w:val="24"/>
      <w:szCs w:val="24"/>
    </w:rPr>
  </w:style>
  <w:style w:type="character" w:customStyle="1" w:styleId="CharChar11">
    <w:name w:val="Char Char11"/>
    <w:basedOn w:val="DefaultParagraphFont"/>
    <w:uiPriority w:val="99"/>
    <w:rsid w:val="00C004A0"/>
    <w:rPr>
      <w:rFonts w:ascii="Times New Roman" w:hAnsi="Times New Roman" w:cs="Times New Roman"/>
      <w:sz w:val="24"/>
      <w:szCs w:val="24"/>
      <w:lang w:val="fr-FR" w:eastAsia="en-US"/>
    </w:rPr>
  </w:style>
  <w:style w:type="paragraph" w:customStyle="1" w:styleId="Decision">
    <w:name w:val="Decision"/>
    <w:basedOn w:val="Heading2"/>
    <w:uiPriority w:val="99"/>
    <w:rsid w:val="00C004A0"/>
    <w:pPr>
      <w:keepLines w:val="0"/>
      <w:tabs>
        <w:tab w:val="left" w:pos="720"/>
        <w:tab w:val="num" w:pos="1440"/>
      </w:tabs>
      <w:snapToGrid/>
      <w:spacing w:line="276" w:lineRule="auto"/>
      <w:ind w:left="720" w:hanging="360"/>
      <w:jc w:val="center"/>
    </w:pPr>
    <w:rPr>
      <w:rFonts w:eastAsia="SimSun"/>
      <w:bCs/>
      <w:caps/>
      <w:smallCaps/>
      <w:snapToGrid/>
      <w:color w:val="auto"/>
      <w:szCs w:val="22"/>
    </w:rPr>
  </w:style>
  <w:style w:type="character" w:customStyle="1" w:styleId="DecisionChar">
    <w:name w:val="Decision Char"/>
    <w:basedOn w:val="DefaultParagraphFont"/>
    <w:uiPriority w:val="99"/>
    <w:rsid w:val="00C004A0"/>
    <w:rPr>
      <w:rFonts w:ascii="Times New Roman" w:eastAsia="SimSun" w:hAnsi="Times New Roman" w:cs="Times New Roman"/>
      <w:b/>
      <w:bCs/>
      <w:caps/>
      <w:lang w:val="fr-FR" w:eastAsia="en-US"/>
    </w:rPr>
  </w:style>
  <w:style w:type="paragraph" w:customStyle="1" w:styleId="sub-decision">
    <w:name w:val="sub-decision"/>
    <w:basedOn w:val="Heading2"/>
    <w:uiPriority w:val="99"/>
    <w:rsid w:val="00C004A0"/>
    <w:pPr>
      <w:keepLines w:val="0"/>
      <w:numPr>
        <w:ilvl w:val="1"/>
        <w:numId w:val="29"/>
      </w:numPr>
      <w:tabs>
        <w:tab w:val="left" w:pos="720"/>
        <w:tab w:val="num" w:pos="1440"/>
      </w:tabs>
      <w:snapToGrid/>
      <w:spacing w:line="276" w:lineRule="auto"/>
      <w:ind w:left="1440"/>
      <w:jc w:val="center"/>
    </w:pPr>
    <w:rPr>
      <w:rFonts w:eastAsia="SimSun"/>
      <w:bCs/>
      <w:smallCaps/>
      <w:snapToGrid/>
      <w:color w:val="auto"/>
      <w:szCs w:val="22"/>
    </w:rPr>
  </w:style>
  <w:style w:type="paragraph" w:customStyle="1" w:styleId="HEADING">
    <w:name w:val="HEADING"/>
    <w:basedOn w:val="Normal"/>
    <w:uiPriority w:val="99"/>
    <w:rsid w:val="00C004A0"/>
    <w:pPr>
      <w:keepNext/>
      <w:tabs>
        <w:tab w:val="left" w:pos="1134"/>
      </w:tabs>
      <w:snapToGrid/>
      <w:spacing w:before="0" w:after="120" w:line="276" w:lineRule="auto"/>
      <w:jc w:val="center"/>
    </w:pPr>
    <w:rPr>
      <w:rFonts w:ascii="Times New Roman" w:hAnsi="Times New Roman" w:cs="Times New Roman"/>
      <w:b/>
      <w:bCs/>
      <w:caps/>
    </w:rPr>
  </w:style>
  <w:style w:type="paragraph" w:customStyle="1" w:styleId="Para2">
    <w:name w:val="Para2"/>
    <w:basedOn w:val="Para1"/>
    <w:uiPriority w:val="99"/>
    <w:rsid w:val="00C004A0"/>
  </w:style>
  <w:style w:type="paragraph" w:customStyle="1" w:styleId="CharChar31">
    <w:name w:val="Char Char31"/>
    <w:basedOn w:val="Normal"/>
    <w:uiPriority w:val="99"/>
    <w:rsid w:val="00C004A0"/>
    <w:pPr>
      <w:tabs>
        <w:tab w:val="num" w:pos="2210"/>
      </w:tabs>
      <w:snapToGrid/>
      <w:spacing w:before="0" w:after="120" w:line="276" w:lineRule="auto"/>
      <w:ind w:left="2210" w:hanging="360"/>
      <w:jc w:val="left"/>
    </w:pPr>
    <w:rPr>
      <w:rFonts w:ascii="Times New Roman" w:hAnsi="Times New Roman" w:cs="Times New Roman"/>
      <w:sz w:val="24"/>
      <w:szCs w:val="24"/>
    </w:rPr>
  </w:style>
  <w:style w:type="paragraph" w:styleId="List">
    <w:name w:val="List"/>
    <w:basedOn w:val="Normal"/>
    <w:uiPriority w:val="99"/>
    <w:rsid w:val="00C004A0"/>
    <w:pPr>
      <w:snapToGrid/>
      <w:spacing w:before="0" w:after="120" w:line="276" w:lineRule="auto"/>
      <w:ind w:left="360" w:hanging="360"/>
      <w:jc w:val="left"/>
    </w:pPr>
    <w:rPr>
      <w:rFonts w:ascii="Times New Roman" w:hAnsi="Times New Roman" w:cs="Times New Roman"/>
      <w:sz w:val="24"/>
      <w:szCs w:val="24"/>
    </w:rPr>
  </w:style>
  <w:style w:type="paragraph" w:styleId="List2">
    <w:name w:val="List 2"/>
    <w:basedOn w:val="Normal"/>
    <w:uiPriority w:val="99"/>
    <w:rsid w:val="00C004A0"/>
    <w:pPr>
      <w:snapToGrid/>
      <w:spacing w:before="0" w:after="120" w:line="276" w:lineRule="auto"/>
      <w:ind w:left="720" w:hanging="360"/>
      <w:jc w:val="left"/>
    </w:pPr>
    <w:rPr>
      <w:rFonts w:ascii="Times New Roman" w:hAnsi="Times New Roman" w:cs="Times New Roman"/>
      <w:sz w:val="24"/>
      <w:szCs w:val="24"/>
    </w:rPr>
  </w:style>
  <w:style w:type="paragraph" w:styleId="List3">
    <w:name w:val="List 3"/>
    <w:basedOn w:val="Normal"/>
    <w:uiPriority w:val="99"/>
    <w:rsid w:val="00C004A0"/>
    <w:pPr>
      <w:snapToGrid/>
      <w:spacing w:before="0" w:after="120" w:line="276" w:lineRule="auto"/>
      <w:ind w:left="1080" w:hanging="360"/>
      <w:jc w:val="left"/>
    </w:pPr>
    <w:rPr>
      <w:rFonts w:ascii="Times New Roman" w:hAnsi="Times New Roman" w:cs="Times New Roman"/>
      <w:sz w:val="24"/>
      <w:szCs w:val="24"/>
    </w:rPr>
  </w:style>
  <w:style w:type="paragraph" w:styleId="List4">
    <w:name w:val="List 4"/>
    <w:basedOn w:val="Normal"/>
    <w:uiPriority w:val="99"/>
    <w:rsid w:val="00C004A0"/>
    <w:pPr>
      <w:snapToGrid/>
      <w:spacing w:before="0" w:after="120" w:line="276" w:lineRule="auto"/>
      <w:ind w:left="1440" w:hanging="360"/>
      <w:jc w:val="left"/>
    </w:pPr>
    <w:rPr>
      <w:rFonts w:ascii="Times New Roman" w:hAnsi="Times New Roman" w:cs="Times New Roman"/>
      <w:sz w:val="24"/>
      <w:szCs w:val="24"/>
    </w:rPr>
  </w:style>
  <w:style w:type="paragraph" w:styleId="ListContinue">
    <w:name w:val="List Continue"/>
    <w:basedOn w:val="Normal"/>
    <w:uiPriority w:val="99"/>
    <w:rsid w:val="00C004A0"/>
    <w:pPr>
      <w:snapToGrid/>
      <w:spacing w:before="0" w:after="120" w:line="276" w:lineRule="auto"/>
      <w:ind w:left="360"/>
      <w:jc w:val="left"/>
    </w:pPr>
    <w:rPr>
      <w:rFonts w:ascii="Times New Roman" w:hAnsi="Times New Roman" w:cs="Times New Roman"/>
      <w:sz w:val="24"/>
      <w:szCs w:val="24"/>
    </w:rPr>
  </w:style>
  <w:style w:type="paragraph" w:styleId="ListContinue2">
    <w:name w:val="List Continue 2"/>
    <w:basedOn w:val="Normal"/>
    <w:uiPriority w:val="99"/>
    <w:rsid w:val="00C004A0"/>
    <w:pPr>
      <w:snapToGrid/>
      <w:spacing w:before="0" w:after="120" w:line="276" w:lineRule="auto"/>
      <w:ind w:left="720"/>
      <w:jc w:val="left"/>
    </w:pPr>
    <w:rPr>
      <w:rFonts w:ascii="Times New Roman" w:hAnsi="Times New Roman" w:cs="Times New Roman"/>
      <w:sz w:val="24"/>
      <w:szCs w:val="24"/>
    </w:rPr>
  </w:style>
  <w:style w:type="paragraph" w:styleId="BodyText2">
    <w:name w:val="Body Text 2"/>
    <w:basedOn w:val="Normal"/>
    <w:link w:val="BodyText2Char"/>
    <w:uiPriority w:val="99"/>
    <w:rsid w:val="00C004A0"/>
    <w:pPr>
      <w:widowControl w:val="0"/>
      <w:autoSpaceDE w:val="0"/>
      <w:autoSpaceDN w:val="0"/>
      <w:adjustRightInd w:val="0"/>
      <w:snapToGrid/>
      <w:spacing w:before="0" w:after="120" w:line="276" w:lineRule="auto"/>
    </w:pPr>
    <w:rPr>
      <w:rFonts w:ascii="Times New Roman" w:eastAsia="Arial Unicode MS" w:hAnsi="Times New Roman" w:cs="Times New Roman"/>
      <w:i/>
      <w:iCs/>
      <w:position w:val="4"/>
      <w:sz w:val="20"/>
      <w:szCs w:val="20"/>
    </w:rPr>
  </w:style>
  <w:style w:type="character" w:customStyle="1" w:styleId="BodyText2Char">
    <w:name w:val="Body Text 2 Char"/>
    <w:basedOn w:val="DefaultParagraphFont"/>
    <w:link w:val="BodyText2"/>
    <w:uiPriority w:val="99"/>
    <w:rsid w:val="00C004A0"/>
    <w:rPr>
      <w:rFonts w:ascii="Times New Roman" w:eastAsia="Arial Unicode MS" w:hAnsi="Times New Roman" w:cs="Times New Roman"/>
      <w:i/>
      <w:iCs/>
      <w:position w:val="4"/>
      <w:sz w:val="20"/>
      <w:szCs w:val="20"/>
    </w:rPr>
  </w:style>
  <w:style w:type="character" w:customStyle="1" w:styleId="BodyText2Char2">
    <w:name w:val="Body Text 2 Char2"/>
    <w:basedOn w:val="DefaultParagraphFont"/>
    <w:uiPriority w:val="99"/>
    <w:rsid w:val="00C004A0"/>
    <w:rPr>
      <w:rFonts w:ascii="Times New Roman" w:eastAsia="SimSun" w:hAnsi="Times New Roman" w:cs="Times New Roman"/>
      <w:sz w:val="24"/>
      <w:szCs w:val="24"/>
      <w:lang w:val="fr-FR" w:eastAsia="en-US"/>
    </w:rPr>
  </w:style>
  <w:style w:type="character" w:customStyle="1" w:styleId="BodyText2Char1">
    <w:name w:val="Body Text 2 Char1"/>
    <w:basedOn w:val="DefaultParagraphFont"/>
    <w:uiPriority w:val="99"/>
    <w:rsid w:val="00C004A0"/>
    <w:rPr>
      <w:rFonts w:ascii="Times New Roman" w:hAnsi="Times New Roman" w:cs="Times New Roman"/>
      <w:sz w:val="24"/>
      <w:szCs w:val="24"/>
    </w:rPr>
  </w:style>
  <w:style w:type="paragraph" w:styleId="BodyTextFirstIndent">
    <w:name w:val="Body Text First Indent"/>
    <w:basedOn w:val="BodyText"/>
    <w:link w:val="BodyTextFirstIndentChar"/>
    <w:uiPriority w:val="99"/>
    <w:rsid w:val="00C004A0"/>
    <w:pPr>
      <w:spacing w:before="0"/>
      <w:ind w:firstLine="210"/>
      <w:jc w:val="left"/>
    </w:pPr>
    <w:rPr>
      <w:sz w:val="24"/>
      <w:szCs w:val="24"/>
    </w:rPr>
  </w:style>
  <w:style w:type="character" w:customStyle="1" w:styleId="BodyTextFirstIndentChar">
    <w:name w:val="Body Text First Indent Char"/>
    <w:basedOn w:val="BodyTextChar"/>
    <w:link w:val="BodyTextFirstIndent"/>
    <w:uiPriority w:val="99"/>
    <w:rsid w:val="00C004A0"/>
    <w:rPr>
      <w:rFonts w:ascii="Times New Roman" w:eastAsia="SimSun" w:hAnsi="Times New Roman" w:cs="Times New Roman"/>
      <w:sz w:val="24"/>
      <w:szCs w:val="24"/>
      <w:lang w:val="fr-FR"/>
    </w:rPr>
  </w:style>
  <w:style w:type="character" w:customStyle="1" w:styleId="BodyTextIndentChar">
    <w:name w:val="Body Text Indent Char"/>
    <w:basedOn w:val="DefaultParagraphFont"/>
    <w:uiPriority w:val="99"/>
    <w:rsid w:val="00C004A0"/>
    <w:rPr>
      <w:rFonts w:ascii="Times New Roman" w:eastAsia="SimSun" w:hAnsi="Times New Roman" w:cs="Times New Roman"/>
      <w:sz w:val="24"/>
      <w:szCs w:val="24"/>
      <w:lang w:val="fr-FR" w:eastAsia="en-US"/>
    </w:rPr>
  </w:style>
  <w:style w:type="paragraph" w:styleId="BodyTextIndent">
    <w:name w:val="Body Text Indent"/>
    <w:basedOn w:val="Normal"/>
    <w:link w:val="BodyTextIndentChar1"/>
    <w:uiPriority w:val="99"/>
    <w:rsid w:val="00C004A0"/>
    <w:pPr>
      <w:snapToGrid/>
      <w:spacing w:before="0" w:after="120" w:line="276" w:lineRule="auto"/>
      <w:ind w:left="360"/>
      <w:jc w:val="left"/>
    </w:pPr>
    <w:rPr>
      <w:rFonts w:ascii="Times New Roman" w:hAnsi="Times New Roman" w:cs="Times New Roman"/>
      <w:sz w:val="24"/>
      <w:szCs w:val="24"/>
    </w:rPr>
  </w:style>
  <w:style w:type="character" w:customStyle="1" w:styleId="BodyTextIndentChar1">
    <w:name w:val="Body Text Indent Char1"/>
    <w:basedOn w:val="DefaultParagraphFont"/>
    <w:link w:val="BodyTextIndent"/>
    <w:uiPriority w:val="99"/>
    <w:rsid w:val="00C004A0"/>
    <w:rPr>
      <w:rFonts w:ascii="Times New Roman" w:eastAsia="SimSun" w:hAnsi="Times New Roman" w:cs="Times New Roman"/>
      <w:sz w:val="24"/>
      <w:szCs w:val="24"/>
    </w:rPr>
  </w:style>
  <w:style w:type="paragraph" w:styleId="BodyTextFirstIndent2">
    <w:name w:val="Body Text First Indent 2"/>
    <w:basedOn w:val="BodyText2"/>
    <w:link w:val="BodyTextFirstIndent2Char"/>
    <w:uiPriority w:val="99"/>
    <w:rsid w:val="00C004A0"/>
    <w:pPr>
      <w:widowControl/>
      <w:autoSpaceDE/>
      <w:autoSpaceDN/>
      <w:adjustRightInd/>
      <w:ind w:left="360" w:firstLine="210"/>
      <w:jc w:val="left"/>
    </w:pPr>
    <w:rPr>
      <w:rFonts w:eastAsia="SimSun"/>
      <w:i w:val="0"/>
      <w:iCs w:val="0"/>
      <w:position w:val="0"/>
      <w:sz w:val="24"/>
      <w:szCs w:val="24"/>
    </w:rPr>
  </w:style>
  <w:style w:type="character" w:customStyle="1" w:styleId="BodyTextFirstIndent2Char">
    <w:name w:val="Body Text First Indent 2 Char"/>
    <w:basedOn w:val="BodyTextIndentChar1"/>
    <w:link w:val="BodyTextFirstIndent2"/>
    <w:uiPriority w:val="99"/>
    <w:rsid w:val="00C004A0"/>
    <w:rPr>
      <w:rFonts w:ascii="Times New Roman" w:eastAsia="SimSun" w:hAnsi="Times New Roman" w:cs="Times New Roman"/>
      <w:sz w:val="24"/>
      <w:szCs w:val="24"/>
    </w:rPr>
  </w:style>
  <w:style w:type="character" w:customStyle="1" w:styleId="meetingtitle1">
    <w:name w:val="meetingtitle1"/>
    <w:basedOn w:val="DefaultParagraphFont"/>
    <w:uiPriority w:val="99"/>
    <w:rsid w:val="00C004A0"/>
    <w:rPr>
      <w:rFonts w:ascii="Trebuchet MS" w:hAnsi="Trebuchet MS" w:cs="Trebuchet MS"/>
      <w:b/>
      <w:bCs/>
      <w:color w:val="auto"/>
      <w:sz w:val="21"/>
      <w:szCs w:val="21"/>
    </w:rPr>
  </w:style>
  <w:style w:type="paragraph" w:customStyle="1" w:styleId="CM6">
    <w:name w:val="CM6"/>
    <w:basedOn w:val="Default"/>
    <w:next w:val="Default"/>
    <w:uiPriority w:val="99"/>
    <w:rsid w:val="00C004A0"/>
    <w:pPr>
      <w:widowControl w:val="0"/>
      <w:spacing w:before="0"/>
      <w:jc w:val="left"/>
    </w:pPr>
    <w:rPr>
      <w:rFonts w:ascii="Arial" w:hAnsi="Arial" w:cs="Arial"/>
      <w:color w:val="auto"/>
    </w:rPr>
  </w:style>
  <w:style w:type="character" w:styleId="BookTitle">
    <w:name w:val="Book Title"/>
    <w:basedOn w:val="DefaultParagraphFont"/>
    <w:uiPriority w:val="99"/>
    <w:qFormat/>
    <w:rsid w:val="00C004A0"/>
    <w:rPr>
      <w:rFonts w:ascii="Times New Roman Bold" w:hAnsi="Times New Roman Bold" w:cs="Times New Roman Bold"/>
      <w:b/>
      <w:bCs/>
      <w:spacing w:val="5"/>
      <w:sz w:val="24"/>
      <w:szCs w:val="24"/>
    </w:rPr>
  </w:style>
  <w:style w:type="character" w:customStyle="1" w:styleId="ft01">
    <w:name w:val="ft01"/>
    <w:uiPriority w:val="99"/>
    <w:rsid w:val="00C004A0"/>
    <w:rPr>
      <w:rFonts w:ascii="Times" w:hAnsi="Times" w:cs="Times"/>
      <w:color w:val="000000"/>
      <w:sz w:val="23"/>
      <w:szCs w:val="23"/>
    </w:rPr>
  </w:style>
  <w:style w:type="paragraph" w:customStyle="1" w:styleId="xl79">
    <w:name w:val="xl79"/>
    <w:basedOn w:val="Normal"/>
    <w:rsid w:val="00C004A0"/>
    <w:pPr>
      <w:pBdr>
        <w:top w:val="single" w:sz="8" w:space="0" w:color="auto"/>
        <w:left w:val="single" w:sz="8" w:space="0" w:color="auto"/>
        <w:bottom w:val="single" w:sz="8" w:space="0" w:color="auto"/>
        <w:right w:val="single" w:sz="8" w:space="0" w:color="auto"/>
      </w:pBdr>
      <w:snapToGrid/>
      <w:spacing w:before="100" w:beforeAutospacing="1" w:after="100" w:afterAutospacing="1" w:line="276" w:lineRule="auto"/>
      <w:jc w:val="center"/>
      <w:textAlignment w:val="center"/>
    </w:pPr>
    <w:rPr>
      <w:rFonts w:ascii="Arial Unicode MS" w:eastAsia="Arial Unicode MS" w:hAnsi="Calibri" w:cs="Arial Unicode MS"/>
      <w:b/>
      <w:bCs/>
      <w:sz w:val="24"/>
      <w:szCs w:val="24"/>
    </w:rPr>
  </w:style>
  <w:style w:type="paragraph" w:customStyle="1" w:styleId="xl82">
    <w:name w:val="xl82"/>
    <w:basedOn w:val="Normal"/>
    <w:rsid w:val="00C004A0"/>
    <w:pPr>
      <w:pBdr>
        <w:top w:val="single" w:sz="8" w:space="0" w:color="auto"/>
        <w:left w:val="single" w:sz="8" w:space="0" w:color="auto"/>
        <w:bottom w:val="single" w:sz="8" w:space="0" w:color="auto"/>
        <w:right w:val="single" w:sz="8" w:space="0" w:color="auto"/>
      </w:pBdr>
      <w:snapToGrid/>
      <w:spacing w:before="100" w:beforeAutospacing="1" w:after="100" w:afterAutospacing="1" w:line="276" w:lineRule="auto"/>
      <w:jc w:val="center"/>
      <w:textAlignment w:val="center"/>
    </w:pPr>
    <w:rPr>
      <w:rFonts w:ascii="Arial Unicode MS" w:eastAsia="Arial Unicode MS" w:hAnsi="Calibri" w:cs="Arial Unicode MS"/>
      <w:sz w:val="24"/>
      <w:szCs w:val="24"/>
    </w:rPr>
  </w:style>
  <w:style w:type="paragraph" w:customStyle="1" w:styleId="xl83">
    <w:name w:val="xl83"/>
    <w:basedOn w:val="Normal"/>
    <w:rsid w:val="00C004A0"/>
    <w:pPr>
      <w:pBdr>
        <w:top w:val="single" w:sz="8" w:space="0" w:color="auto"/>
        <w:left w:val="single" w:sz="8" w:space="0" w:color="auto"/>
        <w:bottom w:val="single" w:sz="8" w:space="0" w:color="auto"/>
        <w:right w:val="single" w:sz="8" w:space="0" w:color="auto"/>
      </w:pBdr>
      <w:shd w:val="clear" w:color="000000" w:fill="FFFFFF"/>
      <w:snapToGrid/>
      <w:spacing w:before="100" w:beforeAutospacing="1" w:after="100" w:afterAutospacing="1" w:line="276" w:lineRule="auto"/>
      <w:jc w:val="center"/>
      <w:textAlignment w:val="center"/>
    </w:pPr>
    <w:rPr>
      <w:rFonts w:ascii="Arial Unicode MS" w:eastAsia="Arial Unicode MS" w:hAnsi="Calibri" w:cs="Arial Unicode MS"/>
      <w:b/>
      <w:bCs/>
      <w:sz w:val="24"/>
      <w:szCs w:val="24"/>
    </w:rPr>
  </w:style>
  <w:style w:type="paragraph" w:styleId="BodyText3">
    <w:name w:val="Body Text 3"/>
    <w:basedOn w:val="Normal"/>
    <w:link w:val="BodyText3Char"/>
    <w:uiPriority w:val="99"/>
    <w:rsid w:val="00C004A0"/>
    <w:pPr>
      <w:widowControl w:val="0"/>
      <w:snapToGrid/>
      <w:spacing w:before="0" w:after="120" w:line="276" w:lineRule="auto"/>
    </w:pPr>
    <w:rPr>
      <w:rFonts w:ascii="Arial Unicode MS" w:eastAsia="Arial Unicode MS" w:hAnsi="Calibri" w:cs="Arial Unicode MS"/>
      <w:color w:val="000000"/>
      <w:sz w:val="20"/>
      <w:szCs w:val="20"/>
    </w:rPr>
  </w:style>
  <w:style w:type="character" w:customStyle="1" w:styleId="BodyText3Char">
    <w:name w:val="Body Text 3 Char"/>
    <w:basedOn w:val="DefaultParagraphFont"/>
    <w:link w:val="BodyText3"/>
    <w:uiPriority w:val="99"/>
    <w:rsid w:val="00C004A0"/>
    <w:rPr>
      <w:rFonts w:ascii="Arial Unicode MS" w:eastAsia="Arial Unicode MS" w:hAnsi="Calibri" w:cs="Arial Unicode MS"/>
      <w:color w:val="000000"/>
      <w:sz w:val="20"/>
      <w:szCs w:val="20"/>
    </w:rPr>
  </w:style>
  <w:style w:type="paragraph" w:customStyle="1" w:styleId="Style1">
    <w:name w:val="Style1"/>
    <w:basedOn w:val="Normal"/>
    <w:link w:val="Style1Char"/>
    <w:qFormat/>
    <w:rsid w:val="00C004A0"/>
    <w:pPr>
      <w:numPr>
        <w:numId w:val="21"/>
      </w:numPr>
      <w:tabs>
        <w:tab w:val="clear" w:pos="180"/>
        <w:tab w:val="num" w:pos="720"/>
      </w:tabs>
      <w:snapToGrid/>
      <w:spacing w:before="120" w:after="120" w:line="276" w:lineRule="exact"/>
      <w:ind w:hanging="360"/>
      <w:jc w:val="left"/>
    </w:pPr>
    <w:rPr>
      <w:rFonts w:ascii="Times New Roman" w:eastAsia="Times New Roman" w:hAnsi="Times New Roman" w:cs="Times New Roman"/>
      <w:color w:val="000000"/>
      <w:sz w:val="24"/>
      <w:szCs w:val="24"/>
    </w:rPr>
  </w:style>
  <w:style w:type="character" w:customStyle="1" w:styleId="Style1Char">
    <w:name w:val="Style1 Char"/>
    <w:link w:val="Style1"/>
    <w:rsid w:val="00C004A0"/>
    <w:rPr>
      <w:rFonts w:ascii="Times New Roman" w:eastAsia="Times New Roman" w:hAnsi="Times New Roman" w:cs="Times New Roman"/>
      <w:color w:val="000000"/>
      <w:sz w:val="24"/>
      <w:szCs w:val="24"/>
    </w:rPr>
  </w:style>
  <w:style w:type="character" w:customStyle="1" w:styleId="s4">
    <w:name w:val="s4"/>
    <w:basedOn w:val="DefaultParagraphFont"/>
    <w:rsid w:val="00C004A0"/>
  </w:style>
  <w:style w:type="paragraph" w:customStyle="1" w:styleId="p1">
    <w:name w:val="p1"/>
    <w:basedOn w:val="Normal"/>
    <w:rsid w:val="00C004A0"/>
    <w:pPr>
      <w:snapToGrid/>
      <w:spacing w:before="0" w:after="120" w:line="276" w:lineRule="auto"/>
      <w:jc w:val="left"/>
    </w:pPr>
    <w:rPr>
      <w:rFonts w:ascii="Times" w:eastAsia="MS Mincho" w:hAnsi="Times" w:cs="Times New Roman"/>
      <w:sz w:val="14"/>
      <w:szCs w:val="14"/>
      <w:lang w:eastAsia="en-GB"/>
    </w:rPr>
  </w:style>
  <w:style w:type="table" w:customStyle="1" w:styleId="PlainTable22">
    <w:name w:val="Plain Table 22"/>
    <w:basedOn w:val="TableNormal"/>
    <w:next w:val="PlainTable2"/>
    <w:uiPriority w:val="42"/>
    <w:rsid w:val="00C004A0"/>
    <w:pPr>
      <w:spacing w:before="0" w:after="0"/>
      <w:jc w:val="left"/>
    </w:pPr>
    <w:rPr>
      <w:rFonts w:ascii="Times New Roman" w:hAnsi="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bulletsubparagraph">
    <w:name w:val="bullet subparagraph"/>
    <w:basedOn w:val="ListParagraph"/>
    <w:qFormat/>
    <w:rsid w:val="00C004A0"/>
    <w:pPr>
      <w:widowControl w:val="0"/>
      <w:numPr>
        <w:ilvl w:val="1"/>
        <w:numId w:val="22"/>
      </w:numPr>
      <w:tabs>
        <w:tab w:val="clear" w:pos="709"/>
        <w:tab w:val="num" w:pos="340"/>
        <w:tab w:val="left" w:pos="720"/>
        <w:tab w:val="left" w:pos="1260"/>
      </w:tabs>
      <w:autoSpaceDE/>
      <w:autoSpaceDN/>
      <w:adjustRightInd/>
      <w:spacing w:before="240" w:after="0"/>
    </w:pPr>
    <w:rPr>
      <w:rFonts w:eastAsia="Aptos" w:cs="Calibri"/>
      <w:snapToGrid/>
      <w:lang w:eastAsia="ja-JP"/>
    </w:rPr>
  </w:style>
  <w:style w:type="character" w:customStyle="1" w:styleId="Sub-Para1underXChar">
    <w:name w:val="Sub-Para 1 under X. Char"/>
    <w:basedOn w:val="DefaultParagraphFont"/>
    <w:link w:val="Sub-Para1underX"/>
    <w:uiPriority w:val="99"/>
    <w:locked/>
    <w:rsid w:val="00C004A0"/>
    <w:rPr>
      <w:rFonts w:ascii="Times New Roman" w:eastAsia="Times New Roman" w:hAnsi="Times New Roman" w:cs="Times New Roman"/>
      <w:sz w:val="24"/>
      <w:szCs w:val="24"/>
    </w:rPr>
  </w:style>
  <w:style w:type="paragraph" w:customStyle="1" w:styleId="TestHeadingDustin">
    <w:name w:val="Test Heading Dustin"/>
    <w:basedOn w:val="Heading3"/>
    <w:next w:val="BodyText"/>
    <w:link w:val="TestHeadingDustinChar"/>
    <w:qFormat/>
    <w:rsid w:val="00C004A0"/>
    <w:pPr>
      <w:keepLines/>
      <w:widowControl w:val="0"/>
      <w:shd w:val="clear" w:color="auto" w:fill="FFFFFF"/>
      <w:autoSpaceDE w:val="0"/>
      <w:autoSpaceDN w:val="0"/>
      <w:adjustRightInd w:val="0"/>
      <w:snapToGrid/>
      <w:spacing w:before="0" w:line="240" w:lineRule="exact"/>
      <w:ind w:left="922" w:right="1134" w:hanging="360"/>
      <w:jc w:val="left"/>
      <w:textAlignment w:val="baseline"/>
    </w:pPr>
    <w:rPr>
      <w:rFonts w:ascii="Times New Roman" w:eastAsia="MS Gothic" w:hAnsi="Times New Roman"/>
      <w:b w:val="0"/>
      <w:bCs w:val="0"/>
      <w:i/>
      <w:snapToGrid/>
      <w:color w:val="333333"/>
      <w:position w:val="4"/>
      <w:bdr w:val="none" w:sz="0" w:space="0" w:color="auto" w:frame="1"/>
    </w:rPr>
  </w:style>
  <w:style w:type="character" w:customStyle="1" w:styleId="TestHeadingDustinChar">
    <w:name w:val="Test Heading Dustin Char"/>
    <w:basedOn w:val="Heading3Char"/>
    <w:link w:val="TestHeadingDustin"/>
    <w:rsid w:val="00C004A0"/>
    <w:rPr>
      <w:rFonts w:ascii="Times New Roman" w:eastAsia="MS Gothic" w:hAnsi="Times New Roman" w:cstheme="minorHAnsi"/>
      <w:b w:val="0"/>
      <w:bCs w:val="0"/>
      <w:i/>
      <w:snapToGrid/>
      <w:color w:val="333333"/>
      <w:position w:val="4"/>
      <w:sz w:val="24"/>
      <w:szCs w:val="24"/>
      <w:bdr w:val="none" w:sz="0" w:space="0" w:color="auto" w:frame="1"/>
      <w:shd w:val="clear" w:color="auto" w:fill="FFFFFF"/>
      <w:lang w:val="fr-FR"/>
    </w:rPr>
  </w:style>
  <w:style w:type="paragraph" w:customStyle="1" w:styleId="1Paragraph">
    <w:name w:val="1. Paragraph"/>
    <w:basedOn w:val="Normal"/>
    <w:link w:val="1ParagraphChar"/>
    <w:qFormat/>
    <w:rsid w:val="00C004A0"/>
    <w:pPr>
      <w:numPr>
        <w:numId w:val="25"/>
      </w:numPr>
      <w:tabs>
        <w:tab w:val="num" w:pos="720"/>
      </w:tabs>
      <w:snapToGrid/>
      <w:spacing w:before="0" w:after="240" w:line="276" w:lineRule="auto"/>
      <w:jc w:val="left"/>
    </w:pPr>
    <w:rPr>
      <w:rFonts w:ascii="Times New Roman" w:eastAsia="MS Mincho" w:hAnsi="Times New Roman" w:cs="Calibri"/>
      <w:sz w:val="24"/>
      <w:szCs w:val="24"/>
      <w:lang w:eastAsia="zh-CN"/>
    </w:rPr>
  </w:style>
  <w:style w:type="character" w:customStyle="1" w:styleId="1ParagraphChar">
    <w:name w:val="1. Paragraph Char"/>
    <w:basedOn w:val="DefaultParagraphFont"/>
    <w:link w:val="1Paragraph"/>
    <w:rsid w:val="00C004A0"/>
    <w:rPr>
      <w:rFonts w:ascii="Times New Roman" w:eastAsia="MS Mincho" w:hAnsi="Times New Roman" w:cs="Calibri"/>
      <w:sz w:val="24"/>
      <w:szCs w:val="24"/>
      <w:lang w:eastAsia="zh-CN"/>
    </w:rPr>
  </w:style>
  <w:style w:type="table" w:customStyle="1" w:styleId="PlainTable211">
    <w:name w:val="Plain Table 211"/>
    <w:basedOn w:val="TableNormal"/>
    <w:next w:val="PlainTable2"/>
    <w:uiPriority w:val="42"/>
    <w:rsid w:val="00C004A0"/>
    <w:pPr>
      <w:spacing w:before="0" w:after="0"/>
      <w:jc w:val="left"/>
    </w:pPr>
    <w:rPr>
      <w:rFonts w:ascii="Times New Roman" w:eastAsia="Calibri" w:hAnsi="Times New Roman"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7Colorful1">
    <w:name w:val="List Table 7 Colorful1"/>
    <w:basedOn w:val="TableNormal"/>
    <w:next w:val="ListTable7Colorful"/>
    <w:uiPriority w:val="52"/>
    <w:rsid w:val="00C004A0"/>
    <w:pPr>
      <w:spacing w:before="0" w:after="0"/>
      <w:jc w:val="left"/>
    </w:pPr>
    <w:rPr>
      <w:rFonts w:ascii="Times New Roman" w:eastAsia="MS Mincho" w:hAnsi="Times New Roman"/>
      <w:color w:val="000000"/>
      <w:lang w:eastAsia="de-DE"/>
    </w:rPr>
    <w:tblPr>
      <w:tblStyleRowBandSize w:val="1"/>
      <w:tblStyleColBandSize w:val="1"/>
    </w:tblPr>
    <w:tblStylePr w:type="firstRow">
      <w:rPr>
        <w:rFonts w:ascii="Segoe UI Variable Small Light" w:eastAsia="MS Gothic" w:hAnsi="Segoe UI Variable Small Light" w:cs="Times New Roman"/>
        <w:i/>
        <w:iCs/>
        <w:sz w:val="26"/>
      </w:rPr>
      <w:tblPr/>
      <w:tcPr>
        <w:tcBorders>
          <w:bottom w:val="single" w:sz="4" w:space="0" w:color="000000"/>
        </w:tcBorders>
        <w:shd w:val="clear" w:color="auto" w:fill="FFFFFF"/>
      </w:tcPr>
    </w:tblStylePr>
    <w:tblStylePr w:type="lastRow">
      <w:rPr>
        <w:rFonts w:ascii="Segoe UI Variable Small Light" w:eastAsia="MS Gothic" w:hAnsi="Segoe UI Variable Small Light" w:cs="Times New Roman"/>
        <w:i/>
        <w:iCs/>
        <w:sz w:val="26"/>
      </w:rPr>
      <w:tblPr/>
      <w:tcPr>
        <w:tcBorders>
          <w:top w:val="single" w:sz="4" w:space="0" w:color="000000"/>
        </w:tcBorders>
        <w:shd w:val="clear" w:color="auto" w:fill="FFFFFF"/>
      </w:tcPr>
    </w:tblStylePr>
    <w:tblStylePr w:type="firstCol">
      <w:pPr>
        <w:jc w:val="right"/>
      </w:pPr>
      <w:rPr>
        <w:rFonts w:ascii="Segoe UI Variable Small Light" w:eastAsia="MS Gothic" w:hAnsi="Segoe UI Variable Small Light" w:cs="Times New Roman"/>
        <w:i/>
        <w:iCs/>
        <w:sz w:val="26"/>
      </w:rPr>
      <w:tblPr/>
      <w:tcPr>
        <w:tcBorders>
          <w:right w:val="single" w:sz="4" w:space="0" w:color="000000"/>
        </w:tcBorders>
        <w:shd w:val="clear" w:color="auto" w:fill="FFFFFF"/>
      </w:tcPr>
    </w:tblStylePr>
    <w:tblStylePr w:type="lastCol">
      <w:rPr>
        <w:rFonts w:ascii="Segoe UI Variable Small Light" w:eastAsia="MS Gothic" w:hAnsi="Segoe UI Variable Small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
    <w:name w:val="Plain Table 51"/>
    <w:basedOn w:val="TableNormal"/>
    <w:next w:val="PlainTable5"/>
    <w:uiPriority w:val="45"/>
    <w:rsid w:val="00C004A0"/>
    <w:pPr>
      <w:spacing w:before="0" w:after="0"/>
      <w:jc w:val="left"/>
    </w:pPr>
    <w:rPr>
      <w:rFonts w:ascii="Times New Roman" w:eastAsia="MS Mincho" w:hAnsi="Times New Roman"/>
      <w:lang w:eastAsia="de-DE"/>
    </w:rPr>
    <w:tblPr>
      <w:tblStyleRowBandSize w:val="1"/>
      <w:tblStyleColBandSize w:val="1"/>
    </w:tblPr>
    <w:tblStylePr w:type="firstRow">
      <w:rPr>
        <w:rFonts w:ascii="Segoe UI Variable Small Light" w:eastAsia="MS Gothic" w:hAnsi="Segoe UI Variable Small Light" w:cs="Times New Roman"/>
        <w:i/>
        <w:iCs/>
        <w:sz w:val="26"/>
      </w:rPr>
      <w:tblPr/>
      <w:tcPr>
        <w:tcBorders>
          <w:bottom w:val="single" w:sz="4" w:space="0" w:color="7F7F7F"/>
        </w:tcBorders>
        <w:shd w:val="clear" w:color="auto" w:fill="FFFFFF"/>
      </w:tcPr>
    </w:tblStylePr>
    <w:tblStylePr w:type="lastRow">
      <w:rPr>
        <w:rFonts w:ascii="Segoe UI Variable Small Light" w:eastAsia="MS Gothic" w:hAnsi="Segoe UI Variable Small Light" w:cs="Times New Roman"/>
        <w:i/>
        <w:iCs/>
        <w:sz w:val="26"/>
      </w:rPr>
      <w:tblPr/>
      <w:tcPr>
        <w:tcBorders>
          <w:top w:val="single" w:sz="4" w:space="0" w:color="7F7F7F"/>
        </w:tcBorders>
        <w:shd w:val="clear" w:color="auto" w:fill="FFFFFF"/>
      </w:tcPr>
    </w:tblStylePr>
    <w:tblStylePr w:type="firstCol">
      <w:pPr>
        <w:jc w:val="right"/>
      </w:pPr>
      <w:rPr>
        <w:rFonts w:ascii="Segoe UI Variable Small Light" w:eastAsia="MS Gothic" w:hAnsi="Segoe UI Variable Small Light" w:cs="Times New Roman"/>
        <w:i/>
        <w:iCs/>
        <w:sz w:val="26"/>
      </w:rPr>
      <w:tblPr/>
      <w:tcPr>
        <w:tcBorders>
          <w:right w:val="single" w:sz="4" w:space="0" w:color="7F7F7F"/>
        </w:tcBorders>
        <w:shd w:val="clear" w:color="auto" w:fill="FFFFFF"/>
      </w:tcPr>
    </w:tblStylePr>
    <w:tblStylePr w:type="lastCol">
      <w:rPr>
        <w:rFonts w:ascii="Segoe UI Variable Small Light" w:eastAsia="MS Gothic" w:hAnsi="Segoe UI Variable Small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TMLPreformatted">
    <w:name w:val="HTML Preformatted"/>
    <w:basedOn w:val="Normal"/>
    <w:link w:val="HTMLPreformattedChar"/>
    <w:uiPriority w:val="99"/>
    <w:unhideWhenUsed/>
    <w:rsid w:val="00C00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before="0" w:after="120" w:line="276" w:lineRule="auto"/>
      <w:jc w:val="left"/>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rsid w:val="00C004A0"/>
    <w:rPr>
      <w:rFonts w:ascii="Courier New" w:eastAsia="Times New Roman" w:hAnsi="Courier New" w:cs="Courier New"/>
      <w:sz w:val="20"/>
      <w:szCs w:val="20"/>
      <w:lang w:val="fr-FR" w:eastAsia="fr-FR"/>
    </w:rPr>
  </w:style>
  <w:style w:type="paragraph" w:customStyle="1" w:styleId="numberedpara0">
    <w:name w:val="numbered para"/>
    <w:basedOn w:val="MainParagraphwith"/>
    <w:link w:val="numberedparaChar"/>
    <w:qFormat/>
    <w:rsid w:val="00C004A0"/>
    <w:pPr>
      <w:widowControl w:val="0"/>
      <w:tabs>
        <w:tab w:val="clear" w:pos="709"/>
        <w:tab w:val="clear" w:pos="4068"/>
        <w:tab w:val="left" w:pos="720"/>
        <w:tab w:val="left" w:pos="1260"/>
      </w:tabs>
      <w:spacing w:before="240"/>
      <w:ind w:left="0"/>
    </w:pPr>
    <w:rPr>
      <w:iCs/>
      <w:color w:val="000000"/>
    </w:rPr>
  </w:style>
  <w:style w:type="paragraph" w:customStyle="1" w:styleId="Subtitle1">
    <w:name w:val="Subtitle1"/>
    <w:basedOn w:val="Normal"/>
    <w:next w:val="Normal"/>
    <w:uiPriority w:val="11"/>
    <w:qFormat/>
    <w:rsid w:val="00C004A0"/>
    <w:pPr>
      <w:widowControl w:val="0"/>
      <w:numPr>
        <w:ilvl w:val="1"/>
      </w:numPr>
      <w:autoSpaceDE w:val="0"/>
      <w:autoSpaceDN w:val="0"/>
      <w:adjustRightInd w:val="0"/>
      <w:snapToGrid/>
      <w:spacing w:before="0" w:after="160" w:line="276" w:lineRule="auto"/>
    </w:pPr>
    <w:rPr>
      <w:rFonts w:ascii="Times New Roman" w:eastAsia="MS Mincho" w:hAnsi="Times New Roman"/>
      <w:color w:val="5A5A5A"/>
      <w:spacing w:val="15"/>
      <w:position w:val="4"/>
    </w:rPr>
  </w:style>
  <w:style w:type="character" w:customStyle="1" w:styleId="SubtitleChar">
    <w:name w:val="Subtitle Char"/>
    <w:basedOn w:val="DefaultParagraphFont"/>
    <w:link w:val="Subtitle"/>
    <w:uiPriority w:val="11"/>
    <w:rsid w:val="00C004A0"/>
    <w:rPr>
      <w:rFonts w:ascii="Times New Roman" w:hAnsi="Times New Roman"/>
      <w:color w:val="5A5A5A"/>
      <w:spacing w:val="15"/>
      <w:position w:val="4"/>
    </w:rPr>
  </w:style>
  <w:style w:type="paragraph" w:customStyle="1" w:styleId="geffieldtofillout">
    <w:name w:val="geffieldtofillout"/>
    <w:basedOn w:val="Normal"/>
    <w:rsid w:val="00C004A0"/>
    <w:pPr>
      <w:snapToGrid/>
      <w:spacing w:before="100" w:beforeAutospacing="1" w:after="100" w:afterAutospacing="1" w:line="276" w:lineRule="auto"/>
      <w:jc w:val="left"/>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C004A0"/>
  </w:style>
  <w:style w:type="paragraph" w:customStyle="1" w:styleId="H23GHeading21">
    <w:name w:val="H_2/3_G Heading 21"/>
    <w:basedOn w:val="Normal"/>
    <w:next w:val="Normal"/>
    <w:uiPriority w:val="99"/>
    <w:qFormat/>
    <w:rsid w:val="00C004A0"/>
    <w:pPr>
      <w:keepNext/>
      <w:keepLines/>
      <w:widowControl w:val="0"/>
      <w:numPr>
        <w:numId w:val="23"/>
      </w:numPr>
      <w:tabs>
        <w:tab w:val="num" w:pos="720"/>
      </w:tabs>
      <w:autoSpaceDE w:val="0"/>
      <w:autoSpaceDN w:val="0"/>
      <w:adjustRightInd w:val="0"/>
      <w:snapToGrid/>
      <w:spacing w:before="0" w:after="120" w:line="240" w:lineRule="exact"/>
      <w:ind w:left="720" w:right="1134"/>
      <w:jc w:val="left"/>
      <w:outlineLvl w:val="2"/>
    </w:pPr>
    <w:rPr>
      <w:rFonts w:ascii="Times New Roman" w:eastAsia="MS Gothic" w:hAnsi="Times New Roman" w:cs="Calibri"/>
      <w:b/>
      <w:bCs/>
      <w:i/>
      <w:position w:val="4"/>
      <w:sz w:val="24"/>
      <w:szCs w:val="24"/>
    </w:rPr>
  </w:style>
  <w:style w:type="paragraph" w:customStyle="1" w:styleId="TOC11">
    <w:name w:val="TOC 11"/>
    <w:basedOn w:val="Normal"/>
    <w:next w:val="Normal"/>
    <w:autoRedefine/>
    <w:uiPriority w:val="39"/>
    <w:qFormat/>
    <w:rsid w:val="00C004A0"/>
    <w:pPr>
      <w:widowControl w:val="0"/>
      <w:tabs>
        <w:tab w:val="right" w:leader="dot" w:pos="9621"/>
      </w:tabs>
      <w:autoSpaceDE w:val="0"/>
      <w:autoSpaceDN w:val="0"/>
      <w:adjustRightInd w:val="0"/>
      <w:snapToGrid/>
      <w:spacing w:before="120" w:after="120" w:line="276" w:lineRule="auto"/>
      <w:jc w:val="left"/>
    </w:pPr>
    <w:rPr>
      <w:rFonts w:ascii="Times New Roman" w:eastAsia="Arial Unicode MS" w:hAnsi="Times New Roman" w:cs="Times New Roman"/>
      <w:b/>
      <w:bCs/>
      <w:noProof/>
      <w:position w:val="4"/>
      <w:sz w:val="24"/>
    </w:rPr>
  </w:style>
  <w:style w:type="paragraph" w:customStyle="1" w:styleId="TOC21">
    <w:name w:val="TOC 21"/>
    <w:basedOn w:val="Normal"/>
    <w:next w:val="Normal"/>
    <w:autoRedefine/>
    <w:uiPriority w:val="39"/>
    <w:rsid w:val="00C004A0"/>
    <w:pPr>
      <w:widowControl w:val="0"/>
      <w:tabs>
        <w:tab w:val="left" w:pos="720"/>
        <w:tab w:val="right" w:leader="dot" w:pos="9621"/>
      </w:tabs>
      <w:autoSpaceDE w:val="0"/>
      <w:autoSpaceDN w:val="0"/>
      <w:adjustRightInd w:val="0"/>
      <w:snapToGrid/>
      <w:spacing w:before="0" w:after="120" w:line="276" w:lineRule="auto"/>
      <w:ind w:left="576" w:hanging="288"/>
      <w:jc w:val="left"/>
    </w:pPr>
    <w:rPr>
      <w:rFonts w:ascii="Times New Roman" w:eastAsia="Arial Unicode MS" w:hAnsi="Times New Roman" w:cs="Times New Roman"/>
      <w:b/>
      <w:bCs/>
      <w:noProof/>
      <w:position w:val="4"/>
    </w:rPr>
  </w:style>
  <w:style w:type="paragraph" w:customStyle="1" w:styleId="TOC31">
    <w:name w:val="TOC 31"/>
    <w:basedOn w:val="Normal"/>
    <w:next w:val="Normal"/>
    <w:autoRedefine/>
    <w:uiPriority w:val="39"/>
    <w:rsid w:val="00C004A0"/>
    <w:pPr>
      <w:widowControl w:val="0"/>
      <w:tabs>
        <w:tab w:val="left" w:pos="800"/>
        <w:tab w:val="right" w:leader="dot" w:pos="9621"/>
      </w:tabs>
      <w:autoSpaceDE w:val="0"/>
      <w:autoSpaceDN w:val="0"/>
      <w:adjustRightInd w:val="0"/>
      <w:snapToGrid/>
      <w:spacing w:before="0" w:after="120" w:line="276" w:lineRule="auto"/>
      <w:ind w:left="810" w:hanging="410"/>
      <w:jc w:val="left"/>
    </w:pPr>
    <w:rPr>
      <w:rFonts w:ascii="Times New Roman" w:eastAsia="Arial Unicode MS" w:hAnsi="Times New Roman" w:cs="Times New Roman"/>
      <w:position w:val="4"/>
    </w:rPr>
  </w:style>
  <w:style w:type="paragraph" w:customStyle="1" w:styleId="ListofFigures1">
    <w:name w:val="List of Figures1"/>
    <w:basedOn w:val="Normal"/>
    <w:next w:val="Normal"/>
    <w:autoRedefine/>
    <w:uiPriority w:val="99"/>
    <w:rsid w:val="00C004A0"/>
    <w:pPr>
      <w:widowControl w:val="0"/>
      <w:tabs>
        <w:tab w:val="right" w:leader="dot" w:pos="9621"/>
      </w:tabs>
      <w:autoSpaceDE w:val="0"/>
      <w:autoSpaceDN w:val="0"/>
      <w:adjustRightInd w:val="0"/>
      <w:snapToGrid/>
      <w:spacing w:before="0" w:after="120" w:line="360" w:lineRule="auto"/>
      <w:jc w:val="left"/>
    </w:pPr>
    <w:rPr>
      <w:rFonts w:ascii="Times New Roman" w:eastAsia="Arial Unicode MS" w:hAnsi="Times New Roman" w:cs="Calibri"/>
      <w:b/>
      <w:bCs/>
      <w:noProof/>
      <w:position w:val="4"/>
    </w:rPr>
  </w:style>
  <w:style w:type="table" w:customStyle="1" w:styleId="PlainTable2111">
    <w:name w:val="Plain Table 2111"/>
    <w:basedOn w:val="TableNormal"/>
    <w:next w:val="PlainTable2"/>
    <w:uiPriority w:val="42"/>
    <w:rsid w:val="00C004A0"/>
    <w:pPr>
      <w:spacing w:before="0" w:after="0"/>
      <w:jc w:val="left"/>
    </w:pPr>
    <w:rPr>
      <w:rFonts w:ascii="Calibri" w:eastAsia="Calibri" w:hAnsi="Calibri" w:cs="Times New Roman"/>
      <w:sz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7Colorful11">
    <w:name w:val="List Table 7 Colorful11"/>
    <w:basedOn w:val="TableNormal"/>
    <w:next w:val="ListTable7Colorful"/>
    <w:uiPriority w:val="52"/>
    <w:rsid w:val="00C004A0"/>
    <w:pPr>
      <w:spacing w:before="0" w:after="0"/>
      <w:jc w:val="left"/>
    </w:pPr>
    <w:rPr>
      <w:rFonts w:ascii="Times New Roman" w:hAnsi="Times New Roman"/>
      <w:color w:val="000000"/>
      <w:lang w:eastAsia="de-DE"/>
    </w:rPr>
    <w:tblPr>
      <w:tblStyleRowBandSize w:val="1"/>
      <w:tblStyleColBandSize w:val="1"/>
    </w:tblPr>
    <w:tblStylePr w:type="firstRow">
      <w:rPr>
        <w:rFonts w:ascii="Segoe UI Variable Small Light" w:eastAsia="SimSun" w:hAnsi="Segoe UI Variable Small Light" w:cs="Times New Roman"/>
        <w:i/>
        <w:iCs/>
        <w:sz w:val="26"/>
      </w:rPr>
      <w:tblPr/>
      <w:tcPr>
        <w:tcBorders>
          <w:bottom w:val="single" w:sz="4" w:space="0" w:color="000000"/>
        </w:tcBorders>
        <w:shd w:val="clear" w:color="auto" w:fill="FFFFFF"/>
      </w:tcPr>
    </w:tblStylePr>
    <w:tblStylePr w:type="lastRow">
      <w:rPr>
        <w:rFonts w:ascii="Segoe UI Variable Small Light" w:eastAsia="SimSun" w:hAnsi="Segoe UI Variable Small Light" w:cs="Times New Roman"/>
        <w:i/>
        <w:iCs/>
        <w:sz w:val="26"/>
      </w:rPr>
      <w:tblPr/>
      <w:tcPr>
        <w:tcBorders>
          <w:top w:val="single" w:sz="4" w:space="0" w:color="000000"/>
        </w:tcBorders>
        <w:shd w:val="clear" w:color="auto" w:fill="FFFFFF"/>
      </w:tcPr>
    </w:tblStylePr>
    <w:tblStylePr w:type="firstCol">
      <w:pPr>
        <w:jc w:val="right"/>
      </w:pPr>
      <w:rPr>
        <w:rFonts w:ascii="Segoe UI Variable Small Light" w:eastAsia="SimSun" w:hAnsi="Segoe UI Variable Small Light" w:cs="Times New Roman"/>
        <w:i/>
        <w:iCs/>
        <w:sz w:val="26"/>
      </w:rPr>
      <w:tblPr/>
      <w:tcPr>
        <w:tcBorders>
          <w:right w:val="single" w:sz="4" w:space="0" w:color="000000"/>
        </w:tcBorders>
        <w:shd w:val="clear" w:color="auto" w:fill="FFFFFF"/>
      </w:tcPr>
    </w:tblStylePr>
    <w:tblStylePr w:type="lastCol">
      <w:rPr>
        <w:rFonts w:ascii="Segoe UI Variable Small Light" w:eastAsia="SimSun" w:hAnsi="Segoe UI Variable Small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1">
    <w:name w:val="Plain Table 511"/>
    <w:basedOn w:val="TableNormal"/>
    <w:next w:val="PlainTable5"/>
    <w:uiPriority w:val="45"/>
    <w:rsid w:val="00C004A0"/>
    <w:pPr>
      <w:spacing w:before="0" w:after="0"/>
      <w:jc w:val="left"/>
    </w:pPr>
    <w:rPr>
      <w:rFonts w:ascii="Times New Roman" w:hAnsi="Times New Roman"/>
      <w:lang w:eastAsia="de-DE"/>
    </w:rPr>
    <w:tblPr>
      <w:tblStyleRowBandSize w:val="1"/>
      <w:tblStyleColBandSize w:val="1"/>
    </w:tblPr>
    <w:tblStylePr w:type="firstRow">
      <w:rPr>
        <w:rFonts w:ascii="Segoe UI Variable Small Light" w:eastAsia="SimSun" w:hAnsi="Segoe UI Variable Small Light" w:cs="Times New Roman"/>
        <w:i/>
        <w:iCs/>
        <w:sz w:val="26"/>
      </w:rPr>
      <w:tblPr/>
      <w:tcPr>
        <w:tcBorders>
          <w:bottom w:val="single" w:sz="4" w:space="0" w:color="7F7F7F"/>
        </w:tcBorders>
        <w:shd w:val="clear" w:color="auto" w:fill="FFFFFF"/>
      </w:tcPr>
    </w:tblStylePr>
    <w:tblStylePr w:type="lastRow">
      <w:rPr>
        <w:rFonts w:ascii="Segoe UI Variable Small Light" w:eastAsia="SimSun" w:hAnsi="Segoe UI Variable Small Light" w:cs="Times New Roman"/>
        <w:i/>
        <w:iCs/>
        <w:sz w:val="26"/>
      </w:rPr>
      <w:tblPr/>
      <w:tcPr>
        <w:tcBorders>
          <w:top w:val="single" w:sz="4" w:space="0" w:color="7F7F7F"/>
        </w:tcBorders>
        <w:shd w:val="clear" w:color="auto" w:fill="FFFFFF"/>
      </w:tcPr>
    </w:tblStylePr>
    <w:tblStylePr w:type="firstCol">
      <w:pPr>
        <w:jc w:val="right"/>
      </w:pPr>
      <w:rPr>
        <w:rFonts w:ascii="Segoe UI Variable Small Light" w:eastAsia="SimSun" w:hAnsi="Segoe UI Variable Small Light" w:cs="Times New Roman"/>
        <w:i/>
        <w:iCs/>
        <w:sz w:val="26"/>
      </w:rPr>
      <w:tblPr/>
      <w:tcPr>
        <w:tcBorders>
          <w:right w:val="single" w:sz="4" w:space="0" w:color="7F7F7F"/>
        </w:tcBorders>
        <w:shd w:val="clear" w:color="auto" w:fill="FFFFFF"/>
      </w:tcPr>
    </w:tblStylePr>
    <w:tblStylePr w:type="lastCol">
      <w:rPr>
        <w:rFonts w:ascii="Segoe UI Variable Small Light" w:eastAsia="SimSun" w:hAnsi="Segoe UI Variable Small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3Char1">
    <w:name w:val="Heading 3 Char1"/>
    <w:basedOn w:val="DefaultParagraphFont"/>
    <w:uiPriority w:val="9"/>
    <w:semiHidden/>
    <w:rsid w:val="00C004A0"/>
    <w:rPr>
      <w:rFonts w:ascii="Cambria" w:eastAsia="MS Gothic" w:hAnsi="Cambria" w:cs="Times New Roman"/>
      <w:color w:val="243F60"/>
      <w:sz w:val="24"/>
      <w:szCs w:val="24"/>
    </w:rPr>
  </w:style>
  <w:style w:type="character" w:customStyle="1" w:styleId="SubtitleChar1">
    <w:name w:val="Subtitle Char1"/>
    <w:basedOn w:val="DefaultParagraphFont"/>
    <w:uiPriority w:val="11"/>
    <w:rsid w:val="00C004A0"/>
    <w:rPr>
      <w:rFonts w:eastAsia="MS Mincho"/>
      <w:color w:val="5A5A5A"/>
      <w:spacing w:val="15"/>
    </w:rPr>
  </w:style>
  <w:style w:type="paragraph" w:customStyle="1" w:styleId="GEFNumPara">
    <w:name w:val="GEFNumPara"/>
    <w:basedOn w:val="BodyText"/>
    <w:link w:val="GEFNumParaChar"/>
    <w:qFormat/>
    <w:rsid w:val="00C004A0"/>
    <w:pPr>
      <w:widowControl w:val="0"/>
      <w:numPr>
        <w:numId w:val="24"/>
      </w:numPr>
      <w:tabs>
        <w:tab w:val="num" w:pos="720"/>
      </w:tabs>
      <w:spacing w:before="240" w:after="240"/>
      <w:ind w:left="720"/>
      <w:jc w:val="left"/>
    </w:pPr>
    <w:rPr>
      <w:rFonts w:eastAsia="Calibri" w:cs="Calibri"/>
      <w:color w:val="000000"/>
      <w:position w:val="4"/>
      <w:szCs w:val="24"/>
    </w:rPr>
  </w:style>
  <w:style w:type="character" w:customStyle="1" w:styleId="GEFNumParaChar">
    <w:name w:val="GEFNumPara Char"/>
    <w:basedOn w:val="BodyTextChar"/>
    <w:link w:val="GEFNumPara"/>
    <w:rsid w:val="00C004A0"/>
    <w:rPr>
      <w:rFonts w:ascii="Times New Roman" w:eastAsia="Calibri" w:hAnsi="Times New Roman" w:cs="Calibri"/>
      <w:color w:val="000000"/>
      <w:position w:val="4"/>
      <w:szCs w:val="24"/>
      <w:lang w:val="fr-FR"/>
    </w:rPr>
  </w:style>
  <w:style w:type="paragraph" w:customStyle="1" w:styleId="NumPara">
    <w:name w:val="NumPara"/>
    <w:basedOn w:val="Normal"/>
    <w:link w:val="NumParaChar"/>
    <w:qFormat/>
    <w:rsid w:val="00C004A0"/>
    <w:pPr>
      <w:snapToGrid/>
      <w:spacing w:before="0" w:after="240" w:line="276" w:lineRule="auto"/>
      <w:jc w:val="left"/>
    </w:pPr>
    <w:rPr>
      <w:rFonts w:ascii="Times New Roman" w:hAnsi="Times New Roman" w:cs="Calibri"/>
      <w:sz w:val="24"/>
      <w:szCs w:val="24"/>
    </w:rPr>
  </w:style>
  <w:style w:type="character" w:customStyle="1" w:styleId="NumParaChar">
    <w:name w:val="NumPara Char"/>
    <w:basedOn w:val="DefaultParagraphFont"/>
    <w:link w:val="NumPara"/>
    <w:rsid w:val="00C004A0"/>
    <w:rPr>
      <w:rFonts w:ascii="Times New Roman" w:hAnsi="Times New Roman" w:cs="Calibri"/>
      <w:sz w:val="24"/>
      <w:szCs w:val="24"/>
    </w:rPr>
  </w:style>
  <w:style w:type="character" w:customStyle="1" w:styleId="acopre">
    <w:name w:val="acopre"/>
    <w:basedOn w:val="DefaultParagraphFont"/>
    <w:rsid w:val="00C004A0"/>
  </w:style>
  <w:style w:type="paragraph" w:customStyle="1" w:styleId="BlockText1">
    <w:name w:val="Block Text1"/>
    <w:basedOn w:val="Normal"/>
    <w:next w:val="BlockText"/>
    <w:uiPriority w:val="99"/>
    <w:semiHidden/>
    <w:unhideWhenUsed/>
    <w:rsid w:val="00C004A0"/>
    <w:pPr>
      <w:pBdr>
        <w:top w:val="single" w:sz="2" w:space="10" w:color="4F81BD"/>
        <w:left w:val="single" w:sz="2" w:space="10" w:color="4F81BD"/>
        <w:bottom w:val="single" w:sz="2" w:space="10" w:color="4F81BD"/>
        <w:right w:val="single" w:sz="2" w:space="10" w:color="4F81BD"/>
      </w:pBdr>
      <w:snapToGrid/>
      <w:spacing w:before="0" w:after="240" w:line="276" w:lineRule="auto"/>
      <w:ind w:left="1152" w:right="1152"/>
      <w:jc w:val="left"/>
    </w:pPr>
    <w:rPr>
      <w:rFonts w:eastAsia="MS Mincho"/>
      <w:i/>
      <w:iCs/>
      <w:color w:val="4F81BD"/>
      <w:sz w:val="24"/>
      <w:lang w:eastAsia="zh-CN"/>
    </w:rPr>
  </w:style>
  <w:style w:type="paragraph" w:customStyle="1" w:styleId="GEFnumPara0">
    <w:name w:val="GEFnumPara"/>
    <w:basedOn w:val="Normal"/>
    <w:autoRedefine/>
    <w:qFormat/>
    <w:rsid w:val="007501EB"/>
    <w:pPr>
      <w:numPr>
        <w:numId w:val="26"/>
      </w:numPr>
      <w:snapToGrid/>
      <w:spacing w:before="240" w:after="240"/>
      <w:ind w:left="720"/>
      <w:jc w:val="left"/>
    </w:pPr>
    <w:rPr>
      <w:rFonts w:eastAsia="MS Mincho" w:cs="Times New Roman"/>
      <w:sz w:val="24"/>
      <w:lang w:eastAsia="zh-CN"/>
    </w:rPr>
  </w:style>
  <w:style w:type="table" w:customStyle="1" w:styleId="TableGrid4">
    <w:name w:val="Table Grid4"/>
    <w:basedOn w:val="TableNormal"/>
    <w:next w:val="TableGrid"/>
    <w:uiPriority w:val="39"/>
    <w:rsid w:val="00C004A0"/>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1CharCharCharCharChar">
    <w:name w:val="BVI fnr Char1 Char Char Char Char Char"/>
    <w:aliases w:val="BVI fnr Car Car Char1 Char Char Char Char Char,BVI fnr Car Char1 Char Char Char Char Char,BVI fnr Car Car Car Car Char2 Char Char Char Char Char"/>
    <w:basedOn w:val="Normal"/>
    <w:uiPriority w:val="99"/>
    <w:rsid w:val="00C004A0"/>
    <w:pPr>
      <w:snapToGrid/>
      <w:spacing w:before="0" w:after="160" w:line="240" w:lineRule="exact"/>
      <w:jc w:val="left"/>
    </w:pPr>
    <w:rPr>
      <w:vertAlign w:val="superscript"/>
    </w:rPr>
  </w:style>
  <w:style w:type="paragraph" w:customStyle="1" w:styleId="xmsonormal">
    <w:name w:val="x_msonormal"/>
    <w:basedOn w:val="Normal"/>
    <w:rsid w:val="00C004A0"/>
    <w:pPr>
      <w:snapToGrid/>
      <w:spacing w:before="0" w:after="120" w:line="276" w:lineRule="auto"/>
      <w:jc w:val="left"/>
    </w:pPr>
    <w:rPr>
      <w:rFonts w:ascii="Calibri" w:hAnsi="Calibri" w:cs="Calibri"/>
    </w:rPr>
  </w:style>
  <w:style w:type="character" w:customStyle="1" w:styleId="markedcontent">
    <w:name w:val="markedcontent"/>
    <w:basedOn w:val="DefaultParagraphFont"/>
    <w:rsid w:val="00C004A0"/>
  </w:style>
  <w:style w:type="paragraph" w:customStyle="1" w:styleId="Numberedpara">
    <w:name w:val="Numbered para"/>
    <w:basedOn w:val="Normal"/>
    <w:link w:val="NumberedparaChar0"/>
    <w:autoRedefine/>
    <w:qFormat/>
    <w:rsid w:val="00C004A0"/>
    <w:pPr>
      <w:numPr>
        <w:numId w:val="28"/>
      </w:numPr>
      <w:tabs>
        <w:tab w:val="num" w:pos="720"/>
        <w:tab w:val="left" w:pos="900"/>
        <w:tab w:val="left" w:pos="1350"/>
        <w:tab w:val="left" w:pos="1530"/>
      </w:tabs>
      <w:snapToGrid/>
      <w:spacing w:before="0" w:after="120" w:line="276" w:lineRule="auto"/>
      <w:ind w:left="720"/>
      <w:contextualSpacing/>
      <w:jc w:val="left"/>
    </w:pPr>
    <w:rPr>
      <w:rFonts w:eastAsia="MS Mincho" w:cs="Times New Roman"/>
      <w:sz w:val="24"/>
      <w:lang w:eastAsia="zh-CN"/>
    </w:rPr>
  </w:style>
  <w:style w:type="character" w:customStyle="1" w:styleId="NumberedparaChar0">
    <w:name w:val="Numbered para Char"/>
    <w:basedOn w:val="DefaultParagraphFont"/>
    <w:link w:val="Numberedpara"/>
    <w:rsid w:val="00C004A0"/>
    <w:rPr>
      <w:rFonts w:eastAsia="MS Mincho" w:cs="Times New Roman"/>
      <w:sz w:val="24"/>
      <w:lang w:eastAsia="zh-CN"/>
    </w:rPr>
  </w:style>
  <w:style w:type="paragraph" w:customStyle="1" w:styleId="astyle">
    <w:name w:val="(a) style"/>
    <w:basedOn w:val="ListParagraph"/>
    <w:link w:val="astyleChar"/>
    <w:autoRedefine/>
    <w:qFormat/>
    <w:rsid w:val="00C004A0"/>
    <w:pPr>
      <w:numPr>
        <w:ilvl w:val="1"/>
        <w:numId w:val="27"/>
      </w:numPr>
      <w:tabs>
        <w:tab w:val="clear" w:pos="709"/>
        <w:tab w:val="num" w:pos="340"/>
        <w:tab w:val="left" w:pos="720"/>
        <w:tab w:val="left" w:pos="1260"/>
      </w:tabs>
      <w:autoSpaceDE/>
      <w:autoSpaceDN/>
      <w:adjustRightInd/>
      <w:spacing w:before="240" w:after="0"/>
    </w:pPr>
    <w:rPr>
      <w:rFonts w:eastAsia="Aptos" w:cs="Calibri"/>
      <w:i/>
      <w:iCs/>
      <w:snapToGrid/>
      <w:color w:val="auto"/>
      <w:lang w:eastAsia="zh-CN"/>
    </w:rPr>
  </w:style>
  <w:style w:type="character" w:customStyle="1" w:styleId="astyleChar">
    <w:name w:val="(a) style Char"/>
    <w:basedOn w:val="DefaultParagraphFont"/>
    <w:link w:val="astyle"/>
    <w:rsid w:val="00C004A0"/>
    <w:rPr>
      <w:rFonts w:eastAsia="Aptos" w:cs="Calibri"/>
      <w:i/>
      <w:iCs/>
      <w:sz w:val="24"/>
      <w:szCs w:val="24"/>
      <w:lang w:eastAsia="zh-CN"/>
    </w:rPr>
  </w:style>
  <w:style w:type="table" w:customStyle="1" w:styleId="GridTable1Light1">
    <w:name w:val="Grid Table 1 Light1"/>
    <w:basedOn w:val="TableNormal"/>
    <w:next w:val="GridTable1Light"/>
    <w:uiPriority w:val="46"/>
    <w:rsid w:val="00C004A0"/>
    <w:pPr>
      <w:spacing w:before="0" w:after="0"/>
      <w:jc w:val="left"/>
    </w:pPr>
    <w:rPr>
      <w:rFonts w:eastAsia="Arial Unicode MS"/>
    </w:rPr>
    <w:tblPr>
      <w:tblStyleRowBandSize w:val="1"/>
      <w:tblStyleColBandSize w:val="1"/>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C004A0"/>
    <w:rPr>
      <w:color w:val="808080"/>
      <w:shd w:val="clear" w:color="auto" w:fill="E6E6E6"/>
    </w:rPr>
  </w:style>
  <w:style w:type="character" w:customStyle="1" w:styleId="IntenseEmphasis1">
    <w:name w:val="Intense Emphasis1"/>
    <w:basedOn w:val="DefaultParagraphFont"/>
    <w:uiPriority w:val="21"/>
    <w:qFormat/>
    <w:rsid w:val="00C004A0"/>
    <w:rPr>
      <w:i/>
      <w:iCs/>
      <w:color w:val="4F81BD"/>
    </w:rPr>
  </w:style>
  <w:style w:type="character" w:customStyle="1" w:styleId="IntenseReference1">
    <w:name w:val="Intense Reference1"/>
    <w:basedOn w:val="DefaultParagraphFont"/>
    <w:uiPriority w:val="32"/>
    <w:qFormat/>
    <w:rsid w:val="00C004A0"/>
    <w:rPr>
      <w:b/>
      <w:bCs/>
      <w:smallCaps/>
      <w:color w:val="4F81BD"/>
      <w:spacing w:val="5"/>
    </w:rPr>
  </w:style>
  <w:style w:type="table" w:customStyle="1" w:styleId="TableGridLight2">
    <w:name w:val="Table Grid Light2"/>
    <w:basedOn w:val="TableNormal"/>
    <w:next w:val="TableGridLight"/>
    <w:uiPriority w:val="40"/>
    <w:rsid w:val="00C004A0"/>
    <w:pPr>
      <w:spacing w:before="0" w:after="0"/>
      <w:jc w:val="left"/>
    </w:pPr>
    <w:rPr>
      <w:rFonts w:eastAsia="MS Minch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31">
    <w:name w:val="Plain Table 31"/>
    <w:basedOn w:val="TableNormal"/>
    <w:next w:val="PlainTable3"/>
    <w:uiPriority w:val="43"/>
    <w:rsid w:val="00C004A0"/>
    <w:pPr>
      <w:spacing w:before="0" w:after="0"/>
      <w:jc w:val="left"/>
    </w:pPr>
    <w:rPr>
      <w:rFonts w:eastAsia="MS Mincho"/>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61">
    <w:name w:val="Grid Table 5 Dark - Accent 61"/>
    <w:basedOn w:val="TableNormal"/>
    <w:next w:val="GridTable5Dark-Accent6"/>
    <w:uiPriority w:val="50"/>
    <w:rsid w:val="00C004A0"/>
    <w:pPr>
      <w:spacing w:before="0" w:after="0"/>
      <w:jc w:val="left"/>
    </w:pPr>
    <w:rPr>
      <w:rFonts w:eastAsia="MS Minch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ListTable3-Accent61">
    <w:name w:val="List Table 3 - Accent 61"/>
    <w:basedOn w:val="TableNormal"/>
    <w:next w:val="ListTable3-Accent6"/>
    <w:uiPriority w:val="48"/>
    <w:rsid w:val="00C004A0"/>
    <w:pPr>
      <w:spacing w:before="0" w:after="0"/>
      <w:jc w:val="left"/>
    </w:pPr>
    <w:rPr>
      <w:rFonts w:eastAsia="MS Mincho"/>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GridTable7Colorful-Accent11">
    <w:name w:val="Grid Table 7 Colorful - Accent 11"/>
    <w:basedOn w:val="TableNormal"/>
    <w:next w:val="GridTable7Colorful-Accent1"/>
    <w:uiPriority w:val="52"/>
    <w:rsid w:val="00C004A0"/>
    <w:pPr>
      <w:spacing w:before="0" w:after="0"/>
      <w:jc w:val="left"/>
    </w:pPr>
    <w:rPr>
      <w:rFonts w:eastAsia="MS Mincho"/>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61">
    <w:name w:val="Grid Table 7 Colorful - Accent 61"/>
    <w:basedOn w:val="TableNormal"/>
    <w:next w:val="GridTable7Colorful-Accent6"/>
    <w:uiPriority w:val="52"/>
    <w:rsid w:val="00C004A0"/>
    <w:pPr>
      <w:spacing w:before="0" w:after="0"/>
      <w:jc w:val="left"/>
    </w:pPr>
    <w:rPr>
      <w:rFonts w:eastAsia="MS Mincho"/>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stTable4-Accent61">
    <w:name w:val="List Table 4 - Accent 61"/>
    <w:basedOn w:val="TableNormal"/>
    <w:next w:val="ListTable4-Accent6"/>
    <w:uiPriority w:val="49"/>
    <w:rsid w:val="00C004A0"/>
    <w:pPr>
      <w:spacing w:before="0" w:after="0"/>
      <w:jc w:val="left"/>
    </w:pPr>
    <w:rPr>
      <w:rFonts w:eastAsia="MS Mincho"/>
      <w:lang w:eastAsia="zh-C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character" w:customStyle="1" w:styleId="field">
    <w:name w:val="field"/>
    <w:basedOn w:val="DefaultParagraphFont"/>
    <w:rsid w:val="00C004A0"/>
  </w:style>
  <w:style w:type="character" w:customStyle="1" w:styleId="numberedparaChar">
    <w:name w:val="numbered para Char"/>
    <w:basedOn w:val="ListParagraphaChar"/>
    <w:link w:val="numberedpara0"/>
    <w:rsid w:val="00C004A0"/>
    <w:rPr>
      <w:rFonts w:eastAsia="MS Mincho" w:cs="Calibri"/>
      <w:iCs/>
      <w:color w:val="000000"/>
      <w:sz w:val="24"/>
      <w:szCs w:val="24"/>
      <w:lang w:eastAsia="zh-CN"/>
    </w:rPr>
  </w:style>
  <w:style w:type="table" w:customStyle="1" w:styleId="TableGrid5">
    <w:name w:val="Table Grid5"/>
    <w:basedOn w:val="TableNormal"/>
    <w:next w:val="TableGrid"/>
    <w:uiPriority w:val="39"/>
    <w:rsid w:val="00C004A0"/>
    <w:pPr>
      <w:spacing w:before="0" w:after="0"/>
      <w:jc w:val="left"/>
    </w:pPr>
    <w:rPr>
      <w:rFonts w:eastAsia="Calibr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run">
    <w:name w:val="textrun"/>
    <w:basedOn w:val="DefaultParagraphFont"/>
    <w:rsid w:val="00C004A0"/>
  </w:style>
  <w:style w:type="character" w:customStyle="1" w:styleId="linebreakblob">
    <w:name w:val="linebreakblob"/>
    <w:basedOn w:val="DefaultParagraphFont"/>
    <w:rsid w:val="00C004A0"/>
  </w:style>
  <w:style w:type="character" w:customStyle="1" w:styleId="scxw244632194">
    <w:name w:val="scxw244632194"/>
    <w:basedOn w:val="DefaultParagraphFont"/>
    <w:rsid w:val="00C004A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qFormat/>
    <w:rsid w:val="00C004A0"/>
    <w:pPr>
      <w:snapToGrid/>
      <w:spacing w:before="120" w:after="160" w:line="240" w:lineRule="exact"/>
    </w:pPr>
    <w:rPr>
      <w:rFonts w:eastAsia="MS Mincho" w:cs="Times New Roman"/>
      <w:sz w:val="24"/>
      <w:vertAlign w:val="superscript"/>
      <w:lang w:eastAsia="zh-CN"/>
    </w:rPr>
  </w:style>
  <w:style w:type="paragraph" w:customStyle="1" w:styleId="Quote1">
    <w:name w:val="Quote1"/>
    <w:basedOn w:val="Normal"/>
    <w:next w:val="Normal"/>
    <w:uiPriority w:val="29"/>
    <w:qFormat/>
    <w:rsid w:val="00C004A0"/>
    <w:pPr>
      <w:spacing w:before="160"/>
      <w:jc w:val="center"/>
    </w:pPr>
    <w:rPr>
      <w:i/>
      <w:iCs/>
      <w:color w:val="404040"/>
    </w:rPr>
  </w:style>
  <w:style w:type="character" w:customStyle="1" w:styleId="QuoteChar">
    <w:name w:val="Quote Char"/>
    <w:basedOn w:val="DefaultParagraphFont"/>
    <w:link w:val="Quote"/>
    <w:uiPriority w:val="29"/>
    <w:rsid w:val="00C004A0"/>
    <w:rPr>
      <w:rFonts w:eastAsia="Calibri"/>
      <w:i/>
      <w:iCs/>
      <w:color w:val="404040"/>
    </w:rPr>
  </w:style>
  <w:style w:type="paragraph" w:customStyle="1" w:styleId="IntenseQuote1">
    <w:name w:val="Intense Quote1"/>
    <w:basedOn w:val="Normal"/>
    <w:next w:val="Normal"/>
    <w:uiPriority w:val="30"/>
    <w:qFormat/>
    <w:rsid w:val="00C004A0"/>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basedOn w:val="DefaultParagraphFont"/>
    <w:link w:val="IntenseQuote"/>
    <w:uiPriority w:val="30"/>
    <w:rsid w:val="00C004A0"/>
    <w:rPr>
      <w:rFonts w:eastAsia="Calibri"/>
      <w:i/>
      <w:iCs/>
      <w:color w:val="365F91"/>
    </w:rPr>
  </w:style>
  <w:style w:type="paragraph" w:customStyle="1" w:styleId="CBDDesicionText">
    <w:name w:val="CBD_DesicionText"/>
    <w:basedOn w:val="Normal"/>
    <w:qFormat/>
    <w:rsid w:val="00C004A0"/>
    <w:pPr>
      <w:tabs>
        <w:tab w:val="left" w:pos="567"/>
        <w:tab w:val="left" w:pos="1134"/>
        <w:tab w:val="left" w:pos="1701"/>
        <w:tab w:val="left" w:pos="2268"/>
        <w:tab w:val="left" w:pos="2835"/>
        <w:tab w:val="left" w:pos="3402"/>
      </w:tabs>
      <w:snapToGrid/>
      <w:spacing w:before="0" w:after="120"/>
      <w:ind w:left="567" w:firstLine="567"/>
    </w:pPr>
    <w:rPr>
      <w:rFonts w:ascii="Times New Roman" w:hAnsi="Times New Roman" w:cs="Times New Roman"/>
    </w:rPr>
  </w:style>
  <w:style w:type="paragraph" w:customStyle="1" w:styleId="CBDH2">
    <w:name w:val="CBD_H2"/>
    <w:basedOn w:val="Normal"/>
    <w:qFormat/>
    <w:rsid w:val="00C004A0"/>
    <w:pPr>
      <w:keepNext/>
      <w:keepLines/>
      <w:tabs>
        <w:tab w:val="left" w:pos="567"/>
        <w:tab w:val="left" w:pos="1134"/>
        <w:tab w:val="left" w:pos="1701"/>
        <w:tab w:val="left" w:pos="2268"/>
        <w:tab w:val="left" w:pos="2835"/>
        <w:tab w:val="left" w:pos="3402"/>
        <w:tab w:val="left" w:pos="3969"/>
      </w:tabs>
      <w:snapToGrid/>
      <w:spacing w:before="120" w:after="120"/>
      <w:ind w:left="567" w:hanging="567"/>
    </w:pPr>
    <w:rPr>
      <w:rFonts w:ascii="Times New Roman" w:hAnsi="Times New Roman" w:cs="Times New Roman"/>
      <w:b/>
      <w:sz w:val="24"/>
    </w:rPr>
  </w:style>
  <w:style w:type="paragraph" w:customStyle="1" w:styleId="CBDAnnex">
    <w:name w:val="CBD_Annex"/>
    <w:basedOn w:val="Normal"/>
    <w:next w:val="Normal"/>
    <w:qFormat/>
    <w:rsid w:val="00C004A0"/>
    <w:pPr>
      <w:keepNext/>
      <w:keepLines/>
      <w:tabs>
        <w:tab w:val="left" w:pos="567"/>
        <w:tab w:val="left" w:pos="1134"/>
        <w:tab w:val="left" w:pos="1701"/>
        <w:tab w:val="left" w:pos="2268"/>
        <w:tab w:val="left" w:pos="2835"/>
        <w:tab w:val="left" w:pos="3402"/>
      </w:tabs>
      <w:snapToGrid/>
      <w:spacing w:before="0" w:after="240"/>
      <w:jc w:val="left"/>
    </w:pPr>
    <w:rPr>
      <w:rFonts w:ascii="Times New Roman" w:hAnsi="Times New Roman" w:cs="Times New Roman"/>
      <w:b/>
      <w:sz w:val="28"/>
      <w:lang w:bidi="ar-SY"/>
    </w:rPr>
  </w:style>
  <w:style w:type="paragraph" w:customStyle="1" w:styleId="CBDH3">
    <w:name w:val="CBD_H3"/>
    <w:basedOn w:val="Normal"/>
    <w:qFormat/>
    <w:rsid w:val="00C004A0"/>
    <w:pPr>
      <w:keepNext/>
      <w:keepLines/>
      <w:tabs>
        <w:tab w:val="left" w:pos="567"/>
        <w:tab w:val="left" w:pos="1134"/>
        <w:tab w:val="left" w:pos="1701"/>
        <w:tab w:val="left" w:pos="2268"/>
        <w:tab w:val="left" w:pos="2835"/>
        <w:tab w:val="left" w:pos="3402"/>
      </w:tabs>
      <w:snapToGrid/>
      <w:spacing w:before="120" w:after="120"/>
      <w:ind w:left="567" w:hanging="567"/>
      <w:jc w:val="left"/>
    </w:pPr>
    <w:rPr>
      <w:rFonts w:ascii="Times New Roman" w:hAnsi="Times New Roman" w:cs="Times New Roman"/>
      <w:b/>
    </w:rPr>
  </w:style>
  <w:style w:type="character" w:customStyle="1" w:styleId="Heading4Char1">
    <w:name w:val="Heading 4 Char1"/>
    <w:basedOn w:val="DefaultParagraphFont"/>
    <w:uiPriority w:val="9"/>
    <w:semiHidden/>
    <w:rsid w:val="00C004A0"/>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C004A0"/>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C004A0"/>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C004A0"/>
    <w:rPr>
      <w:rFonts w:asciiTheme="majorHAnsi" w:eastAsiaTheme="majorEastAsia" w:hAnsiTheme="majorHAnsi" w:cstheme="majorBidi"/>
      <w:i/>
      <w:iCs/>
      <w:color w:val="1F3763" w:themeColor="accent1" w:themeShade="7F"/>
    </w:rPr>
  </w:style>
  <w:style w:type="character" w:customStyle="1" w:styleId="Heading9Char1">
    <w:name w:val="Heading 9 Char1"/>
    <w:basedOn w:val="DefaultParagraphFont"/>
    <w:uiPriority w:val="9"/>
    <w:semiHidden/>
    <w:rsid w:val="00C004A0"/>
    <w:rPr>
      <w:rFonts w:asciiTheme="majorHAnsi" w:eastAsiaTheme="majorEastAsia" w:hAnsiTheme="majorHAnsi" w:cstheme="majorBidi"/>
      <w:i/>
      <w:iCs/>
      <w:color w:val="272727" w:themeColor="text1" w:themeTint="D8"/>
      <w:sz w:val="21"/>
      <w:szCs w:val="21"/>
    </w:rPr>
  </w:style>
  <w:style w:type="table" w:styleId="MediumList2-Accent1">
    <w:name w:val="Medium List 2 Accent 1"/>
    <w:basedOn w:val="TableNormal"/>
    <w:uiPriority w:val="66"/>
    <w:semiHidden/>
    <w:unhideWhenUsed/>
    <w:rsid w:val="00C004A0"/>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3">
    <w:name w:val="Light List Accent 3"/>
    <w:basedOn w:val="TableNormal"/>
    <w:uiPriority w:val="61"/>
    <w:semiHidden/>
    <w:unhideWhenUsed/>
    <w:rsid w:val="00C004A0"/>
    <w:pPr>
      <w:spacing w:before="0"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NoSpacing">
    <w:name w:val="No Spacing"/>
    <w:uiPriority w:val="1"/>
    <w:qFormat/>
    <w:rsid w:val="00C004A0"/>
    <w:pPr>
      <w:snapToGrid w:val="0"/>
      <w:spacing w:before="0" w:after="0"/>
    </w:pPr>
  </w:style>
  <w:style w:type="table" w:styleId="MediumGrid3-Accent3">
    <w:name w:val="Medium Grid 3 Accent 3"/>
    <w:basedOn w:val="TableNormal"/>
    <w:uiPriority w:val="69"/>
    <w:semiHidden/>
    <w:unhideWhenUsed/>
    <w:rsid w:val="00C004A0"/>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olorfulGrid-Accent3">
    <w:name w:val="Colorful Grid Accent 3"/>
    <w:basedOn w:val="TableNormal"/>
    <w:uiPriority w:val="73"/>
    <w:semiHidden/>
    <w:unhideWhenUsed/>
    <w:rsid w:val="00C004A0"/>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3">
    <w:name w:val="Medium Grid 1 Accent 3"/>
    <w:basedOn w:val="TableNormal"/>
    <w:uiPriority w:val="67"/>
    <w:semiHidden/>
    <w:unhideWhenUsed/>
    <w:rsid w:val="00C004A0"/>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3-Accent1">
    <w:name w:val="Medium Grid 3 Accent 1"/>
    <w:basedOn w:val="TableNormal"/>
    <w:uiPriority w:val="69"/>
    <w:semiHidden/>
    <w:unhideWhenUsed/>
    <w:rsid w:val="00C004A0"/>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Shading1-Accent3">
    <w:name w:val="Medium Shading 1 Accent 3"/>
    <w:basedOn w:val="TableNormal"/>
    <w:uiPriority w:val="63"/>
    <w:semiHidden/>
    <w:unhideWhenUsed/>
    <w:rsid w:val="00C004A0"/>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semiHidden/>
    <w:unhideWhenUsed/>
    <w:rsid w:val="00C004A0"/>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dTable5Dark-Accent1">
    <w:name w:val="Grid Table 5 Dark Accent 1"/>
    <w:basedOn w:val="TableNormal"/>
    <w:uiPriority w:val="50"/>
    <w:rsid w:val="00C004A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TOC5">
    <w:name w:val="toc 5"/>
    <w:basedOn w:val="Normal"/>
    <w:next w:val="Normal"/>
    <w:autoRedefine/>
    <w:uiPriority w:val="39"/>
    <w:unhideWhenUsed/>
    <w:rsid w:val="00C004A0"/>
    <w:pPr>
      <w:spacing w:after="100"/>
      <w:ind w:left="880"/>
    </w:pPr>
  </w:style>
  <w:style w:type="table" w:styleId="ListTable7Colorful">
    <w:name w:val="List Table 7 Colorful"/>
    <w:basedOn w:val="TableNormal"/>
    <w:uiPriority w:val="52"/>
    <w:rsid w:val="00C004A0"/>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5">
    <w:name w:val="Plain Table 5"/>
    <w:basedOn w:val="TableNormal"/>
    <w:uiPriority w:val="45"/>
    <w:rsid w:val="00C004A0"/>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ubtitle">
    <w:name w:val="Subtitle"/>
    <w:basedOn w:val="Normal"/>
    <w:next w:val="Normal"/>
    <w:link w:val="SubtitleChar"/>
    <w:uiPriority w:val="11"/>
    <w:qFormat/>
    <w:rsid w:val="00C004A0"/>
    <w:pPr>
      <w:numPr>
        <w:ilvl w:val="1"/>
      </w:numPr>
      <w:spacing w:after="160"/>
    </w:pPr>
    <w:rPr>
      <w:rFonts w:ascii="Times New Roman" w:hAnsi="Times New Roman"/>
      <w:color w:val="5A5A5A"/>
      <w:spacing w:val="15"/>
      <w:position w:val="4"/>
    </w:rPr>
  </w:style>
  <w:style w:type="character" w:customStyle="1" w:styleId="SubtitleChar2">
    <w:name w:val="Subtitle Char2"/>
    <w:basedOn w:val="DefaultParagraphFont"/>
    <w:uiPriority w:val="11"/>
    <w:rsid w:val="00C004A0"/>
    <w:rPr>
      <w:rFonts w:eastAsiaTheme="minorEastAsia"/>
      <w:color w:val="5A5A5A" w:themeColor="text1" w:themeTint="A5"/>
      <w:spacing w:val="15"/>
    </w:rPr>
  </w:style>
  <w:style w:type="paragraph" w:styleId="BlockText">
    <w:name w:val="Block Text"/>
    <w:basedOn w:val="Normal"/>
    <w:uiPriority w:val="99"/>
    <w:semiHidden/>
    <w:unhideWhenUsed/>
    <w:rsid w:val="00C004A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table" w:styleId="GridTable1Light">
    <w:name w:val="Grid Table 1 Light"/>
    <w:basedOn w:val="TableNormal"/>
    <w:uiPriority w:val="46"/>
    <w:rsid w:val="00C004A0"/>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IntenseEmphasis">
    <w:name w:val="Intense Emphasis"/>
    <w:basedOn w:val="DefaultParagraphFont"/>
    <w:uiPriority w:val="21"/>
    <w:qFormat/>
    <w:rsid w:val="00C004A0"/>
    <w:rPr>
      <w:i/>
      <w:iCs/>
      <w:color w:val="4472C4" w:themeColor="accent1"/>
    </w:rPr>
  </w:style>
  <w:style w:type="character" w:styleId="IntenseReference">
    <w:name w:val="Intense Reference"/>
    <w:basedOn w:val="DefaultParagraphFont"/>
    <w:uiPriority w:val="32"/>
    <w:qFormat/>
    <w:rsid w:val="00C004A0"/>
    <w:rPr>
      <w:b/>
      <w:bCs/>
      <w:smallCaps/>
      <w:color w:val="4472C4" w:themeColor="accent1"/>
      <w:spacing w:val="5"/>
    </w:rPr>
  </w:style>
  <w:style w:type="table" w:styleId="TableGridLight">
    <w:name w:val="Grid Table Light"/>
    <w:basedOn w:val="TableNormal"/>
    <w:uiPriority w:val="40"/>
    <w:rsid w:val="00C004A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5Dark-Accent6">
    <w:name w:val="Grid Table 5 Dark Accent 6"/>
    <w:basedOn w:val="TableNormal"/>
    <w:uiPriority w:val="50"/>
    <w:rsid w:val="00C004A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stTable3-Accent6">
    <w:name w:val="List Table 3 Accent 6"/>
    <w:basedOn w:val="TableNormal"/>
    <w:uiPriority w:val="48"/>
    <w:rsid w:val="00C004A0"/>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GridTable7Colorful-Accent1">
    <w:name w:val="Grid Table 7 Colorful Accent 1"/>
    <w:basedOn w:val="TableNormal"/>
    <w:uiPriority w:val="52"/>
    <w:rsid w:val="00C004A0"/>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6">
    <w:name w:val="Grid Table 7 Colorful Accent 6"/>
    <w:basedOn w:val="TableNormal"/>
    <w:uiPriority w:val="52"/>
    <w:rsid w:val="00C004A0"/>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stTable4-Accent6">
    <w:name w:val="List Table 4 Accent 6"/>
    <w:basedOn w:val="TableNormal"/>
    <w:uiPriority w:val="49"/>
    <w:rsid w:val="00C004A0"/>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Quote">
    <w:name w:val="Quote"/>
    <w:basedOn w:val="Normal"/>
    <w:next w:val="Normal"/>
    <w:link w:val="QuoteChar"/>
    <w:uiPriority w:val="29"/>
    <w:qFormat/>
    <w:rsid w:val="00C004A0"/>
    <w:pPr>
      <w:spacing w:before="200" w:after="160"/>
      <w:ind w:left="864" w:right="864"/>
      <w:jc w:val="center"/>
    </w:pPr>
    <w:rPr>
      <w:rFonts w:eastAsia="Calibri"/>
      <w:i/>
      <w:iCs/>
      <w:color w:val="404040"/>
    </w:rPr>
  </w:style>
  <w:style w:type="character" w:customStyle="1" w:styleId="QuoteChar1">
    <w:name w:val="Quote Char1"/>
    <w:basedOn w:val="DefaultParagraphFont"/>
    <w:uiPriority w:val="29"/>
    <w:rsid w:val="00C004A0"/>
    <w:rPr>
      <w:i/>
      <w:iCs/>
      <w:color w:val="404040" w:themeColor="text1" w:themeTint="BF"/>
    </w:rPr>
  </w:style>
  <w:style w:type="paragraph" w:styleId="IntenseQuote">
    <w:name w:val="Intense Quote"/>
    <w:basedOn w:val="Normal"/>
    <w:next w:val="Normal"/>
    <w:link w:val="IntenseQuoteChar"/>
    <w:uiPriority w:val="30"/>
    <w:qFormat/>
    <w:rsid w:val="00C004A0"/>
    <w:pPr>
      <w:pBdr>
        <w:top w:val="single" w:sz="4" w:space="10" w:color="4472C4" w:themeColor="accent1"/>
        <w:bottom w:val="single" w:sz="4" w:space="10" w:color="4472C4" w:themeColor="accent1"/>
      </w:pBdr>
      <w:spacing w:before="360" w:after="360"/>
      <w:ind w:left="864" w:right="864"/>
      <w:jc w:val="center"/>
    </w:pPr>
    <w:rPr>
      <w:rFonts w:eastAsia="Calibri"/>
      <w:i/>
      <w:iCs/>
      <w:color w:val="365F91"/>
    </w:rPr>
  </w:style>
  <w:style w:type="character" w:customStyle="1" w:styleId="IntenseQuoteChar1">
    <w:name w:val="Intense Quote Char1"/>
    <w:basedOn w:val="DefaultParagraphFont"/>
    <w:uiPriority w:val="30"/>
    <w:rsid w:val="00C004A0"/>
    <w:rPr>
      <w:i/>
      <w:iCs/>
      <w:color w:val="4472C4" w:themeColor="accent1"/>
    </w:rPr>
  </w:style>
  <w:style w:type="character" w:styleId="SubtleReference">
    <w:name w:val="Subtle Reference"/>
    <w:basedOn w:val="DefaultParagraphFont"/>
    <w:uiPriority w:val="31"/>
    <w:qFormat/>
    <w:rsid w:val="005B7F0C"/>
    <w:rPr>
      <w:smallCaps/>
      <w:color w:val="5A5A5A" w:themeColor="text1" w:themeTint="A5"/>
    </w:rPr>
  </w:style>
  <w:style w:type="paragraph" w:customStyle="1" w:styleId="TableParagraph">
    <w:name w:val="Table Paragraph"/>
    <w:basedOn w:val="Normal"/>
    <w:uiPriority w:val="1"/>
    <w:qFormat/>
    <w:rsid w:val="0056557D"/>
    <w:pPr>
      <w:widowControl w:val="0"/>
      <w:autoSpaceDE w:val="0"/>
      <w:autoSpaceDN w:val="0"/>
      <w:snapToGrid/>
      <w:spacing w:before="0" w:after="0"/>
      <w:jc w:val="left"/>
    </w:pPr>
    <w:rPr>
      <w:rFonts w:ascii="Calibri" w:eastAsiaTheme="minorEastAsia" w:hAnsi="Calibri" w:cs="Calibri"/>
      <w:sz w:val="24"/>
      <w:szCs w:val="24"/>
    </w:rPr>
  </w:style>
  <w:style w:type="paragraph" w:customStyle="1" w:styleId="pf0">
    <w:name w:val="pf0"/>
    <w:basedOn w:val="Normal"/>
    <w:rsid w:val="0056557D"/>
    <w:pPr>
      <w:snapToGrid/>
      <w:spacing w:before="100" w:beforeAutospacing="1" w:after="100" w:afterAutospacing="1"/>
      <w:jc w:val="left"/>
    </w:pPr>
    <w:rPr>
      <w:rFonts w:ascii="Times New Roman" w:eastAsia="Times New Roman" w:hAnsi="Times New Roman" w:cs="Times New Roman"/>
      <w:sz w:val="24"/>
      <w:szCs w:val="24"/>
    </w:rPr>
  </w:style>
  <w:style w:type="character" w:customStyle="1" w:styleId="cf01">
    <w:name w:val="cf01"/>
    <w:basedOn w:val="DefaultParagraphFont"/>
    <w:rsid w:val="0056557D"/>
    <w:rPr>
      <w:rFonts w:ascii="Segoe UI" w:hAnsi="Segoe UI" w:cs="Segoe UI" w:hint="default"/>
      <w:sz w:val="18"/>
      <w:szCs w:val="18"/>
    </w:rPr>
  </w:style>
  <w:style w:type="paragraph" w:customStyle="1" w:styleId="Paragraph0">
    <w:name w:val="Paragraph"/>
    <w:basedOn w:val="ListParagraph"/>
    <w:link w:val="ParagraphChar"/>
    <w:autoRedefine/>
    <w:qFormat/>
    <w:rsid w:val="00D363D3"/>
    <w:pPr>
      <w:autoSpaceDE/>
      <w:autoSpaceDN/>
      <w:adjustRightInd/>
      <w:spacing w:before="240"/>
    </w:pPr>
    <w:rPr>
      <w:rFonts w:cstheme="minorBidi"/>
      <w:snapToGrid/>
      <w:color w:val="auto"/>
    </w:rPr>
  </w:style>
  <w:style w:type="character" w:customStyle="1" w:styleId="ParagraphChar">
    <w:name w:val="Paragraph Char"/>
    <w:basedOn w:val="DefaultParagraphFont"/>
    <w:link w:val="Paragraph0"/>
    <w:rsid w:val="00947F8D"/>
    <w:rPr>
      <w:rFonts w:eastAsia="MS Mincho"/>
      <w:sz w:val="24"/>
      <w:szCs w:val="24"/>
    </w:rPr>
  </w:style>
  <w:style w:type="paragraph" w:customStyle="1" w:styleId="bulletpara">
    <w:name w:val="bullet para"/>
    <w:basedOn w:val="ListParagraph"/>
    <w:qFormat/>
    <w:rsid w:val="003165AE"/>
    <w:pPr>
      <w:numPr>
        <w:numId w:val="39"/>
      </w:numPr>
    </w:pPr>
  </w:style>
  <w:style w:type="paragraph" w:customStyle="1" w:styleId="xl63">
    <w:name w:val="xl63"/>
    <w:basedOn w:val="Normal"/>
    <w:rsid w:val="00F200F2"/>
    <w:pPr>
      <w:pBdr>
        <w:top w:val="single" w:sz="8" w:space="0" w:color="auto"/>
        <w:left w:val="single" w:sz="8" w:space="0" w:color="auto"/>
        <w:right w:val="single" w:sz="8" w:space="0" w:color="auto"/>
      </w:pBdr>
      <w:snapToGrid/>
      <w:spacing w:before="100" w:beforeAutospacing="1" w:after="100" w:afterAutospacing="1"/>
      <w:jc w:val="center"/>
      <w:textAlignment w:val="center"/>
    </w:pPr>
    <w:rPr>
      <w:rFonts w:ascii="Aptos" w:eastAsia="Times New Roman" w:hAnsi="Aptos" w:cs="Times New Roman"/>
      <w:sz w:val="20"/>
      <w:szCs w:val="20"/>
      <w:lang w:eastAsia="en-GB"/>
    </w:rPr>
  </w:style>
  <w:style w:type="paragraph" w:customStyle="1" w:styleId="xl64">
    <w:name w:val="xl64"/>
    <w:basedOn w:val="Normal"/>
    <w:rsid w:val="00F200F2"/>
    <w:pPr>
      <w:pBdr>
        <w:bottom w:val="single" w:sz="8" w:space="0" w:color="auto"/>
      </w:pBdr>
      <w:snapToGrid/>
      <w:spacing w:before="100" w:beforeAutospacing="1" w:after="100" w:afterAutospacing="1"/>
      <w:jc w:val="center"/>
      <w:textAlignment w:val="center"/>
    </w:pPr>
    <w:rPr>
      <w:rFonts w:ascii="Aptos" w:eastAsia="Times New Roman" w:hAnsi="Aptos" w:cs="Times New Roman"/>
      <w:sz w:val="20"/>
      <w:szCs w:val="20"/>
      <w:lang w:eastAsia="en-GB"/>
    </w:rPr>
  </w:style>
  <w:style w:type="paragraph" w:styleId="TOC4">
    <w:name w:val="toc 4"/>
    <w:basedOn w:val="Normal"/>
    <w:next w:val="Normal"/>
    <w:autoRedefine/>
    <w:uiPriority w:val="39"/>
    <w:unhideWhenUsed/>
    <w:rsid w:val="00A30B37"/>
    <w:pPr>
      <w:snapToGrid/>
      <w:spacing w:before="0" w:after="100" w:line="278" w:lineRule="auto"/>
      <w:ind w:left="720"/>
      <w:jc w:val="left"/>
    </w:pPr>
    <w:rPr>
      <w:rFonts w:eastAsiaTheme="minorEastAsia"/>
      <w:kern w:val="2"/>
      <w:sz w:val="24"/>
      <w:szCs w:val="24"/>
      <w14:ligatures w14:val="standardContextual"/>
    </w:rPr>
  </w:style>
  <w:style w:type="paragraph" w:styleId="TOC6">
    <w:name w:val="toc 6"/>
    <w:basedOn w:val="Normal"/>
    <w:next w:val="Normal"/>
    <w:autoRedefine/>
    <w:unhideWhenUsed/>
    <w:rsid w:val="00A30B37"/>
    <w:pPr>
      <w:snapToGrid/>
      <w:spacing w:before="0" w:after="100" w:line="278" w:lineRule="auto"/>
      <w:ind w:left="1200"/>
      <w:jc w:val="left"/>
    </w:pPr>
    <w:rPr>
      <w:rFonts w:eastAsiaTheme="minorEastAsia"/>
      <w:kern w:val="2"/>
      <w:sz w:val="24"/>
      <w:szCs w:val="24"/>
      <w14:ligatures w14:val="standardContextual"/>
    </w:rPr>
  </w:style>
  <w:style w:type="paragraph" w:styleId="TOC7">
    <w:name w:val="toc 7"/>
    <w:basedOn w:val="Normal"/>
    <w:next w:val="Normal"/>
    <w:autoRedefine/>
    <w:unhideWhenUsed/>
    <w:rsid w:val="00A30B37"/>
    <w:pPr>
      <w:snapToGrid/>
      <w:spacing w:before="0" w:after="100" w:line="278" w:lineRule="auto"/>
      <w:ind w:left="1440"/>
      <w:jc w:val="left"/>
    </w:pPr>
    <w:rPr>
      <w:rFonts w:eastAsiaTheme="minorEastAsia"/>
      <w:kern w:val="2"/>
      <w:sz w:val="24"/>
      <w:szCs w:val="24"/>
      <w14:ligatures w14:val="standardContextual"/>
    </w:rPr>
  </w:style>
  <w:style w:type="paragraph" w:styleId="TOC8">
    <w:name w:val="toc 8"/>
    <w:basedOn w:val="Normal"/>
    <w:next w:val="Normal"/>
    <w:autoRedefine/>
    <w:unhideWhenUsed/>
    <w:rsid w:val="00A30B37"/>
    <w:pPr>
      <w:snapToGrid/>
      <w:spacing w:before="0" w:after="100" w:line="278" w:lineRule="auto"/>
      <w:ind w:left="1680"/>
      <w:jc w:val="left"/>
    </w:pPr>
    <w:rPr>
      <w:rFonts w:eastAsiaTheme="minorEastAsia"/>
      <w:kern w:val="2"/>
      <w:sz w:val="24"/>
      <w:szCs w:val="24"/>
      <w14:ligatures w14:val="standardContextual"/>
    </w:rPr>
  </w:style>
  <w:style w:type="paragraph" w:styleId="TOC9">
    <w:name w:val="toc 9"/>
    <w:basedOn w:val="Normal"/>
    <w:next w:val="Normal"/>
    <w:autoRedefine/>
    <w:unhideWhenUsed/>
    <w:rsid w:val="00A30B37"/>
    <w:pPr>
      <w:snapToGrid/>
      <w:spacing w:before="0" w:after="100" w:line="278" w:lineRule="auto"/>
      <w:ind w:left="1920"/>
      <w:jc w:val="left"/>
    </w:pPr>
    <w:rPr>
      <w:rFonts w:eastAsiaTheme="minorEastAsia"/>
      <w:kern w:val="2"/>
      <w:sz w:val="24"/>
      <w:szCs w:val="24"/>
      <w14:ligatures w14:val="standardContextual"/>
    </w:rPr>
  </w:style>
  <w:style w:type="paragraph" w:customStyle="1" w:styleId="Cornernotation">
    <w:name w:val="Corner notation"/>
    <w:basedOn w:val="Normal"/>
    <w:rsid w:val="00085D11"/>
    <w:pPr>
      <w:tabs>
        <w:tab w:val="left" w:pos="567"/>
        <w:tab w:val="left" w:pos="1134"/>
        <w:tab w:val="left" w:pos="1701"/>
        <w:tab w:val="left" w:pos="2268"/>
      </w:tabs>
      <w:snapToGrid/>
      <w:spacing w:before="0" w:after="0"/>
      <w:ind w:left="170" w:right="3119" w:hanging="170"/>
      <w:jc w:val="left"/>
    </w:pPr>
    <w:rPr>
      <w:rFonts w:ascii="Times New Roman" w:hAnsi="Times New Roman" w:cs="Times New Roman"/>
    </w:rPr>
  </w:style>
  <w:style w:type="paragraph" w:customStyle="1" w:styleId="Heading1longmultiline">
    <w:name w:val="Heading 1 (long multiline)"/>
    <w:basedOn w:val="Heading1"/>
    <w:rsid w:val="00085D11"/>
    <w:pPr>
      <w:tabs>
        <w:tab w:val="left" w:pos="1134"/>
        <w:tab w:val="left" w:pos="1701"/>
        <w:tab w:val="left" w:pos="2268"/>
      </w:tabs>
      <w:adjustRightInd/>
      <w:snapToGrid/>
      <w:spacing w:before="240" w:after="120"/>
    </w:pPr>
    <w:rPr>
      <w:rFonts w:ascii="Times New Roman" w:hAnsi="Times New Roman" w:cstheme="majorBidi"/>
      <w:bCs/>
      <w:smallCaps w:val="0"/>
      <w:snapToGrid/>
      <w:color w:val="auto"/>
      <w:kern w:val="2"/>
      <w:szCs w:val="32"/>
      <w14:ligatures w14:val="standardContextual"/>
    </w:rPr>
  </w:style>
  <w:style w:type="paragraph" w:customStyle="1" w:styleId="Heading1multiline">
    <w:name w:val="Heading 1 (multiline)"/>
    <w:basedOn w:val="Heading1"/>
    <w:rsid w:val="00085D11"/>
    <w:pPr>
      <w:tabs>
        <w:tab w:val="left" w:pos="1134"/>
        <w:tab w:val="left" w:pos="1701"/>
        <w:tab w:val="left" w:pos="2268"/>
      </w:tabs>
      <w:adjustRightInd/>
      <w:snapToGrid/>
      <w:spacing w:before="240" w:after="120"/>
      <w:ind w:right="996"/>
    </w:pPr>
    <w:rPr>
      <w:rFonts w:ascii="Times New Roman" w:hAnsi="Times New Roman" w:cstheme="majorBidi"/>
      <w:bCs/>
      <w:smallCaps w:val="0"/>
      <w:snapToGrid/>
      <w:color w:val="auto"/>
      <w:kern w:val="2"/>
      <w:szCs w:val="32"/>
      <w14:ligatures w14:val="standardContextual"/>
    </w:rPr>
  </w:style>
  <w:style w:type="paragraph" w:customStyle="1" w:styleId="Heading2multiline">
    <w:name w:val="Heading 2 (multiline)"/>
    <w:basedOn w:val="Heading1"/>
    <w:next w:val="Normal"/>
    <w:rsid w:val="00085D11"/>
    <w:pPr>
      <w:tabs>
        <w:tab w:val="left" w:pos="1134"/>
        <w:tab w:val="left" w:pos="1701"/>
        <w:tab w:val="left" w:pos="2268"/>
      </w:tabs>
      <w:adjustRightInd/>
      <w:snapToGrid/>
      <w:spacing w:before="120" w:after="120"/>
      <w:ind w:right="998"/>
    </w:pPr>
    <w:rPr>
      <w:rFonts w:ascii="Times New Roman" w:hAnsi="Times New Roman" w:cstheme="majorBidi"/>
      <w:bCs/>
      <w:i/>
      <w:iCs/>
      <w:caps/>
      <w:smallCaps w:val="0"/>
      <w:snapToGrid/>
      <w:color w:val="auto"/>
      <w:kern w:val="2"/>
      <w:szCs w:val="32"/>
      <w14:ligatures w14:val="standardContextual"/>
    </w:rPr>
  </w:style>
  <w:style w:type="paragraph" w:customStyle="1" w:styleId="Heading2longmultiline">
    <w:name w:val="Heading 2 (long multiline)"/>
    <w:basedOn w:val="Heading2multiline"/>
    <w:rsid w:val="00085D11"/>
    <w:pPr>
      <w:ind w:left="2127" w:hanging="1276"/>
    </w:pPr>
  </w:style>
  <w:style w:type="paragraph" w:customStyle="1" w:styleId="heading2notforTOC">
    <w:name w:val="heading 2 not for TOC"/>
    <w:basedOn w:val="Heading3"/>
    <w:rsid w:val="00085D11"/>
    <w:pPr>
      <w:keepNext/>
      <w:keepLines/>
      <w:tabs>
        <w:tab w:val="left" w:pos="1134"/>
        <w:tab w:val="left" w:pos="1701"/>
        <w:tab w:val="left" w:pos="2268"/>
      </w:tabs>
      <w:snapToGrid/>
      <w:spacing w:before="120"/>
      <w:jc w:val="left"/>
    </w:pPr>
    <w:rPr>
      <w:rFonts w:ascii="Times New Roman" w:hAnsi="Times New Roman" w:cs="Times New Roman"/>
      <w:snapToGrid/>
      <w:color w:val="auto"/>
      <w:sz w:val="22"/>
      <w:szCs w:val="22"/>
    </w:rPr>
  </w:style>
  <w:style w:type="paragraph" w:customStyle="1" w:styleId="Heading3multiline">
    <w:name w:val="Heading 3 (multiline)"/>
    <w:basedOn w:val="Heading3"/>
    <w:next w:val="Normal"/>
    <w:rsid w:val="00085D11"/>
    <w:pPr>
      <w:keepNext/>
      <w:keepLines/>
      <w:tabs>
        <w:tab w:val="left" w:pos="1134"/>
        <w:tab w:val="left" w:pos="1701"/>
        <w:tab w:val="left" w:pos="2268"/>
      </w:tabs>
      <w:snapToGrid/>
      <w:spacing w:before="120"/>
      <w:jc w:val="left"/>
    </w:pPr>
    <w:rPr>
      <w:rFonts w:ascii="Times New Roman" w:hAnsi="Times New Roman" w:cs="Times New Roman"/>
      <w:snapToGrid/>
      <w:color w:val="auto"/>
      <w:sz w:val="22"/>
      <w:szCs w:val="22"/>
    </w:rPr>
  </w:style>
  <w:style w:type="paragraph" w:customStyle="1" w:styleId="Heading4indent">
    <w:name w:val="Heading 4 indent"/>
    <w:basedOn w:val="Heading4"/>
    <w:rsid w:val="00085D11"/>
    <w:pPr>
      <w:keepLines w:val="0"/>
      <w:tabs>
        <w:tab w:val="left" w:pos="1134"/>
        <w:tab w:val="left" w:pos="1701"/>
        <w:tab w:val="left" w:pos="2268"/>
      </w:tabs>
      <w:snapToGrid/>
      <w:spacing w:before="120" w:after="120"/>
      <w:jc w:val="left"/>
      <w:outlineLvl w:val="9"/>
    </w:pPr>
    <w:rPr>
      <w:rFonts w:ascii="Times New Roman" w:eastAsiaTheme="majorEastAsia" w:hAnsi="Times New Roman"/>
      <w:i w:val="0"/>
      <w:iCs w:val="0"/>
      <w:color w:val="auto"/>
    </w:rPr>
  </w:style>
  <w:style w:type="paragraph" w:customStyle="1" w:styleId="para4">
    <w:name w:val="para4"/>
    <w:basedOn w:val="Normal"/>
    <w:rsid w:val="00085D11"/>
    <w:pPr>
      <w:tabs>
        <w:tab w:val="left" w:pos="567"/>
        <w:tab w:val="left" w:pos="1134"/>
        <w:tab w:val="left" w:pos="1701"/>
        <w:tab w:val="left" w:pos="2268"/>
      </w:tabs>
      <w:overflowPunct w:val="0"/>
      <w:autoSpaceDE w:val="0"/>
      <w:autoSpaceDN w:val="0"/>
      <w:adjustRightInd w:val="0"/>
      <w:snapToGrid/>
      <w:spacing w:before="0" w:after="120" w:line="240" w:lineRule="atLeast"/>
      <w:textAlignment w:val="baseline"/>
    </w:pPr>
    <w:rPr>
      <w:rFonts w:ascii="Courier" w:hAnsi="Courier" w:cs="Times New Roman"/>
      <w:color w:val="000000"/>
      <w:sz w:val="20"/>
      <w:szCs w:val="20"/>
    </w:rPr>
  </w:style>
  <w:style w:type="paragraph" w:customStyle="1" w:styleId="Para-decision">
    <w:name w:val="Para-decision"/>
    <w:basedOn w:val="Normal"/>
    <w:rsid w:val="00085D11"/>
    <w:pPr>
      <w:tabs>
        <w:tab w:val="left" w:pos="-1440"/>
        <w:tab w:val="left" w:pos="-720"/>
        <w:tab w:val="left" w:pos="0"/>
        <w:tab w:val="left" w:pos="567"/>
        <w:tab w:val="left" w:pos="720"/>
        <w:tab w:val="left" w:pos="1134"/>
        <w:tab w:val="left" w:pos="1440"/>
        <w:tab w:val="left" w:pos="1701"/>
        <w:tab w:val="left" w:pos="2268"/>
      </w:tabs>
      <w:suppressAutoHyphens/>
      <w:overflowPunct w:val="0"/>
      <w:autoSpaceDE w:val="0"/>
      <w:autoSpaceDN w:val="0"/>
      <w:adjustRightInd w:val="0"/>
      <w:snapToGrid/>
      <w:spacing w:before="120" w:after="120"/>
      <w:ind w:firstLine="720"/>
      <w:jc w:val="left"/>
      <w:textAlignment w:val="baseline"/>
    </w:pPr>
    <w:rPr>
      <w:rFonts w:ascii="Times New Roman" w:hAnsi="Times New Roman" w:cs="Times New Roman"/>
      <w:color w:val="000000"/>
    </w:rPr>
  </w:style>
  <w:style w:type="paragraph" w:customStyle="1" w:styleId="Quotationtextindented">
    <w:name w:val="Quotation text (indented)"/>
    <w:basedOn w:val="Normal"/>
    <w:qFormat/>
    <w:rsid w:val="00085D11"/>
    <w:pPr>
      <w:tabs>
        <w:tab w:val="left" w:pos="567"/>
        <w:tab w:val="left" w:pos="1134"/>
        <w:tab w:val="left" w:pos="1701"/>
        <w:tab w:val="left" w:pos="2268"/>
      </w:tabs>
      <w:snapToGrid/>
      <w:spacing w:before="120" w:after="120"/>
      <w:ind w:left="720" w:right="720"/>
    </w:pPr>
    <w:rPr>
      <w:rFonts w:ascii="Times New Roman" w:hAnsi="Times New Roman" w:cs="Times New Roman"/>
      <w:bCs/>
    </w:rPr>
  </w:style>
  <w:style w:type="paragraph" w:customStyle="1" w:styleId="recommendationheader">
    <w:name w:val="recommendation header"/>
    <w:basedOn w:val="Heading2"/>
    <w:qFormat/>
    <w:rsid w:val="00085D11"/>
    <w:pPr>
      <w:tabs>
        <w:tab w:val="left" w:pos="1134"/>
        <w:tab w:val="left" w:pos="1701"/>
        <w:tab w:val="left" w:pos="2268"/>
      </w:tabs>
      <w:snapToGrid/>
      <w:spacing w:before="120" w:after="120"/>
      <w:jc w:val="left"/>
    </w:pPr>
    <w:rPr>
      <w:rFonts w:ascii="Times New Roman Bold" w:hAnsi="Times New Roman Bold" w:cstheme="majorBidi"/>
      <w:snapToGrid/>
      <w:color w:val="auto"/>
      <w:szCs w:val="26"/>
    </w:rPr>
  </w:style>
  <w:style w:type="paragraph" w:customStyle="1" w:styleId="recommendationheaderlong">
    <w:name w:val="recommendation header long"/>
    <w:basedOn w:val="Heading2longmultiline"/>
    <w:qFormat/>
    <w:rsid w:val="00085D11"/>
  </w:style>
  <w:style w:type="paragraph" w:customStyle="1" w:styleId="reference">
    <w:name w:val="reference"/>
    <w:basedOn w:val="Heading9"/>
    <w:qFormat/>
    <w:rsid w:val="00085D11"/>
    <w:pPr>
      <w:keepLines w:val="0"/>
      <w:widowControl w:val="0"/>
      <w:tabs>
        <w:tab w:val="left" w:pos="567"/>
        <w:tab w:val="left" w:pos="1134"/>
        <w:tab w:val="left" w:pos="1701"/>
        <w:tab w:val="left" w:pos="2268"/>
      </w:tabs>
      <w:suppressAutoHyphens/>
      <w:snapToGrid/>
      <w:spacing w:before="0"/>
      <w:jc w:val="left"/>
    </w:pPr>
    <w:rPr>
      <w:rFonts w:ascii="Times New Roman" w:eastAsia="SimSun" w:hAnsi="Times New Roman"/>
      <w:iCs w:val="0"/>
      <w:snapToGrid w:val="0"/>
      <w:color w:val="auto"/>
      <w:sz w:val="18"/>
      <w:szCs w:val="22"/>
      <w:u w:val="single"/>
    </w:rPr>
  </w:style>
  <w:style w:type="character" w:customStyle="1" w:styleId="StyleFootnoteReferenceNounderline">
    <w:name w:val="Style Footnote Reference + No underline"/>
    <w:rsid w:val="00085D11"/>
    <w:rPr>
      <w:sz w:val="18"/>
      <w:u w:val="none"/>
      <w:vertAlign w:val="baseline"/>
      <w:lang w:val="fr-FR"/>
    </w:rPr>
  </w:style>
  <w:style w:type="paragraph" w:customStyle="1" w:styleId="tabletitle">
    <w:name w:val="table title"/>
    <w:basedOn w:val="Heading2"/>
    <w:qFormat/>
    <w:rsid w:val="00085D11"/>
    <w:pPr>
      <w:tabs>
        <w:tab w:val="left" w:pos="1134"/>
        <w:tab w:val="left" w:pos="1701"/>
        <w:tab w:val="left" w:pos="2268"/>
      </w:tabs>
      <w:snapToGrid/>
      <w:spacing w:before="120" w:after="120"/>
      <w:jc w:val="left"/>
      <w:outlineLvl w:val="9"/>
    </w:pPr>
    <w:rPr>
      <w:rFonts w:ascii="Times New Roman Bold" w:hAnsi="Times New Roman Bold" w:cstheme="majorBidi"/>
      <w:i/>
      <w:snapToGrid/>
      <w:color w:val="auto"/>
      <w:szCs w:val="26"/>
    </w:rPr>
  </w:style>
  <w:style w:type="paragraph" w:styleId="TOAHeading">
    <w:name w:val="toa heading"/>
    <w:basedOn w:val="Normal"/>
    <w:next w:val="Normal"/>
    <w:semiHidden/>
    <w:rsid w:val="00085D11"/>
    <w:pPr>
      <w:tabs>
        <w:tab w:val="left" w:pos="567"/>
        <w:tab w:val="left" w:pos="1134"/>
        <w:tab w:val="left" w:pos="1701"/>
        <w:tab w:val="left" w:pos="2268"/>
      </w:tabs>
      <w:snapToGrid/>
      <w:spacing w:before="120" w:after="0"/>
    </w:pPr>
    <w:rPr>
      <w:rFonts w:ascii="Times New Roman" w:hAnsi="Times New Roman" w:cs="Arial"/>
      <w:b/>
      <w:bCs/>
      <w:sz w:val="24"/>
    </w:rPr>
  </w:style>
  <w:style w:type="paragraph" w:customStyle="1" w:styleId="CBD-Doc-Type">
    <w:name w:val="CBD-Doc-Type"/>
    <w:basedOn w:val="Normal"/>
    <w:rsid w:val="00085D11"/>
    <w:pPr>
      <w:keepLines/>
      <w:tabs>
        <w:tab w:val="left" w:pos="567"/>
        <w:tab w:val="left" w:pos="1134"/>
        <w:tab w:val="left" w:pos="1701"/>
        <w:tab w:val="left" w:pos="2268"/>
      </w:tabs>
      <w:snapToGrid/>
      <w:spacing w:before="240" w:after="120"/>
    </w:pPr>
    <w:rPr>
      <w:rFonts w:ascii="Times New Roman" w:hAnsi="Times New Roman" w:cs="Angsana New"/>
      <w:b/>
      <w:i/>
      <w:sz w:val="24"/>
    </w:rPr>
  </w:style>
  <w:style w:type="paragraph" w:customStyle="1" w:styleId="CBD-Doc">
    <w:name w:val="CBD-Doc"/>
    <w:basedOn w:val="Normal"/>
    <w:rsid w:val="00085D11"/>
    <w:pPr>
      <w:keepLines/>
      <w:numPr>
        <w:numId w:val="41"/>
      </w:numPr>
      <w:tabs>
        <w:tab w:val="clear" w:pos="567"/>
        <w:tab w:val="left" w:pos="1134"/>
        <w:tab w:val="left" w:pos="1701"/>
        <w:tab w:val="left" w:pos="2268"/>
      </w:tabs>
      <w:snapToGrid/>
      <w:spacing w:before="0" w:after="120"/>
      <w:ind w:left="0" w:firstLine="0"/>
    </w:pPr>
    <w:rPr>
      <w:rFonts w:ascii="Times New Roman" w:hAnsi="Times New Roman" w:cs="Angsana New"/>
    </w:rPr>
  </w:style>
  <w:style w:type="paragraph" w:customStyle="1" w:styleId="DarkList-Accent31">
    <w:name w:val="Dark List - Accent 31"/>
    <w:hidden/>
    <w:uiPriority w:val="99"/>
    <w:semiHidden/>
    <w:rsid w:val="00085D11"/>
    <w:pPr>
      <w:spacing w:before="0" w:after="0"/>
      <w:jc w:val="left"/>
    </w:pPr>
    <w:rPr>
      <w:rFonts w:ascii="Times New Roman" w:hAnsi="Times New Roman" w:cs="Times New Roman"/>
      <w:lang w:eastAsia="en-GB"/>
    </w:rPr>
  </w:style>
  <w:style w:type="paragraph" w:customStyle="1" w:styleId="CBDNormalNoNumber">
    <w:name w:val="CBD_Normal_NoNumber"/>
    <w:basedOn w:val="CBDNormal"/>
    <w:qFormat/>
    <w:rsid w:val="00085D11"/>
    <w:pPr>
      <w:spacing w:after="120"/>
      <w:ind w:left="567"/>
    </w:pPr>
  </w:style>
  <w:style w:type="paragraph" w:customStyle="1" w:styleId="ABSymbol">
    <w:name w:val="AB_Symbol"/>
    <w:basedOn w:val="Normal"/>
    <w:qFormat/>
    <w:rsid w:val="00085D11"/>
    <w:pPr>
      <w:tabs>
        <w:tab w:val="left" w:pos="567"/>
        <w:tab w:val="left" w:pos="1134"/>
        <w:tab w:val="left" w:pos="1701"/>
        <w:tab w:val="left" w:pos="1871"/>
        <w:tab w:val="left" w:pos="2268"/>
        <w:tab w:val="left" w:pos="2495"/>
        <w:tab w:val="right" w:pos="2920"/>
        <w:tab w:val="left" w:pos="3119"/>
        <w:tab w:val="left" w:pos="3742"/>
        <w:tab w:val="left" w:pos="4366"/>
        <w:tab w:val="left" w:pos="4990"/>
      </w:tabs>
      <w:snapToGrid/>
      <w:spacing w:before="0" w:after="120"/>
      <w:ind w:left="2019"/>
      <w:jc w:val="right"/>
    </w:pPr>
    <w:rPr>
      <w:rFonts w:ascii="Times New Roman" w:hAnsi="Times New Roman" w:cs="Times New Roman"/>
      <w:sz w:val="20"/>
      <w:szCs w:val="20"/>
    </w:rPr>
  </w:style>
  <w:style w:type="paragraph" w:customStyle="1" w:styleId="CBDNormalNumber">
    <w:name w:val="CBD_Normal_Number"/>
    <w:basedOn w:val="CBDNormal"/>
    <w:qFormat/>
    <w:rsid w:val="00085D11"/>
    <w:pPr>
      <w:numPr>
        <w:numId w:val="44"/>
      </w:numPr>
      <w:tabs>
        <w:tab w:val="left" w:pos="3969"/>
      </w:tabs>
      <w:spacing w:before="120" w:after="120"/>
    </w:pPr>
  </w:style>
  <w:style w:type="paragraph" w:customStyle="1" w:styleId="AFCorNNormal">
    <w:name w:val="AF_CorNNormal"/>
    <w:basedOn w:val="Normal"/>
    <w:unhideWhenUsed/>
    <w:rsid w:val="00085D11"/>
    <w:pPr>
      <w:tabs>
        <w:tab w:val="left" w:pos="567"/>
        <w:tab w:val="left" w:pos="1134"/>
        <w:tab w:val="left" w:pos="1701"/>
        <w:tab w:val="left" w:pos="2268"/>
      </w:tabs>
      <w:snapToGrid/>
      <w:spacing w:before="0" w:after="0"/>
      <w:jc w:val="left"/>
    </w:pPr>
    <w:rPr>
      <w:rFonts w:ascii="Times New Roman" w:hAnsi="Times New Roman" w:cs="Times New Roman"/>
    </w:rPr>
  </w:style>
  <w:style w:type="paragraph" w:customStyle="1" w:styleId="AEDistrNormal">
    <w:name w:val="AE_DistrNormal"/>
    <w:basedOn w:val="Normal"/>
    <w:unhideWhenUsed/>
    <w:rsid w:val="00085D11"/>
    <w:pPr>
      <w:tabs>
        <w:tab w:val="left" w:pos="567"/>
        <w:tab w:val="left" w:pos="1134"/>
        <w:tab w:val="left" w:pos="1701"/>
        <w:tab w:val="left" w:pos="2268"/>
      </w:tabs>
      <w:snapToGrid/>
      <w:spacing w:before="0" w:after="0"/>
      <w:jc w:val="left"/>
    </w:pPr>
    <w:rPr>
      <w:rFonts w:ascii="Times New Roman" w:hAnsi="Times New Roman" w:cs="Times New Roman"/>
    </w:rPr>
  </w:style>
  <w:style w:type="paragraph" w:customStyle="1" w:styleId="AASmallLogo">
    <w:name w:val="AA_SmallLogo"/>
    <w:basedOn w:val="AEDistrNormal"/>
    <w:unhideWhenUsed/>
    <w:rsid w:val="00085D11"/>
    <w:pPr>
      <w:spacing w:before="40"/>
    </w:pPr>
    <w:rPr>
      <w:sz w:val="4"/>
    </w:rPr>
  </w:style>
  <w:style w:type="paragraph" w:customStyle="1" w:styleId="ACLargeLogo">
    <w:name w:val="AC_LargeLogo"/>
    <w:basedOn w:val="AFCorNNormal"/>
    <w:next w:val="AISpacer"/>
    <w:unhideWhenUsed/>
    <w:rsid w:val="00085D11"/>
    <w:pPr>
      <w:spacing w:before="120"/>
      <w:contextualSpacing/>
    </w:pPr>
    <w:rPr>
      <w:sz w:val="8"/>
    </w:rPr>
  </w:style>
  <w:style w:type="paragraph" w:customStyle="1" w:styleId="Item">
    <w:name w:val="Item"/>
    <w:basedOn w:val="Normal"/>
    <w:semiHidden/>
    <w:qFormat/>
    <w:rsid w:val="00085D11"/>
    <w:pPr>
      <w:suppressLineNumbers/>
      <w:tabs>
        <w:tab w:val="left" w:pos="567"/>
        <w:tab w:val="left" w:pos="1134"/>
        <w:tab w:val="left" w:pos="1701"/>
        <w:tab w:val="left" w:pos="2268"/>
      </w:tabs>
      <w:suppressAutoHyphens/>
      <w:snapToGrid/>
      <w:spacing w:before="240" w:after="120"/>
      <w:jc w:val="left"/>
    </w:pPr>
    <w:rPr>
      <w:rFonts w:ascii="Times New Roman" w:eastAsia="Times New Roman" w:hAnsi="Times New Roman" w:cs="Times New Roman"/>
      <w:b/>
      <w:iCs/>
      <w:snapToGrid w:val="0"/>
      <w:kern w:val="22"/>
      <w:sz w:val="24"/>
    </w:rPr>
  </w:style>
  <w:style w:type="paragraph" w:customStyle="1" w:styleId="CBDNormal">
    <w:name w:val="CBD_Normal"/>
    <w:unhideWhenUsed/>
    <w:qFormat/>
    <w:rsid w:val="00085D11"/>
    <w:pPr>
      <w:tabs>
        <w:tab w:val="left" w:pos="567"/>
        <w:tab w:val="left" w:pos="1134"/>
        <w:tab w:val="left" w:pos="1701"/>
        <w:tab w:val="left" w:pos="2268"/>
        <w:tab w:val="left" w:pos="2835"/>
        <w:tab w:val="left" w:pos="3402"/>
      </w:tabs>
      <w:spacing w:before="0" w:after="0"/>
    </w:pPr>
    <w:rPr>
      <w:rFonts w:ascii="Times New Roman" w:hAnsi="Times New Roman" w:cs="Times New Roman"/>
    </w:rPr>
  </w:style>
  <w:style w:type="numbering" w:customStyle="1" w:styleId="ListCBD">
    <w:name w:val="ListCBD"/>
    <w:basedOn w:val="NoList"/>
    <w:uiPriority w:val="99"/>
    <w:rsid w:val="00085D11"/>
  </w:style>
  <w:style w:type="numbering" w:customStyle="1" w:styleId="CBDHeadings">
    <w:name w:val="CBD_Headings"/>
    <w:basedOn w:val="ListCBD"/>
    <w:uiPriority w:val="99"/>
    <w:rsid w:val="00085D11"/>
    <w:pPr>
      <w:numPr>
        <w:numId w:val="43"/>
      </w:numPr>
    </w:pPr>
  </w:style>
  <w:style w:type="paragraph" w:customStyle="1" w:styleId="AISpacer">
    <w:name w:val="AI_Spacer"/>
    <w:next w:val="Normal"/>
    <w:unhideWhenUsed/>
    <w:qFormat/>
    <w:rsid w:val="00085D11"/>
    <w:pPr>
      <w:spacing w:before="0" w:after="0"/>
      <w:jc w:val="left"/>
    </w:pPr>
    <w:rPr>
      <w:rFonts w:ascii="Times New Roman" w:hAnsi="Times New Roman" w:cs="Times New Roman"/>
      <w:sz w:val="2"/>
    </w:rPr>
  </w:style>
  <w:style w:type="paragraph" w:customStyle="1" w:styleId="AEDistrNormal6pt">
    <w:name w:val="AE_DistrNormal6pt"/>
    <w:basedOn w:val="AEDistrNormal"/>
    <w:next w:val="AFCorNNormal"/>
    <w:unhideWhenUsed/>
    <w:qFormat/>
    <w:rsid w:val="00085D11"/>
    <w:pPr>
      <w:spacing w:before="120"/>
    </w:pPr>
  </w:style>
  <w:style w:type="paragraph" w:customStyle="1" w:styleId="AFCorNBold">
    <w:name w:val="AF_CorNBold"/>
    <w:basedOn w:val="AFCorNNormal"/>
    <w:next w:val="AFCorNNormal"/>
    <w:unhideWhenUsed/>
    <w:qFormat/>
    <w:rsid w:val="00085D11"/>
    <w:rPr>
      <w:b/>
    </w:rPr>
  </w:style>
  <w:style w:type="paragraph" w:customStyle="1" w:styleId="AFCorN12Bold">
    <w:name w:val="AF_CorN12Bold"/>
    <w:basedOn w:val="AFCorNNormal"/>
    <w:next w:val="AFCorNNormal"/>
    <w:unhideWhenUsed/>
    <w:qFormat/>
    <w:rsid w:val="00085D11"/>
    <w:rPr>
      <w:b/>
      <w:sz w:val="24"/>
    </w:rPr>
  </w:style>
  <w:style w:type="paragraph" w:customStyle="1" w:styleId="CBDAgendaItem">
    <w:name w:val="CBD_AgendaItem"/>
    <w:basedOn w:val="Normal"/>
    <w:qFormat/>
    <w:rsid w:val="00085D11"/>
    <w:pPr>
      <w:keepNext/>
      <w:keepLines/>
      <w:tabs>
        <w:tab w:val="left" w:pos="567"/>
        <w:tab w:val="left" w:pos="1134"/>
        <w:tab w:val="left" w:pos="1701"/>
        <w:tab w:val="left" w:pos="2268"/>
      </w:tabs>
      <w:snapToGrid/>
      <w:spacing w:before="240" w:after="120"/>
      <w:jc w:val="left"/>
    </w:pPr>
    <w:rPr>
      <w:rFonts w:ascii="Times New Roman" w:hAnsi="Times New Roman" w:cs="Times New Roman"/>
      <w:b/>
      <w:sz w:val="24"/>
    </w:rPr>
  </w:style>
  <w:style w:type="paragraph" w:customStyle="1" w:styleId="CBDDesicionAnnex">
    <w:name w:val="CBD_DesicionAnnex"/>
    <w:basedOn w:val="CBDNormal"/>
    <w:next w:val="CBDDesicionText"/>
    <w:qFormat/>
    <w:rsid w:val="00085D1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SubTitle">
    <w:name w:val="CBD_SubTitle"/>
    <w:basedOn w:val="CBDNormal"/>
    <w:qFormat/>
    <w:rsid w:val="00085D11"/>
    <w:pPr>
      <w:keepNext/>
      <w:keepLines/>
      <w:spacing w:before="240" w:after="240"/>
      <w:ind w:left="567"/>
      <w:jc w:val="left"/>
    </w:pPr>
    <w:rPr>
      <w:b/>
    </w:rPr>
  </w:style>
  <w:style w:type="paragraph" w:customStyle="1" w:styleId="CBDTitle">
    <w:name w:val="CBD_Title"/>
    <w:basedOn w:val="CBDNormal"/>
    <w:next w:val="CBDSubTitle"/>
    <w:qFormat/>
    <w:rsid w:val="00085D11"/>
    <w:pPr>
      <w:keepNext/>
      <w:keepLines/>
      <w:spacing w:before="240" w:after="240"/>
      <w:ind w:left="567"/>
      <w:jc w:val="left"/>
    </w:pPr>
    <w:rPr>
      <w:b/>
      <w:sz w:val="28"/>
    </w:rPr>
  </w:style>
  <w:style w:type="paragraph" w:customStyle="1" w:styleId="AENormal">
    <w:name w:val="AE_Normal"/>
    <w:basedOn w:val="Normal"/>
    <w:rsid w:val="00085D11"/>
    <w:pPr>
      <w:tabs>
        <w:tab w:val="left" w:pos="567"/>
        <w:tab w:val="left" w:pos="1134"/>
        <w:tab w:val="left" w:pos="1701"/>
        <w:tab w:val="left" w:pos="2268"/>
      </w:tabs>
      <w:snapToGrid/>
      <w:spacing w:before="0" w:after="0"/>
    </w:pPr>
    <w:rPr>
      <w:rFonts w:ascii="Times New Roman" w:hAnsi="Times New Roman" w:cs="Times New Roman"/>
    </w:rPr>
  </w:style>
  <w:style w:type="paragraph" w:customStyle="1" w:styleId="CBDH1">
    <w:name w:val="CBD_H1"/>
    <w:basedOn w:val="CBDNormal"/>
    <w:qFormat/>
    <w:rsid w:val="00085D11"/>
    <w:pPr>
      <w:keepNext/>
      <w:keepLines/>
      <w:spacing w:before="240" w:after="120"/>
      <w:ind w:left="567" w:hanging="567"/>
      <w:jc w:val="left"/>
      <w:outlineLvl w:val="0"/>
    </w:pPr>
    <w:rPr>
      <w:b/>
      <w:sz w:val="28"/>
    </w:rPr>
  </w:style>
  <w:style w:type="paragraph" w:customStyle="1" w:styleId="CBDFootnoteText">
    <w:name w:val="CBD_Footnote_Text"/>
    <w:basedOn w:val="CBDNormal"/>
    <w:qFormat/>
    <w:rsid w:val="00085D11"/>
    <w:pPr>
      <w:jc w:val="left"/>
    </w:pPr>
    <w:rPr>
      <w:sz w:val="18"/>
    </w:rPr>
  </w:style>
  <w:style w:type="paragraph" w:customStyle="1" w:styleId="CBDFooter">
    <w:name w:val="CBD_Footer"/>
    <w:basedOn w:val="CBDNormal"/>
    <w:qFormat/>
    <w:rsid w:val="00085D11"/>
    <w:rPr>
      <w:sz w:val="20"/>
    </w:rPr>
  </w:style>
  <w:style w:type="paragraph" w:customStyle="1" w:styleId="CBDHeader">
    <w:name w:val="CBD_Header"/>
    <w:basedOn w:val="CBDNormal"/>
    <w:next w:val="CBDFooter"/>
    <w:qFormat/>
    <w:rsid w:val="00085D11"/>
    <w:pPr>
      <w:pBdr>
        <w:bottom w:val="single" w:sz="4" w:space="1" w:color="auto"/>
      </w:pBdr>
      <w:tabs>
        <w:tab w:val="center" w:pos="4678"/>
        <w:tab w:val="right" w:pos="9361"/>
      </w:tabs>
      <w:jc w:val="left"/>
    </w:pPr>
    <w:rPr>
      <w:sz w:val="20"/>
      <w:szCs w:val="20"/>
    </w:rPr>
  </w:style>
  <w:style w:type="paragraph" w:customStyle="1" w:styleId="CBDH4">
    <w:name w:val="CBD_H4"/>
    <w:basedOn w:val="CBDNormal"/>
    <w:rsid w:val="00085D11"/>
    <w:pPr>
      <w:keepNext/>
      <w:keepLines/>
      <w:spacing w:before="120" w:after="120"/>
      <w:ind w:left="567" w:hanging="567"/>
      <w:jc w:val="left"/>
    </w:pPr>
    <w:rPr>
      <w:b/>
    </w:rPr>
  </w:style>
  <w:style w:type="paragraph" w:customStyle="1" w:styleId="CBDH5">
    <w:name w:val="CBD_H5"/>
    <w:basedOn w:val="CBDNormal"/>
    <w:qFormat/>
    <w:rsid w:val="00085D11"/>
    <w:pPr>
      <w:keepNext/>
      <w:keepLines/>
      <w:spacing w:before="120" w:after="120"/>
      <w:ind w:left="567" w:hanging="567"/>
      <w:jc w:val="left"/>
    </w:pPr>
    <w:rPr>
      <w:i/>
    </w:rPr>
  </w:style>
  <w:style w:type="paragraph" w:customStyle="1" w:styleId="CBDTableNormal">
    <w:name w:val="CBD_TableNormal"/>
    <w:basedOn w:val="CBDNormal"/>
    <w:qFormat/>
    <w:rsid w:val="00085D11"/>
    <w:pPr>
      <w:spacing w:before="40" w:after="80"/>
      <w:jc w:val="left"/>
    </w:pPr>
    <w:rPr>
      <w:sz w:val="20"/>
    </w:rPr>
  </w:style>
  <w:style w:type="paragraph" w:customStyle="1" w:styleId="CBDTableTitle">
    <w:name w:val="CBD_TableTitle"/>
    <w:basedOn w:val="CBDNormal"/>
    <w:qFormat/>
    <w:rsid w:val="00085D11"/>
    <w:pPr>
      <w:keepNext/>
      <w:keepLines/>
      <w:spacing w:before="120" w:after="60"/>
      <w:ind w:left="567"/>
      <w:jc w:val="left"/>
    </w:pPr>
    <w:rPr>
      <w:b/>
    </w:rPr>
  </w:style>
  <w:style w:type="paragraph" w:customStyle="1" w:styleId="CBDFigureTitle">
    <w:name w:val="CBD_FigureTitle"/>
    <w:basedOn w:val="CBDNormal"/>
    <w:next w:val="CBDNormalNoNumber"/>
    <w:qFormat/>
    <w:rsid w:val="00085D11"/>
    <w:pPr>
      <w:keepNext/>
      <w:keepLines/>
      <w:spacing w:before="120" w:after="60"/>
      <w:ind w:left="567"/>
      <w:jc w:val="left"/>
    </w:pPr>
    <w:rPr>
      <w:b/>
    </w:rPr>
  </w:style>
  <w:style w:type="paragraph" w:styleId="Bibliography">
    <w:name w:val="Bibliography"/>
    <w:basedOn w:val="Normal"/>
    <w:next w:val="Normal"/>
    <w:uiPriority w:val="37"/>
    <w:semiHidden/>
    <w:unhideWhenUsed/>
    <w:rsid w:val="00085D11"/>
    <w:pPr>
      <w:tabs>
        <w:tab w:val="left" w:pos="567"/>
        <w:tab w:val="left" w:pos="1134"/>
        <w:tab w:val="left" w:pos="1701"/>
        <w:tab w:val="left" w:pos="2268"/>
      </w:tabs>
      <w:snapToGrid/>
      <w:spacing w:before="0" w:after="0"/>
    </w:pPr>
    <w:rPr>
      <w:rFonts w:ascii="Times New Roman" w:hAnsi="Times New Roman" w:cs="Times New Roman"/>
    </w:rPr>
  </w:style>
  <w:style w:type="paragraph" w:styleId="BodyTextIndent2">
    <w:name w:val="Body Text Indent 2"/>
    <w:basedOn w:val="Normal"/>
    <w:link w:val="BodyTextIndent2Char"/>
    <w:uiPriority w:val="99"/>
    <w:semiHidden/>
    <w:unhideWhenUsed/>
    <w:rsid w:val="00085D11"/>
    <w:pPr>
      <w:tabs>
        <w:tab w:val="left" w:pos="567"/>
        <w:tab w:val="left" w:pos="1134"/>
        <w:tab w:val="left" w:pos="1701"/>
        <w:tab w:val="left" w:pos="2268"/>
      </w:tabs>
      <w:snapToGrid/>
      <w:spacing w:before="0" w:after="120" w:line="480" w:lineRule="auto"/>
      <w:ind w:left="283"/>
    </w:pPr>
    <w:rPr>
      <w:rFonts w:ascii="Times New Roman" w:hAnsi="Times New Roman" w:cs="Times New Roman"/>
    </w:rPr>
  </w:style>
  <w:style w:type="character" w:customStyle="1" w:styleId="BodyTextIndent2Char">
    <w:name w:val="Body Text Indent 2 Char"/>
    <w:basedOn w:val="DefaultParagraphFont"/>
    <w:link w:val="BodyTextIndent2"/>
    <w:uiPriority w:val="99"/>
    <w:semiHidden/>
    <w:rsid w:val="00085D11"/>
    <w:rPr>
      <w:rFonts w:ascii="Times New Roman" w:hAnsi="Times New Roman" w:cs="Times New Roman"/>
      <w:lang w:val="fr-FR"/>
    </w:rPr>
  </w:style>
  <w:style w:type="paragraph" w:styleId="BodyTextIndent3">
    <w:name w:val="Body Text Indent 3"/>
    <w:basedOn w:val="Normal"/>
    <w:link w:val="BodyTextIndent3Char"/>
    <w:uiPriority w:val="99"/>
    <w:semiHidden/>
    <w:unhideWhenUsed/>
    <w:rsid w:val="00085D11"/>
    <w:pPr>
      <w:tabs>
        <w:tab w:val="left" w:pos="567"/>
        <w:tab w:val="left" w:pos="1134"/>
        <w:tab w:val="left" w:pos="1701"/>
        <w:tab w:val="left" w:pos="2268"/>
      </w:tabs>
      <w:snapToGrid/>
      <w:spacing w:before="0" w:after="120"/>
      <w:ind w:left="283"/>
    </w:pPr>
    <w:rPr>
      <w:rFonts w:ascii="Times New Roman" w:hAnsi="Times New Roman" w:cs="Times New Roman"/>
      <w:sz w:val="16"/>
      <w:szCs w:val="16"/>
    </w:rPr>
  </w:style>
  <w:style w:type="character" w:customStyle="1" w:styleId="BodyTextIndent3Char">
    <w:name w:val="Body Text Indent 3 Char"/>
    <w:basedOn w:val="DefaultParagraphFont"/>
    <w:link w:val="BodyTextIndent3"/>
    <w:uiPriority w:val="99"/>
    <w:semiHidden/>
    <w:rsid w:val="00085D11"/>
    <w:rPr>
      <w:rFonts w:ascii="Times New Roman" w:hAnsi="Times New Roman" w:cs="Times New Roman"/>
      <w:sz w:val="16"/>
      <w:szCs w:val="16"/>
      <w:lang w:val="fr-FR"/>
    </w:rPr>
  </w:style>
  <w:style w:type="paragraph" w:styleId="Closing">
    <w:name w:val="Closing"/>
    <w:basedOn w:val="Normal"/>
    <w:link w:val="ClosingChar"/>
    <w:uiPriority w:val="99"/>
    <w:semiHidden/>
    <w:unhideWhenUsed/>
    <w:rsid w:val="00085D11"/>
    <w:pPr>
      <w:tabs>
        <w:tab w:val="left" w:pos="567"/>
        <w:tab w:val="left" w:pos="1134"/>
        <w:tab w:val="left" w:pos="1701"/>
        <w:tab w:val="left" w:pos="2268"/>
      </w:tabs>
      <w:snapToGrid/>
      <w:spacing w:before="0" w:after="0"/>
      <w:ind w:left="4252"/>
    </w:pPr>
    <w:rPr>
      <w:rFonts w:ascii="Times New Roman" w:hAnsi="Times New Roman" w:cs="Times New Roman"/>
    </w:rPr>
  </w:style>
  <w:style w:type="character" w:customStyle="1" w:styleId="ClosingChar">
    <w:name w:val="Closing Char"/>
    <w:basedOn w:val="DefaultParagraphFont"/>
    <w:link w:val="Closing"/>
    <w:uiPriority w:val="99"/>
    <w:semiHidden/>
    <w:rsid w:val="00085D11"/>
    <w:rPr>
      <w:rFonts w:ascii="Times New Roman" w:hAnsi="Times New Roman" w:cs="Times New Roman"/>
      <w:lang w:val="fr-FR"/>
    </w:rPr>
  </w:style>
  <w:style w:type="table" w:styleId="ColorfulGrid">
    <w:name w:val="Colorful Grid"/>
    <w:basedOn w:val="TableNormal"/>
    <w:uiPriority w:val="73"/>
    <w:semiHidden/>
    <w:unhideWhenUsed/>
    <w:rsid w:val="00085D11"/>
    <w:pPr>
      <w:spacing w:before="0" w:after="0"/>
      <w:jc w:val="left"/>
    </w:pPr>
    <w:rPr>
      <w:rFonts w:eastAsiaTheme="minorEastAsia"/>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5D11"/>
    <w:pPr>
      <w:spacing w:before="0" w:after="0"/>
      <w:jc w:val="left"/>
    </w:pPr>
    <w:rPr>
      <w:rFonts w:eastAsiaTheme="minorEastAsia"/>
      <w:color w:val="000000" w:themeColor="text1"/>
      <w:sz w:val="24"/>
      <w:szCs w:val="24"/>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85D11"/>
    <w:pPr>
      <w:spacing w:before="0" w:after="0"/>
      <w:jc w:val="left"/>
    </w:pPr>
    <w:rPr>
      <w:rFonts w:eastAsiaTheme="minorEastAsia"/>
      <w:color w:val="000000" w:themeColor="text1"/>
      <w:sz w:val="24"/>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4">
    <w:name w:val="Colorful Grid Accent 4"/>
    <w:basedOn w:val="TableNormal"/>
    <w:uiPriority w:val="73"/>
    <w:semiHidden/>
    <w:unhideWhenUsed/>
    <w:rsid w:val="00085D11"/>
    <w:pPr>
      <w:spacing w:before="0" w:after="0"/>
      <w:jc w:val="left"/>
    </w:pPr>
    <w:rPr>
      <w:rFonts w:eastAsiaTheme="minorEastAsia"/>
      <w:color w:val="000000" w:themeColor="text1"/>
      <w:sz w:val="24"/>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85D11"/>
    <w:pPr>
      <w:spacing w:before="0" w:after="0"/>
      <w:jc w:val="left"/>
    </w:pPr>
    <w:rPr>
      <w:rFonts w:eastAsiaTheme="minorEastAsia"/>
      <w:color w:val="000000" w:themeColor="text1"/>
      <w:sz w:val="24"/>
      <w:szCs w:val="24"/>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85D11"/>
    <w:pPr>
      <w:spacing w:before="0" w:after="0"/>
      <w:jc w:val="left"/>
    </w:pPr>
    <w:rPr>
      <w:rFonts w:eastAsiaTheme="minorEastAsia"/>
      <w:color w:val="000000" w:themeColor="text1"/>
      <w:sz w:val="24"/>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85D11"/>
    <w:pPr>
      <w:spacing w:before="0" w:after="0"/>
      <w:jc w:val="left"/>
    </w:pPr>
    <w:rPr>
      <w:rFonts w:eastAsiaTheme="minorEastAsia"/>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5D11"/>
    <w:pPr>
      <w:spacing w:before="0" w:after="0"/>
      <w:jc w:val="left"/>
    </w:pPr>
    <w:rPr>
      <w:rFonts w:eastAsiaTheme="minorEastAsia"/>
      <w:color w:val="000000" w:themeColor="text1"/>
      <w:sz w:val="24"/>
      <w:szCs w:val="24"/>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85D11"/>
    <w:pPr>
      <w:spacing w:before="0" w:after="0"/>
      <w:jc w:val="left"/>
    </w:pPr>
    <w:rPr>
      <w:rFonts w:eastAsiaTheme="minorEastAsia"/>
      <w:color w:val="000000" w:themeColor="text1"/>
      <w:sz w:val="24"/>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85D11"/>
    <w:pPr>
      <w:spacing w:before="0" w:after="0"/>
      <w:jc w:val="left"/>
    </w:pPr>
    <w:rPr>
      <w:rFonts w:eastAsiaTheme="minorEastAsia"/>
      <w:color w:val="000000" w:themeColor="text1"/>
      <w:sz w:val="24"/>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85D11"/>
    <w:pPr>
      <w:spacing w:before="0" w:after="0"/>
      <w:jc w:val="left"/>
    </w:pPr>
    <w:rPr>
      <w:rFonts w:eastAsiaTheme="minorEastAsia"/>
      <w:color w:val="000000" w:themeColor="text1"/>
      <w:sz w:val="24"/>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85D11"/>
    <w:pPr>
      <w:spacing w:before="0" w:after="0"/>
      <w:jc w:val="left"/>
    </w:pPr>
    <w:rPr>
      <w:rFonts w:eastAsiaTheme="minorEastAsia"/>
      <w:color w:val="000000" w:themeColor="text1"/>
      <w:sz w:val="24"/>
      <w:szCs w:val="24"/>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85D11"/>
    <w:pPr>
      <w:spacing w:before="0" w:after="0"/>
      <w:jc w:val="left"/>
    </w:pPr>
    <w:rPr>
      <w:rFonts w:eastAsiaTheme="minorEastAsia"/>
      <w:color w:val="000000" w:themeColor="text1"/>
      <w:sz w:val="24"/>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5D11"/>
    <w:pPr>
      <w:spacing w:before="0" w:after="0"/>
      <w:jc w:val="left"/>
    </w:pPr>
    <w:rPr>
      <w:rFonts w:eastAsiaTheme="minorEastAsia"/>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5D11"/>
    <w:pPr>
      <w:spacing w:before="0" w:after="0"/>
      <w:jc w:val="left"/>
    </w:pPr>
    <w:rPr>
      <w:rFonts w:eastAsiaTheme="minorEastAsia"/>
      <w:color w:val="FFFFFF" w:themeColor="background1"/>
      <w:sz w:val="24"/>
      <w:szCs w:val="24"/>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85D11"/>
    <w:pPr>
      <w:spacing w:before="0" w:after="0"/>
      <w:jc w:val="left"/>
    </w:pPr>
    <w:rPr>
      <w:rFonts w:eastAsiaTheme="minorEastAsia"/>
      <w:color w:val="FFFFFF" w:themeColor="background1"/>
      <w:sz w:val="24"/>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85D11"/>
    <w:pPr>
      <w:spacing w:before="0" w:after="0"/>
      <w:jc w:val="left"/>
    </w:pPr>
    <w:rPr>
      <w:rFonts w:eastAsiaTheme="minorEastAsia"/>
      <w:color w:val="FFFFFF" w:themeColor="background1"/>
      <w:sz w:val="24"/>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85D11"/>
    <w:pPr>
      <w:spacing w:before="0" w:after="0"/>
      <w:jc w:val="left"/>
    </w:pPr>
    <w:rPr>
      <w:rFonts w:eastAsiaTheme="minorEastAsia"/>
      <w:color w:val="FFFFFF" w:themeColor="background1"/>
      <w:sz w:val="24"/>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85D11"/>
    <w:pPr>
      <w:spacing w:before="0" w:after="0"/>
      <w:jc w:val="left"/>
    </w:pPr>
    <w:rPr>
      <w:rFonts w:eastAsiaTheme="minorEastAsia"/>
      <w:color w:val="FFFFFF" w:themeColor="background1"/>
      <w:sz w:val="24"/>
      <w:szCs w:val="24"/>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85D11"/>
    <w:pPr>
      <w:spacing w:before="0" w:after="0"/>
      <w:jc w:val="left"/>
    </w:pPr>
    <w:rPr>
      <w:rFonts w:eastAsiaTheme="minorEastAsia"/>
      <w:color w:val="FFFFFF" w:themeColor="background1"/>
      <w:sz w:val="24"/>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mailSignature">
    <w:name w:val="E-mail Signature"/>
    <w:basedOn w:val="Normal"/>
    <w:link w:val="E-mailSignature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rPr>
  </w:style>
  <w:style w:type="character" w:customStyle="1" w:styleId="E-mailSignatureChar">
    <w:name w:val="E-mail Signature Char"/>
    <w:basedOn w:val="DefaultParagraphFont"/>
    <w:link w:val="E-mailSignature"/>
    <w:uiPriority w:val="99"/>
    <w:semiHidden/>
    <w:rsid w:val="00085D11"/>
    <w:rPr>
      <w:rFonts w:ascii="Times New Roman" w:hAnsi="Times New Roman" w:cs="Times New Roman"/>
      <w:lang w:val="fr-FR"/>
    </w:rPr>
  </w:style>
  <w:style w:type="paragraph" w:styleId="EnvelopeAddress">
    <w:name w:val="envelope address"/>
    <w:basedOn w:val="Normal"/>
    <w:uiPriority w:val="99"/>
    <w:semiHidden/>
    <w:unhideWhenUsed/>
    <w:rsid w:val="00085D11"/>
    <w:pPr>
      <w:framePr w:w="7920" w:h="1980" w:hRule="exact" w:hSpace="180" w:wrap="auto" w:hAnchor="page" w:xAlign="center" w:yAlign="bottom"/>
      <w:tabs>
        <w:tab w:val="left" w:pos="567"/>
        <w:tab w:val="left" w:pos="1134"/>
        <w:tab w:val="left" w:pos="1701"/>
        <w:tab w:val="left" w:pos="2268"/>
      </w:tabs>
      <w:snapToGrid/>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85D11"/>
    <w:pPr>
      <w:tabs>
        <w:tab w:val="left" w:pos="567"/>
        <w:tab w:val="left" w:pos="1134"/>
        <w:tab w:val="left" w:pos="1701"/>
        <w:tab w:val="left" w:pos="2268"/>
      </w:tabs>
      <w:snapToGrid/>
      <w:spacing w:before="0" w:after="0"/>
    </w:pPr>
    <w:rPr>
      <w:rFonts w:asciiTheme="majorHAnsi" w:eastAsiaTheme="majorEastAsia" w:hAnsiTheme="majorHAnsi" w:cstheme="majorBidi"/>
      <w:sz w:val="20"/>
      <w:szCs w:val="20"/>
    </w:rPr>
  </w:style>
  <w:style w:type="table" w:styleId="GridTable1Light-Accent1">
    <w:name w:val="Grid Table 1 Light Accent 1"/>
    <w:basedOn w:val="TableNormal"/>
    <w:uiPriority w:val="46"/>
    <w:rsid w:val="00085D11"/>
    <w:pPr>
      <w:spacing w:before="0" w:after="0"/>
      <w:jc w:val="left"/>
    </w:pPr>
    <w:rPr>
      <w:rFonts w:eastAsiaTheme="minorEastAsia"/>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85D11"/>
    <w:pPr>
      <w:spacing w:before="0" w:after="0"/>
      <w:jc w:val="left"/>
    </w:pPr>
    <w:rPr>
      <w:rFonts w:eastAsiaTheme="minorEastAsia"/>
      <w:sz w:val="24"/>
      <w:szCs w:val="24"/>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5D11"/>
    <w:pPr>
      <w:spacing w:before="0" w:after="0"/>
      <w:jc w:val="left"/>
    </w:pPr>
    <w:rPr>
      <w:rFonts w:eastAsiaTheme="minorEastAsia"/>
      <w:sz w:val="24"/>
      <w:szCs w:val="24"/>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5D11"/>
    <w:pPr>
      <w:spacing w:before="0" w:after="0"/>
      <w:jc w:val="left"/>
    </w:pPr>
    <w:rPr>
      <w:rFonts w:eastAsiaTheme="minorEastAsia"/>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5D11"/>
    <w:pPr>
      <w:spacing w:before="0" w:after="0"/>
      <w:jc w:val="left"/>
    </w:pPr>
    <w:rPr>
      <w:rFonts w:eastAsiaTheme="minorEastAsia"/>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85D11"/>
    <w:pPr>
      <w:spacing w:before="0" w:after="0"/>
      <w:jc w:val="left"/>
    </w:pPr>
    <w:rPr>
      <w:rFonts w:eastAsiaTheme="minorEastAsia"/>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5D11"/>
    <w:pPr>
      <w:spacing w:before="0" w:after="0"/>
      <w:jc w:val="left"/>
    </w:pPr>
    <w:rPr>
      <w:rFonts w:eastAsiaTheme="minorEastAsia"/>
      <w:sz w:val="24"/>
      <w:szCs w:val="24"/>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85D11"/>
    <w:pPr>
      <w:spacing w:before="0" w:after="0"/>
      <w:jc w:val="left"/>
    </w:pPr>
    <w:rPr>
      <w:rFonts w:eastAsiaTheme="minorEastAsia"/>
      <w:sz w:val="24"/>
      <w:szCs w:val="24"/>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85D11"/>
    <w:pPr>
      <w:spacing w:before="0" w:after="0"/>
      <w:jc w:val="left"/>
    </w:pPr>
    <w:rPr>
      <w:rFonts w:eastAsiaTheme="minorEastAsia"/>
      <w:sz w:val="24"/>
      <w:szCs w:val="24"/>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85D11"/>
    <w:pPr>
      <w:spacing w:before="0" w:after="0"/>
      <w:jc w:val="left"/>
    </w:pPr>
    <w:rPr>
      <w:rFonts w:eastAsiaTheme="minorEastAsia"/>
      <w:sz w:val="24"/>
      <w:szCs w:val="24"/>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85D11"/>
    <w:pPr>
      <w:spacing w:before="0" w:after="0"/>
      <w:jc w:val="left"/>
    </w:pPr>
    <w:rPr>
      <w:rFonts w:eastAsiaTheme="minorEastAsia"/>
      <w:sz w:val="24"/>
      <w:szCs w:val="24"/>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85D11"/>
    <w:pPr>
      <w:spacing w:before="0" w:after="0"/>
      <w:jc w:val="left"/>
    </w:pPr>
    <w:rPr>
      <w:rFonts w:eastAsiaTheme="minorEastAsia"/>
      <w:sz w:val="24"/>
      <w:szCs w:val="24"/>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85D11"/>
    <w:pPr>
      <w:spacing w:before="0" w:after="0"/>
      <w:jc w:val="left"/>
    </w:pPr>
    <w:rPr>
      <w:rFonts w:eastAsiaTheme="minorEastAsi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2">
    <w:name w:val="Grid Table 5 Dark Accent 2"/>
    <w:basedOn w:val="TableNormal"/>
    <w:uiPriority w:val="50"/>
    <w:rsid w:val="00085D11"/>
    <w:pPr>
      <w:spacing w:before="0" w:after="0"/>
      <w:jc w:val="left"/>
    </w:pPr>
    <w:rPr>
      <w:rFonts w:eastAsiaTheme="minorEastAsi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85D11"/>
    <w:pPr>
      <w:spacing w:before="0" w:after="0"/>
      <w:jc w:val="left"/>
    </w:pPr>
    <w:rPr>
      <w:rFonts w:eastAsiaTheme="minorEastAsi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85D11"/>
    <w:pPr>
      <w:spacing w:before="0" w:after="0"/>
      <w:jc w:val="left"/>
    </w:pPr>
    <w:rPr>
      <w:rFonts w:eastAsiaTheme="minorEastAsi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85D11"/>
    <w:pPr>
      <w:spacing w:before="0" w:after="0"/>
      <w:jc w:val="left"/>
    </w:pPr>
    <w:rPr>
      <w:rFonts w:eastAsiaTheme="minorEastAsi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
    <w:name w:val="Grid Table 6 Colorful"/>
    <w:basedOn w:val="TableNormal"/>
    <w:uiPriority w:val="51"/>
    <w:rsid w:val="00085D11"/>
    <w:pPr>
      <w:spacing w:before="0" w:after="0"/>
      <w:jc w:val="left"/>
    </w:pPr>
    <w:rPr>
      <w:rFonts w:eastAsiaTheme="minorEastAsia"/>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85D11"/>
    <w:pPr>
      <w:spacing w:before="0" w:after="0"/>
      <w:jc w:val="left"/>
    </w:pPr>
    <w:rPr>
      <w:rFonts w:eastAsiaTheme="minorEastAsia"/>
      <w:color w:val="2F5496" w:themeColor="accent1" w:themeShade="BF"/>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85D11"/>
    <w:pPr>
      <w:spacing w:before="0" w:after="0"/>
      <w:jc w:val="left"/>
    </w:pPr>
    <w:rPr>
      <w:rFonts w:eastAsiaTheme="minorEastAsia"/>
      <w:color w:val="C45911" w:themeColor="accent2" w:themeShade="BF"/>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85D11"/>
    <w:pPr>
      <w:spacing w:before="0" w:after="0"/>
      <w:jc w:val="left"/>
    </w:pPr>
    <w:rPr>
      <w:rFonts w:eastAsiaTheme="minorEastAsia"/>
      <w:color w:val="7B7B7B" w:themeColor="accent3" w:themeShade="BF"/>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85D11"/>
    <w:pPr>
      <w:spacing w:before="0" w:after="0"/>
      <w:jc w:val="left"/>
    </w:pPr>
    <w:rPr>
      <w:rFonts w:eastAsiaTheme="minorEastAsia"/>
      <w:color w:val="BF8F00" w:themeColor="accent4" w:themeShade="BF"/>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85D11"/>
    <w:pPr>
      <w:spacing w:before="0" w:after="0"/>
      <w:jc w:val="left"/>
    </w:pPr>
    <w:rPr>
      <w:rFonts w:eastAsiaTheme="minorEastAsia"/>
      <w:color w:val="2E74B5" w:themeColor="accent5" w:themeShade="BF"/>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85D11"/>
    <w:pPr>
      <w:spacing w:before="0" w:after="0"/>
      <w:jc w:val="left"/>
    </w:pPr>
    <w:rPr>
      <w:rFonts w:eastAsiaTheme="minorEastAsia"/>
      <w:color w:val="538135" w:themeColor="accent6" w:themeShade="BF"/>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85D11"/>
    <w:pPr>
      <w:spacing w:before="0" w:after="0"/>
      <w:jc w:val="left"/>
    </w:pPr>
    <w:rPr>
      <w:rFonts w:eastAsiaTheme="minorEastAsia"/>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2">
    <w:name w:val="Grid Table 7 Colorful Accent 2"/>
    <w:basedOn w:val="TableNormal"/>
    <w:uiPriority w:val="52"/>
    <w:rsid w:val="00085D11"/>
    <w:pPr>
      <w:spacing w:before="0" w:after="0"/>
      <w:jc w:val="left"/>
    </w:pPr>
    <w:rPr>
      <w:rFonts w:eastAsiaTheme="minorEastAsia"/>
      <w:color w:val="C45911" w:themeColor="accent2" w:themeShade="BF"/>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85D11"/>
    <w:pPr>
      <w:spacing w:before="0" w:after="0"/>
      <w:jc w:val="left"/>
    </w:pPr>
    <w:rPr>
      <w:rFonts w:eastAsiaTheme="minorEastAsia"/>
      <w:color w:val="7B7B7B" w:themeColor="accent3" w:themeShade="BF"/>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85D11"/>
    <w:pPr>
      <w:spacing w:before="0" w:after="0"/>
      <w:jc w:val="left"/>
    </w:pPr>
    <w:rPr>
      <w:rFonts w:eastAsiaTheme="minorEastAsia"/>
      <w:color w:val="BF8F00" w:themeColor="accent4" w:themeShade="BF"/>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85D11"/>
    <w:pPr>
      <w:spacing w:before="0" w:after="0"/>
      <w:jc w:val="left"/>
    </w:pPr>
    <w:rPr>
      <w:rFonts w:eastAsiaTheme="minorEastAsia"/>
      <w:color w:val="2E74B5" w:themeColor="accent5" w:themeShade="BF"/>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character" w:styleId="Hashtag">
    <w:name w:val="Hashtag"/>
    <w:basedOn w:val="DefaultParagraphFont"/>
    <w:uiPriority w:val="99"/>
    <w:semiHidden/>
    <w:unhideWhenUsed/>
    <w:rsid w:val="00085D11"/>
    <w:rPr>
      <w:color w:val="2B579A"/>
      <w:shd w:val="clear" w:color="auto" w:fill="E1DFDD"/>
      <w:lang w:val="fr-FR"/>
    </w:rPr>
  </w:style>
  <w:style w:type="character" w:styleId="HTMLAcronym">
    <w:name w:val="HTML Acronym"/>
    <w:basedOn w:val="DefaultParagraphFont"/>
    <w:uiPriority w:val="99"/>
    <w:semiHidden/>
    <w:unhideWhenUsed/>
    <w:rsid w:val="00085D11"/>
    <w:rPr>
      <w:lang w:val="fr-FR"/>
    </w:rPr>
  </w:style>
  <w:style w:type="paragraph" w:styleId="HTMLAddress">
    <w:name w:val="HTML Address"/>
    <w:basedOn w:val="Normal"/>
    <w:link w:val="HTMLAddress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i/>
      <w:iCs/>
    </w:rPr>
  </w:style>
  <w:style w:type="character" w:customStyle="1" w:styleId="HTMLAddressChar">
    <w:name w:val="HTML Address Char"/>
    <w:basedOn w:val="DefaultParagraphFont"/>
    <w:link w:val="HTMLAddress"/>
    <w:uiPriority w:val="99"/>
    <w:semiHidden/>
    <w:rsid w:val="00085D11"/>
    <w:rPr>
      <w:rFonts w:ascii="Times New Roman" w:hAnsi="Times New Roman" w:cs="Times New Roman"/>
      <w:i/>
      <w:iCs/>
      <w:lang w:val="fr-FR"/>
    </w:rPr>
  </w:style>
  <w:style w:type="character" w:styleId="HTMLCite">
    <w:name w:val="HTML Cite"/>
    <w:basedOn w:val="DefaultParagraphFont"/>
    <w:uiPriority w:val="99"/>
    <w:semiHidden/>
    <w:unhideWhenUsed/>
    <w:rsid w:val="00085D11"/>
    <w:rPr>
      <w:i/>
      <w:iCs/>
      <w:lang w:val="fr-FR"/>
    </w:rPr>
  </w:style>
  <w:style w:type="character" w:styleId="HTMLCode">
    <w:name w:val="HTML Code"/>
    <w:basedOn w:val="DefaultParagraphFont"/>
    <w:uiPriority w:val="99"/>
    <w:semiHidden/>
    <w:unhideWhenUsed/>
    <w:rsid w:val="00085D11"/>
    <w:rPr>
      <w:rFonts w:ascii="Consolas" w:hAnsi="Consolas"/>
      <w:sz w:val="20"/>
      <w:szCs w:val="20"/>
      <w:lang w:val="fr-FR"/>
    </w:rPr>
  </w:style>
  <w:style w:type="character" w:styleId="HTMLDefinition">
    <w:name w:val="HTML Definition"/>
    <w:basedOn w:val="DefaultParagraphFont"/>
    <w:uiPriority w:val="99"/>
    <w:semiHidden/>
    <w:unhideWhenUsed/>
    <w:rsid w:val="00085D11"/>
    <w:rPr>
      <w:i/>
      <w:iCs/>
      <w:lang w:val="fr-FR"/>
    </w:rPr>
  </w:style>
  <w:style w:type="character" w:styleId="HTMLKeyboard">
    <w:name w:val="HTML Keyboard"/>
    <w:basedOn w:val="DefaultParagraphFont"/>
    <w:uiPriority w:val="99"/>
    <w:semiHidden/>
    <w:unhideWhenUsed/>
    <w:rsid w:val="00085D11"/>
    <w:rPr>
      <w:rFonts w:ascii="Consolas" w:hAnsi="Consolas"/>
      <w:sz w:val="20"/>
      <w:szCs w:val="20"/>
      <w:lang w:val="fr-FR"/>
    </w:rPr>
  </w:style>
  <w:style w:type="character" w:styleId="HTMLSample">
    <w:name w:val="HTML Sample"/>
    <w:basedOn w:val="DefaultParagraphFont"/>
    <w:uiPriority w:val="99"/>
    <w:semiHidden/>
    <w:unhideWhenUsed/>
    <w:rsid w:val="00085D11"/>
    <w:rPr>
      <w:rFonts w:ascii="Consolas" w:hAnsi="Consolas"/>
      <w:sz w:val="24"/>
      <w:szCs w:val="24"/>
      <w:lang w:val="fr-FR"/>
    </w:rPr>
  </w:style>
  <w:style w:type="character" w:styleId="HTMLTypewriter">
    <w:name w:val="HTML Typewriter"/>
    <w:basedOn w:val="DefaultParagraphFont"/>
    <w:uiPriority w:val="99"/>
    <w:semiHidden/>
    <w:unhideWhenUsed/>
    <w:rsid w:val="00085D11"/>
    <w:rPr>
      <w:rFonts w:ascii="Consolas" w:hAnsi="Consolas"/>
      <w:sz w:val="20"/>
      <w:szCs w:val="20"/>
      <w:lang w:val="fr-FR"/>
    </w:rPr>
  </w:style>
  <w:style w:type="character" w:styleId="HTMLVariable">
    <w:name w:val="HTML Variable"/>
    <w:basedOn w:val="DefaultParagraphFont"/>
    <w:uiPriority w:val="99"/>
    <w:semiHidden/>
    <w:unhideWhenUsed/>
    <w:rsid w:val="00085D11"/>
    <w:rPr>
      <w:i/>
      <w:iCs/>
      <w:lang w:val="fr-FR"/>
    </w:rPr>
  </w:style>
  <w:style w:type="paragraph" w:styleId="Index1">
    <w:name w:val="index 1"/>
    <w:basedOn w:val="Normal"/>
    <w:next w:val="Normal"/>
    <w:autoRedefine/>
    <w:uiPriority w:val="99"/>
    <w:semiHidden/>
    <w:unhideWhenUsed/>
    <w:rsid w:val="00085D11"/>
    <w:pPr>
      <w:snapToGrid/>
      <w:spacing w:before="0" w:after="0"/>
      <w:ind w:left="220" w:hanging="220"/>
    </w:pPr>
    <w:rPr>
      <w:rFonts w:ascii="Times New Roman" w:hAnsi="Times New Roman" w:cs="Times New Roman"/>
    </w:rPr>
  </w:style>
  <w:style w:type="paragraph" w:styleId="Index2">
    <w:name w:val="index 2"/>
    <w:basedOn w:val="Normal"/>
    <w:next w:val="Normal"/>
    <w:autoRedefine/>
    <w:uiPriority w:val="99"/>
    <w:semiHidden/>
    <w:unhideWhenUsed/>
    <w:rsid w:val="00085D11"/>
    <w:pPr>
      <w:snapToGrid/>
      <w:spacing w:before="0" w:after="0"/>
      <w:ind w:left="440" w:hanging="220"/>
    </w:pPr>
    <w:rPr>
      <w:rFonts w:ascii="Times New Roman" w:hAnsi="Times New Roman" w:cs="Times New Roman"/>
    </w:rPr>
  </w:style>
  <w:style w:type="paragraph" w:styleId="Index3">
    <w:name w:val="index 3"/>
    <w:basedOn w:val="Normal"/>
    <w:next w:val="Normal"/>
    <w:autoRedefine/>
    <w:uiPriority w:val="99"/>
    <w:semiHidden/>
    <w:unhideWhenUsed/>
    <w:rsid w:val="00085D11"/>
    <w:pPr>
      <w:snapToGrid/>
      <w:spacing w:before="0" w:after="0"/>
      <w:ind w:left="660" w:hanging="220"/>
    </w:pPr>
    <w:rPr>
      <w:rFonts w:ascii="Times New Roman" w:hAnsi="Times New Roman" w:cs="Times New Roman"/>
    </w:rPr>
  </w:style>
  <w:style w:type="paragraph" w:styleId="Index4">
    <w:name w:val="index 4"/>
    <w:basedOn w:val="Normal"/>
    <w:next w:val="Normal"/>
    <w:autoRedefine/>
    <w:uiPriority w:val="99"/>
    <w:semiHidden/>
    <w:unhideWhenUsed/>
    <w:rsid w:val="00085D11"/>
    <w:pPr>
      <w:snapToGrid/>
      <w:spacing w:before="0" w:after="0"/>
      <w:ind w:left="880" w:hanging="220"/>
    </w:pPr>
    <w:rPr>
      <w:rFonts w:ascii="Times New Roman" w:hAnsi="Times New Roman" w:cs="Times New Roman"/>
    </w:rPr>
  </w:style>
  <w:style w:type="paragraph" w:styleId="Index5">
    <w:name w:val="index 5"/>
    <w:basedOn w:val="Normal"/>
    <w:next w:val="Normal"/>
    <w:autoRedefine/>
    <w:uiPriority w:val="99"/>
    <w:semiHidden/>
    <w:unhideWhenUsed/>
    <w:rsid w:val="00085D11"/>
    <w:pPr>
      <w:snapToGrid/>
      <w:spacing w:before="0" w:after="0"/>
      <w:ind w:left="1100" w:hanging="220"/>
    </w:pPr>
    <w:rPr>
      <w:rFonts w:ascii="Times New Roman" w:hAnsi="Times New Roman" w:cs="Times New Roman"/>
    </w:rPr>
  </w:style>
  <w:style w:type="paragraph" w:styleId="Index6">
    <w:name w:val="index 6"/>
    <w:basedOn w:val="Normal"/>
    <w:next w:val="Normal"/>
    <w:autoRedefine/>
    <w:uiPriority w:val="99"/>
    <w:semiHidden/>
    <w:unhideWhenUsed/>
    <w:rsid w:val="00085D11"/>
    <w:pPr>
      <w:snapToGrid/>
      <w:spacing w:before="0" w:after="0"/>
      <w:ind w:left="1320" w:hanging="220"/>
    </w:pPr>
    <w:rPr>
      <w:rFonts w:ascii="Times New Roman" w:hAnsi="Times New Roman" w:cs="Times New Roman"/>
    </w:rPr>
  </w:style>
  <w:style w:type="paragraph" w:styleId="Index7">
    <w:name w:val="index 7"/>
    <w:basedOn w:val="Normal"/>
    <w:next w:val="Normal"/>
    <w:autoRedefine/>
    <w:uiPriority w:val="99"/>
    <w:semiHidden/>
    <w:unhideWhenUsed/>
    <w:rsid w:val="00085D11"/>
    <w:pPr>
      <w:snapToGrid/>
      <w:spacing w:before="0" w:after="0"/>
      <w:ind w:left="1540" w:hanging="220"/>
    </w:pPr>
    <w:rPr>
      <w:rFonts w:ascii="Times New Roman" w:hAnsi="Times New Roman" w:cs="Times New Roman"/>
    </w:rPr>
  </w:style>
  <w:style w:type="paragraph" w:styleId="Index8">
    <w:name w:val="index 8"/>
    <w:basedOn w:val="Normal"/>
    <w:next w:val="Normal"/>
    <w:autoRedefine/>
    <w:uiPriority w:val="99"/>
    <w:semiHidden/>
    <w:unhideWhenUsed/>
    <w:rsid w:val="00085D11"/>
    <w:pPr>
      <w:snapToGrid/>
      <w:spacing w:before="0" w:after="0"/>
      <w:ind w:left="1760" w:hanging="220"/>
    </w:pPr>
    <w:rPr>
      <w:rFonts w:ascii="Times New Roman" w:hAnsi="Times New Roman" w:cs="Times New Roman"/>
    </w:rPr>
  </w:style>
  <w:style w:type="paragraph" w:styleId="Index9">
    <w:name w:val="index 9"/>
    <w:basedOn w:val="Normal"/>
    <w:next w:val="Normal"/>
    <w:autoRedefine/>
    <w:uiPriority w:val="99"/>
    <w:semiHidden/>
    <w:unhideWhenUsed/>
    <w:rsid w:val="00085D11"/>
    <w:pPr>
      <w:snapToGrid/>
      <w:spacing w:before="0" w:after="0"/>
      <w:ind w:left="1980" w:hanging="220"/>
    </w:pPr>
    <w:rPr>
      <w:rFonts w:ascii="Times New Roman" w:hAnsi="Times New Roman" w:cs="Times New Roman"/>
    </w:rPr>
  </w:style>
  <w:style w:type="paragraph" w:styleId="IndexHeading">
    <w:name w:val="index heading"/>
    <w:basedOn w:val="Normal"/>
    <w:next w:val="Index1"/>
    <w:uiPriority w:val="99"/>
    <w:semiHidden/>
    <w:unhideWhenUsed/>
    <w:rsid w:val="00085D11"/>
    <w:pPr>
      <w:tabs>
        <w:tab w:val="left" w:pos="567"/>
        <w:tab w:val="left" w:pos="1134"/>
        <w:tab w:val="left" w:pos="1701"/>
        <w:tab w:val="left" w:pos="2268"/>
      </w:tabs>
      <w:snapToGrid/>
      <w:spacing w:before="0" w:after="0"/>
    </w:pPr>
    <w:rPr>
      <w:rFonts w:asciiTheme="majorHAnsi" w:eastAsiaTheme="majorEastAsia" w:hAnsiTheme="majorHAnsi" w:cstheme="majorBidi"/>
      <w:b/>
      <w:bCs/>
    </w:rPr>
  </w:style>
  <w:style w:type="table" w:styleId="LightGrid">
    <w:name w:val="Light Grid"/>
    <w:basedOn w:val="TableNormal"/>
    <w:uiPriority w:val="62"/>
    <w:semiHidden/>
    <w:unhideWhenUsed/>
    <w:rsid w:val="00085D11"/>
    <w:pPr>
      <w:spacing w:before="0" w:after="0"/>
      <w:jc w:val="left"/>
    </w:pPr>
    <w:rPr>
      <w:rFonts w:eastAsiaTheme="minorEastAsia"/>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5D11"/>
    <w:pPr>
      <w:spacing w:before="0" w:after="0"/>
      <w:jc w:val="left"/>
    </w:pPr>
    <w:rPr>
      <w:rFonts w:eastAsiaTheme="minorEastAsia"/>
      <w:sz w:val="24"/>
      <w:szCs w:val="24"/>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85D11"/>
    <w:pPr>
      <w:spacing w:before="0" w:after="0"/>
      <w:jc w:val="left"/>
    </w:pPr>
    <w:rPr>
      <w:rFonts w:eastAsiaTheme="minorEastAsia"/>
      <w:sz w:val="24"/>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85D11"/>
    <w:pPr>
      <w:spacing w:before="0" w:after="0"/>
      <w:jc w:val="left"/>
    </w:pPr>
    <w:rPr>
      <w:rFonts w:eastAsiaTheme="minorEastAsia"/>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85D11"/>
    <w:pPr>
      <w:spacing w:before="0" w:after="0"/>
      <w:jc w:val="left"/>
    </w:pPr>
    <w:rPr>
      <w:rFonts w:eastAsiaTheme="minorEastAsia"/>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85D11"/>
    <w:pPr>
      <w:spacing w:before="0" w:after="0"/>
      <w:jc w:val="left"/>
    </w:pPr>
    <w:rPr>
      <w:rFonts w:eastAsiaTheme="minorEastAsia"/>
      <w:sz w:val="24"/>
      <w:szCs w:val="24"/>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85D11"/>
    <w:pPr>
      <w:spacing w:before="0" w:after="0"/>
      <w:jc w:val="left"/>
    </w:pPr>
    <w:rPr>
      <w:rFonts w:eastAsiaTheme="minorEastAsia"/>
      <w:sz w:val="24"/>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85D11"/>
    <w:pPr>
      <w:spacing w:before="0" w:after="0"/>
      <w:jc w:val="left"/>
    </w:pPr>
    <w:rPr>
      <w:rFonts w:eastAsiaTheme="minorEastAsia"/>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5D11"/>
    <w:pPr>
      <w:spacing w:before="0" w:after="0"/>
      <w:jc w:val="left"/>
    </w:pPr>
    <w:rPr>
      <w:rFonts w:eastAsiaTheme="minorEastAsia"/>
      <w:sz w:val="24"/>
      <w:szCs w:val="24"/>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85D11"/>
    <w:pPr>
      <w:spacing w:before="0" w:after="0"/>
      <w:jc w:val="left"/>
    </w:pPr>
    <w:rPr>
      <w:rFonts w:eastAsiaTheme="minorEastAsia"/>
      <w:sz w:val="24"/>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4">
    <w:name w:val="Light List Accent 4"/>
    <w:basedOn w:val="TableNormal"/>
    <w:uiPriority w:val="61"/>
    <w:semiHidden/>
    <w:unhideWhenUsed/>
    <w:rsid w:val="00085D11"/>
    <w:pPr>
      <w:spacing w:before="0" w:after="0"/>
      <w:jc w:val="left"/>
    </w:pPr>
    <w:rPr>
      <w:rFonts w:eastAsiaTheme="minorEastAsia"/>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85D11"/>
    <w:pPr>
      <w:spacing w:before="0" w:after="0"/>
      <w:jc w:val="left"/>
    </w:pPr>
    <w:rPr>
      <w:rFonts w:eastAsiaTheme="minorEastAsia"/>
      <w:sz w:val="24"/>
      <w:szCs w:val="24"/>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85D11"/>
    <w:pPr>
      <w:spacing w:before="0" w:after="0"/>
      <w:jc w:val="left"/>
    </w:pPr>
    <w:rPr>
      <w:rFonts w:eastAsiaTheme="minorEastAsia"/>
      <w:sz w:val="24"/>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85D11"/>
    <w:pPr>
      <w:spacing w:before="0" w:after="0"/>
      <w:jc w:val="left"/>
    </w:pPr>
    <w:rPr>
      <w:rFonts w:eastAsiaTheme="minorEastAsia"/>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5D11"/>
    <w:pPr>
      <w:spacing w:before="0" w:after="0"/>
      <w:jc w:val="left"/>
    </w:pPr>
    <w:rPr>
      <w:rFonts w:eastAsiaTheme="minorEastAsia"/>
      <w:color w:val="2F5496" w:themeColor="accent1" w:themeShade="BF"/>
      <w:sz w:val="24"/>
      <w:szCs w:val="24"/>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85D11"/>
    <w:pPr>
      <w:spacing w:before="0" w:after="0"/>
      <w:jc w:val="left"/>
    </w:pPr>
    <w:rPr>
      <w:rFonts w:eastAsiaTheme="minorEastAsia"/>
      <w:color w:val="C45911" w:themeColor="accent2" w:themeShade="BF"/>
      <w:sz w:val="24"/>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85D11"/>
    <w:pPr>
      <w:spacing w:before="0" w:after="0"/>
      <w:jc w:val="left"/>
    </w:pPr>
    <w:rPr>
      <w:rFonts w:eastAsiaTheme="minorEastAsia"/>
      <w:color w:val="7B7B7B" w:themeColor="accent3" w:themeShade="BF"/>
      <w:sz w:val="24"/>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85D11"/>
    <w:pPr>
      <w:spacing w:before="0" w:after="0"/>
      <w:jc w:val="left"/>
    </w:pPr>
    <w:rPr>
      <w:rFonts w:eastAsiaTheme="minorEastAsia"/>
      <w:color w:val="BF8F00" w:themeColor="accent4" w:themeShade="BF"/>
      <w:sz w:val="24"/>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85D11"/>
    <w:pPr>
      <w:spacing w:before="0" w:after="0"/>
      <w:jc w:val="left"/>
    </w:pPr>
    <w:rPr>
      <w:rFonts w:eastAsiaTheme="minorEastAsia"/>
      <w:color w:val="2E74B5" w:themeColor="accent5" w:themeShade="BF"/>
      <w:sz w:val="24"/>
      <w:szCs w:val="24"/>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85D11"/>
    <w:pPr>
      <w:spacing w:before="0" w:after="0"/>
      <w:jc w:val="left"/>
    </w:pPr>
    <w:rPr>
      <w:rFonts w:eastAsiaTheme="minorEastAsia"/>
      <w:color w:val="538135" w:themeColor="accent6" w:themeShade="BF"/>
      <w:sz w:val="24"/>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5">
    <w:name w:val="List 5"/>
    <w:basedOn w:val="Normal"/>
    <w:uiPriority w:val="99"/>
    <w:semiHidden/>
    <w:unhideWhenUsed/>
    <w:rsid w:val="00085D11"/>
    <w:pPr>
      <w:tabs>
        <w:tab w:val="left" w:pos="567"/>
        <w:tab w:val="left" w:pos="1134"/>
        <w:tab w:val="left" w:pos="1701"/>
        <w:tab w:val="left" w:pos="2268"/>
      </w:tabs>
      <w:snapToGrid/>
      <w:spacing w:before="0" w:after="0"/>
      <w:ind w:left="1415" w:hanging="283"/>
      <w:contextualSpacing/>
    </w:pPr>
    <w:rPr>
      <w:rFonts w:ascii="Times New Roman" w:hAnsi="Times New Roman" w:cs="Times New Roman"/>
    </w:rPr>
  </w:style>
  <w:style w:type="paragraph" w:styleId="ListBullet">
    <w:name w:val="List Bullet"/>
    <w:basedOn w:val="Normal"/>
    <w:uiPriority w:val="99"/>
    <w:semiHidden/>
    <w:unhideWhenUsed/>
    <w:rsid w:val="00085D11"/>
    <w:pPr>
      <w:tabs>
        <w:tab w:val="num" w:pos="360"/>
        <w:tab w:val="left" w:pos="567"/>
        <w:tab w:val="left" w:pos="1134"/>
        <w:tab w:val="left" w:pos="1701"/>
        <w:tab w:val="left" w:pos="2268"/>
      </w:tabs>
      <w:snapToGrid/>
      <w:spacing w:before="0" w:after="0"/>
      <w:ind w:left="360" w:hanging="360"/>
      <w:contextualSpacing/>
    </w:pPr>
    <w:rPr>
      <w:rFonts w:ascii="Times New Roman" w:hAnsi="Times New Roman" w:cs="Times New Roman"/>
    </w:rPr>
  </w:style>
  <w:style w:type="paragraph" w:styleId="ListBullet2">
    <w:name w:val="List Bullet 2"/>
    <w:basedOn w:val="Normal"/>
    <w:uiPriority w:val="99"/>
    <w:semiHidden/>
    <w:unhideWhenUsed/>
    <w:rsid w:val="00085D11"/>
    <w:pPr>
      <w:tabs>
        <w:tab w:val="left" w:pos="567"/>
        <w:tab w:val="num" w:pos="643"/>
        <w:tab w:val="left" w:pos="1134"/>
        <w:tab w:val="left" w:pos="1701"/>
        <w:tab w:val="left" w:pos="2268"/>
      </w:tabs>
      <w:snapToGrid/>
      <w:spacing w:before="0" w:after="0"/>
      <w:ind w:left="643" w:hanging="360"/>
      <w:contextualSpacing/>
    </w:pPr>
    <w:rPr>
      <w:rFonts w:ascii="Times New Roman" w:hAnsi="Times New Roman" w:cs="Times New Roman"/>
    </w:rPr>
  </w:style>
  <w:style w:type="paragraph" w:styleId="ListBullet3">
    <w:name w:val="List Bullet 3"/>
    <w:basedOn w:val="Normal"/>
    <w:uiPriority w:val="99"/>
    <w:semiHidden/>
    <w:unhideWhenUsed/>
    <w:rsid w:val="00085D11"/>
    <w:pPr>
      <w:tabs>
        <w:tab w:val="left" w:pos="567"/>
        <w:tab w:val="num" w:pos="926"/>
        <w:tab w:val="left" w:pos="1134"/>
        <w:tab w:val="left" w:pos="1701"/>
        <w:tab w:val="left" w:pos="2268"/>
      </w:tabs>
      <w:snapToGrid/>
      <w:spacing w:before="0" w:after="0"/>
      <w:ind w:left="926" w:hanging="360"/>
      <w:contextualSpacing/>
    </w:pPr>
    <w:rPr>
      <w:rFonts w:ascii="Times New Roman" w:hAnsi="Times New Roman" w:cs="Times New Roman"/>
    </w:rPr>
  </w:style>
  <w:style w:type="paragraph" w:styleId="ListBullet4">
    <w:name w:val="List Bullet 4"/>
    <w:basedOn w:val="Normal"/>
    <w:uiPriority w:val="99"/>
    <w:semiHidden/>
    <w:unhideWhenUsed/>
    <w:rsid w:val="00085D11"/>
    <w:pPr>
      <w:tabs>
        <w:tab w:val="left" w:pos="567"/>
        <w:tab w:val="left" w:pos="1134"/>
        <w:tab w:val="num" w:pos="1209"/>
        <w:tab w:val="left" w:pos="1701"/>
        <w:tab w:val="left" w:pos="2268"/>
      </w:tabs>
      <w:snapToGrid/>
      <w:spacing w:before="0" w:after="0"/>
      <w:ind w:left="1209" w:hanging="360"/>
      <w:contextualSpacing/>
    </w:pPr>
    <w:rPr>
      <w:rFonts w:ascii="Times New Roman" w:hAnsi="Times New Roman" w:cs="Times New Roman"/>
    </w:rPr>
  </w:style>
  <w:style w:type="paragraph" w:styleId="ListBullet5">
    <w:name w:val="List Bullet 5"/>
    <w:basedOn w:val="Normal"/>
    <w:uiPriority w:val="99"/>
    <w:semiHidden/>
    <w:unhideWhenUsed/>
    <w:rsid w:val="00085D11"/>
    <w:pPr>
      <w:tabs>
        <w:tab w:val="left" w:pos="567"/>
        <w:tab w:val="left" w:pos="1134"/>
        <w:tab w:val="num" w:pos="1492"/>
        <w:tab w:val="left" w:pos="1701"/>
        <w:tab w:val="left" w:pos="2268"/>
      </w:tabs>
      <w:snapToGrid/>
      <w:spacing w:before="0" w:after="0"/>
      <w:ind w:left="1492" w:hanging="360"/>
      <w:contextualSpacing/>
    </w:pPr>
    <w:rPr>
      <w:rFonts w:ascii="Times New Roman" w:hAnsi="Times New Roman" w:cs="Times New Roman"/>
    </w:rPr>
  </w:style>
  <w:style w:type="paragraph" w:styleId="ListContinue3">
    <w:name w:val="List Continue 3"/>
    <w:basedOn w:val="Normal"/>
    <w:uiPriority w:val="99"/>
    <w:semiHidden/>
    <w:unhideWhenUsed/>
    <w:rsid w:val="00085D11"/>
    <w:pPr>
      <w:tabs>
        <w:tab w:val="left" w:pos="567"/>
        <w:tab w:val="left" w:pos="1134"/>
        <w:tab w:val="left" w:pos="1701"/>
        <w:tab w:val="left" w:pos="2268"/>
      </w:tabs>
      <w:snapToGrid/>
      <w:spacing w:before="0" w:after="120"/>
      <w:ind w:left="849"/>
      <w:contextualSpacing/>
    </w:pPr>
    <w:rPr>
      <w:rFonts w:ascii="Times New Roman" w:hAnsi="Times New Roman" w:cs="Times New Roman"/>
    </w:rPr>
  </w:style>
  <w:style w:type="paragraph" w:styleId="ListContinue4">
    <w:name w:val="List Continue 4"/>
    <w:basedOn w:val="Normal"/>
    <w:uiPriority w:val="99"/>
    <w:semiHidden/>
    <w:unhideWhenUsed/>
    <w:rsid w:val="00085D11"/>
    <w:pPr>
      <w:tabs>
        <w:tab w:val="left" w:pos="567"/>
        <w:tab w:val="left" w:pos="1134"/>
        <w:tab w:val="left" w:pos="1701"/>
        <w:tab w:val="left" w:pos="2268"/>
      </w:tabs>
      <w:snapToGrid/>
      <w:spacing w:before="0" w:after="120"/>
      <w:ind w:left="1132"/>
      <w:contextualSpacing/>
    </w:pPr>
    <w:rPr>
      <w:rFonts w:ascii="Times New Roman" w:hAnsi="Times New Roman" w:cs="Times New Roman"/>
    </w:rPr>
  </w:style>
  <w:style w:type="paragraph" w:styleId="ListContinue5">
    <w:name w:val="List Continue 5"/>
    <w:basedOn w:val="Normal"/>
    <w:uiPriority w:val="99"/>
    <w:semiHidden/>
    <w:unhideWhenUsed/>
    <w:rsid w:val="00085D11"/>
    <w:pPr>
      <w:tabs>
        <w:tab w:val="left" w:pos="567"/>
        <w:tab w:val="left" w:pos="1134"/>
        <w:tab w:val="left" w:pos="1701"/>
        <w:tab w:val="left" w:pos="2268"/>
      </w:tabs>
      <w:snapToGrid/>
      <w:spacing w:before="0" w:after="120"/>
      <w:ind w:left="1415"/>
      <w:contextualSpacing/>
    </w:pPr>
    <w:rPr>
      <w:rFonts w:ascii="Times New Roman" w:hAnsi="Times New Roman" w:cs="Times New Roman"/>
    </w:rPr>
  </w:style>
  <w:style w:type="paragraph" w:styleId="ListNumber">
    <w:name w:val="List Number"/>
    <w:basedOn w:val="Normal"/>
    <w:uiPriority w:val="99"/>
    <w:semiHidden/>
    <w:unhideWhenUsed/>
    <w:rsid w:val="00085D11"/>
    <w:pPr>
      <w:tabs>
        <w:tab w:val="num" w:pos="360"/>
        <w:tab w:val="left" w:pos="567"/>
        <w:tab w:val="left" w:pos="1134"/>
        <w:tab w:val="left" w:pos="1701"/>
        <w:tab w:val="left" w:pos="2268"/>
      </w:tabs>
      <w:snapToGrid/>
      <w:spacing w:before="0" w:after="0"/>
      <w:ind w:left="360" w:hanging="360"/>
      <w:contextualSpacing/>
    </w:pPr>
    <w:rPr>
      <w:rFonts w:ascii="Times New Roman" w:hAnsi="Times New Roman" w:cs="Times New Roman"/>
    </w:rPr>
  </w:style>
  <w:style w:type="paragraph" w:styleId="ListNumber2">
    <w:name w:val="List Number 2"/>
    <w:basedOn w:val="Normal"/>
    <w:uiPriority w:val="99"/>
    <w:semiHidden/>
    <w:unhideWhenUsed/>
    <w:rsid w:val="00085D11"/>
    <w:pPr>
      <w:tabs>
        <w:tab w:val="left" w:pos="567"/>
        <w:tab w:val="num" w:pos="643"/>
        <w:tab w:val="left" w:pos="1134"/>
        <w:tab w:val="left" w:pos="1701"/>
        <w:tab w:val="left" w:pos="2268"/>
      </w:tabs>
      <w:snapToGrid/>
      <w:spacing w:before="0" w:after="0"/>
      <w:ind w:left="643" w:hanging="360"/>
      <w:contextualSpacing/>
    </w:pPr>
    <w:rPr>
      <w:rFonts w:ascii="Times New Roman" w:hAnsi="Times New Roman" w:cs="Times New Roman"/>
    </w:rPr>
  </w:style>
  <w:style w:type="paragraph" w:styleId="ListNumber3">
    <w:name w:val="List Number 3"/>
    <w:basedOn w:val="Normal"/>
    <w:uiPriority w:val="99"/>
    <w:semiHidden/>
    <w:unhideWhenUsed/>
    <w:rsid w:val="00085D11"/>
    <w:pPr>
      <w:tabs>
        <w:tab w:val="left" w:pos="567"/>
        <w:tab w:val="num" w:pos="926"/>
        <w:tab w:val="left" w:pos="1134"/>
        <w:tab w:val="left" w:pos="1701"/>
        <w:tab w:val="left" w:pos="2268"/>
      </w:tabs>
      <w:snapToGrid/>
      <w:spacing w:before="0" w:after="0"/>
      <w:ind w:left="926" w:hanging="360"/>
      <w:contextualSpacing/>
    </w:pPr>
    <w:rPr>
      <w:rFonts w:ascii="Times New Roman" w:hAnsi="Times New Roman" w:cs="Times New Roman"/>
    </w:rPr>
  </w:style>
  <w:style w:type="paragraph" w:styleId="ListNumber4">
    <w:name w:val="List Number 4"/>
    <w:basedOn w:val="Normal"/>
    <w:uiPriority w:val="99"/>
    <w:semiHidden/>
    <w:unhideWhenUsed/>
    <w:rsid w:val="00085D11"/>
    <w:pPr>
      <w:tabs>
        <w:tab w:val="left" w:pos="567"/>
        <w:tab w:val="left" w:pos="1134"/>
        <w:tab w:val="num" w:pos="1209"/>
        <w:tab w:val="left" w:pos="1701"/>
        <w:tab w:val="left" w:pos="2268"/>
      </w:tabs>
      <w:snapToGrid/>
      <w:spacing w:before="0" w:after="0"/>
      <w:ind w:left="1209" w:hanging="360"/>
      <w:contextualSpacing/>
    </w:pPr>
    <w:rPr>
      <w:rFonts w:ascii="Times New Roman" w:hAnsi="Times New Roman" w:cs="Times New Roman"/>
    </w:rPr>
  </w:style>
  <w:style w:type="paragraph" w:styleId="ListNumber5">
    <w:name w:val="List Number 5"/>
    <w:basedOn w:val="Normal"/>
    <w:uiPriority w:val="99"/>
    <w:semiHidden/>
    <w:unhideWhenUsed/>
    <w:rsid w:val="00085D11"/>
    <w:pPr>
      <w:tabs>
        <w:tab w:val="left" w:pos="567"/>
        <w:tab w:val="left" w:pos="1134"/>
        <w:tab w:val="left" w:pos="1701"/>
        <w:tab w:val="num" w:pos="1800"/>
        <w:tab w:val="left" w:pos="2268"/>
      </w:tabs>
      <w:snapToGrid/>
      <w:spacing w:before="0" w:after="0"/>
      <w:ind w:left="1800" w:hanging="360"/>
      <w:contextualSpacing/>
    </w:pPr>
    <w:rPr>
      <w:rFonts w:ascii="Times New Roman" w:hAnsi="Times New Roman" w:cs="Times New Roman"/>
    </w:rPr>
  </w:style>
  <w:style w:type="table" w:styleId="ListTable1Light">
    <w:name w:val="List Table 1 Light"/>
    <w:basedOn w:val="TableNormal"/>
    <w:uiPriority w:val="46"/>
    <w:rsid w:val="00085D11"/>
    <w:pPr>
      <w:spacing w:before="0" w:after="0"/>
      <w:jc w:val="left"/>
    </w:pPr>
    <w:rPr>
      <w:rFonts w:eastAsiaTheme="minorEastAsia"/>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5D11"/>
    <w:pPr>
      <w:spacing w:before="0" w:after="0"/>
      <w:jc w:val="left"/>
    </w:pPr>
    <w:rPr>
      <w:rFonts w:eastAsiaTheme="minorEastAsia"/>
      <w:sz w:val="24"/>
      <w:szCs w:val="24"/>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85D11"/>
    <w:pPr>
      <w:spacing w:before="0" w:after="0"/>
      <w:jc w:val="left"/>
    </w:pPr>
    <w:rPr>
      <w:rFonts w:eastAsiaTheme="minorEastAsia"/>
      <w:sz w:val="24"/>
      <w:szCs w:val="24"/>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85D11"/>
    <w:pPr>
      <w:spacing w:before="0" w:after="0"/>
      <w:jc w:val="left"/>
    </w:pPr>
    <w:rPr>
      <w:rFonts w:eastAsiaTheme="minorEastAsia"/>
      <w:sz w:val="24"/>
      <w:szCs w:val="24"/>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85D11"/>
    <w:pPr>
      <w:spacing w:before="0" w:after="0"/>
      <w:jc w:val="left"/>
    </w:pPr>
    <w:rPr>
      <w:rFonts w:eastAsiaTheme="minorEastAsia"/>
      <w:sz w:val="24"/>
      <w:szCs w:val="24"/>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85D11"/>
    <w:pPr>
      <w:spacing w:before="0" w:after="0"/>
      <w:jc w:val="left"/>
    </w:pPr>
    <w:rPr>
      <w:rFonts w:eastAsiaTheme="minorEastAsia"/>
      <w:sz w:val="24"/>
      <w:szCs w:val="24"/>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85D11"/>
    <w:pPr>
      <w:spacing w:before="0" w:after="0"/>
      <w:jc w:val="left"/>
    </w:pPr>
    <w:rPr>
      <w:rFonts w:eastAsiaTheme="minorEastAsia"/>
      <w:sz w:val="24"/>
      <w:szCs w:val="24"/>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85D11"/>
    <w:pPr>
      <w:spacing w:before="0" w:after="0"/>
      <w:jc w:val="left"/>
    </w:pPr>
    <w:rPr>
      <w:rFonts w:eastAsiaTheme="minorEastAsia"/>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5D11"/>
    <w:pPr>
      <w:spacing w:before="0" w:after="0"/>
      <w:jc w:val="left"/>
    </w:pPr>
    <w:rPr>
      <w:rFonts w:eastAsiaTheme="minorEastAsia"/>
      <w:sz w:val="24"/>
      <w:szCs w:val="24"/>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85D11"/>
    <w:pPr>
      <w:spacing w:before="0" w:after="0"/>
      <w:jc w:val="left"/>
    </w:pPr>
    <w:rPr>
      <w:rFonts w:eastAsiaTheme="minorEastAsia"/>
      <w:sz w:val="24"/>
      <w:szCs w:val="24"/>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85D11"/>
    <w:pPr>
      <w:spacing w:before="0" w:after="0"/>
      <w:jc w:val="left"/>
    </w:pPr>
    <w:rPr>
      <w:rFonts w:eastAsiaTheme="minorEastAsia"/>
      <w:sz w:val="24"/>
      <w:szCs w:val="24"/>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85D11"/>
    <w:pPr>
      <w:spacing w:before="0" w:after="0"/>
      <w:jc w:val="left"/>
    </w:pPr>
    <w:rPr>
      <w:rFonts w:eastAsiaTheme="minorEastAsia"/>
      <w:sz w:val="24"/>
      <w:szCs w:val="24"/>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85D11"/>
    <w:pPr>
      <w:spacing w:before="0" w:after="0"/>
      <w:jc w:val="left"/>
    </w:pPr>
    <w:rPr>
      <w:rFonts w:eastAsiaTheme="minorEastAsia"/>
      <w:sz w:val="24"/>
      <w:szCs w:val="24"/>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85D11"/>
    <w:pPr>
      <w:spacing w:before="0" w:after="0"/>
      <w:jc w:val="left"/>
    </w:pPr>
    <w:rPr>
      <w:rFonts w:eastAsiaTheme="minorEastAsia"/>
      <w:sz w:val="24"/>
      <w:szCs w:val="24"/>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85D11"/>
    <w:pPr>
      <w:spacing w:before="0" w:after="0"/>
      <w:jc w:val="left"/>
    </w:pPr>
    <w:rPr>
      <w:rFonts w:eastAsiaTheme="minorEastAsia"/>
      <w:sz w:val="24"/>
      <w:szCs w:val="24"/>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
    <w:name w:val="List Table 4"/>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85D11"/>
    <w:pPr>
      <w:spacing w:before="0" w:after="0"/>
      <w:jc w:val="left"/>
    </w:pPr>
    <w:rPr>
      <w:rFonts w:eastAsiaTheme="minorEastAsia"/>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
    <w:name w:val="List Table 5 Dark"/>
    <w:basedOn w:val="TableNormal"/>
    <w:uiPriority w:val="50"/>
    <w:rsid w:val="00085D11"/>
    <w:pPr>
      <w:spacing w:before="0" w:after="0"/>
      <w:jc w:val="left"/>
    </w:pPr>
    <w:rPr>
      <w:rFonts w:eastAsiaTheme="minorEastAsia"/>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5D11"/>
    <w:pPr>
      <w:spacing w:before="0" w:after="0"/>
      <w:jc w:val="left"/>
    </w:pPr>
    <w:rPr>
      <w:rFonts w:eastAsiaTheme="minorEastAsia"/>
      <w:color w:val="FFFFFF" w:themeColor="background1"/>
      <w:sz w:val="24"/>
      <w:szCs w:val="24"/>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5D11"/>
    <w:pPr>
      <w:spacing w:before="0" w:after="0"/>
      <w:jc w:val="left"/>
    </w:pPr>
    <w:rPr>
      <w:rFonts w:eastAsiaTheme="minorEastAsia"/>
      <w:color w:val="FFFFFF" w:themeColor="background1"/>
      <w:sz w:val="24"/>
      <w:szCs w:val="24"/>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5D11"/>
    <w:pPr>
      <w:spacing w:before="0" w:after="0"/>
      <w:jc w:val="left"/>
    </w:pPr>
    <w:rPr>
      <w:rFonts w:eastAsiaTheme="minorEastAsia"/>
      <w:color w:val="FFFFFF" w:themeColor="background1"/>
      <w:sz w:val="24"/>
      <w:szCs w:val="24"/>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5D11"/>
    <w:pPr>
      <w:spacing w:before="0" w:after="0"/>
      <w:jc w:val="left"/>
    </w:pPr>
    <w:rPr>
      <w:rFonts w:eastAsiaTheme="minorEastAsia"/>
      <w:color w:val="FFFFFF" w:themeColor="background1"/>
      <w:sz w:val="24"/>
      <w:szCs w:val="24"/>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5D11"/>
    <w:pPr>
      <w:spacing w:before="0" w:after="0"/>
      <w:jc w:val="left"/>
    </w:pPr>
    <w:rPr>
      <w:rFonts w:eastAsiaTheme="minorEastAsia"/>
      <w:color w:val="FFFFFF" w:themeColor="background1"/>
      <w:sz w:val="24"/>
      <w:szCs w:val="24"/>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5D11"/>
    <w:pPr>
      <w:spacing w:before="0" w:after="0"/>
      <w:jc w:val="left"/>
    </w:pPr>
    <w:rPr>
      <w:rFonts w:eastAsiaTheme="minorEastAsia"/>
      <w:color w:val="FFFFFF" w:themeColor="background1"/>
      <w:sz w:val="24"/>
      <w:szCs w:val="24"/>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5D11"/>
    <w:pPr>
      <w:spacing w:before="0" w:after="0"/>
      <w:jc w:val="left"/>
    </w:pPr>
    <w:rPr>
      <w:rFonts w:eastAsiaTheme="minorEastAsia"/>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5D11"/>
    <w:pPr>
      <w:spacing w:before="0" w:after="0"/>
      <w:jc w:val="left"/>
    </w:pPr>
    <w:rPr>
      <w:rFonts w:eastAsiaTheme="minorEastAsia"/>
      <w:color w:val="2F5496" w:themeColor="accent1" w:themeShade="BF"/>
      <w:sz w:val="24"/>
      <w:szCs w:val="24"/>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85D11"/>
    <w:pPr>
      <w:spacing w:before="0" w:after="0"/>
      <w:jc w:val="left"/>
    </w:pPr>
    <w:rPr>
      <w:rFonts w:eastAsiaTheme="minorEastAsia"/>
      <w:color w:val="C45911" w:themeColor="accent2" w:themeShade="BF"/>
      <w:sz w:val="24"/>
      <w:szCs w:val="24"/>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85D11"/>
    <w:pPr>
      <w:spacing w:before="0" w:after="0"/>
      <w:jc w:val="left"/>
    </w:pPr>
    <w:rPr>
      <w:rFonts w:eastAsiaTheme="minorEastAsia"/>
      <w:color w:val="7B7B7B" w:themeColor="accent3" w:themeShade="BF"/>
      <w:sz w:val="24"/>
      <w:szCs w:val="24"/>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85D11"/>
    <w:pPr>
      <w:spacing w:before="0" w:after="0"/>
      <w:jc w:val="left"/>
    </w:pPr>
    <w:rPr>
      <w:rFonts w:eastAsiaTheme="minorEastAsia"/>
      <w:color w:val="BF8F00" w:themeColor="accent4" w:themeShade="BF"/>
      <w:sz w:val="24"/>
      <w:szCs w:val="24"/>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85D11"/>
    <w:pPr>
      <w:spacing w:before="0" w:after="0"/>
      <w:jc w:val="left"/>
    </w:pPr>
    <w:rPr>
      <w:rFonts w:eastAsiaTheme="minorEastAsia"/>
      <w:color w:val="2E74B5" w:themeColor="accent5" w:themeShade="BF"/>
      <w:sz w:val="24"/>
      <w:szCs w:val="24"/>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85D11"/>
    <w:pPr>
      <w:spacing w:before="0" w:after="0"/>
      <w:jc w:val="left"/>
    </w:pPr>
    <w:rPr>
      <w:rFonts w:eastAsiaTheme="minorEastAsia"/>
      <w:color w:val="538135" w:themeColor="accent6" w:themeShade="BF"/>
      <w:sz w:val="24"/>
      <w:szCs w:val="24"/>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Accent1">
    <w:name w:val="List Table 7 Colorful Accent 1"/>
    <w:basedOn w:val="TableNormal"/>
    <w:uiPriority w:val="52"/>
    <w:rsid w:val="00085D11"/>
    <w:pPr>
      <w:spacing w:before="0" w:after="0"/>
      <w:jc w:val="left"/>
    </w:pPr>
    <w:rPr>
      <w:rFonts w:eastAsiaTheme="minorEastAsia"/>
      <w:color w:val="2F5496"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5D11"/>
    <w:pPr>
      <w:spacing w:before="0" w:after="0"/>
      <w:jc w:val="left"/>
    </w:pPr>
    <w:rPr>
      <w:rFonts w:eastAsiaTheme="minorEastAsia"/>
      <w:color w:val="C45911"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5D11"/>
    <w:pPr>
      <w:spacing w:before="0" w:after="0"/>
      <w:jc w:val="left"/>
    </w:pPr>
    <w:rPr>
      <w:rFonts w:eastAsiaTheme="minorEastAsia"/>
      <w:color w:val="7B7B7B"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5D11"/>
    <w:pPr>
      <w:spacing w:before="0" w:after="0"/>
      <w:jc w:val="left"/>
    </w:pPr>
    <w:rPr>
      <w:rFonts w:eastAsiaTheme="minorEastAsia"/>
      <w:color w:val="BF8F0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5D11"/>
    <w:pPr>
      <w:spacing w:before="0" w:after="0"/>
      <w:jc w:val="left"/>
    </w:pPr>
    <w:rPr>
      <w:rFonts w:eastAsiaTheme="minorEastAsia"/>
      <w:color w:val="2E74B5"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5D11"/>
    <w:pPr>
      <w:spacing w:before="0" w:after="0"/>
      <w:jc w:val="left"/>
    </w:pPr>
    <w:rPr>
      <w:rFonts w:eastAsiaTheme="minorEastAsia"/>
      <w:color w:val="538135"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85D11"/>
    <w:pPr>
      <w:tabs>
        <w:tab w:val="left" w:pos="480"/>
        <w:tab w:val="left" w:pos="960"/>
        <w:tab w:val="left" w:pos="1440"/>
        <w:tab w:val="left" w:pos="1920"/>
        <w:tab w:val="left" w:pos="2400"/>
        <w:tab w:val="left" w:pos="2880"/>
        <w:tab w:val="left" w:pos="3360"/>
        <w:tab w:val="left" w:pos="3840"/>
        <w:tab w:val="left" w:pos="4320"/>
      </w:tabs>
      <w:spacing w:before="0" w:after="0"/>
    </w:pPr>
    <w:rPr>
      <w:rFonts w:ascii="Consolas" w:hAnsi="Consolas" w:cs="Times New Roman"/>
      <w:sz w:val="20"/>
      <w:szCs w:val="20"/>
    </w:rPr>
  </w:style>
  <w:style w:type="character" w:customStyle="1" w:styleId="MacroTextChar">
    <w:name w:val="Macro Text Char"/>
    <w:basedOn w:val="DefaultParagraphFont"/>
    <w:link w:val="MacroText"/>
    <w:uiPriority w:val="99"/>
    <w:semiHidden/>
    <w:rsid w:val="00085D11"/>
    <w:rPr>
      <w:rFonts w:ascii="Consolas" w:hAnsi="Consolas" w:cs="Times New Roman"/>
      <w:sz w:val="20"/>
      <w:szCs w:val="20"/>
      <w:lang w:val="fr-FR"/>
    </w:rPr>
  </w:style>
  <w:style w:type="table" w:styleId="MediumGrid1">
    <w:name w:val="Medium Grid 1"/>
    <w:basedOn w:val="TableNormal"/>
    <w:uiPriority w:val="67"/>
    <w:semiHidden/>
    <w:unhideWhenUsed/>
    <w:rsid w:val="00085D11"/>
    <w:pPr>
      <w:spacing w:before="0" w:after="0"/>
      <w:jc w:val="left"/>
    </w:pPr>
    <w:rPr>
      <w:rFonts w:eastAsiaTheme="minorEastAsia"/>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5D11"/>
    <w:pPr>
      <w:spacing w:before="0" w:after="0"/>
      <w:jc w:val="left"/>
    </w:pPr>
    <w:rPr>
      <w:rFonts w:eastAsiaTheme="minorEastAsia"/>
      <w:sz w:val="24"/>
      <w:szCs w:val="24"/>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85D11"/>
    <w:pPr>
      <w:spacing w:before="0" w:after="0"/>
      <w:jc w:val="left"/>
    </w:pPr>
    <w:rPr>
      <w:rFonts w:eastAsiaTheme="minorEastAsia"/>
      <w:sz w:val="24"/>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4">
    <w:name w:val="Medium Grid 1 Accent 4"/>
    <w:basedOn w:val="TableNormal"/>
    <w:uiPriority w:val="67"/>
    <w:semiHidden/>
    <w:unhideWhenUsed/>
    <w:rsid w:val="00085D11"/>
    <w:pPr>
      <w:spacing w:before="0" w:after="0"/>
      <w:jc w:val="left"/>
    </w:pPr>
    <w:rPr>
      <w:rFonts w:eastAsiaTheme="minorEastAsia"/>
      <w:sz w:val="24"/>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85D11"/>
    <w:pPr>
      <w:spacing w:before="0" w:after="0"/>
      <w:jc w:val="left"/>
    </w:pPr>
    <w:rPr>
      <w:rFonts w:eastAsiaTheme="minorEastAsia"/>
      <w:sz w:val="24"/>
      <w:szCs w:val="24"/>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85D11"/>
    <w:pPr>
      <w:spacing w:before="0" w:after="0"/>
      <w:jc w:val="left"/>
    </w:pPr>
    <w:rPr>
      <w:rFonts w:eastAsiaTheme="minorEastAsia"/>
      <w:sz w:val="24"/>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5D11"/>
    <w:pPr>
      <w:spacing w:before="0" w:after="0"/>
      <w:jc w:val="left"/>
    </w:pPr>
    <w:rPr>
      <w:rFonts w:eastAsiaTheme="minorEastAsia"/>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2">
    <w:name w:val="Medium Grid 3 Accent 2"/>
    <w:basedOn w:val="TableNormal"/>
    <w:uiPriority w:val="69"/>
    <w:semiHidden/>
    <w:unhideWhenUsed/>
    <w:rsid w:val="00085D11"/>
    <w:pPr>
      <w:spacing w:before="0" w:after="0"/>
      <w:jc w:val="left"/>
    </w:pPr>
    <w:rPr>
      <w:rFonts w:eastAsiaTheme="minorEastAsia"/>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4">
    <w:name w:val="Medium Grid 3 Accent 4"/>
    <w:basedOn w:val="TableNormal"/>
    <w:uiPriority w:val="69"/>
    <w:semiHidden/>
    <w:unhideWhenUsed/>
    <w:rsid w:val="00085D11"/>
    <w:pPr>
      <w:spacing w:before="0" w:after="0"/>
      <w:jc w:val="left"/>
    </w:pPr>
    <w:rPr>
      <w:rFonts w:eastAsiaTheme="minorEastAsia"/>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85D11"/>
    <w:pPr>
      <w:spacing w:before="0" w:after="0"/>
      <w:jc w:val="left"/>
    </w:pPr>
    <w:rPr>
      <w:rFonts w:eastAsiaTheme="minorEastAsia"/>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85D11"/>
    <w:pPr>
      <w:spacing w:before="0" w:after="0"/>
      <w:jc w:val="left"/>
    </w:pPr>
    <w:rPr>
      <w:rFonts w:eastAsiaTheme="minorEastAsia"/>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85D11"/>
    <w:pPr>
      <w:spacing w:before="0" w:after="0"/>
      <w:jc w:val="left"/>
    </w:pPr>
    <w:rPr>
      <w:rFonts w:eastAsiaTheme="minorEastAsia"/>
      <w:color w:val="000000" w:themeColor="text1"/>
      <w:sz w:val="24"/>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5D11"/>
    <w:pPr>
      <w:spacing w:before="0" w:after="0"/>
      <w:jc w:val="left"/>
    </w:pPr>
    <w:rPr>
      <w:rFonts w:eastAsiaTheme="minorEastAsia"/>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5D11"/>
    <w:pPr>
      <w:spacing w:before="0" w:after="0"/>
      <w:jc w:val="left"/>
    </w:pPr>
    <w:rPr>
      <w:rFonts w:eastAsiaTheme="minorEastAsia"/>
      <w:sz w:val="24"/>
      <w:szCs w:val="24"/>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5D11"/>
    <w:pPr>
      <w:spacing w:before="0" w:after="0"/>
      <w:jc w:val="left"/>
    </w:pPr>
    <w:rPr>
      <w:rFonts w:eastAsiaTheme="minorEastAsia"/>
      <w:sz w:val="24"/>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5D11"/>
    <w:pPr>
      <w:spacing w:before="0" w:after="0"/>
      <w:jc w:val="left"/>
    </w:pPr>
    <w:rPr>
      <w:rFonts w:eastAsiaTheme="minorEastAsia"/>
      <w:sz w:val="24"/>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5D11"/>
    <w:pPr>
      <w:spacing w:before="0" w:after="0"/>
      <w:jc w:val="left"/>
    </w:pPr>
    <w:rPr>
      <w:rFonts w:eastAsiaTheme="minorEastAsia"/>
      <w:sz w:val="24"/>
      <w:szCs w:val="24"/>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5D11"/>
    <w:pPr>
      <w:spacing w:before="0" w:after="0"/>
      <w:jc w:val="left"/>
    </w:pPr>
    <w:rPr>
      <w:rFonts w:eastAsiaTheme="minorEastAsia"/>
      <w:sz w:val="24"/>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5D11"/>
    <w:pPr>
      <w:spacing w:before="0" w:after="0"/>
      <w:jc w:val="left"/>
    </w:pPr>
    <w:rPr>
      <w:rFonts w:eastAsiaTheme="minorEastAsia"/>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5D11"/>
    <w:pPr>
      <w:spacing w:before="0" w:after="0"/>
      <w:jc w:val="left"/>
    </w:pPr>
    <w:rPr>
      <w:rFonts w:eastAsiaTheme="minorEastAsia"/>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5D11"/>
    <w:pPr>
      <w:spacing w:before="0" w:after="0"/>
      <w:jc w:val="left"/>
    </w:pPr>
    <w:rPr>
      <w:rFonts w:eastAsiaTheme="minorEastAsia"/>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5D11"/>
    <w:pPr>
      <w:spacing w:before="0" w:after="0"/>
      <w:jc w:val="left"/>
    </w:pPr>
    <w:rPr>
      <w:rFonts w:eastAsiaTheme="minorEastAsia"/>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5D11"/>
    <w:pPr>
      <w:spacing w:before="0" w:after="0"/>
      <w:jc w:val="left"/>
    </w:pPr>
    <w:rPr>
      <w:rFonts w:eastAsiaTheme="minorEastAsia"/>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5D11"/>
    <w:pPr>
      <w:spacing w:before="0" w:after="0"/>
      <w:jc w:val="left"/>
    </w:pPr>
    <w:rPr>
      <w:rFonts w:eastAsiaTheme="minorEastAsia"/>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085D11"/>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snapToGrid/>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85D11"/>
    <w:rPr>
      <w:rFonts w:asciiTheme="majorHAnsi" w:eastAsiaTheme="majorEastAsia" w:hAnsiTheme="majorHAnsi" w:cstheme="majorBidi"/>
      <w:sz w:val="24"/>
      <w:szCs w:val="24"/>
      <w:shd w:val="pct20" w:color="auto" w:fill="auto"/>
      <w:lang w:val="fr-FR"/>
    </w:rPr>
  </w:style>
  <w:style w:type="paragraph" w:styleId="NormalIndent">
    <w:name w:val="Normal Indent"/>
    <w:basedOn w:val="Normal"/>
    <w:uiPriority w:val="99"/>
    <w:semiHidden/>
    <w:unhideWhenUsed/>
    <w:rsid w:val="00085D11"/>
    <w:pPr>
      <w:tabs>
        <w:tab w:val="left" w:pos="567"/>
        <w:tab w:val="left" w:pos="1134"/>
        <w:tab w:val="left" w:pos="1701"/>
        <w:tab w:val="left" w:pos="2268"/>
      </w:tabs>
      <w:snapToGrid/>
      <w:spacing w:before="0" w:after="0"/>
      <w:ind w:left="720"/>
    </w:pPr>
    <w:rPr>
      <w:rFonts w:ascii="Times New Roman" w:hAnsi="Times New Roman" w:cs="Times New Roman"/>
    </w:rPr>
  </w:style>
  <w:style w:type="paragraph" w:styleId="NoteHeading">
    <w:name w:val="Note Heading"/>
    <w:basedOn w:val="Normal"/>
    <w:next w:val="Normal"/>
    <w:link w:val="NoteHeading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rPr>
  </w:style>
  <w:style w:type="character" w:customStyle="1" w:styleId="NoteHeadingChar">
    <w:name w:val="Note Heading Char"/>
    <w:basedOn w:val="DefaultParagraphFont"/>
    <w:link w:val="NoteHeading"/>
    <w:uiPriority w:val="99"/>
    <w:semiHidden/>
    <w:rsid w:val="00085D11"/>
    <w:rPr>
      <w:rFonts w:ascii="Times New Roman" w:hAnsi="Times New Roman" w:cs="Times New Roman"/>
      <w:lang w:val="fr-FR"/>
    </w:rPr>
  </w:style>
  <w:style w:type="paragraph" w:styleId="Salutation">
    <w:name w:val="Salutation"/>
    <w:basedOn w:val="Normal"/>
    <w:next w:val="Normal"/>
    <w:link w:val="Salutation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rPr>
  </w:style>
  <w:style w:type="character" w:customStyle="1" w:styleId="SalutationChar">
    <w:name w:val="Salutation Char"/>
    <w:basedOn w:val="DefaultParagraphFont"/>
    <w:link w:val="Salutation"/>
    <w:uiPriority w:val="99"/>
    <w:semiHidden/>
    <w:rsid w:val="00085D11"/>
    <w:rPr>
      <w:rFonts w:ascii="Times New Roman" w:hAnsi="Times New Roman" w:cs="Times New Roman"/>
      <w:lang w:val="fr-FR"/>
    </w:rPr>
  </w:style>
  <w:style w:type="paragraph" w:styleId="Signature">
    <w:name w:val="Signature"/>
    <w:basedOn w:val="Normal"/>
    <w:link w:val="SignatureChar"/>
    <w:uiPriority w:val="99"/>
    <w:semiHidden/>
    <w:unhideWhenUsed/>
    <w:rsid w:val="00085D11"/>
    <w:pPr>
      <w:tabs>
        <w:tab w:val="left" w:pos="567"/>
        <w:tab w:val="left" w:pos="1134"/>
        <w:tab w:val="left" w:pos="1701"/>
        <w:tab w:val="left" w:pos="2268"/>
      </w:tabs>
      <w:snapToGrid/>
      <w:spacing w:before="0" w:after="0"/>
      <w:ind w:left="4252"/>
    </w:pPr>
    <w:rPr>
      <w:rFonts w:ascii="Times New Roman" w:hAnsi="Times New Roman" w:cs="Times New Roman"/>
    </w:rPr>
  </w:style>
  <w:style w:type="character" w:customStyle="1" w:styleId="SignatureChar">
    <w:name w:val="Signature Char"/>
    <w:basedOn w:val="DefaultParagraphFont"/>
    <w:link w:val="Signature"/>
    <w:uiPriority w:val="99"/>
    <w:semiHidden/>
    <w:rsid w:val="00085D11"/>
    <w:rPr>
      <w:rFonts w:ascii="Times New Roman" w:hAnsi="Times New Roman" w:cs="Times New Roman"/>
      <w:lang w:val="fr-FR"/>
    </w:rPr>
  </w:style>
  <w:style w:type="character" w:styleId="SmartHyperlink">
    <w:name w:val="Smart Hyperlink"/>
    <w:basedOn w:val="DefaultParagraphFont"/>
    <w:uiPriority w:val="99"/>
    <w:semiHidden/>
    <w:unhideWhenUsed/>
    <w:rsid w:val="00085D11"/>
    <w:rPr>
      <w:u w:val="dotted"/>
      <w:lang w:val="fr-FR"/>
    </w:rPr>
  </w:style>
  <w:style w:type="character" w:styleId="SmartLink">
    <w:name w:val="Smart Link"/>
    <w:basedOn w:val="DefaultParagraphFont"/>
    <w:uiPriority w:val="99"/>
    <w:semiHidden/>
    <w:unhideWhenUsed/>
    <w:rsid w:val="00085D11"/>
    <w:rPr>
      <w:color w:val="0000FF"/>
      <w:u w:val="single"/>
      <w:shd w:val="clear" w:color="auto" w:fill="F3F2F1"/>
      <w:lang w:val="fr-FR"/>
    </w:rPr>
  </w:style>
  <w:style w:type="character" w:styleId="SubtleEmphasis">
    <w:name w:val="Subtle Emphasis"/>
    <w:basedOn w:val="DefaultParagraphFont"/>
    <w:uiPriority w:val="19"/>
    <w:qFormat/>
    <w:rsid w:val="00085D11"/>
    <w:rPr>
      <w:i/>
      <w:iCs/>
      <w:color w:val="404040" w:themeColor="text1" w:themeTint="BF"/>
      <w:lang w:val="fr-FR"/>
    </w:rPr>
  </w:style>
  <w:style w:type="table" w:styleId="Table3Deffects1">
    <w:name w:val="Table 3D effects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85D11"/>
    <w:pPr>
      <w:tabs>
        <w:tab w:val="left" w:pos="567"/>
        <w:tab w:val="left" w:pos="1134"/>
        <w:tab w:val="left" w:pos="1701"/>
        <w:tab w:val="left" w:pos="2268"/>
      </w:tabs>
      <w:spacing w:before="0" w:after="0"/>
    </w:pPr>
    <w:rPr>
      <w:rFonts w:eastAsiaTheme="minorEastAsia"/>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85D11"/>
    <w:pPr>
      <w:tabs>
        <w:tab w:val="left" w:pos="567"/>
        <w:tab w:val="left" w:pos="1134"/>
        <w:tab w:val="left" w:pos="1701"/>
        <w:tab w:val="left" w:pos="2268"/>
      </w:tabs>
      <w:spacing w:before="0" w:after="0"/>
    </w:pPr>
    <w:rPr>
      <w:rFonts w:eastAsiaTheme="minorEastAsia"/>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85D11"/>
    <w:pPr>
      <w:snapToGrid/>
      <w:spacing w:before="0" w:after="0"/>
      <w:ind w:left="220" w:hanging="220"/>
    </w:pPr>
    <w:rPr>
      <w:rFonts w:ascii="Times New Roman" w:hAnsi="Times New Roman" w:cs="Times New Roman"/>
    </w:rPr>
  </w:style>
  <w:style w:type="table" w:styleId="TableProfessional">
    <w:name w:val="Table Professional"/>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BDAgendaItemReport">
    <w:name w:val="CBD_AgendaItem_Report"/>
    <w:basedOn w:val="Normal"/>
    <w:qFormat/>
    <w:rsid w:val="00085D11"/>
    <w:pPr>
      <w:keepNext/>
      <w:keepLines/>
      <w:tabs>
        <w:tab w:val="left" w:pos="567"/>
        <w:tab w:val="left" w:pos="1134"/>
        <w:tab w:val="left" w:pos="1701"/>
        <w:tab w:val="left" w:pos="2268"/>
      </w:tabs>
      <w:snapToGrid/>
      <w:spacing w:before="240" w:after="120"/>
      <w:jc w:val="left"/>
    </w:pPr>
    <w:rPr>
      <w:rFonts w:ascii="Times New Roman" w:hAnsi="Times New Roman" w:cs="Times New Roman"/>
      <w:b/>
      <w:sz w:val="24"/>
    </w:rPr>
  </w:style>
  <w:style w:type="paragraph" w:customStyle="1" w:styleId="CBDagendaItem0">
    <w:name w:val="CBD_agenda_Item"/>
    <w:basedOn w:val="CBDNormalNumber"/>
    <w:qFormat/>
    <w:rsid w:val="00085D11"/>
  </w:style>
  <w:style w:type="paragraph" w:customStyle="1" w:styleId="outlineelement">
    <w:name w:val="outlineelement"/>
    <w:basedOn w:val="Normal"/>
    <w:rsid w:val="00085D11"/>
    <w:pPr>
      <w:snapToGrid/>
      <w:spacing w:before="100" w:beforeAutospacing="1" w:after="100" w:afterAutospacing="1"/>
      <w:jc w:val="left"/>
    </w:pPr>
    <w:rPr>
      <w:rFonts w:ascii="Times New Roman" w:eastAsia="Times New Roman" w:hAnsi="Times New Roman" w:cs="Times New Roman"/>
      <w:sz w:val="24"/>
      <w:szCs w:val="24"/>
    </w:rPr>
  </w:style>
  <w:style w:type="character" w:customStyle="1" w:styleId="scxw116652080">
    <w:name w:val="scxw116652080"/>
    <w:basedOn w:val="DefaultParagraphFont"/>
    <w:rsid w:val="00085D11"/>
  </w:style>
  <w:style w:type="numbering" w:customStyle="1" w:styleId="NoList3">
    <w:name w:val="No List3"/>
    <w:next w:val="NoList"/>
    <w:uiPriority w:val="99"/>
    <w:semiHidden/>
    <w:unhideWhenUsed/>
    <w:rsid w:val="006B1EA6"/>
  </w:style>
  <w:style w:type="table" w:customStyle="1" w:styleId="TableGrid60">
    <w:name w:val="Table Grid6"/>
    <w:basedOn w:val="TableNormal"/>
    <w:next w:val="TableGrid"/>
    <w:uiPriority w:val="39"/>
    <w:rsid w:val="006B1EA6"/>
    <w:pPr>
      <w:spacing w:before="0" w:after="0"/>
      <w:jc w:val="left"/>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B1EA6"/>
    <w:pPr>
      <w:spacing w:before="0" w:after="0"/>
      <w:jc w:val="left"/>
    </w:pPr>
    <w:rPr>
      <w:rFonts w:eastAsia="MS Minch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6B1EA6"/>
  </w:style>
  <w:style w:type="numbering" w:customStyle="1" w:styleId="CBDHeadings1">
    <w:name w:val="CBD_Headings1"/>
    <w:basedOn w:val="ListCBD"/>
    <w:uiPriority w:val="99"/>
    <w:rsid w:val="006B1EA6"/>
    <w:pPr>
      <w:numPr>
        <w:numId w:val="42"/>
      </w:numPr>
    </w:pPr>
  </w:style>
  <w:style w:type="table" w:customStyle="1" w:styleId="ColorfulGrid-Accent32">
    <w:name w:val="Colorful Grid - Accent 32"/>
    <w:basedOn w:val="TableNormal"/>
    <w:next w:val="ColorfulGrid-Accent3"/>
    <w:uiPriority w:val="73"/>
    <w:semiHidden/>
    <w:unhideWhenUsed/>
    <w:rsid w:val="006B1EA6"/>
    <w:pPr>
      <w:spacing w:before="0" w:after="0"/>
      <w:jc w:val="left"/>
    </w:pPr>
    <w:rPr>
      <w:rFonts w:eastAsia="MS Mincho"/>
      <w:color w:val="000000"/>
      <w:sz w:val="24"/>
      <w:szCs w:val="24"/>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dTable1Light2">
    <w:name w:val="Grid Table 1 Light2"/>
    <w:basedOn w:val="TableNormal"/>
    <w:next w:val="GridTable1Light"/>
    <w:uiPriority w:val="46"/>
    <w:rsid w:val="006B1EA6"/>
    <w:pPr>
      <w:spacing w:before="0" w:after="0"/>
      <w:jc w:val="left"/>
    </w:pPr>
    <w:rPr>
      <w:rFonts w:eastAsia="MS Mincho"/>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6B1EA6"/>
    <w:pPr>
      <w:spacing w:before="0" w:after="0"/>
      <w:jc w:val="left"/>
    </w:pPr>
    <w:rPr>
      <w:rFonts w:eastAsia="MS Mincho"/>
      <w:sz w:val="24"/>
      <w:szCs w:val="24"/>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5Dark-Accent12">
    <w:name w:val="Grid Table 5 Dark - Accent 12"/>
    <w:basedOn w:val="TableNormal"/>
    <w:next w:val="GridTable5Dark-Accent1"/>
    <w:uiPriority w:val="50"/>
    <w:rsid w:val="006B1EA6"/>
    <w:pPr>
      <w:spacing w:before="0" w:after="0"/>
      <w:jc w:val="left"/>
    </w:pPr>
    <w:rPr>
      <w:rFonts w:eastAsia="MS Mincho"/>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62">
    <w:name w:val="Grid Table 5 Dark - Accent 62"/>
    <w:basedOn w:val="TableNormal"/>
    <w:next w:val="GridTable5Dark-Accent6"/>
    <w:uiPriority w:val="50"/>
    <w:rsid w:val="006B1EA6"/>
    <w:pPr>
      <w:spacing w:before="0" w:after="0"/>
      <w:jc w:val="left"/>
    </w:pPr>
    <w:rPr>
      <w:rFonts w:eastAsia="MS Mincho"/>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7Colorful-Accent12">
    <w:name w:val="Grid Table 7 Colorful - Accent 12"/>
    <w:basedOn w:val="TableNormal"/>
    <w:next w:val="GridTable7Colorful-Accent1"/>
    <w:uiPriority w:val="52"/>
    <w:rsid w:val="006B1EA6"/>
    <w:pPr>
      <w:spacing w:before="0" w:after="0"/>
      <w:jc w:val="left"/>
    </w:pPr>
    <w:rPr>
      <w:rFonts w:eastAsia="MS Mincho"/>
      <w:color w:val="365F91"/>
      <w:sz w:val="24"/>
      <w:szCs w:val="24"/>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62">
    <w:name w:val="Grid Table 7 Colorful - Accent 62"/>
    <w:basedOn w:val="TableNormal"/>
    <w:next w:val="GridTable7Colorful-Accent6"/>
    <w:uiPriority w:val="52"/>
    <w:rsid w:val="006B1EA6"/>
    <w:pPr>
      <w:spacing w:before="0" w:after="0"/>
      <w:jc w:val="left"/>
    </w:pPr>
    <w:rPr>
      <w:rFonts w:eastAsia="MS Mincho"/>
      <w:color w:val="E36C0A"/>
      <w:sz w:val="24"/>
      <w:szCs w:val="24"/>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ghtList-Accent32">
    <w:name w:val="Light List - Accent 32"/>
    <w:basedOn w:val="TableNormal"/>
    <w:next w:val="LightList-Accent3"/>
    <w:uiPriority w:val="61"/>
    <w:semiHidden/>
    <w:unhideWhenUsed/>
    <w:rsid w:val="006B1EA6"/>
    <w:pPr>
      <w:spacing w:before="0" w:after="0"/>
      <w:jc w:val="left"/>
    </w:pPr>
    <w:rPr>
      <w:rFonts w:eastAsia="MS Mincho"/>
      <w:sz w:val="24"/>
      <w:szCs w:val="24"/>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Table3-Accent62">
    <w:name w:val="List Table 3 - Accent 62"/>
    <w:basedOn w:val="TableNormal"/>
    <w:next w:val="ListTable3-Accent6"/>
    <w:uiPriority w:val="48"/>
    <w:rsid w:val="006B1EA6"/>
    <w:pPr>
      <w:spacing w:before="0" w:after="0"/>
      <w:jc w:val="left"/>
    </w:pPr>
    <w:rPr>
      <w:rFonts w:eastAsia="MS Mincho"/>
      <w:sz w:val="24"/>
      <w:szCs w:val="24"/>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Accent62">
    <w:name w:val="List Table 4 - Accent 62"/>
    <w:basedOn w:val="TableNormal"/>
    <w:next w:val="ListTable4-Accent6"/>
    <w:uiPriority w:val="49"/>
    <w:rsid w:val="006B1EA6"/>
    <w:pPr>
      <w:spacing w:before="0" w:after="0"/>
      <w:jc w:val="left"/>
    </w:pPr>
    <w:rPr>
      <w:rFonts w:eastAsia="MS Mincho"/>
      <w:sz w:val="24"/>
      <w:szCs w:val="24"/>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2">
    <w:name w:val="List Table 7 Colorful2"/>
    <w:basedOn w:val="TableNormal"/>
    <w:next w:val="ListTable7Colorful"/>
    <w:uiPriority w:val="52"/>
    <w:rsid w:val="006B1EA6"/>
    <w:pPr>
      <w:spacing w:before="0" w:after="0"/>
      <w:jc w:val="left"/>
    </w:pPr>
    <w:rPr>
      <w:rFonts w:eastAsia="MS Mincho"/>
      <w:color w:val="000000"/>
      <w:sz w:val="24"/>
      <w:szCs w:val="24"/>
    </w:rPr>
    <w:tblPr>
      <w:tblStyleRowBandSize w:val="1"/>
      <w:tblStyleColBandSize w:val="1"/>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Accent32">
    <w:name w:val="Medium Grid 1 - Accent 32"/>
    <w:basedOn w:val="TableNormal"/>
    <w:next w:val="MediumGrid1-Accent3"/>
    <w:uiPriority w:val="67"/>
    <w:semiHidden/>
    <w:unhideWhenUsed/>
    <w:rsid w:val="006B1EA6"/>
    <w:pPr>
      <w:spacing w:before="0" w:after="0"/>
      <w:jc w:val="left"/>
    </w:pPr>
    <w:rPr>
      <w:rFonts w:eastAsia="MS Mincho"/>
      <w:sz w:val="24"/>
      <w:szCs w:val="24"/>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3-Accent12">
    <w:name w:val="Medium Grid 3 - Accent 12"/>
    <w:basedOn w:val="TableNormal"/>
    <w:next w:val="MediumGrid3-Accent1"/>
    <w:uiPriority w:val="69"/>
    <w:semiHidden/>
    <w:unhideWhenUsed/>
    <w:rsid w:val="006B1EA6"/>
    <w:pPr>
      <w:spacing w:before="0" w:after="0"/>
      <w:jc w:val="left"/>
    </w:pPr>
    <w:rPr>
      <w:rFonts w:eastAsia="MS Mincho"/>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32">
    <w:name w:val="Medium Grid 3 - Accent 32"/>
    <w:basedOn w:val="TableNormal"/>
    <w:next w:val="MediumGrid3-Accent3"/>
    <w:uiPriority w:val="69"/>
    <w:semiHidden/>
    <w:unhideWhenUsed/>
    <w:rsid w:val="006B1EA6"/>
    <w:pPr>
      <w:spacing w:before="0" w:after="0"/>
      <w:jc w:val="left"/>
    </w:pPr>
    <w:rPr>
      <w:rFonts w:eastAsia="MS Mincho"/>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List2-Accent12">
    <w:name w:val="Medium List 2 - Accent 12"/>
    <w:basedOn w:val="TableNormal"/>
    <w:next w:val="MediumList2-Accent1"/>
    <w:uiPriority w:val="66"/>
    <w:semiHidden/>
    <w:unhideWhenUsed/>
    <w:rsid w:val="006B1EA6"/>
    <w:pPr>
      <w:spacing w:before="0" w:after="0"/>
      <w:jc w:val="left"/>
    </w:pPr>
    <w:rPr>
      <w:rFonts w:ascii="Calibri" w:eastAsia="MS Gothic" w:hAnsi="Calibri" w:cs="Times New Roman"/>
      <w:color w:val="000000"/>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Shading1-Accent32">
    <w:name w:val="Medium Shading 1 - Accent 32"/>
    <w:basedOn w:val="TableNormal"/>
    <w:next w:val="MediumShading1-Accent3"/>
    <w:uiPriority w:val="63"/>
    <w:semiHidden/>
    <w:unhideWhenUsed/>
    <w:rsid w:val="006B1EA6"/>
    <w:pPr>
      <w:spacing w:before="0" w:after="0"/>
      <w:jc w:val="left"/>
    </w:pPr>
    <w:rPr>
      <w:rFonts w:eastAsia="MS Mincho"/>
      <w:sz w:val="24"/>
      <w:szCs w:val="24"/>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32">
    <w:name w:val="Medium Shading 2 - Accent 32"/>
    <w:basedOn w:val="TableNormal"/>
    <w:next w:val="MediumShading2-Accent3"/>
    <w:uiPriority w:val="64"/>
    <w:semiHidden/>
    <w:unhideWhenUsed/>
    <w:rsid w:val="006B1EA6"/>
    <w:pPr>
      <w:spacing w:before="0" w:after="0"/>
      <w:jc w:val="left"/>
    </w:pPr>
    <w:rPr>
      <w:rFonts w:eastAsia="MS Mincho"/>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next w:val="PlainTable1"/>
    <w:uiPriority w:val="41"/>
    <w:rsid w:val="006B1EA6"/>
    <w:pPr>
      <w:spacing w:before="0" w:after="0"/>
      <w:jc w:val="left"/>
    </w:pPr>
    <w:rPr>
      <w:rFonts w:eastAsia="MS Mincho"/>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3">
    <w:name w:val="Plain Table 23"/>
    <w:basedOn w:val="TableNormal"/>
    <w:next w:val="PlainTable2"/>
    <w:uiPriority w:val="42"/>
    <w:rsid w:val="006B1EA6"/>
    <w:pPr>
      <w:spacing w:before="0" w:after="0"/>
      <w:jc w:val="left"/>
    </w:pPr>
    <w:rPr>
      <w:rFonts w:eastAsia="MS Mincho"/>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6B1EA6"/>
    <w:pPr>
      <w:spacing w:before="0" w:after="0"/>
      <w:jc w:val="left"/>
    </w:pPr>
    <w:rPr>
      <w:rFonts w:eastAsia="MS Mincho"/>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6B1EA6"/>
    <w:pPr>
      <w:spacing w:before="0" w:after="0"/>
      <w:jc w:val="left"/>
    </w:pPr>
    <w:rPr>
      <w:rFonts w:eastAsia="MS Mincho"/>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2">
    <w:name w:val="Plain Table 52"/>
    <w:basedOn w:val="TableNormal"/>
    <w:next w:val="PlainTable5"/>
    <w:uiPriority w:val="45"/>
    <w:rsid w:val="006B1EA6"/>
    <w:pPr>
      <w:spacing w:before="0" w:after="0"/>
      <w:jc w:val="left"/>
    </w:pPr>
    <w:rPr>
      <w:rFonts w:eastAsia="MS Mincho"/>
      <w:sz w:val="24"/>
      <w:szCs w:val="24"/>
    </w:rPr>
    <w:tblPr>
      <w:tblStyleRowBandSize w:val="1"/>
      <w:tblStyleColBandSize w:val="1"/>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3">
    <w:name w:val="Table Grid Light3"/>
    <w:basedOn w:val="TableNormal"/>
    <w:next w:val="TableGridLight"/>
    <w:uiPriority w:val="40"/>
    <w:rsid w:val="006B1EA6"/>
    <w:pPr>
      <w:spacing w:before="0" w:after="0"/>
      <w:jc w:val="left"/>
    </w:pPr>
    <w:rPr>
      <w:rFonts w:eastAsia="MS Mincho"/>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
    <w:name w:val="No List11"/>
    <w:next w:val="NoList"/>
    <w:uiPriority w:val="99"/>
    <w:semiHidden/>
    <w:unhideWhenUsed/>
    <w:rsid w:val="006B1EA6"/>
  </w:style>
  <w:style w:type="numbering" w:customStyle="1" w:styleId="NoList21">
    <w:name w:val="No List21"/>
    <w:next w:val="NoList"/>
    <w:uiPriority w:val="99"/>
    <w:semiHidden/>
    <w:unhideWhenUsed/>
    <w:rsid w:val="006B1EA6"/>
  </w:style>
  <w:style w:type="numbering" w:customStyle="1" w:styleId="Normallist1">
    <w:name w:val="Normal_list1"/>
    <w:basedOn w:val="NoList"/>
    <w:rsid w:val="006B1EA6"/>
  </w:style>
  <w:style w:type="numbering" w:customStyle="1" w:styleId="AndrewsOutlineStyle1">
    <w:name w:val="Andrew's Outline Style1"/>
    <w:uiPriority w:val="99"/>
    <w:rsid w:val="006B1EA6"/>
  </w:style>
  <w:style w:type="table" w:customStyle="1" w:styleId="ListTable7Colorful12">
    <w:name w:val="List Table 7 Colorful12"/>
    <w:basedOn w:val="TableNormal"/>
    <w:next w:val="ListTable7Colorful"/>
    <w:uiPriority w:val="52"/>
    <w:rsid w:val="006B1EA6"/>
    <w:pPr>
      <w:spacing w:before="0" w:after="0"/>
      <w:jc w:val="left"/>
    </w:pPr>
    <w:rPr>
      <w:rFonts w:ascii="Times New Roman" w:eastAsia="MS Mincho" w:hAnsi="Times New Roman"/>
      <w:color w:val="000000"/>
      <w:lang w:eastAsia="de-DE"/>
    </w:rPr>
    <w:tblPr>
      <w:tblStyleRowBandSize w:val="1"/>
      <w:tblStyleColBandSize w:val="1"/>
    </w:tblPr>
    <w:tblStylePr w:type="firstRow">
      <w:rPr>
        <w:rFonts w:ascii="Adobe Garamond Pro" w:eastAsia="MS Gothic" w:hAnsi="Adobe Garamond Pro" w:cs="Times New Roman"/>
        <w:i/>
        <w:iCs/>
        <w:sz w:val="26"/>
      </w:rPr>
      <w:tblPr/>
      <w:tcPr>
        <w:tcBorders>
          <w:bottom w:val="single" w:sz="4" w:space="0" w:color="000000"/>
        </w:tcBorders>
        <w:shd w:val="clear" w:color="auto" w:fill="FFFFFF"/>
      </w:tcPr>
    </w:tblStylePr>
    <w:tblStylePr w:type="lastRow">
      <w:rPr>
        <w:rFonts w:ascii="Adobe Garamond Pro" w:eastAsia="MS Gothic" w:hAnsi="Adobe Garamond Pro" w:cs="Times New Roman"/>
        <w:i/>
        <w:iCs/>
        <w:sz w:val="26"/>
      </w:rPr>
      <w:tblPr/>
      <w:tcPr>
        <w:tcBorders>
          <w:top w:val="single" w:sz="4" w:space="0" w:color="000000"/>
        </w:tcBorders>
        <w:shd w:val="clear" w:color="auto" w:fill="FFFFFF"/>
      </w:tcPr>
    </w:tblStylePr>
    <w:tblStylePr w:type="firstCol">
      <w:pPr>
        <w:jc w:val="right"/>
      </w:pPr>
      <w:rPr>
        <w:rFonts w:ascii="Adobe Garamond Pro" w:eastAsia="MS Gothic" w:hAnsi="Adobe Garamond Pro" w:cs="Times New Roman"/>
        <w:i/>
        <w:iCs/>
        <w:sz w:val="26"/>
      </w:rPr>
      <w:tblPr/>
      <w:tcPr>
        <w:tcBorders>
          <w:right w:val="single" w:sz="4" w:space="0" w:color="000000"/>
        </w:tcBorders>
        <w:shd w:val="clear" w:color="auto" w:fill="FFFFFF"/>
      </w:tcPr>
    </w:tblStylePr>
    <w:tblStylePr w:type="lastCol">
      <w:rPr>
        <w:rFonts w:ascii="Adobe Garamond Pro" w:eastAsia="MS Gothic" w:hAnsi="Adobe Garamond Pro"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2">
    <w:name w:val="Plain Table 512"/>
    <w:basedOn w:val="TableNormal"/>
    <w:next w:val="PlainTable5"/>
    <w:uiPriority w:val="45"/>
    <w:rsid w:val="006B1EA6"/>
    <w:pPr>
      <w:spacing w:before="0" w:after="0"/>
      <w:jc w:val="left"/>
    </w:pPr>
    <w:rPr>
      <w:rFonts w:ascii="Times New Roman" w:eastAsia="MS Mincho" w:hAnsi="Times New Roman"/>
      <w:lang w:eastAsia="de-DE"/>
    </w:rPr>
    <w:tblPr>
      <w:tblStyleRowBandSize w:val="1"/>
      <w:tblStyleColBandSize w:val="1"/>
    </w:tblPr>
    <w:tblStylePr w:type="firstRow">
      <w:rPr>
        <w:rFonts w:ascii="Adobe Garamond Pro" w:eastAsia="MS Gothic" w:hAnsi="Adobe Garamond Pro" w:cs="Times New Roman"/>
        <w:i/>
        <w:iCs/>
        <w:sz w:val="26"/>
      </w:rPr>
      <w:tblPr/>
      <w:tcPr>
        <w:tcBorders>
          <w:bottom w:val="single" w:sz="4" w:space="0" w:color="7F7F7F"/>
        </w:tcBorders>
        <w:shd w:val="clear" w:color="auto" w:fill="FFFFFF"/>
      </w:tcPr>
    </w:tblStylePr>
    <w:tblStylePr w:type="lastRow">
      <w:rPr>
        <w:rFonts w:ascii="Adobe Garamond Pro" w:eastAsia="MS Gothic" w:hAnsi="Adobe Garamond Pro" w:cs="Times New Roman"/>
        <w:i/>
        <w:iCs/>
        <w:sz w:val="26"/>
      </w:rPr>
      <w:tblPr/>
      <w:tcPr>
        <w:tcBorders>
          <w:top w:val="single" w:sz="4" w:space="0" w:color="7F7F7F"/>
        </w:tcBorders>
        <w:shd w:val="clear" w:color="auto" w:fill="FFFFFF"/>
      </w:tcPr>
    </w:tblStylePr>
    <w:tblStylePr w:type="firstCol">
      <w:pPr>
        <w:jc w:val="right"/>
      </w:pPr>
      <w:rPr>
        <w:rFonts w:ascii="Adobe Garamond Pro" w:eastAsia="MS Gothic" w:hAnsi="Adobe Garamond Pro" w:cs="Times New Roman"/>
        <w:i/>
        <w:iCs/>
        <w:sz w:val="26"/>
      </w:rPr>
      <w:tblPr/>
      <w:tcPr>
        <w:tcBorders>
          <w:right w:val="single" w:sz="4" w:space="0" w:color="7F7F7F"/>
        </w:tcBorders>
        <w:shd w:val="clear" w:color="auto" w:fill="FFFFFF"/>
      </w:tcPr>
    </w:tblStylePr>
    <w:tblStylePr w:type="lastCol">
      <w:rPr>
        <w:rFonts w:ascii="Adobe Garamond Pro" w:eastAsia="MS Gothic" w:hAnsi="Adobe Garamond Pr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11">
    <w:name w:val="List Table 7 Colorful111"/>
    <w:basedOn w:val="TableNormal"/>
    <w:next w:val="ListTable7Colorful"/>
    <w:uiPriority w:val="52"/>
    <w:rsid w:val="006B1EA6"/>
    <w:pPr>
      <w:spacing w:before="0" w:after="0"/>
      <w:jc w:val="left"/>
    </w:pPr>
    <w:rPr>
      <w:rFonts w:ascii="Times New Roman" w:hAnsi="Times New Roman"/>
      <w:color w:val="000000"/>
      <w:lang w:eastAsia="de-DE"/>
    </w:rPr>
    <w:tblPr>
      <w:tblStyleRowBandSize w:val="1"/>
      <w:tblStyleColBandSize w:val="1"/>
    </w:tblPr>
    <w:tblStylePr w:type="firstRow">
      <w:rPr>
        <w:rFonts w:ascii="Adobe Garamond Pro" w:eastAsia="SimSun" w:hAnsi="Adobe Garamond Pro" w:cs="Times New Roman"/>
        <w:i/>
        <w:iCs/>
        <w:sz w:val="26"/>
      </w:rPr>
      <w:tblPr/>
      <w:tcPr>
        <w:tcBorders>
          <w:bottom w:val="single" w:sz="4" w:space="0" w:color="000000"/>
        </w:tcBorders>
        <w:shd w:val="clear" w:color="auto" w:fill="FFFFFF"/>
      </w:tcPr>
    </w:tblStylePr>
    <w:tblStylePr w:type="lastRow">
      <w:rPr>
        <w:rFonts w:ascii="Adobe Garamond Pro" w:eastAsia="SimSun" w:hAnsi="Adobe Garamond Pro" w:cs="Times New Roman"/>
        <w:i/>
        <w:iCs/>
        <w:sz w:val="26"/>
      </w:rPr>
      <w:tblPr/>
      <w:tcPr>
        <w:tcBorders>
          <w:top w:val="single" w:sz="4" w:space="0" w:color="000000"/>
        </w:tcBorders>
        <w:shd w:val="clear" w:color="auto" w:fill="FFFFFF"/>
      </w:tcPr>
    </w:tblStylePr>
    <w:tblStylePr w:type="firstCol">
      <w:pPr>
        <w:jc w:val="right"/>
      </w:pPr>
      <w:rPr>
        <w:rFonts w:ascii="Adobe Garamond Pro" w:eastAsia="SimSun" w:hAnsi="Adobe Garamond Pro" w:cs="Times New Roman"/>
        <w:i/>
        <w:iCs/>
        <w:sz w:val="26"/>
      </w:rPr>
      <w:tblPr/>
      <w:tcPr>
        <w:tcBorders>
          <w:right w:val="single" w:sz="4" w:space="0" w:color="000000"/>
        </w:tcBorders>
        <w:shd w:val="clear" w:color="auto" w:fill="FFFFFF"/>
      </w:tcPr>
    </w:tblStylePr>
    <w:tblStylePr w:type="lastCol">
      <w:rPr>
        <w:rFonts w:ascii="Adobe Garamond Pro" w:eastAsia="SimSun" w:hAnsi="Adobe Garamond Pro"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11">
    <w:name w:val="Plain Table 5111"/>
    <w:basedOn w:val="TableNormal"/>
    <w:next w:val="PlainTable5"/>
    <w:uiPriority w:val="45"/>
    <w:rsid w:val="006B1EA6"/>
    <w:pPr>
      <w:spacing w:before="0" w:after="0"/>
      <w:jc w:val="left"/>
    </w:pPr>
    <w:rPr>
      <w:rFonts w:ascii="Times New Roman" w:hAnsi="Times New Roman"/>
      <w:lang w:eastAsia="de-DE"/>
    </w:rPr>
    <w:tblPr>
      <w:tblStyleRowBandSize w:val="1"/>
      <w:tblStyleColBandSize w:val="1"/>
    </w:tblPr>
    <w:tblStylePr w:type="firstRow">
      <w:rPr>
        <w:rFonts w:ascii="Adobe Garamond Pro" w:eastAsia="SimSun" w:hAnsi="Adobe Garamond Pro" w:cs="Times New Roman"/>
        <w:i/>
        <w:iCs/>
        <w:sz w:val="26"/>
      </w:rPr>
      <w:tblPr/>
      <w:tcPr>
        <w:tcBorders>
          <w:bottom w:val="single" w:sz="4" w:space="0" w:color="7F7F7F"/>
        </w:tcBorders>
        <w:shd w:val="clear" w:color="auto" w:fill="FFFFFF"/>
      </w:tcPr>
    </w:tblStylePr>
    <w:tblStylePr w:type="lastRow">
      <w:rPr>
        <w:rFonts w:ascii="Adobe Garamond Pro" w:eastAsia="SimSun" w:hAnsi="Adobe Garamond Pro" w:cs="Times New Roman"/>
        <w:i/>
        <w:iCs/>
        <w:sz w:val="26"/>
      </w:rPr>
      <w:tblPr/>
      <w:tcPr>
        <w:tcBorders>
          <w:top w:val="single" w:sz="4" w:space="0" w:color="7F7F7F"/>
        </w:tcBorders>
        <w:shd w:val="clear" w:color="auto" w:fill="FFFFFF"/>
      </w:tcPr>
    </w:tblStylePr>
    <w:tblStylePr w:type="firstCol">
      <w:pPr>
        <w:jc w:val="right"/>
      </w:pPr>
      <w:rPr>
        <w:rFonts w:ascii="Adobe Garamond Pro" w:eastAsia="SimSun" w:hAnsi="Adobe Garamond Pro" w:cs="Times New Roman"/>
        <w:i/>
        <w:iCs/>
        <w:sz w:val="26"/>
      </w:rPr>
      <w:tblPr/>
      <w:tcPr>
        <w:tcBorders>
          <w:right w:val="single" w:sz="4" w:space="0" w:color="7F7F7F"/>
        </w:tcBorders>
        <w:shd w:val="clear" w:color="auto" w:fill="FFFFFF"/>
      </w:tcPr>
    </w:tblStylePr>
    <w:tblStylePr w:type="lastCol">
      <w:rPr>
        <w:rFonts w:ascii="Adobe Garamond Pro" w:eastAsia="SimSun" w:hAnsi="Adobe Garamond Pr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ommentReference1">
    <w:name w:val="Comment Reference1"/>
    <w:basedOn w:val="DefaultParagraphFont"/>
    <w:uiPriority w:val="99"/>
    <w:unhideWhenUsed/>
    <w:rsid w:val="00C452EE"/>
    <w:rPr>
      <w:sz w:val="16"/>
      <w:szCs w:val="16"/>
    </w:rPr>
  </w:style>
  <w:style w:type="paragraph" w:customStyle="1" w:styleId="CommentText1">
    <w:name w:val="Comment Text1"/>
    <w:basedOn w:val="Normal"/>
    <w:uiPriority w:val="99"/>
    <w:unhideWhenUsed/>
    <w:rsid w:val="00C452EE"/>
    <w:rPr>
      <w:sz w:val="20"/>
      <w:szCs w:val="20"/>
    </w:rPr>
  </w:style>
  <w:style w:type="paragraph" w:customStyle="1" w:styleId="CommentSubject1">
    <w:name w:val="Comment Subject1"/>
    <w:basedOn w:val="CommentText1"/>
    <w:next w:val="CommentText1"/>
    <w:uiPriority w:val="99"/>
    <w:unhideWhenUsed/>
    <w:rsid w:val="00C452EE"/>
    <w:rPr>
      <w:b/>
      <w:bCs/>
    </w:rPr>
  </w:style>
  <w:style w:type="character" w:customStyle="1" w:styleId="CommentTextChar1">
    <w:name w:val="Comment Text Char1"/>
    <w:basedOn w:val="DefaultParagraphFont"/>
    <w:uiPriority w:val="99"/>
    <w:rsid w:val="00C452EE"/>
    <w:rPr>
      <w:sz w:val="20"/>
      <w:szCs w:val="20"/>
    </w:rPr>
  </w:style>
  <w:style w:type="character" w:customStyle="1" w:styleId="CommentSubjectChar1">
    <w:name w:val="Comment Subject Char1"/>
    <w:basedOn w:val="CommentTextChar1"/>
    <w:uiPriority w:val="99"/>
    <w:semiHidden/>
    <w:rsid w:val="00C452EE"/>
    <w:rPr>
      <w:b/>
      <w:bCs/>
      <w:sz w:val="20"/>
      <w:szCs w:val="20"/>
    </w:rPr>
  </w:style>
  <w:style w:type="paragraph" w:customStyle="1" w:styleId="my-2">
    <w:name w:val="my-2"/>
    <w:basedOn w:val="Normal"/>
    <w:rsid w:val="00E440B8"/>
    <w:pPr>
      <w:snapToGrid/>
      <w:spacing w:before="100" w:beforeAutospacing="1" w:after="100" w:afterAutospacing="1"/>
      <w:jc w:val="left"/>
    </w:pPr>
    <w:rPr>
      <w:rFonts w:ascii="Times New Roman" w:eastAsia="Times New Roman" w:hAnsi="Times New Roman" w:cs="Times New Roman"/>
      <w:sz w:val="24"/>
      <w:szCs w:val="24"/>
      <w:lang w:eastAsia="fr-FR"/>
    </w:rPr>
  </w:style>
  <w:style w:type="character" w:customStyle="1" w:styleId="inline-block">
    <w:name w:val="inline-block"/>
    <w:basedOn w:val="DefaultParagraphFont"/>
    <w:rsid w:val="00E44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47465844">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49480952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512745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 w:id="2096659610">
      <w:bodyDiv w:val="1"/>
      <w:marLeft w:val="0"/>
      <w:marRight w:val="0"/>
      <w:marTop w:val="0"/>
      <w:marBottom w:val="0"/>
      <w:divBdr>
        <w:top w:val="none" w:sz="0" w:space="0" w:color="auto"/>
        <w:left w:val="none" w:sz="0" w:space="0" w:color="auto"/>
        <w:bottom w:val="none" w:sz="0" w:space="0" w:color="auto"/>
        <w:right w:val="none" w:sz="0" w:space="0" w:color="auto"/>
      </w:divBdr>
      <w:divsChild>
        <w:div w:id="323969410">
          <w:marLeft w:val="547"/>
          <w:marRight w:val="0"/>
          <w:marTop w:val="0"/>
          <w:marBottom w:val="160"/>
          <w:divBdr>
            <w:top w:val="none" w:sz="0" w:space="0" w:color="auto"/>
            <w:left w:val="none" w:sz="0" w:space="0" w:color="auto"/>
            <w:bottom w:val="none" w:sz="0" w:space="0" w:color="auto"/>
            <w:right w:val="none" w:sz="0" w:space="0" w:color="auto"/>
          </w:divBdr>
        </w:div>
        <w:div w:id="728847486">
          <w:marLeft w:val="547"/>
          <w:marRight w:val="0"/>
          <w:marTop w:val="0"/>
          <w:marBottom w:val="160"/>
          <w:divBdr>
            <w:top w:val="none" w:sz="0" w:space="0" w:color="auto"/>
            <w:left w:val="none" w:sz="0" w:space="0" w:color="auto"/>
            <w:bottom w:val="none" w:sz="0" w:space="0" w:color="auto"/>
            <w:right w:val="none" w:sz="0" w:space="0" w:color="auto"/>
          </w:divBdr>
        </w:div>
        <w:div w:id="939602586">
          <w:marLeft w:val="547"/>
          <w:marRight w:val="0"/>
          <w:marTop w:val="0"/>
          <w:marBottom w:val="160"/>
          <w:divBdr>
            <w:top w:val="none" w:sz="0" w:space="0" w:color="auto"/>
            <w:left w:val="none" w:sz="0" w:space="0" w:color="auto"/>
            <w:bottom w:val="none" w:sz="0" w:space="0" w:color="auto"/>
            <w:right w:val="none" w:sz="0" w:space="0" w:color="auto"/>
          </w:divBdr>
        </w:div>
        <w:div w:id="1058893027">
          <w:marLeft w:val="547"/>
          <w:marRight w:val="0"/>
          <w:marTop w:val="0"/>
          <w:marBottom w:val="160"/>
          <w:divBdr>
            <w:top w:val="none" w:sz="0" w:space="0" w:color="auto"/>
            <w:left w:val="none" w:sz="0" w:space="0" w:color="auto"/>
            <w:bottom w:val="none" w:sz="0" w:space="0" w:color="auto"/>
            <w:right w:val="none" w:sz="0" w:space="0" w:color="auto"/>
          </w:divBdr>
        </w:div>
        <w:div w:id="1239897931">
          <w:marLeft w:val="547"/>
          <w:marRight w:val="0"/>
          <w:marTop w:val="0"/>
          <w:marBottom w:val="160"/>
          <w:divBdr>
            <w:top w:val="none" w:sz="0" w:space="0" w:color="auto"/>
            <w:left w:val="none" w:sz="0" w:space="0" w:color="auto"/>
            <w:bottom w:val="none" w:sz="0" w:space="0" w:color="auto"/>
            <w:right w:val="none" w:sz="0" w:space="0" w:color="auto"/>
          </w:divBdr>
        </w:div>
        <w:div w:id="1436562748">
          <w:marLeft w:val="547"/>
          <w:marRight w:val="0"/>
          <w:marTop w:val="0"/>
          <w:marBottom w:val="160"/>
          <w:divBdr>
            <w:top w:val="none" w:sz="0" w:space="0" w:color="auto"/>
            <w:left w:val="none" w:sz="0" w:space="0" w:color="auto"/>
            <w:bottom w:val="none" w:sz="0" w:space="0" w:color="auto"/>
            <w:right w:val="none" w:sz="0" w:space="0" w:color="auto"/>
          </w:divBdr>
        </w:div>
        <w:div w:id="2011639233">
          <w:marLeft w:val="547"/>
          <w:marRight w:val="0"/>
          <w:marTop w:val="0"/>
          <w:marBottom w:val="160"/>
          <w:divBdr>
            <w:top w:val="none" w:sz="0" w:space="0" w:color="auto"/>
            <w:left w:val="none" w:sz="0" w:space="0" w:color="auto"/>
            <w:bottom w:val="none" w:sz="0" w:space="0" w:color="auto"/>
            <w:right w:val="none" w:sz="0" w:space="0" w:color="auto"/>
          </w:divBdr>
        </w:div>
        <w:div w:id="2131852283">
          <w:marLeft w:val="547"/>
          <w:marRight w:val="0"/>
          <w:marTop w:val="0"/>
          <w:marBottom w:val="16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void(0);" TargetMode="External"/><Relationship Id="rId21" Type="http://schemas.openxmlformats.org/officeDocument/2006/relationships/header" Target="header3.xml"/><Relationship Id="rId42" Type="http://schemas.openxmlformats.org/officeDocument/2006/relationships/hyperlink" Target="https://www.thegef.org/what-we-do/topics/gef-small-grants-program" TargetMode="External"/><Relationship Id="rId47" Type="http://schemas.openxmlformats.org/officeDocument/2006/relationships/hyperlink" Target="https://www.thegef.org/sites/default/files/documents/2025-05/EN_GEF_C69_Inf.06_Progress%20%20Report%20%20on%20%20GEF%20%20Agencies%20%E2%20%80%20%99%20%20Compliance%20%20with%20%20GEF%20%20Minimum.pdf" TargetMode="External"/><Relationship Id="rId63" Type="http://schemas.openxmlformats.org/officeDocument/2006/relationships/hyperlink" Target="https://iatiregistry.org/publisher/gef" TargetMode="External"/><Relationship Id="rId68" Type="http://schemas.openxmlformats.org/officeDocument/2006/relationships/fontTable" Target="fontTable.xml"/><Relationship Id="rId7" Type="http://schemas.openxmlformats.org/officeDocument/2006/relationships/settings" Target="settings.xml"/><Relationship Id="rId71"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side-events/5959" TargetMode="Externa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hyperlink" Target="https://www.thegef.org/council-meeting-documents/gef-gbff-05-inf-04" TargetMode="External"/><Relationship Id="rId37" Type="http://schemas.openxmlformats.org/officeDocument/2006/relationships/hyperlink" Target="https://www.cbd.int/documents/CBD/COP/16/6/ADD1" TargetMode="External"/><Relationship Id="rId40" Type="http://schemas.openxmlformats.org/officeDocument/2006/relationships/hyperlink" Target="https://www.cbd.int/doc/decisions/cop-12/cop-12-dec-30-en.pdf" TargetMode="External"/><Relationship Id="rId45" Type="http://schemas.openxmlformats.org/officeDocument/2006/relationships/hyperlink" Target="https://www.thegef.org/newsroom/publications/inclusive-conservation-initiative-phase-2-report-focus-inclusive-finance" TargetMode="External"/><Relationship Id="rId53" Type="http://schemas.openxmlformats.org/officeDocument/2006/relationships/hyperlink" Target="https://www.thegef.org/council-meeting-documents/gef-gbff-05-inf-04" TargetMode="External"/><Relationship Id="rId58" Type="http://schemas.openxmlformats.org/officeDocument/2006/relationships/hyperlink" Target="https://www.thegef.org/council-meeting-documents/gef-c-69-12-0" TargetMode="External"/><Relationship Id="rId66" Type="http://schemas.openxmlformats.org/officeDocument/2006/relationships/hyperlink" Target="https://www.thegef.org/projects-operations/database" TargetMode="External"/><Relationship Id="rId5" Type="http://schemas.openxmlformats.org/officeDocument/2006/relationships/numbering" Target="numbering.xml"/><Relationship Id="rId61" Type="http://schemas.openxmlformats.org/officeDocument/2006/relationships/header" Target="header4.xml"/><Relationship Id="rId19" Type="http://schemas.openxmlformats.org/officeDocument/2006/relationships/footer" Target="footer1.xml"/><Relationship Id="rId14" Type="http://schemas.openxmlformats.org/officeDocument/2006/relationships/hyperlink" Target="https://www.cbd.int/doc/decisions/cop-03/full/cop-03-dec-fr.pdf" TargetMode="External"/><Relationship Id="rId22" Type="http://schemas.openxmlformats.org/officeDocument/2006/relationships/footer" Target="footer3.xml"/><Relationship Id="rId27" Type="http://schemas.openxmlformats.org/officeDocument/2006/relationships/hyperlink" Target="https://www.cbd.int/convention/articles/default.shtml?a=cbd-20" TargetMode="External"/><Relationship Id="rId30" Type="http://schemas.openxmlformats.org/officeDocument/2006/relationships/hyperlink" Target="https://www.cbd.int/side-events/5959" TargetMode="External"/><Relationship Id="rId35" Type="http://schemas.openxmlformats.org/officeDocument/2006/relationships/hyperlink" Target="https://www.thegef.org/documents/environmental-and-social-safeguard-standards" TargetMode="External"/><Relationship Id="rId43" Type="http://schemas.openxmlformats.org/officeDocument/2006/relationships/hyperlink" Target="https://www.thegef.org/newsroom/publications/inclusive-conservation-initiative-phase-2-report-focus-inclusive-finance" TargetMode="External"/><Relationship Id="rId48" Type="http://schemas.openxmlformats.org/officeDocument/2006/relationships/hyperlink" Target="https://www.cbd.int/convention/articles/default.shtml?a=cbd-20" TargetMode="External"/><Relationship Id="rId56" Type="http://schemas.openxmlformats.org/officeDocument/2006/relationships/hyperlink" Target="https://www.thegef.org/newsroom/publications/inclusive-conservation-initiative-phase-2-report-focus-inclusive-finance" TargetMode="External"/><Relationship Id="rId64" Type="http://schemas.openxmlformats.org/officeDocument/2006/relationships/image" Target="media/image6.png"/><Relationship Id="rId69"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www.thegef.org/council-meeting-documents/gef-c-70-inf-18"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hyperlink" Target="https://www.thegef.org/sites/default/files/council-meeting-documents/C.42.Inf_.03.Rev_.1_Principles_and_Guideline_for_Engagement_with_Indigenous_Peoples.Sept_10%2C_2012.pdf" TargetMode="External"/><Relationship Id="rId38" Type="http://schemas.openxmlformats.org/officeDocument/2006/relationships/hyperlink" Target="https://www.cbd.int/recommendations/sbi/?m=sbi-04" TargetMode="External"/><Relationship Id="rId46" Type="http://schemas.openxmlformats.org/officeDocument/2006/relationships/hyperlink" Target="https://www.cbd.int/doc/decisions/cop-14/cop-14-dec-15-en.pdf" TargetMode="External"/><Relationship Id="rId59" Type="http://schemas.openxmlformats.org/officeDocument/2006/relationships/hyperlink" Target="https://www.thegef.org/council-meeting-documents/gef-c-70-inf-18" TargetMode="External"/><Relationship Id="rId67" Type="http://schemas.openxmlformats.org/officeDocument/2006/relationships/hyperlink" Target="javascript:void(0);" TargetMode="External"/><Relationship Id="rId20" Type="http://schemas.openxmlformats.org/officeDocument/2006/relationships/footer" Target="footer2.xml"/><Relationship Id="rId41" Type="http://schemas.openxmlformats.org/officeDocument/2006/relationships/hyperlink" Target="https://www.thegef.org/council-meeting-documents/gef-gbff-05-inf-04" TargetMode="External"/><Relationship Id="rId54" Type="http://schemas.openxmlformats.org/officeDocument/2006/relationships/hyperlink" Target="https://www.cbd.int/convention/articles/default.shtml?a=cbd-21" TargetMode="External"/><Relationship Id="rId62" Type="http://schemas.openxmlformats.org/officeDocument/2006/relationships/image" Target="media/image5.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2" TargetMode="External"/><Relationship Id="rId23" Type="http://schemas.openxmlformats.org/officeDocument/2006/relationships/image" Target="media/image4.png"/><Relationship Id="rId28" Type="http://schemas.openxmlformats.org/officeDocument/2006/relationships/hyperlink" Target="https://www.cbd.int/convention/articles/default.shtml?a=cbd-21" TargetMode="External"/><Relationship Id="rId36" Type="http://schemas.openxmlformats.org/officeDocument/2006/relationships/hyperlink" Target="https://www.thegef.org/documents/environmental-and-social-safeguard-standards" TargetMode="External"/><Relationship Id="rId49" Type="http://schemas.openxmlformats.org/officeDocument/2006/relationships/hyperlink" Target="https://www.thegef.org/sites/default/files/documents/2024-12/EN_GEF.68.05_Rev.01_Streamlining%20%20the%20%20GEF%20%20Project%20%20Cycle_0.pdf" TargetMode="External"/><Relationship Id="rId57" Type="http://schemas.openxmlformats.org/officeDocument/2006/relationships/hyperlink" Target="https://www.thegef.org/sites/default/files/documents/2024-12/EN_GEF.68.05_Rev.01_Streamlining%20%20the%20%20GEF%20%20Project%20%20Cycle_0.pdf" TargetMode="External"/><Relationship Id="rId10" Type="http://schemas.openxmlformats.org/officeDocument/2006/relationships/endnotes" Target="endnotes.xml"/><Relationship Id="rId31" Type="http://schemas.openxmlformats.org/officeDocument/2006/relationships/hyperlink" Target="https://robwaltonfoundation.org/" TargetMode="External"/><Relationship Id="rId44" Type="http://schemas.openxmlformats.org/officeDocument/2006/relationships/hyperlink" Target="https://www.thegef.org/fonseca-leadership-program" TargetMode="External"/><Relationship Id="rId52" Type="http://schemas.openxmlformats.org/officeDocument/2006/relationships/hyperlink" Target="https://www.thegef.org/newsroom/publications/inclusive-conservation-initiative-phase-2-report-focus-inclusive-finance" TargetMode="External"/><Relationship Id="rId60" Type="http://schemas.openxmlformats.org/officeDocument/2006/relationships/hyperlink" Target="https://www.cbd.int/side-events/5959" TargetMode="External"/><Relationship Id="rId65"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2.xml"/><Relationship Id="rId39" Type="http://schemas.openxmlformats.org/officeDocument/2006/relationships/hyperlink" Target="https://www.cbd.int/documents/CBD/COP/16/6/REV1" TargetMode="External"/><Relationship Id="rId34" Type="http://schemas.openxmlformats.org/officeDocument/2006/relationships/hyperlink" Target="https://www.thegef.org/documents/stakeholder-engagement" TargetMode="External"/><Relationship Id="rId50" Type="http://schemas.openxmlformats.org/officeDocument/2006/relationships/hyperlink" Target="https://www.thegef.org/council-meeting-documents/gef-c-69-12-0" TargetMode="External"/><Relationship Id="rId55" Type="http://schemas.openxmlformats.org/officeDocument/2006/relationships/hyperlink" Target="https://www.cbd.int/convention/articles/default.shtml?a=cbd-39"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s/cop/?m=cop-15" TargetMode="External"/><Relationship Id="rId21" Type="http://schemas.openxmlformats.org/officeDocument/2006/relationships/hyperlink" Target="file:///C:/Users/wb368377/AppData/Local/Microsoft/Windows/INetCache/Content.Outlook/0A31CR3B/Towards%20a%20Resource%20Mobilization%20Strategy%20for%20the%20Global%20Biodiversity%20Framework%20Fund%202025-2030" TargetMode="External"/><Relationship Id="rId42" Type="http://schemas.openxmlformats.org/officeDocument/2006/relationships/hyperlink" Target="https://www.thegef.org/sites/default/files/documents/2026-04/GEF_R.9.22_GEF-9%20%20Policy%20%20Recommendatios.pdf" TargetMode="External"/><Relationship Id="rId47" Type="http://schemas.openxmlformats.org/officeDocument/2006/relationships/hyperlink" Target="https://www.thegef.org/council-meeting-documents/gef-gbff-05-05" TargetMode="External"/><Relationship Id="rId63" Type="http://schemas.openxmlformats.org/officeDocument/2006/relationships/hyperlink" Target="https://www.cbd.int/decisions/mop/?m=cp-mop-10" TargetMode="External"/><Relationship Id="rId68" Type="http://schemas.openxmlformats.org/officeDocument/2006/relationships/hyperlink" Target="https://www.thegef.org/sites/default/files/documents/2025-08/EN_GEF_C69_E_04_GEF_Support_for_NbS_2025.pdf" TargetMode="External"/><Relationship Id="rId84" Type="http://schemas.openxmlformats.org/officeDocument/2006/relationships/hyperlink" Target="https://www.thegef.org/council-meeting-documents/gef-r-09-18" TargetMode="External"/><Relationship Id="rId89" Type="http://schemas.openxmlformats.org/officeDocument/2006/relationships/hyperlink" Target="https://www.thegef.org/sites/default/files/council-meeting-documents/EN_GEF.C.56.03.Rev_.01_Policy_on_Monitoring.pdf" TargetMode="External"/><Relationship Id="rId112" Type="http://schemas.openxmlformats.org/officeDocument/2006/relationships/hyperlink" Target="https://www.thegef.org/council-meeting-documents/gef-r-09-18" TargetMode="External"/><Relationship Id="rId16" Type="http://schemas.openxmlformats.org/officeDocument/2006/relationships/hyperlink" Target="https://www.thegef.org/council-meeting-documents/gef-gbff-06-04" TargetMode="External"/><Relationship Id="rId107" Type="http://schemas.openxmlformats.org/officeDocument/2006/relationships/hyperlink" Target="https://www.thegef.org/council-meeting-documents/gef-gbff-04-05" TargetMode="External"/><Relationship Id="rId11" Type="http://schemas.openxmlformats.org/officeDocument/2006/relationships/hyperlink" Target="https://www.thegef.org/council-meeting-documents/gef-gbff-01-03-rev-03" TargetMode="External"/><Relationship Id="rId32" Type="http://schemas.openxmlformats.org/officeDocument/2006/relationships/hyperlink" Target="https://www.thegef.org/council-meeting-documents/gef-gbff-05-inf-04" TargetMode="External"/><Relationship Id="rId37" Type="http://schemas.openxmlformats.org/officeDocument/2006/relationships/hyperlink" Target="https://www.thegef.org/council-meeting-documents/gef-gbff-06-04" TargetMode="External"/><Relationship Id="rId53" Type="http://schemas.openxmlformats.org/officeDocument/2006/relationships/hyperlink" Target="https://www.cbd.int/decision/cop/default.shtml?id=7104" TargetMode="External"/><Relationship Id="rId58" Type="http://schemas.openxmlformats.org/officeDocument/2006/relationships/hyperlink" Target="https://www.cbd.int/decisions/cop/?m=cop-15" TargetMode="External"/><Relationship Id="rId74" Type="http://schemas.openxmlformats.org/officeDocument/2006/relationships/hyperlink" Target="https://www.thegef.org/council-meeting-documents/gef-r-09-18" TargetMode="External"/><Relationship Id="rId79" Type="http://schemas.openxmlformats.org/officeDocument/2006/relationships/hyperlink" Target="https://www.cbd.int/decisions/cop/?m=cop-15" TargetMode="External"/><Relationship Id="rId102" Type="http://schemas.openxmlformats.org/officeDocument/2006/relationships/hyperlink" Target="https://www.thegef.org/council-meeting-documents/gef-c-70-06-rev-01" TargetMode="External"/><Relationship Id="rId5" Type="http://schemas.openxmlformats.org/officeDocument/2006/relationships/hyperlink" Target="https://www.cbd.int/gbf/targets" TargetMode="External"/><Relationship Id="rId90" Type="http://schemas.openxmlformats.org/officeDocument/2006/relationships/hyperlink" Target="https://www.thegef.org/sites/default/files/documents/2024-10/EN_GEF_CBD%20%20COP16%20%20Report_7.23.2024_Rev1_10.14.2024_clean.pdf" TargetMode="External"/><Relationship Id="rId95" Type="http://schemas.openxmlformats.org/officeDocument/2006/relationships/hyperlink" Target="https://www.thegef.org/council-meeting-documents/gef-e-c-69-04" TargetMode="External"/><Relationship Id="rId22" Type="http://schemas.openxmlformats.org/officeDocument/2006/relationships/hyperlink" Target="https://www.thegef.org/council-meeting-documents/gef-gbff-01-04-rev-02" TargetMode="External"/><Relationship Id="rId27" Type="http://schemas.openxmlformats.org/officeDocument/2006/relationships/hyperlink" Target="https://www.cbd.int/documents/CBD/COP/16/8/REV1" TargetMode="External"/><Relationship Id="rId43" Type="http://schemas.openxmlformats.org/officeDocument/2006/relationships/hyperlink" Target="https://www.thegef.org/council-meeting-documents/gef-r-09-inf-14" TargetMode="External"/><Relationship Id="rId48" Type="http://schemas.openxmlformats.org/officeDocument/2006/relationships/hyperlink" Target="https://www.thegef.org/sites/default/files/documents/2025-12/EN_GEF.GBFF_.05.05_Results%20%20Framework%20%20of%20%20the%20%20GBFF.pdf" TargetMode="External"/><Relationship Id="rId64" Type="http://schemas.openxmlformats.org/officeDocument/2006/relationships/hyperlink" Target="https://www.cbd.int/decisions/mop/?m=cp-mop-10" TargetMode="External"/><Relationship Id="rId69" Type="http://schemas.openxmlformats.org/officeDocument/2006/relationships/hyperlink" Target="https://www.thegef.org/documents/guidance-nature-based-solutions-gef-projects" TargetMode="External"/><Relationship Id="rId113" Type="http://schemas.openxmlformats.org/officeDocument/2006/relationships/hyperlink" Target="https://www.cbd.int/decisions/np-mop/?m=np-mop-05" TargetMode="External"/><Relationship Id="rId80" Type="http://schemas.openxmlformats.org/officeDocument/2006/relationships/hyperlink" Target="https://www.thegef.org/council-meeting-documents/gef-r-09-18" TargetMode="External"/><Relationship Id="rId85" Type="http://schemas.openxmlformats.org/officeDocument/2006/relationships/hyperlink" Target="https://www.thegef.org/sites/default/files/documents/2022-05/EN_GEF.C.62.Inf_.11_GEF-8%20Country%20Engagement%20Strategy%20Implementation%20Arrangements.pdf" TargetMode="External"/><Relationship Id="rId12" Type="http://schemas.openxmlformats.org/officeDocument/2006/relationships/hyperlink" Target="https://www.thegef.org/sites/default/files/documents/2024-05/EN_GEF.GBFF_.C.02.04_Terms_Reference_Advisory_Groups_and_Auxilliary_Body.pdf" TargetMode="External"/><Relationship Id="rId17" Type="http://schemas.openxmlformats.org/officeDocument/2006/relationships/hyperlink" Target="https://www.thegef.org/council-meeting-documents/gef-gbff-06-06" TargetMode="External"/><Relationship Id="rId33" Type="http://schemas.openxmlformats.org/officeDocument/2006/relationships/hyperlink" Target="https://eur02.safelinks.protection.outlook.com/?url=https%20%3A%20%2F%20%2Ffiftrustee.worldbank.org%20%2Fen%20%2Fabout%20%2Funit%20%2Fdfi%20%2Ffiftrustee%20%2Ffund-detail%20%2Fgbff&amp;data=05%20%7C02%20%7Cgauthierl%20%40un.org%20%7C2e65ae17d01f4018d8f908dd57323cbb%20%7C0f9e35db544f4f60bdcc5ea416e6dc70%20%7C0%20%7C0%20%7C638762595450799477%20%7CUnknown%20%7CTWFpbGZsb3d8eyJFbXB0eU1hcGkiOnRydWUsIlYiOiIwLjAuMDAwMCIsIlAiOiJXaW4zMiIsIkFOIjoiTWFpbCIsIldUIjoyfQ%20%3D%20%3D%20%7C0%20%7C%20%7C%20%7C&amp;sdata=4s6qxB0DqSGMqcHylj3iOTR6RXei3DAOYFcrxTboS5c%20%3D&amp;reserved=0" TargetMode="External"/><Relationship Id="rId38" Type="http://schemas.openxmlformats.org/officeDocument/2006/relationships/hyperlink" Target="https://www.thegef.org/council-meeting-documents/gef-gbff-05-inf-04" TargetMode="External"/><Relationship Id="rId59" Type="http://schemas.openxmlformats.org/officeDocument/2006/relationships/hyperlink" Target="https://www.cbd.int/decisions/cop/?m=cop-15" TargetMode="External"/><Relationship Id="rId103" Type="http://schemas.openxmlformats.org/officeDocument/2006/relationships/hyperlink" Target="https://www.thegef.org/newsroom/press-releases/gef-announces-winners-first-innovation-window-funds" TargetMode="External"/><Relationship Id="rId108" Type="http://schemas.openxmlformats.org/officeDocument/2006/relationships/hyperlink" Target="https://www.thegef.org/sites/default/files/documents/2026-05/GEF_EN_Formative_Evaluation_GBFF1_0.pdf" TargetMode="External"/><Relationship Id="rId54" Type="http://schemas.openxmlformats.org/officeDocument/2006/relationships/hyperlink" Target="https://www.cbd.int/decisions/cop/?m=cop-15" TargetMode="External"/><Relationship Id="rId70" Type="http://schemas.openxmlformats.org/officeDocument/2006/relationships/hyperlink" Target="https://www.thegef.org/sites/default/files/documents/2026-06/EN_GEF.71.05.Rev_.01_Strengthening%20%20the%20%20GEF%20%20Partnership_06032026.pdf" TargetMode="External"/><Relationship Id="rId75" Type="http://schemas.openxmlformats.org/officeDocument/2006/relationships/hyperlink" Target="https://www.cbd.int/decisions/np-mop/?m=np-mop-05" TargetMode="External"/><Relationship Id="rId91" Type="http://schemas.openxmlformats.org/officeDocument/2006/relationships/hyperlink" Target="https://www.thegef.org/council-meeting-documents/gef-e-c-68-02" TargetMode="External"/><Relationship Id="rId96" Type="http://schemas.openxmlformats.org/officeDocument/2006/relationships/hyperlink" Target="https://www.thegef.org/council-meeting-documents/gef-c-69-09" TargetMode="External"/><Relationship Id="rId1" Type="http://schemas.openxmlformats.org/officeDocument/2006/relationships/hyperlink" Target="https://one.oecd.org/document/DCD/DAC/STAT(2025)50/REV2/en/pdf" TargetMode="External"/><Relationship Id="rId6" Type="http://schemas.openxmlformats.org/officeDocument/2006/relationships/hyperlink" Target="https://www.thegef.org/sites/default/files/documents/2025-10/IPFactSheetv9_0.pdf" TargetMode="External"/><Relationship Id="rId15" Type="http://schemas.openxmlformats.org/officeDocument/2006/relationships/hyperlink" Target="https://www.thegef.org/sites/default/files/documents/2024-12/GEF_GBFF.03_04_GEF%20%20Progress%20%20Report%20%20on%20%20the%20%20Advisory%20%20Group%20%20and%20%20Auxiliary%20%20Body_cleared_0.pdf" TargetMode="External"/><Relationship Id="rId23" Type="http://schemas.openxmlformats.org/officeDocument/2006/relationships/hyperlink" Target="https://www.cbd.int/doc/decisions/cop-16/cop-16-dec-33-en.pdf" TargetMode="External"/><Relationship Id="rId28" Type="http://schemas.openxmlformats.org/officeDocument/2006/relationships/hyperlink" Target="https://www.cbd.int/documents/CBD/COP/16/7" TargetMode="External"/><Relationship Id="rId36" Type="http://schemas.openxmlformats.org/officeDocument/2006/relationships/hyperlink" Target="https://www.thegef.org/council-meeting-documents/gef-gbff-05-04-rev-01" TargetMode="External"/><Relationship Id="rId49" Type="http://schemas.openxmlformats.org/officeDocument/2006/relationships/hyperlink" Target="https://www.thegef.org/council-meeting-documents/gef-gbff-06-inf-02" TargetMode="External"/><Relationship Id="rId57" Type="http://schemas.openxmlformats.org/officeDocument/2006/relationships/hyperlink" Target="https://www.cbd.int/decisions/cop/?m=cop-16" TargetMode="External"/><Relationship Id="rId106" Type="http://schemas.openxmlformats.org/officeDocument/2006/relationships/hyperlink" Target="https://www.thegef.org/council-meeting-documents/gef-gbff-e-c-04-01" TargetMode="External"/><Relationship Id="rId114" Type="http://schemas.openxmlformats.org/officeDocument/2006/relationships/hyperlink" Target="https://www.thegef.org/council-meeting-documents/gef-r-09-18" TargetMode="External"/><Relationship Id="rId10" Type="http://schemas.openxmlformats.org/officeDocument/2006/relationships/hyperlink" Target="https://www.thegef.org/sites/default/files/documents/2023-09/EN_GEF.C.64.06.Rev_.02_GBF_Fund_Programming_Directions.pdf" TargetMode="External"/><Relationship Id="rId31" Type="http://schemas.openxmlformats.org/officeDocument/2006/relationships/hyperlink" Target="https://www.cbd.int/decisions/mop/?m=cp-mop-10" TargetMode="External"/><Relationship Id="rId44" Type="http://schemas.openxmlformats.org/officeDocument/2006/relationships/hyperlink" Target="https://www.thegef.org/council-meeting-documents/gef-r-09-inf-15-rev-01" TargetMode="External"/><Relationship Id="rId52" Type="http://schemas.openxmlformats.org/officeDocument/2006/relationships/hyperlink" Target="https://www.thegef.org/council-meeting-documents/gef-c-71-07"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np-mop/?m=np-mop-05" TargetMode="External"/><Relationship Id="rId73" Type="http://schemas.openxmlformats.org/officeDocument/2006/relationships/hyperlink" Target="https://www.cbd.int/decisions/mop/?m=cp-mop-10" TargetMode="External"/><Relationship Id="rId78" Type="http://schemas.openxmlformats.org/officeDocument/2006/relationships/hyperlink" Target="https://www.thegef.org/council-meeting-documents/gef-r-09-18" TargetMode="External"/><Relationship Id="rId81" Type="http://schemas.openxmlformats.org/officeDocument/2006/relationships/hyperlink" Target="https://www.cbd.int/decisions/np-mop/?m=np-mop-05" TargetMode="External"/><Relationship Id="rId86" Type="http://schemas.openxmlformats.org/officeDocument/2006/relationships/hyperlink" Target="https://www.thegef.org/sites/default/files/documents/2026-06/GEFScorecard_June%20%202026_06_30.pdf" TargetMode="External"/><Relationship Id="rId94" Type="http://schemas.openxmlformats.org/officeDocument/2006/relationships/hyperlink" Target="https://www.thegef.org/sites/default/files/documents/2024-11/EN_GEF.C68.06_Magmnt%20%20Response%20%20to%20%20Eval%20%20of%20%20GEF%20%20Programs%20%20in%20%20Pacific%20%20SIDS%20%20%20%281%20%29.pdf" TargetMode="External"/><Relationship Id="rId99" Type="http://schemas.openxmlformats.org/officeDocument/2006/relationships/hyperlink" Target="https://www.thegef.org/council-meeting-documents/gef-e-c-70-02" TargetMode="External"/><Relationship Id="rId101" Type="http://schemas.openxmlformats.org/officeDocument/2006/relationships/hyperlink" Target="https://www.thegef.org/council-meeting-documents/gef-e-c-70-01" TargetMode="External"/><Relationship Id="rId4" Type="http://schemas.openxmlformats.org/officeDocument/2006/relationships/hyperlink" Target="https://www.thegef.org/sites/default/files/2023-01/GEF-8_Programming_Directions.pdf" TargetMode="External"/><Relationship Id="rId9" Type="http://schemas.openxmlformats.org/officeDocument/2006/relationships/hyperlink" Target="https://www.thegef.org/sites/default/files/documents/2023-07/EN_GEF.C.64.05.REV01_Global%20%20Biodiversity_Framework_Fund_Establishment%20%20final%20%20checked.pdf" TargetMode="External"/><Relationship Id="rId13" Type="http://schemas.openxmlformats.org/officeDocument/2006/relationships/hyperlink" Target="https://www.thegef.org/council-meeting-documents/gef-gbff-06-05" TargetMode="External"/><Relationship Id="rId18" Type="http://schemas.openxmlformats.org/officeDocument/2006/relationships/hyperlink" Target="https://www.thegef.org/council-meeting-documents/gef-gbff-06-05" TargetMode="External"/><Relationship Id="rId39" Type="http://schemas.openxmlformats.org/officeDocument/2006/relationships/hyperlink" Target="https://www.thegef.org/sites/default/files/documents/2026-05/EN_GEF.GBFF_.C06.06_Options%20to%20%20Facilitate%20the%20%20Achievement%20of%20%20the%20%20IFI%20Target.pdf" TargetMode="External"/><Relationship Id="rId109" Type="http://schemas.openxmlformats.org/officeDocument/2006/relationships/hyperlink" Target="https://www.thegef.org/council-meeting-documents/gef-gbff-06-07" TargetMode="External"/><Relationship Id="rId34" Type="http://schemas.openxmlformats.org/officeDocument/2006/relationships/hyperlink" Target="https://www.thegef.org/index%20%2ephp/council-meeting-documents/gef-gbff-06-04" TargetMode="External"/><Relationship Id="rId50" Type="http://schemas.openxmlformats.org/officeDocument/2006/relationships/hyperlink" Target="https://www.thegef.org/council-meeting-documents/gef-r-09-22" TargetMode="External"/><Relationship Id="rId55" Type="http://schemas.openxmlformats.org/officeDocument/2006/relationships/hyperlink" Target="https://www.thegef.org/sites/default/files/documents/2026-04/GEF_R.9.18_GEF-9%20%20Programming%20%20Directions.pdf" TargetMode="External"/><Relationship Id="rId76" Type="http://schemas.openxmlformats.org/officeDocument/2006/relationships/hyperlink" Target="https://www.thegef.org/council-meeting-documents/gef-r-09-18" TargetMode="External"/><Relationship Id="rId97" Type="http://schemas.openxmlformats.org/officeDocument/2006/relationships/hyperlink" Target="https://www.thegef.org/sites/default/files/documents/2022-05/EN_GEF.C.62.Inf_.11_GEF-8%20%20Country%20%20Engagement%20%20Strategy%20%20Implementation%20%20Arrangements.pdf" TargetMode="External"/><Relationship Id="rId104" Type="http://schemas.openxmlformats.org/officeDocument/2006/relationships/hyperlink" Target="https://www.thegef.org/sites/default/files/documents/2026-04/GEF_R.9.22_GEF-9%20%20Policy%20%20Recommendatios.pdf" TargetMode="External"/><Relationship Id="rId7" Type="http://schemas.openxmlformats.org/officeDocument/2006/relationships/hyperlink" Target="https://www.thegef.org/sites/default/files/documents/2025-10/IPFactSheetv9_0.pdf" TargetMode="External"/><Relationship Id="rId71" Type="http://schemas.openxmlformats.org/officeDocument/2006/relationships/hyperlink" Target="https://www.cbd.int/decisions/cop/?m=cop-15" TargetMode="External"/><Relationship Id="rId92" Type="http://schemas.openxmlformats.org/officeDocument/2006/relationships/hyperlink" Target="https://www.gefieo.org/en/types/evaluations/scce-sids" TargetMode="External"/><Relationship Id="rId2" Type="http://schemas.openxmlformats.org/officeDocument/2006/relationships/hyperlink" Target="https://d.docs.live.net/A6DE23E8395BEA39/Bureau/Politique%20:%20FI/GN/01" TargetMode="External"/><Relationship Id="rId29" Type="http://schemas.openxmlformats.org/officeDocument/2006/relationships/hyperlink" Target="https://www.cbd.int/documents/CBD/COP/16/INF/25" TargetMode="External"/><Relationship Id="rId24" Type="http://schemas.openxmlformats.org/officeDocument/2006/relationships/hyperlink" Target="https://www.cbd.int/decision/cop/default.shtml?id=7104" TargetMode="External"/><Relationship Id="rId40" Type="http://schemas.openxmlformats.org/officeDocument/2006/relationships/hyperlink" Target="https://www.cbd.int/doc/interventions/6717c9819a0ecc27c502d552/GEF%20%20Financial%20%20Mechanism.docx" TargetMode="External"/><Relationship Id="rId45" Type="http://schemas.openxmlformats.org/officeDocument/2006/relationships/hyperlink" Target="https://www.thegef.org/sites/default/files/documents/2026-06/EN_GEF.71.05.Rev_.01_Strengthening%20the%20GEF%20Partnership_06032026.pdf" TargetMode="External"/><Relationship Id="rId66" Type="http://schemas.openxmlformats.org/officeDocument/2006/relationships/hyperlink" Target="https://www.thegef.org/council-meeting-documents/gef-r-09-01" TargetMode="External"/><Relationship Id="rId87" Type="http://schemas.openxmlformats.org/officeDocument/2006/relationships/hyperlink" Target="https://www.thegef.org/fonseca-leadership-program" TargetMode="External"/><Relationship Id="rId110" Type="http://schemas.openxmlformats.org/officeDocument/2006/relationships/hyperlink" Target="https://www.cbd.int/decisions/mop/?m=cp-mop-10" TargetMode="External"/><Relationship Id="rId61" Type="http://schemas.openxmlformats.org/officeDocument/2006/relationships/hyperlink" Target="https://www.cbd.int/decisions/cop/?m=cop-15" TargetMode="External"/><Relationship Id="rId82" Type="http://schemas.openxmlformats.org/officeDocument/2006/relationships/hyperlink" Target="https://www.cbd.int/decisions/np-mop/?m=np-mop-05" TargetMode="External"/><Relationship Id="rId19" Type="http://schemas.openxmlformats.org/officeDocument/2006/relationships/hyperlink" Target="https://www.thegef.org/sites/default/files/documents/2025-12/EN_GEF.GBFF_.05.05_Results%20%20Framework%20%20of%20%20the%20%20GBFF.pdf" TargetMode="External"/><Relationship Id="rId14" Type="http://schemas.openxmlformats.org/officeDocument/2006/relationships/hyperlink" Target="https://www.thegef.org/council-meeting-documents/gef-gbff-06-05" TargetMode="External"/><Relationship Id="rId30" Type="http://schemas.openxmlformats.org/officeDocument/2006/relationships/hyperlink" Target="https://www.cbd.int/decisions/mop/?m=cp-mop-10" TargetMode="External"/><Relationship Id="rId35" Type="http://schemas.openxmlformats.org/officeDocument/2006/relationships/hyperlink" Target="https://www.thegef.org/council-meeting-documents/gef-gbff-05-04-rev-01" TargetMode="External"/><Relationship Id="rId56" Type="http://schemas.openxmlformats.org/officeDocument/2006/relationships/hyperlink" Target="https://www.cbd.int/decisions/cop/?m=cop-15" TargetMode="External"/><Relationship Id="rId77" Type="http://schemas.openxmlformats.org/officeDocument/2006/relationships/hyperlink" Target="https://www.cbd.int/decisions/cop/?m=cop-16" TargetMode="External"/><Relationship Id="rId100" Type="http://schemas.openxmlformats.org/officeDocument/2006/relationships/hyperlink" Target="https://www.thegef.org/council-meeting-documents/gef-c-69-09" TargetMode="External"/><Relationship Id="rId105" Type="http://schemas.openxmlformats.org/officeDocument/2006/relationships/hyperlink" Target="https://www.thegef.org/sites/default/files/documents/2025-06/GEF%20%20Council%20%20Decisions%20%202025_0.pdf" TargetMode="External"/><Relationship Id="rId8" Type="http://schemas.openxmlformats.org/officeDocument/2006/relationships/hyperlink" Target="https://www.worldwildlife.org/our-work/funds/wwf-gef/projects/heart-of-conservation-initiative/wwf-gef-expressions-of-interest/" TargetMode="External"/><Relationship Id="rId51" Type="http://schemas.openxmlformats.org/officeDocument/2006/relationships/hyperlink" Target="https://www.thegef.org/council-meeting-documents/gef-c-71-inf-10" TargetMode="External"/><Relationship Id="rId72" Type="http://schemas.openxmlformats.org/officeDocument/2006/relationships/hyperlink" Target="https://www.cbd.int/decisions/mop/?m=cp-mop-10" TargetMode="External"/><Relationship Id="rId93" Type="http://schemas.openxmlformats.org/officeDocument/2006/relationships/hyperlink" Target="https://www.thegef.org/sites/default/files/documents/2024-11/EN_GEF.C68.06_Magmnt%20%20Response%20%20to%20%20Eval%20%20of%20%20GEF%20%20Programs%20%20in%20%20Pacific%20%20SIDS%20%20%20%281%20%29.pdf" TargetMode="External"/><Relationship Id="rId98" Type="http://schemas.openxmlformats.org/officeDocument/2006/relationships/hyperlink" Target="https://www.thegef.org/newsroom/publications/strategy-knowledge-management-and-learning" TargetMode="External"/><Relationship Id="rId3" Type="http://schemas.openxmlformats.org/officeDocument/2006/relationships/hyperlink" Target="https://www.cbd.int/gbf/targets" TargetMode="External"/><Relationship Id="rId25" Type="http://schemas.openxmlformats.org/officeDocument/2006/relationships/hyperlink" Target="https://www.cbd.int/decisions/cop/?m=cop-15" TargetMode="External"/><Relationship Id="rId46" Type="http://schemas.openxmlformats.org/officeDocument/2006/relationships/hyperlink" Target="https://www.thegef.org/council-meeting-documents/gef-gbff-05-inf-04" TargetMode="External"/><Relationship Id="rId67" Type="http://schemas.openxmlformats.org/officeDocument/2006/relationships/hyperlink" Target="https://www.thegef.org/council-meeting-documents/gef-r-09-01" TargetMode="External"/><Relationship Id="rId20" Type="http://schemas.openxmlformats.org/officeDocument/2006/relationships/hyperlink" Target="https://www.thegef.org/sites/default/files/documents/2025-12/EN_GEF.GBFF_.C.05.Inf_.04_Guidelines%20%20on%20%20Actions%20%20by%20%20IPLCs.pdf" TargetMode="External"/><Relationship Id="rId41" Type="http://schemas.openxmlformats.org/officeDocument/2006/relationships/hyperlink" Target="https://www.thegef.org/sites/default/files/documents/2025-11/EN_GEF.C.70.Inf_.08_Progress_Report_on_Implementation_GEF_Policy_on_ESS.pdf" TargetMode="External"/><Relationship Id="rId62" Type="http://schemas.openxmlformats.org/officeDocument/2006/relationships/hyperlink" Target="https://www.cbd.int/decisions/cop/?m=cop-15" TargetMode="External"/><Relationship Id="rId83" Type="http://schemas.openxmlformats.org/officeDocument/2006/relationships/hyperlink" Target="https://www.thegef.org/council-meeting-documents/gef-r-09-18" TargetMode="External"/><Relationship Id="rId88" Type="http://schemas.openxmlformats.org/officeDocument/2006/relationships/hyperlink" Target="https://www.thegef.org/sites/default/files/documents/2026-04/GEF_R.9.22_GEF-9%20%20Policy%20%20Recommendatios.pdf" TargetMode="External"/><Relationship Id="rId111" Type="http://schemas.openxmlformats.org/officeDocument/2006/relationships/hyperlink" Target="https://www.cbd.int/decisions/mop/?m=cp-mop-10" TargetMode="External"/></Relationships>
</file>

<file path=word/documenttasks/documenttasks1.xml><?xml version="1.0" encoding="utf-8"?>
<t:Tasks xmlns:t="http://schemas.microsoft.com/office/tasks/2019/documenttasks" xmlns:oel="http://schemas.microsoft.com/office/2019/extlst">
  <t:Task id="{7807F757-6C76-45D1-A15C-7F9B5209B47F}">
    <t:Anchor>
      <t:Comment id="2052351409"/>
    </t:Anchor>
    <t:History>
      <t:Event id="{C5DE3EE7-0A7F-4CB2-B892-175186246796}" time="2026-05-14T08:13:28.468Z">
        <t:Attribution userId="S::jsapijanskas@thegef.org::92655070-33d2-4bc7-8c72-e8cdbb4cd2b4" userProvider="AD" userName="Jurgis Pierre-Louis Sapijanskas"/>
        <t:Anchor>
          <t:Comment id="2052351409"/>
        </t:Anchor>
        <t:Create/>
      </t:Event>
      <t:Event id="{F114F807-9078-4424-A43D-44846FAE0E40}" time="2026-05-14T08:13:28.468Z">
        <t:Attribution userId="S::jsapijanskas@thegef.org::92655070-33d2-4bc7-8c72-e8cdbb4cd2b4" userProvider="AD" userName="Jurgis Pierre-Louis Sapijanskas"/>
        <t:Anchor>
          <t:Comment id="2052351409"/>
        </t:Anchor>
        <t:Assign userId="S::mfu2@worldbank.org::f671506b-b437-4568-a782-c7c3ae1c685f" userProvider="AD" userName="Mengsha Fu"/>
      </t:Event>
      <t:Event id="{4F60899A-5B20-492C-B68A-7397A6DFEBDF}" time="2026-05-14T08:13:28.468Z">
        <t:Attribution userId="S::jsapijanskas@thegef.org::92655070-33d2-4bc7-8c72-e8cdbb4cd2b4" userProvider="AD" userName="Jurgis Pierre-Louis Sapijanskas"/>
        <t:Anchor>
          <t:Comment id="2052351409"/>
        </t:Anchor>
        <t:SetTitle title="@Mengsha Fu Thanks a lot for this. Just to confirm if this is really BD-financed (i.e. there is money from the BD focal area, be it STAR or set aside) or if it also projects that are not funded by the BD focal area and have a BD rio marker=1 or 2. If the…"/>
      </t:Event>
      <t:Event id="{246DC4BD-994B-4970-B71E-E5AFA25535D3}" time="2026-05-15T16:06:01.203Z">
        <t:Attribution userId="S::jsapijanskas@thegef.org::92655070-33d2-4bc7-8c72-e8cdbb4cd2b4" userProvider="AD" userName="Jurgis Pierre-Louis Sapijanskas"/>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D62A37FC684224A03B4660BBDB1096"/>
        <w:category>
          <w:name w:val="General"/>
          <w:gallery w:val="placeholder"/>
        </w:category>
        <w:types>
          <w:type w:val="bbPlcHdr"/>
        </w:types>
        <w:behaviors>
          <w:behavior w:val="content"/>
        </w:behaviors>
        <w:guid w:val="{FEFC331A-2EE4-4C74-9C75-43963EDC6782}"/>
      </w:docPartPr>
      <w:docPartBody>
        <w:p w:rsidR="008C22A3" w:rsidRDefault="00F9670C" w:rsidP="00F9670C">
          <w:pPr>
            <w:pStyle w:val="CCD62A37FC684224A03B4660BBDB109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dobe Garamond Pro">
    <w:charset w:val="00"/>
    <w:family w:val="auto"/>
    <w:pitch w:val="default"/>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Variable Small Light">
    <w:panose1 w:val="00000000000000000000"/>
    <w:charset w:val="00"/>
    <w:family w:val="auto"/>
    <w:pitch w:val="variable"/>
    <w:sig w:usb0="A00002FF" w:usb1="0000000B" w:usb2="00000000" w:usb3="00000000" w:csb0="0000019F" w:csb1="00000000"/>
  </w:font>
  <w:font w:name="Courier">
    <w:panose1 w:val="02070409020205020404"/>
    <w:charset w:val="00"/>
    <w:family w:val="modern"/>
    <w:pitch w:val="fixed"/>
    <w:sig w:usb0="00000003" w:usb1="00000000" w:usb2="00000000" w:usb3="00000000" w:csb0="00000001" w:csb1="00000000"/>
  </w:font>
  <w:font w:name="ZWAdobeF">
    <w:altName w:val="Calibri"/>
    <w:panose1 w:val="00000000000000000000"/>
    <w:charset w:val="00"/>
    <w:family w:val="auto"/>
    <w:pitch w:val="variable"/>
    <w:sig w:usb0="20002A87" w:usb1="00000000" w:usb2="00000000"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0C"/>
    <w:rsid w:val="00761A81"/>
    <w:rsid w:val="008C22A3"/>
    <w:rsid w:val="00F967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670C"/>
    <w:rPr>
      <w:color w:val="808080"/>
    </w:rPr>
  </w:style>
  <w:style w:type="paragraph" w:customStyle="1" w:styleId="CCD62A37FC684224A03B4660BBDB1096">
    <w:name w:val="CCD62A37FC684224A03B4660BBDB1096"/>
    <w:rsid w:val="00F967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customXml/itemProps3.xml><?xml version="1.0" encoding="utf-8"?>
<ds:datastoreItem xmlns:ds="http://schemas.openxmlformats.org/officeDocument/2006/customXml" ds:itemID="{98107520-CD43-4ABD-919A-B65B9001D51A}"/>
</file>

<file path=customXml/itemProps4.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6180ea05-450f-4fda-971b-8d263f0b4939"/>
    <ds:schemaRef ds:uri="http://schemas.microsoft.com/sharepoint/v3"/>
    <ds:schemaRef ds:uri="64fd712f-aad4-4ed7-99d8-40f50d843217"/>
  </ds:schemaRefs>
</ds:datastoreItem>
</file>

<file path=docMetadata/LabelInfo.xml><?xml version="1.0" encoding="utf-8"?>
<clbl:labelList xmlns:clbl="http://schemas.microsoft.com/office/2020/mipLabelMetadata">
  <clbl:label id="{1f4e14f7-62d0-4ad2-b706-8a54bf79b7df}" enabled="1" method="Privileged" siteId="{31a2fec0-266b-4c67-b56e-2796d8f59c36}" removed="0"/>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287</Pages>
  <Words>99434</Words>
  <Characters>566779</Characters>
  <Application>Microsoft Office Word</Application>
  <DocSecurity>0</DocSecurity>
  <Lines>4723</Lines>
  <Paragraphs>1329</Paragraphs>
  <ScaleCrop>false</ScaleCrop>
  <Company/>
  <LinksUpToDate>false</LinksUpToDate>
  <CharactersWithSpaces>664884</CharactersWithSpaces>
  <SharedDoc>false</SharedDoc>
  <HLinks>
    <vt:vector size="1344" baseType="variant">
      <vt:variant>
        <vt:i4>6291564</vt:i4>
      </vt:variant>
      <vt:variant>
        <vt:i4>594</vt:i4>
      </vt:variant>
      <vt:variant>
        <vt:i4>0</vt:i4>
      </vt:variant>
      <vt:variant>
        <vt:i4>5</vt:i4>
      </vt:variant>
      <vt:variant>
        <vt:lpwstr>javascript:void(0);</vt:lpwstr>
      </vt:variant>
      <vt:variant>
        <vt:lpwstr/>
      </vt:variant>
      <vt:variant>
        <vt:i4>6357101</vt:i4>
      </vt:variant>
      <vt:variant>
        <vt:i4>591</vt:i4>
      </vt:variant>
      <vt:variant>
        <vt:i4>0</vt:i4>
      </vt:variant>
      <vt:variant>
        <vt:i4>5</vt:i4>
      </vt:variant>
      <vt:variant>
        <vt:lpwstr>https://www.thegef.org/projects-operations/database</vt:lpwstr>
      </vt:variant>
      <vt:variant>
        <vt:lpwstr/>
      </vt:variant>
      <vt:variant>
        <vt:i4>7340159</vt:i4>
      </vt:variant>
      <vt:variant>
        <vt:i4>582</vt:i4>
      </vt:variant>
      <vt:variant>
        <vt:i4>0</vt:i4>
      </vt:variant>
      <vt:variant>
        <vt:i4>5</vt:i4>
      </vt:variant>
      <vt:variant>
        <vt:lpwstr>https://iatiregistry.org/publisher/gef</vt:lpwstr>
      </vt:variant>
      <vt:variant>
        <vt:lpwstr/>
      </vt:variant>
      <vt:variant>
        <vt:i4>1179659</vt:i4>
      </vt:variant>
      <vt:variant>
        <vt:i4>570</vt:i4>
      </vt:variant>
      <vt:variant>
        <vt:i4>0</vt:i4>
      </vt:variant>
      <vt:variant>
        <vt:i4>5</vt:i4>
      </vt:variant>
      <vt:variant>
        <vt:lpwstr>https://www.cbd.int/side-events/5959</vt:lpwstr>
      </vt:variant>
      <vt:variant>
        <vt:lpwstr/>
      </vt:variant>
      <vt:variant>
        <vt:i4>4325407</vt:i4>
      </vt:variant>
      <vt:variant>
        <vt:i4>567</vt:i4>
      </vt:variant>
      <vt:variant>
        <vt:i4>0</vt:i4>
      </vt:variant>
      <vt:variant>
        <vt:i4>5</vt:i4>
      </vt:variant>
      <vt:variant>
        <vt:lpwstr>https://www.thegef.org/council-meeting-documents/gef-c-70-inf-18</vt:lpwstr>
      </vt:variant>
      <vt:variant>
        <vt:lpwstr/>
      </vt:variant>
      <vt:variant>
        <vt:i4>3801140</vt:i4>
      </vt:variant>
      <vt:variant>
        <vt:i4>564</vt:i4>
      </vt:variant>
      <vt:variant>
        <vt:i4>0</vt:i4>
      </vt:variant>
      <vt:variant>
        <vt:i4>5</vt:i4>
      </vt:variant>
      <vt:variant>
        <vt:lpwstr>https://www.thegef.org/council-meeting-documents/gef-c-69-12-0</vt:lpwstr>
      </vt:variant>
      <vt:variant>
        <vt:lpwstr/>
      </vt:variant>
      <vt:variant>
        <vt:i4>6619195</vt:i4>
      </vt:variant>
      <vt:variant>
        <vt:i4>561</vt:i4>
      </vt:variant>
      <vt:variant>
        <vt:i4>0</vt:i4>
      </vt:variant>
      <vt:variant>
        <vt:i4>5</vt:i4>
      </vt:variant>
      <vt:variant>
        <vt:lpwstr>https://www.thegef.org/sites/default/files/documents/2024-12/EN_GEF.68.05_Rev.01_Streamlining  the  GEF  Project  Cycle_0.pdf</vt:lpwstr>
      </vt:variant>
      <vt:variant>
        <vt:lpwstr/>
      </vt:variant>
      <vt:variant>
        <vt:i4>5308419</vt:i4>
      </vt:variant>
      <vt:variant>
        <vt:i4>558</vt:i4>
      </vt:variant>
      <vt:variant>
        <vt:i4>0</vt:i4>
      </vt:variant>
      <vt:variant>
        <vt:i4>5</vt:i4>
      </vt:variant>
      <vt:variant>
        <vt:lpwstr>https://www.thegef.org/newsroom/publications/inclusive-conservation-initiative-phase-2-report-focus-inclusive-finance</vt:lpwstr>
      </vt:variant>
      <vt:variant>
        <vt:lpwstr/>
      </vt:variant>
      <vt:variant>
        <vt:i4>4063295</vt:i4>
      </vt:variant>
      <vt:variant>
        <vt:i4>555</vt:i4>
      </vt:variant>
      <vt:variant>
        <vt:i4>0</vt:i4>
      </vt:variant>
      <vt:variant>
        <vt:i4>5</vt:i4>
      </vt:variant>
      <vt:variant>
        <vt:lpwstr>https://www.cbd.int/convention/articles/default.shtml?a=cbd-39</vt:lpwstr>
      </vt:variant>
      <vt:variant>
        <vt:lpwstr/>
      </vt:variant>
      <vt:variant>
        <vt:i4>3539006</vt:i4>
      </vt:variant>
      <vt:variant>
        <vt:i4>552</vt:i4>
      </vt:variant>
      <vt:variant>
        <vt:i4>0</vt:i4>
      </vt:variant>
      <vt:variant>
        <vt:i4>5</vt:i4>
      </vt:variant>
      <vt:variant>
        <vt:lpwstr>https://www.cbd.int/convention/articles/default.shtml?a=cbd-21</vt:lpwstr>
      </vt:variant>
      <vt:variant>
        <vt:lpwstr/>
      </vt:variant>
      <vt:variant>
        <vt:i4>6684774</vt:i4>
      </vt:variant>
      <vt:variant>
        <vt:i4>549</vt:i4>
      </vt:variant>
      <vt:variant>
        <vt:i4>0</vt:i4>
      </vt:variant>
      <vt:variant>
        <vt:i4>5</vt:i4>
      </vt:variant>
      <vt:variant>
        <vt:lpwstr>https://www.thegef.org/council-meeting-documents/gef-gbff-05-inf-04</vt:lpwstr>
      </vt:variant>
      <vt:variant>
        <vt:lpwstr/>
      </vt:variant>
      <vt:variant>
        <vt:i4>5308419</vt:i4>
      </vt:variant>
      <vt:variant>
        <vt:i4>546</vt:i4>
      </vt:variant>
      <vt:variant>
        <vt:i4>0</vt:i4>
      </vt:variant>
      <vt:variant>
        <vt:i4>5</vt:i4>
      </vt:variant>
      <vt:variant>
        <vt:lpwstr>https://www.thegef.org/newsroom/publications/inclusive-conservation-initiative-phase-2-report-focus-inclusive-finance</vt:lpwstr>
      </vt:variant>
      <vt:variant>
        <vt:lpwstr/>
      </vt:variant>
      <vt:variant>
        <vt:i4>4325407</vt:i4>
      </vt:variant>
      <vt:variant>
        <vt:i4>543</vt:i4>
      </vt:variant>
      <vt:variant>
        <vt:i4>0</vt:i4>
      </vt:variant>
      <vt:variant>
        <vt:i4>5</vt:i4>
      </vt:variant>
      <vt:variant>
        <vt:lpwstr>https://www.thegef.org/council-meeting-documents/gef-c-70-inf-18</vt:lpwstr>
      </vt:variant>
      <vt:variant>
        <vt:lpwstr/>
      </vt:variant>
      <vt:variant>
        <vt:i4>3801140</vt:i4>
      </vt:variant>
      <vt:variant>
        <vt:i4>540</vt:i4>
      </vt:variant>
      <vt:variant>
        <vt:i4>0</vt:i4>
      </vt:variant>
      <vt:variant>
        <vt:i4>5</vt:i4>
      </vt:variant>
      <vt:variant>
        <vt:lpwstr>https://www.thegef.org/council-meeting-documents/gef-c-69-12-0</vt:lpwstr>
      </vt:variant>
      <vt:variant>
        <vt:lpwstr/>
      </vt:variant>
      <vt:variant>
        <vt:i4>6619195</vt:i4>
      </vt:variant>
      <vt:variant>
        <vt:i4>537</vt:i4>
      </vt:variant>
      <vt:variant>
        <vt:i4>0</vt:i4>
      </vt:variant>
      <vt:variant>
        <vt:i4>5</vt:i4>
      </vt:variant>
      <vt:variant>
        <vt:lpwstr>https://www.thegef.org/sites/default/files/documents/2024-12/EN_GEF.68.05_Rev.01_Streamlining  the  GEF  Project  Cycle_0.pdf</vt:lpwstr>
      </vt:variant>
      <vt:variant>
        <vt:lpwstr/>
      </vt:variant>
      <vt:variant>
        <vt:i4>3604542</vt:i4>
      </vt:variant>
      <vt:variant>
        <vt:i4>534</vt:i4>
      </vt:variant>
      <vt:variant>
        <vt:i4>0</vt:i4>
      </vt:variant>
      <vt:variant>
        <vt:i4>5</vt:i4>
      </vt:variant>
      <vt:variant>
        <vt:lpwstr>https://www.cbd.int/convention/articles/default.shtml?a=cbd-20</vt:lpwstr>
      </vt:variant>
      <vt:variant>
        <vt:lpwstr/>
      </vt:variant>
      <vt:variant>
        <vt:i4>5636102</vt:i4>
      </vt:variant>
      <vt:variant>
        <vt:i4>531</vt:i4>
      </vt:variant>
      <vt:variant>
        <vt:i4>0</vt:i4>
      </vt:variant>
      <vt:variant>
        <vt:i4>5</vt:i4>
      </vt:variant>
      <vt:variant>
        <vt:lpwstr>https://www.thegef.org/sites/default/files/documents/2025-05/EN_GEF_C69_Inf.06_Progress  Report  on  GEF  Agencies %E2 %80 %99  Compliance  with  GEF  Minimum.pdf</vt:lpwstr>
      </vt:variant>
      <vt:variant>
        <vt:lpwstr/>
      </vt:variant>
      <vt:variant>
        <vt:i4>4456478</vt:i4>
      </vt:variant>
      <vt:variant>
        <vt:i4>528</vt:i4>
      </vt:variant>
      <vt:variant>
        <vt:i4>0</vt:i4>
      </vt:variant>
      <vt:variant>
        <vt:i4>5</vt:i4>
      </vt:variant>
      <vt:variant>
        <vt:lpwstr>https://www.thegef.org/documents/environmental-and-social-safeguard-standards</vt:lpwstr>
      </vt:variant>
      <vt:variant>
        <vt:lpwstr/>
      </vt:variant>
      <vt:variant>
        <vt:i4>655435</vt:i4>
      </vt:variant>
      <vt:variant>
        <vt:i4>525</vt:i4>
      </vt:variant>
      <vt:variant>
        <vt:i4>0</vt:i4>
      </vt:variant>
      <vt:variant>
        <vt:i4>5</vt:i4>
      </vt:variant>
      <vt:variant>
        <vt:lpwstr>https://www.cbd.int/doc/decisions/cop-14/cop-14-dec-15-en.pdf</vt:lpwstr>
      </vt:variant>
      <vt:variant>
        <vt:lpwstr/>
      </vt:variant>
      <vt:variant>
        <vt:i4>5308419</vt:i4>
      </vt:variant>
      <vt:variant>
        <vt:i4>522</vt:i4>
      </vt:variant>
      <vt:variant>
        <vt:i4>0</vt:i4>
      </vt:variant>
      <vt:variant>
        <vt:i4>5</vt:i4>
      </vt:variant>
      <vt:variant>
        <vt:lpwstr>https://www.thegef.org/newsroom/publications/inclusive-conservation-initiative-phase-2-report-focus-inclusive-finance</vt:lpwstr>
      </vt:variant>
      <vt:variant>
        <vt:lpwstr/>
      </vt:variant>
      <vt:variant>
        <vt:i4>917523</vt:i4>
      </vt:variant>
      <vt:variant>
        <vt:i4>519</vt:i4>
      </vt:variant>
      <vt:variant>
        <vt:i4>0</vt:i4>
      </vt:variant>
      <vt:variant>
        <vt:i4>5</vt:i4>
      </vt:variant>
      <vt:variant>
        <vt:lpwstr>https://www.thegef.org/fonseca-leadership-program</vt:lpwstr>
      </vt:variant>
      <vt:variant>
        <vt:lpwstr/>
      </vt:variant>
      <vt:variant>
        <vt:i4>5308419</vt:i4>
      </vt:variant>
      <vt:variant>
        <vt:i4>516</vt:i4>
      </vt:variant>
      <vt:variant>
        <vt:i4>0</vt:i4>
      </vt:variant>
      <vt:variant>
        <vt:i4>5</vt:i4>
      </vt:variant>
      <vt:variant>
        <vt:lpwstr>https://www.thegef.org/newsroom/publications/inclusive-conservation-initiative-phase-2-report-focus-inclusive-finance</vt:lpwstr>
      </vt:variant>
      <vt:variant>
        <vt:lpwstr/>
      </vt:variant>
      <vt:variant>
        <vt:i4>1900608</vt:i4>
      </vt:variant>
      <vt:variant>
        <vt:i4>513</vt:i4>
      </vt:variant>
      <vt:variant>
        <vt:i4>0</vt:i4>
      </vt:variant>
      <vt:variant>
        <vt:i4>5</vt:i4>
      </vt:variant>
      <vt:variant>
        <vt:lpwstr>https://www.thegef.org/what-we-do/topics/gef-small-grants-program</vt:lpwstr>
      </vt:variant>
      <vt:variant>
        <vt:lpwstr/>
      </vt:variant>
      <vt:variant>
        <vt:i4>6684774</vt:i4>
      </vt:variant>
      <vt:variant>
        <vt:i4>507</vt:i4>
      </vt:variant>
      <vt:variant>
        <vt:i4>0</vt:i4>
      </vt:variant>
      <vt:variant>
        <vt:i4>5</vt:i4>
      </vt:variant>
      <vt:variant>
        <vt:lpwstr>https://www.thegef.org/council-meeting-documents/gef-gbff-05-inf-04</vt:lpwstr>
      </vt:variant>
      <vt:variant>
        <vt:lpwstr/>
      </vt:variant>
      <vt:variant>
        <vt:i4>589903</vt:i4>
      </vt:variant>
      <vt:variant>
        <vt:i4>504</vt:i4>
      </vt:variant>
      <vt:variant>
        <vt:i4>0</vt:i4>
      </vt:variant>
      <vt:variant>
        <vt:i4>5</vt:i4>
      </vt:variant>
      <vt:variant>
        <vt:lpwstr>https://www.cbd.int/doc/decisions/cop-12/cop-12-dec-30-en.pdf</vt:lpwstr>
      </vt:variant>
      <vt:variant>
        <vt:lpwstr/>
      </vt:variant>
      <vt:variant>
        <vt:i4>6815853</vt:i4>
      </vt:variant>
      <vt:variant>
        <vt:i4>501</vt:i4>
      </vt:variant>
      <vt:variant>
        <vt:i4>0</vt:i4>
      </vt:variant>
      <vt:variant>
        <vt:i4>5</vt:i4>
      </vt:variant>
      <vt:variant>
        <vt:lpwstr>https://www.cbd.int/documents/CBD/COP/16/6/REV1</vt:lpwstr>
      </vt:variant>
      <vt:variant>
        <vt:lpwstr/>
      </vt:variant>
      <vt:variant>
        <vt:i4>983064</vt:i4>
      </vt:variant>
      <vt:variant>
        <vt:i4>498</vt:i4>
      </vt:variant>
      <vt:variant>
        <vt:i4>0</vt:i4>
      </vt:variant>
      <vt:variant>
        <vt:i4>5</vt:i4>
      </vt:variant>
      <vt:variant>
        <vt:lpwstr>https://www.cbd.int/recommendations/sbi/?m=sbi-04</vt:lpwstr>
      </vt:variant>
      <vt:variant>
        <vt:lpwstr/>
      </vt:variant>
      <vt:variant>
        <vt:i4>6881388</vt:i4>
      </vt:variant>
      <vt:variant>
        <vt:i4>495</vt:i4>
      </vt:variant>
      <vt:variant>
        <vt:i4>0</vt:i4>
      </vt:variant>
      <vt:variant>
        <vt:i4>5</vt:i4>
      </vt:variant>
      <vt:variant>
        <vt:lpwstr>https://www.cbd.int/documents/CBD/COP/16/6/ADD1</vt:lpwstr>
      </vt:variant>
      <vt:variant>
        <vt:lpwstr/>
      </vt:variant>
      <vt:variant>
        <vt:i4>4456478</vt:i4>
      </vt:variant>
      <vt:variant>
        <vt:i4>491</vt:i4>
      </vt:variant>
      <vt:variant>
        <vt:i4>0</vt:i4>
      </vt:variant>
      <vt:variant>
        <vt:i4>5</vt:i4>
      </vt:variant>
      <vt:variant>
        <vt:lpwstr>https://www.thegef.org/documents/environmental-and-social-safeguard-standards</vt:lpwstr>
      </vt:variant>
      <vt:variant>
        <vt:lpwstr/>
      </vt:variant>
      <vt:variant>
        <vt:i4>4456478</vt:i4>
      </vt:variant>
      <vt:variant>
        <vt:i4>489</vt:i4>
      </vt:variant>
      <vt:variant>
        <vt:i4>0</vt:i4>
      </vt:variant>
      <vt:variant>
        <vt:i4>5</vt:i4>
      </vt:variant>
      <vt:variant>
        <vt:lpwstr>https://www.thegef.org/documents/environmental-and-social-safeguard-standards</vt:lpwstr>
      </vt:variant>
      <vt:variant>
        <vt:lpwstr/>
      </vt:variant>
      <vt:variant>
        <vt:i4>3539007</vt:i4>
      </vt:variant>
      <vt:variant>
        <vt:i4>486</vt:i4>
      </vt:variant>
      <vt:variant>
        <vt:i4>0</vt:i4>
      </vt:variant>
      <vt:variant>
        <vt:i4>5</vt:i4>
      </vt:variant>
      <vt:variant>
        <vt:lpwstr>https://www.thegef.org/documents/stakeholder-engagement</vt:lpwstr>
      </vt:variant>
      <vt:variant>
        <vt:lpwstr/>
      </vt:variant>
      <vt:variant>
        <vt:i4>2293811</vt:i4>
      </vt:variant>
      <vt:variant>
        <vt:i4>483</vt:i4>
      </vt:variant>
      <vt:variant>
        <vt:i4>0</vt:i4>
      </vt:variant>
      <vt:variant>
        <vt:i4>5</vt:i4>
      </vt:variant>
      <vt:variant>
        <vt:lpwstr>https://www.thegef.org/sites/default/files/council-meeting-documents/C.42.Inf_.03.Rev_.1_Principles_and_Guideline_for_Engagement_with_Indigenous_Peoples.Sept_10%2C_2012.pdf</vt:lpwstr>
      </vt:variant>
      <vt:variant>
        <vt:lpwstr/>
      </vt:variant>
      <vt:variant>
        <vt:i4>6684774</vt:i4>
      </vt:variant>
      <vt:variant>
        <vt:i4>480</vt:i4>
      </vt:variant>
      <vt:variant>
        <vt:i4>0</vt:i4>
      </vt:variant>
      <vt:variant>
        <vt:i4>5</vt:i4>
      </vt:variant>
      <vt:variant>
        <vt:lpwstr>https://www.thegef.org/council-meeting-documents/gef-gbff-05-inf-04</vt:lpwstr>
      </vt:variant>
      <vt:variant>
        <vt:lpwstr/>
      </vt:variant>
      <vt:variant>
        <vt:i4>1376324</vt:i4>
      </vt:variant>
      <vt:variant>
        <vt:i4>477</vt:i4>
      </vt:variant>
      <vt:variant>
        <vt:i4>0</vt:i4>
      </vt:variant>
      <vt:variant>
        <vt:i4>5</vt:i4>
      </vt:variant>
      <vt:variant>
        <vt:lpwstr>https://robwaltonfoundation.org/</vt:lpwstr>
      </vt:variant>
      <vt:variant>
        <vt:lpwstr/>
      </vt:variant>
      <vt:variant>
        <vt:i4>1179659</vt:i4>
      </vt:variant>
      <vt:variant>
        <vt:i4>474</vt:i4>
      </vt:variant>
      <vt:variant>
        <vt:i4>0</vt:i4>
      </vt:variant>
      <vt:variant>
        <vt:i4>5</vt:i4>
      </vt:variant>
      <vt:variant>
        <vt:lpwstr>https://www.cbd.int/side-events/5959</vt:lpwstr>
      </vt:variant>
      <vt:variant>
        <vt:lpwstr/>
      </vt:variant>
      <vt:variant>
        <vt:i4>1179659</vt:i4>
      </vt:variant>
      <vt:variant>
        <vt:i4>471</vt:i4>
      </vt:variant>
      <vt:variant>
        <vt:i4>0</vt:i4>
      </vt:variant>
      <vt:variant>
        <vt:i4>5</vt:i4>
      </vt:variant>
      <vt:variant>
        <vt:lpwstr>https://www.cbd.int/side-events/5959</vt:lpwstr>
      </vt:variant>
      <vt:variant>
        <vt:lpwstr/>
      </vt:variant>
      <vt:variant>
        <vt:i4>3539006</vt:i4>
      </vt:variant>
      <vt:variant>
        <vt:i4>468</vt:i4>
      </vt:variant>
      <vt:variant>
        <vt:i4>0</vt:i4>
      </vt:variant>
      <vt:variant>
        <vt:i4>5</vt:i4>
      </vt:variant>
      <vt:variant>
        <vt:lpwstr>https://www.cbd.int/convention/articles/default.shtml?a=cbd-21</vt:lpwstr>
      </vt:variant>
      <vt:variant>
        <vt:lpwstr/>
      </vt:variant>
      <vt:variant>
        <vt:i4>3604542</vt:i4>
      </vt:variant>
      <vt:variant>
        <vt:i4>465</vt:i4>
      </vt:variant>
      <vt:variant>
        <vt:i4>0</vt:i4>
      </vt:variant>
      <vt:variant>
        <vt:i4>5</vt:i4>
      </vt:variant>
      <vt:variant>
        <vt:lpwstr>https://www.cbd.int/convention/articles/default.shtml?a=cbd-20</vt:lpwstr>
      </vt:variant>
      <vt:variant>
        <vt:lpwstr/>
      </vt:variant>
      <vt:variant>
        <vt:i4>6291564</vt:i4>
      </vt:variant>
      <vt:variant>
        <vt:i4>453</vt:i4>
      </vt:variant>
      <vt:variant>
        <vt:i4>0</vt:i4>
      </vt:variant>
      <vt:variant>
        <vt:i4>5</vt:i4>
      </vt:variant>
      <vt:variant>
        <vt:lpwstr>javascript:void(0);</vt:lpwstr>
      </vt:variant>
      <vt:variant>
        <vt:lpwstr/>
      </vt:variant>
      <vt:variant>
        <vt:i4>524331</vt:i4>
      </vt:variant>
      <vt:variant>
        <vt:i4>450</vt:i4>
      </vt:variant>
      <vt:variant>
        <vt:i4>0</vt:i4>
      </vt:variant>
      <vt:variant>
        <vt:i4>5</vt:i4>
      </vt:variant>
      <vt:variant>
        <vt:lpwstr/>
      </vt:variant>
      <vt:variant>
        <vt:lpwstr>_ftn1</vt:lpwstr>
      </vt:variant>
      <vt:variant>
        <vt:i4>1769522</vt:i4>
      </vt:variant>
      <vt:variant>
        <vt:i4>422</vt:i4>
      </vt:variant>
      <vt:variant>
        <vt:i4>0</vt:i4>
      </vt:variant>
      <vt:variant>
        <vt:i4>5</vt:i4>
      </vt:variant>
      <vt:variant>
        <vt:lpwstr/>
      </vt:variant>
      <vt:variant>
        <vt:lpwstr>_Toc240991905</vt:lpwstr>
      </vt:variant>
      <vt:variant>
        <vt:i4>1769522</vt:i4>
      </vt:variant>
      <vt:variant>
        <vt:i4>416</vt:i4>
      </vt:variant>
      <vt:variant>
        <vt:i4>0</vt:i4>
      </vt:variant>
      <vt:variant>
        <vt:i4>5</vt:i4>
      </vt:variant>
      <vt:variant>
        <vt:lpwstr/>
      </vt:variant>
      <vt:variant>
        <vt:lpwstr>_Toc240991904</vt:lpwstr>
      </vt:variant>
      <vt:variant>
        <vt:i4>1769522</vt:i4>
      </vt:variant>
      <vt:variant>
        <vt:i4>410</vt:i4>
      </vt:variant>
      <vt:variant>
        <vt:i4>0</vt:i4>
      </vt:variant>
      <vt:variant>
        <vt:i4>5</vt:i4>
      </vt:variant>
      <vt:variant>
        <vt:lpwstr/>
      </vt:variant>
      <vt:variant>
        <vt:lpwstr>_Toc240991903</vt:lpwstr>
      </vt:variant>
      <vt:variant>
        <vt:i4>1769522</vt:i4>
      </vt:variant>
      <vt:variant>
        <vt:i4>404</vt:i4>
      </vt:variant>
      <vt:variant>
        <vt:i4>0</vt:i4>
      </vt:variant>
      <vt:variant>
        <vt:i4>5</vt:i4>
      </vt:variant>
      <vt:variant>
        <vt:lpwstr/>
      </vt:variant>
      <vt:variant>
        <vt:lpwstr>_Toc240991902</vt:lpwstr>
      </vt:variant>
      <vt:variant>
        <vt:i4>1769522</vt:i4>
      </vt:variant>
      <vt:variant>
        <vt:i4>398</vt:i4>
      </vt:variant>
      <vt:variant>
        <vt:i4>0</vt:i4>
      </vt:variant>
      <vt:variant>
        <vt:i4>5</vt:i4>
      </vt:variant>
      <vt:variant>
        <vt:lpwstr/>
      </vt:variant>
      <vt:variant>
        <vt:lpwstr>_Toc240991901</vt:lpwstr>
      </vt:variant>
      <vt:variant>
        <vt:i4>1769522</vt:i4>
      </vt:variant>
      <vt:variant>
        <vt:i4>392</vt:i4>
      </vt:variant>
      <vt:variant>
        <vt:i4>0</vt:i4>
      </vt:variant>
      <vt:variant>
        <vt:i4>5</vt:i4>
      </vt:variant>
      <vt:variant>
        <vt:lpwstr/>
      </vt:variant>
      <vt:variant>
        <vt:lpwstr>_Toc240991900</vt:lpwstr>
      </vt:variant>
      <vt:variant>
        <vt:i4>1179699</vt:i4>
      </vt:variant>
      <vt:variant>
        <vt:i4>386</vt:i4>
      </vt:variant>
      <vt:variant>
        <vt:i4>0</vt:i4>
      </vt:variant>
      <vt:variant>
        <vt:i4>5</vt:i4>
      </vt:variant>
      <vt:variant>
        <vt:lpwstr/>
      </vt:variant>
      <vt:variant>
        <vt:lpwstr>_Toc240991899</vt:lpwstr>
      </vt:variant>
      <vt:variant>
        <vt:i4>1179699</vt:i4>
      </vt:variant>
      <vt:variant>
        <vt:i4>380</vt:i4>
      </vt:variant>
      <vt:variant>
        <vt:i4>0</vt:i4>
      </vt:variant>
      <vt:variant>
        <vt:i4>5</vt:i4>
      </vt:variant>
      <vt:variant>
        <vt:lpwstr/>
      </vt:variant>
      <vt:variant>
        <vt:lpwstr>_Toc240991898</vt:lpwstr>
      </vt:variant>
      <vt:variant>
        <vt:i4>1179699</vt:i4>
      </vt:variant>
      <vt:variant>
        <vt:i4>374</vt:i4>
      </vt:variant>
      <vt:variant>
        <vt:i4>0</vt:i4>
      </vt:variant>
      <vt:variant>
        <vt:i4>5</vt:i4>
      </vt:variant>
      <vt:variant>
        <vt:lpwstr/>
      </vt:variant>
      <vt:variant>
        <vt:lpwstr>_Toc240991897</vt:lpwstr>
      </vt:variant>
      <vt:variant>
        <vt:i4>1179699</vt:i4>
      </vt:variant>
      <vt:variant>
        <vt:i4>368</vt:i4>
      </vt:variant>
      <vt:variant>
        <vt:i4>0</vt:i4>
      </vt:variant>
      <vt:variant>
        <vt:i4>5</vt:i4>
      </vt:variant>
      <vt:variant>
        <vt:lpwstr/>
      </vt:variant>
      <vt:variant>
        <vt:lpwstr>_Toc240991896</vt:lpwstr>
      </vt:variant>
      <vt:variant>
        <vt:i4>1179699</vt:i4>
      </vt:variant>
      <vt:variant>
        <vt:i4>359</vt:i4>
      </vt:variant>
      <vt:variant>
        <vt:i4>0</vt:i4>
      </vt:variant>
      <vt:variant>
        <vt:i4>5</vt:i4>
      </vt:variant>
      <vt:variant>
        <vt:lpwstr/>
      </vt:variant>
      <vt:variant>
        <vt:lpwstr>_Toc240991894</vt:lpwstr>
      </vt:variant>
      <vt:variant>
        <vt:i4>1179699</vt:i4>
      </vt:variant>
      <vt:variant>
        <vt:i4>353</vt:i4>
      </vt:variant>
      <vt:variant>
        <vt:i4>0</vt:i4>
      </vt:variant>
      <vt:variant>
        <vt:i4>5</vt:i4>
      </vt:variant>
      <vt:variant>
        <vt:lpwstr/>
      </vt:variant>
      <vt:variant>
        <vt:lpwstr>_Toc240991893</vt:lpwstr>
      </vt:variant>
      <vt:variant>
        <vt:i4>1179699</vt:i4>
      </vt:variant>
      <vt:variant>
        <vt:i4>347</vt:i4>
      </vt:variant>
      <vt:variant>
        <vt:i4>0</vt:i4>
      </vt:variant>
      <vt:variant>
        <vt:i4>5</vt:i4>
      </vt:variant>
      <vt:variant>
        <vt:lpwstr/>
      </vt:variant>
      <vt:variant>
        <vt:lpwstr>_Toc240991892</vt:lpwstr>
      </vt:variant>
      <vt:variant>
        <vt:i4>1179699</vt:i4>
      </vt:variant>
      <vt:variant>
        <vt:i4>338</vt:i4>
      </vt:variant>
      <vt:variant>
        <vt:i4>0</vt:i4>
      </vt:variant>
      <vt:variant>
        <vt:i4>5</vt:i4>
      </vt:variant>
      <vt:variant>
        <vt:lpwstr/>
      </vt:variant>
      <vt:variant>
        <vt:lpwstr>_Toc240991891</vt:lpwstr>
      </vt:variant>
      <vt:variant>
        <vt:i4>1179699</vt:i4>
      </vt:variant>
      <vt:variant>
        <vt:i4>332</vt:i4>
      </vt:variant>
      <vt:variant>
        <vt:i4>0</vt:i4>
      </vt:variant>
      <vt:variant>
        <vt:i4>5</vt:i4>
      </vt:variant>
      <vt:variant>
        <vt:lpwstr/>
      </vt:variant>
      <vt:variant>
        <vt:lpwstr>_Toc240991890</vt:lpwstr>
      </vt:variant>
      <vt:variant>
        <vt:i4>1245235</vt:i4>
      </vt:variant>
      <vt:variant>
        <vt:i4>326</vt:i4>
      </vt:variant>
      <vt:variant>
        <vt:i4>0</vt:i4>
      </vt:variant>
      <vt:variant>
        <vt:i4>5</vt:i4>
      </vt:variant>
      <vt:variant>
        <vt:lpwstr/>
      </vt:variant>
      <vt:variant>
        <vt:lpwstr>_Toc240991889</vt:lpwstr>
      </vt:variant>
      <vt:variant>
        <vt:i4>1245235</vt:i4>
      </vt:variant>
      <vt:variant>
        <vt:i4>320</vt:i4>
      </vt:variant>
      <vt:variant>
        <vt:i4>0</vt:i4>
      </vt:variant>
      <vt:variant>
        <vt:i4>5</vt:i4>
      </vt:variant>
      <vt:variant>
        <vt:lpwstr/>
      </vt:variant>
      <vt:variant>
        <vt:lpwstr>_Toc240991888</vt:lpwstr>
      </vt:variant>
      <vt:variant>
        <vt:i4>1245235</vt:i4>
      </vt:variant>
      <vt:variant>
        <vt:i4>314</vt:i4>
      </vt:variant>
      <vt:variant>
        <vt:i4>0</vt:i4>
      </vt:variant>
      <vt:variant>
        <vt:i4>5</vt:i4>
      </vt:variant>
      <vt:variant>
        <vt:lpwstr/>
      </vt:variant>
      <vt:variant>
        <vt:lpwstr>_Toc240991887</vt:lpwstr>
      </vt:variant>
      <vt:variant>
        <vt:i4>1245235</vt:i4>
      </vt:variant>
      <vt:variant>
        <vt:i4>308</vt:i4>
      </vt:variant>
      <vt:variant>
        <vt:i4>0</vt:i4>
      </vt:variant>
      <vt:variant>
        <vt:i4>5</vt:i4>
      </vt:variant>
      <vt:variant>
        <vt:lpwstr/>
      </vt:variant>
      <vt:variant>
        <vt:lpwstr>_Toc240991886</vt:lpwstr>
      </vt:variant>
      <vt:variant>
        <vt:i4>1245235</vt:i4>
      </vt:variant>
      <vt:variant>
        <vt:i4>302</vt:i4>
      </vt:variant>
      <vt:variant>
        <vt:i4>0</vt:i4>
      </vt:variant>
      <vt:variant>
        <vt:i4>5</vt:i4>
      </vt:variant>
      <vt:variant>
        <vt:lpwstr/>
      </vt:variant>
      <vt:variant>
        <vt:lpwstr>_Toc240991885</vt:lpwstr>
      </vt:variant>
      <vt:variant>
        <vt:i4>1245235</vt:i4>
      </vt:variant>
      <vt:variant>
        <vt:i4>296</vt:i4>
      </vt:variant>
      <vt:variant>
        <vt:i4>0</vt:i4>
      </vt:variant>
      <vt:variant>
        <vt:i4>5</vt:i4>
      </vt:variant>
      <vt:variant>
        <vt:lpwstr/>
      </vt:variant>
      <vt:variant>
        <vt:lpwstr>_Toc240991884</vt:lpwstr>
      </vt:variant>
      <vt:variant>
        <vt:i4>1245235</vt:i4>
      </vt:variant>
      <vt:variant>
        <vt:i4>290</vt:i4>
      </vt:variant>
      <vt:variant>
        <vt:i4>0</vt:i4>
      </vt:variant>
      <vt:variant>
        <vt:i4>5</vt:i4>
      </vt:variant>
      <vt:variant>
        <vt:lpwstr/>
      </vt:variant>
      <vt:variant>
        <vt:lpwstr>_Toc240991883</vt:lpwstr>
      </vt:variant>
      <vt:variant>
        <vt:i4>1245235</vt:i4>
      </vt:variant>
      <vt:variant>
        <vt:i4>284</vt:i4>
      </vt:variant>
      <vt:variant>
        <vt:i4>0</vt:i4>
      </vt:variant>
      <vt:variant>
        <vt:i4>5</vt:i4>
      </vt:variant>
      <vt:variant>
        <vt:lpwstr/>
      </vt:variant>
      <vt:variant>
        <vt:lpwstr>_Toc240991882</vt:lpwstr>
      </vt:variant>
      <vt:variant>
        <vt:i4>1245235</vt:i4>
      </vt:variant>
      <vt:variant>
        <vt:i4>278</vt:i4>
      </vt:variant>
      <vt:variant>
        <vt:i4>0</vt:i4>
      </vt:variant>
      <vt:variant>
        <vt:i4>5</vt:i4>
      </vt:variant>
      <vt:variant>
        <vt:lpwstr/>
      </vt:variant>
      <vt:variant>
        <vt:lpwstr>_Toc240991881</vt:lpwstr>
      </vt:variant>
      <vt:variant>
        <vt:i4>1245235</vt:i4>
      </vt:variant>
      <vt:variant>
        <vt:i4>272</vt:i4>
      </vt:variant>
      <vt:variant>
        <vt:i4>0</vt:i4>
      </vt:variant>
      <vt:variant>
        <vt:i4>5</vt:i4>
      </vt:variant>
      <vt:variant>
        <vt:lpwstr/>
      </vt:variant>
      <vt:variant>
        <vt:lpwstr>_Toc240991880</vt:lpwstr>
      </vt:variant>
      <vt:variant>
        <vt:i4>1835059</vt:i4>
      </vt:variant>
      <vt:variant>
        <vt:i4>266</vt:i4>
      </vt:variant>
      <vt:variant>
        <vt:i4>0</vt:i4>
      </vt:variant>
      <vt:variant>
        <vt:i4>5</vt:i4>
      </vt:variant>
      <vt:variant>
        <vt:lpwstr/>
      </vt:variant>
      <vt:variant>
        <vt:lpwstr>_Toc240991879</vt:lpwstr>
      </vt:variant>
      <vt:variant>
        <vt:i4>1835059</vt:i4>
      </vt:variant>
      <vt:variant>
        <vt:i4>260</vt:i4>
      </vt:variant>
      <vt:variant>
        <vt:i4>0</vt:i4>
      </vt:variant>
      <vt:variant>
        <vt:i4>5</vt:i4>
      </vt:variant>
      <vt:variant>
        <vt:lpwstr/>
      </vt:variant>
      <vt:variant>
        <vt:lpwstr>_Toc240991878</vt:lpwstr>
      </vt:variant>
      <vt:variant>
        <vt:i4>1835059</vt:i4>
      </vt:variant>
      <vt:variant>
        <vt:i4>254</vt:i4>
      </vt:variant>
      <vt:variant>
        <vt:i4>0</vt:i4>
      </vt:variant>
      <vt:variant>
        <vt:i4>5</vt:i4>
      </vt:variant>
      <vt:variant>
        <vt:lpwstr/>
      </vt:variant>
      <vt:variant>
        <vt:lpwstr>_Toc240991877</vt:lpwstr>
      </vt:variant>
      <vt:variant>
        <vt:i4>1835059</vt:i4>
      </vt:variant>
      <vt:variant>
        <vt:i4>248</vt:i4>
      </vt:variant>
      <vt:variant>
        <vt:i4>0</vt:i4>
      </vt:variant>
      <vt:variant>
        <vt:i4>5</vt:i4>
      </vt:variant>
      <vt:variant>
        <vt:lpwstr/>
      </vt:variant>
      <vt:variant>
        <vt:lpwstr>_Toc240991876</vt:lpwstr>
      </vt:variant>
      <vt:variant>
        <vt:i4>1835059</vt:i4>
      </vt:variant>
      <vt:variant>
        <vt:i4>242</vt:i4>
      </vt:variant>
      <vt:variant>
        <vt:i4>0</vt:i4>
      </vt:variant>
      <vt:variant>
        <vt:i4>5</vt:i4>
      </vt:variant>
      <vt:variant>
        <vt:lpwstr/>
      </vt:variant>
      <vt:variant>
        <vt:lpwstr>_Toc240991875</vt:lpwstr>
      </vt:variant>
      <vt:variant>
        <vt:i4>1835059</vt:i4>
      </vt:variant>
      <vt:variant>
        <vt:i4>236</vt:i4>
      </vt:variant>
      <vt:variant>
        <vt:i4>0</vt:i4>
      </vt:variant>
      <vt:variant>
        <vt:i4>5</vt:i4>
      </vt:variant>
      <vt:variant>
        <vt:lpwstr/>
      </vt:variant>
      <vt:variant>
        <vt:lpwstr>_Toc240991874</vt:lpwstr>
      </vt:variant>
      <vt:variant>
        <vt:i4>1835059</vt:i4>
      </vt:variant>
      <vt:variant>
        <vt:i4>230</vt:i4>
      </vt:variant>
      <vt:variant>
        <vt:i4>0</vt:i4>
      </vt:variant>
      <vt:variant>
        <vt:i4>5</vt:i4>
      </vt:variant>
      <vt:variant>
        <vt:lpwstr/>
      </vt:variant>
      <vt:variant>
        <vt:lpwstr>_Toc240991873</vt:lpwstr>
      </vt:variant>
      <vt:variant>
        <vt:i4>1835059</vt:i4>
      </vt:variant>
      <vt:variant>
        <vt:i4>224</vt:i4>
      </vt:variant>
      <vt:variant>
        <vt:i4>0</vt:i4>
      </vt:variant>
      <vt:variant>
        <vt:i4>5</vt:i4>
      </vt:variant>
      <vt:variant>
        <vt:lpwstr/>
      </vt:variant>
      <vt:variant>
        <vt:lpwstr>_Toc240991872</vt:lpwstr>
      </vt:variant>
      <vt:variant>
        <vt:i4>1835059</vt:i4>
      </vt:variant>
      <vt:variant>
        <vt:i4>218</vt:i4>
      </vt:variant>
      <vt:variant>
        <vt:i4>0</vt:i4>
      </vt:variant>
      <vt:variant>
        <vt:i4>5</vt:i4>
      </vt:variant>
      <vt:variant>
        <vt:lpwstr/>
      </vt:variant>
      <vt:variant>
        <vt:lpwstr>_Toc240991871</vt:lpwstr>
      </vt:variant>
      <vt:variant>
        <vt:i4>1835059</vt:i4>
      </vt:variant>
      <vt:variant>
        <vt:i4>212</vt:i4>
      </vt:variant>
      <vt:variant>
        <vt:i4>0</vt:i4>
      </vt:variant>
      <vt:variant>
        <vt:i4>5</vt:i4>
      </vt:variant>
      <vt:variant>
        <vt:lpwstr/>
      </vt:variant>
      <vt:variant>
        <vt:lpwstr>_Toc240991870</vt:lpwstr>
      </vt:variant>
      <vt:variant>
        <vt:i4>1900595</vt:i4>
      </vt:variant>
      <vt:variant>
        <vt:i4>206</vt:i4>
      </vt:variant>
      <vt:variant>
        <vt:i4>0</vt:i4>
      </vt:variant>
      <vt:variant>
        <vt:i4>5</vt:i4>
      </vt:variant>
      <vt:variant>
        <vt:lpwstr/>
      </vt:variant>
      <vt:variant>
        <vt:lpwstr>_Toc240991869</vt:lpwstr>
      </vt:variant>
      <vt:variant>
        <vt:i4>1900595</vt:i4>
      </vt:variant>
      <vt:variant>
        <vt:i4>200</vt:i4>
      </vt:variant>
      <vt:variant>
        <vt:i4>0</vt:i4>
      </vt:variant>
      <vt:variant>
        <vt:i4>5</vt:i4>
      </vt:variant>
      <vt:variant>
        <vt:lpwstr/>
      </vt:variant>
      <vt:variant>
        <vt:lpwstr>_Toc240991868</vt:lpwstr>
      </vt:variant>
      <vt:variant>
        <vt:i4>1900595</vt:i4>
      </vt:variant>
      <vt:variant>
        <vt:i4>194</vt:i4>
      </vt:variant>
      <vt:variant>
        <vt:i4>0</vt:i4>
      </vt:variant>
      <vt:variant>
        <vt:i4>5</vt:i4>
      </vt:variant>
      <vt:variant>
        <vt:lpwstr/>
      </vt:variant>
      <vt:variant>
        <vt:lpwstr>_Toc240991867</vt:lpwstr>
      </vt:variant>
      <vt:variant>
        <vt:i4>1900595</vt:i4>
      </vt:variant>
      <vt:variant>
        <vt:i4>188</vt:i4>
      </vt:variant>
      <vt:variant>
        <vt:i4>0</vt:i4>
      </vt:variant>
      <vt:variant>
        <vt:i4>5</vt:i4>
      </vt:variant>
      <vt:variant>
        <vt:lpwstr/>
      </vt:variant>
      <vt:variant>
        <vt:lpwstr>_Toc240991866</vt:lpwstr>
      </vt:variant>
      <vt:variant>
        <vt:i4>1900595</vt:i4>
      </vt:variant>
      <vt:variant>
        <vt:i4>182</vt:i4>
      </vt:variant>
      <vt:variant>
        <vt:i4>0</vt:i4>
      </vt:variant>
      <vt:variant>
        <vt:i4>5</vt:i4>
      </vt:variant>
      <vt:variant>
        <vt:lpwstr/>
      </vt:variant>
      <vt:variant>
        <vt:lpwstr>_Toc240991865</vt:lpwstr>
      </vt:variant>
      <vt:variant>
        <vt:i4>1900595</vt:i4>
      </vt:variant>
      <vt:variant>
        <vt:i4>176</vt:i4>
      </vt:variant>
      <vt:variant>
        <vt:i4>0</vt:i4>
      </vt:variant>
      <vt:variant>
        <vt:i4>5</vt:i4>
      </vt:variant>
      <vt:variant>
        <vt:lpwstr/>
      </vt:variant>
      <vt:variant>
        <vt:lpwstr>_Toc240991864</vt:lpwstr>
      </vt:variant>
      <vt:variant>
        <vt:i4>1900595</vt:i4>
      </vt:variant>
      <vt:variant>
        <vt:i4>170</vt:i4>
      </vt:variant>
      <vt:variant>
        <vt:i4>0</vt:i4>
      </vt:variant>
      <vt:variant>
        <vt:i4>5</vt:i4>
      </vt:variant>
      <vt:variant>
        <vt:lpwstr/>
      </vt:variant>
      <vt:variant>
        <vt:lpwstr>_Toc240991863</vt:lpwstr>
      </vt:variant>
      <vt:variant>
        <vt:i4>1900595</vt:i4>
      </vt:variant>
      <vt:variant>
        <vt:i4>164</vt:i4>
      </vt:variant>
      <vt:variant>
        <vt:i4>0</vt:i4>
      </vt:variant>
      <vt:variant>
        <vt:i4>5</vt:i4>
      </vt:variant>
      <vt:variant>
        <vt:lpwstr/>
      </vt:variant>
      <vt:variant>
        <vt:lpwstr>_Toc240991862</vt:lpwstr>
      </vt:variant>
      <vt:variant>
        <vt:i4>1900595</vt:i4>
      </vt:variant>
      <vt:variant>
        <vt:i4>158</vt:i4>
      </vt:variant>
      <vt:variant>
        <vt:i4>0</vt:i4>
      </vt:variant>
      <vt:variant>
        <vt:i4>5</vt:i4>
      </vt:variant>
      <vt:variant>
        <vt:lpwstr/>
      </vt:variant>
      <vt:variant>
        <vt:lpwstr>_Toc240991861</vt:lpwstr>
      </vt:variant>
      <vt:variant>
        <vt:i4>1900595</vt:i4>
      </vt:variant>
      <vt:variant>
        <vt:i4>152</vt:i4>
      </vt:variant>
      <vt:variant>
        <vt:i4>0</vt:i4>
      </vt:variant>
      <vt:variant>
        <vt:i4>5</vt:i4>
      </vt:variant>
      <vt:variant>
        <vt:lpwstr/>
      </vt:variant>
      <vt:variant>
        <vt:lpwstr>_Toc240991860</vt:lpwstr>
      </vt:variant>
      <vt:variant>
        <vt:i4>1966131</vt:i4>
      </vt:variant>
      <vt:variant>
        <vt:i4>146</vt:i4>
      </vt:variant>
      <vt:variant>
        <vt:i4>0</vt:i4>
      </vt:variant>
      <vt:variant>
        <vt:i4>5</vt:i4>
      </vt:variant>
      <vt:variant>
        <vt:lpwstr/>
      </vt:variant>
      <vt:variant>
        <vt:lpwstr>_Toc240991859</vt:lpwstr>
      </vt:variant>
      <vt:variant>
        <vt:i4>1966131</vt:i4>
      </vt:variant>
      <vt:variant>
        <vt:i4>140</vt:i4>
      </vt:variant>
      <vt:variant>
        <vt:i4>0</vt:i4>
      </vt:variant>
      <vt:variant>
        <vt:i4>5</vt:i4>
      </vt:variant>
      <vt:variant>
        <vt:lpwstr/>
      </vt:variant>
      <vt:variant>
        <vt:lpwstr>_Toc240991858</vt:lpwstr>
      </vt:variant>
      <vt:variant>
        <vt:i4>1966131</vt:i4>
      </vt:variant>
      <vt:variant>
        <vt:i4>134</vt:i4>
      </vt:variant>
      <vt:variant>
        <vt:i4>0</vt:i4>
      </vt:variant>
      <vt:variant>
        <vt:i4>5</vt:i4>
      </vt:variant>
      <vt:variant>
        <vt:lpwstr/>
      </vt:variant>
      <vt:variant>
        <vt:lpwstr>_Toc240991857</vt:lpwstr>
      </vt:variant>
      <vt:variant>
        <vt:i4>1966131</vt:i4>
      </vt:variant>
      <vt:variant>
        <vt:i4>128</vt:i4>
      </vt:variant>
      <vt:variant>
        <vt:i4>0</vt:i4>
      </vt:variant>
      <vt:variant>
        <vt:i4>5</vt:i4>
      </vt:variant>
      <vt:variant>
        <vt:lpwstr/>
      </vt:variant>
      <vt:variant>
        <vt:lpwstr>_Toc240991856</vt:lpwstr>
      </vt:variant>
      <vt:variant>
        <vt:i4>1966131</vt:i4>
      </vt:variant>
      <vt:variant>
        <vt:i4>122</vt:i4>
      </vt:variant>
      <vt:variant>
        <vt:i4>0</vt:i4>
      </vt:variant>
      <vt:variant>
        <vt:i4>5</vt:i4>
      </vt:variant>
      <vt:variant>
        <vt:lpwstr/>
      </vt:variant>
      <vt:variant>
        <vt:lpwstr>_Toc240991855</vt:lpwstr>
      </vt:variant>
      <vt:variant>
        <vt:i4>1966131</vt:i4>
      </vt:variant>
      <vt:variant>
        <vt:i4>116</vt:i4>
      </vt:variant>
      <vt:variant>
        <vt:i4>0</vt:i4>
      </vt:variant>
      <vt:variant>
        <vt:i4>5</vt:i4>
      </vt:variant>
      <vt:variant>
        <vt:lpwstr/>
      </vt:variant>
      <vt:variant>
        <vt:lpwstr>_Toc240991854</vt:lpwstr>
      </vt:variant>
      <vt:variant>
        <vt:i4>1966131</vt:i4>
      </vt:variant>
      <vt:variant>
        <vt:i4>110</vt:i4>
      </vt:variant>
      <vt:variant>
        <vt:i4>0</vt:i4>
      </vt:variant>
      <vt:variant>
        <vt:i4>5</vt:i4>
      </vt:variant>
      <vt:variant>
        <vt:lpwstr/>
      </vt:variant>
      <vt:variant>
        <vt:lpwstr>_Toc240991853</vt:lpwstr>
      </vt:variant>
      <vt:variant>
        <vt:i4>1966131</vt:i4>
      </vt:variant>
      <vt:variant>
        <vt:i4>104</vt:i4>
      </vt:variant>
      <vt:variant>
        <vt:i4>0</vt:i4>
      </vt:variant>
      <vt:variant>
        <vt:i4>5</vt:i4>
      </vt:variant>
      <vt:variant>
        <vt:lpwstr/>
      </vt:variant>
      <vt:variant>
        <vt:lpwstr>_Toc240991852</vt:lpwstr>
      </vt:variant>
      <vt:variant>
        <vt:i4>1966131</vt:i4>
      </vt:variant>
      <vt:variant>
        <vt:i4>98</vt:i4>
      </vt:variant>
      <vt:variant>
        <vt:i4>0</vt:i4>
      </vt:variant>
      <vt:variant>
        <vt:i4>5</vt:i4>
      </vt:variant>
      <vt:variant>
        <vt:lpwstr/>
      </vt:variant>
      <vt:variant>
        <vt:lpwstr>_Toc240991851</vt:lpwstr>
      </vt:variant>
      <vt:variant>
        <vt:i4>1966131</vt:i4>
      </vt:variant>
      <vt:variant>
        <vt:i4>92</vt:i4>
      </vt:variant>
      <vt:variant>
        <vt:i4>0</vt:i4>
      </vt:variant>
      <vt:variant>
        <vt:i4>5</vt:i4>
      </vt:variant>
      <vt:variant>
        <vt:lpwstr/>
      </vt:variant>
      <vt:variant>
        <vt:lpwstr>_Toc240991850</vt:lpwstr>
      </vt:variant>
      <vt:variant>
        <vt:i4>2031667</vt:i4>
      </vt:variant>
      <vt:variant>
        <vt:i4>86</vt:i4>
      </vt:variant>
      <vt:variant>
        <vt:i4>0</vt:i4>
      </vt:variant>
      <vt:variant>
        <vt:i4>5</vt:i4>
      </vt:variant>
      <vt:variant>
        <vt:lpwstr/>
      </vt:variant>
      <vt:variant>
        <vt:lpwstr>_Toc240991849</vt:lpwstr>
      </vt:variant>
      <vt:variant>
        <vt:i4>2031667</vt:i4>
      </vt:variant>
      <vt:variant>
        <vt:i4>80</vt:i4>
      </vt:variant>
      <vt:variant>
        <vt:i4>0</vt:i4>
      </vt:variant>
      <vt:variant>
        <vt:i4>5</vt:i4>
      </vt:variant>
      <vt:variant>
        <vt:lpwstr/>
      </vt:variant>
      <vt:variant>
        <vt:lpwstr>_Toc240991848</vt:lpwstr>
      </vt:variant>
      <vt:variant>
        <vt:i4>2031667</vt:i4>
      </vt:variant>
      <vt:variant>
        <vt:i4>74</vt:i4>
      </vt:variant>
      <vt:variant>
        <vt:i4>0</vt:i4>
      </vt:variant>
      <vt:variant>
        <vt:i4>5</vt:i4>
      </vt:variant>
      <vt:variant>
        <vt:lpwstr/>
      </vt:variant>
      <vt:variant>
        <vt:lpwstr>_Toc240991847</vt:lpwstr>
      </vt:variant>
      <vt:variant>
        <vt:i4>2031667</vt:i4>
      </vt:variant>
      <vt:variant>
        <vt:i4>68</vt:i4>
      </vt:variant>
      <vt:variant>
        <vt:i4>0</vt:i4>
      </vt:variant>
      <vt:variant>
        <vt:i4>5</vt:i4>
      </vt:variant>
      <vt:variant>
        <vt:lpwstr/>
      </vt:variant>
      <vt:variant>
        <vt:lpwstr>_Toc240991846</vt:lpwstr>
      </vt:variant>
      <vt:variant>
        <vt:i4>2031667</vt:i4>
      </vt:variant>
      <vt:variant>
        <vt:i4>62</vt:i4>
      </vt:variant>
      <vt:variant>
        <vt:i4>0</vt:i4>
      </vt:variant>
      <vt:variant>
        <vt:i4>5</vt:i4>
      </vt:variant>
      <vt:variant>
        <vt:lpwstr/>
      </vt:variant>
      <vt:variant>
        <vt:lpwstr>_Toc240991845</vt:lpwstr>
      </vt:variant>
      <vt:variant>
        <vt:i4>2031667</vt:i4>
      </vt:variant>
      <vt:variant>
        <vt:i4>56</vt:i4>
      </vt:variant>
      <vt:variant>
        <vt:i4>0</vt:i4>
      </vt:variant>
      <vt:variant>
        <vt:i4>5</vt:i4>
      </vt:variant>
      <vt:variant>
        <vt:lpwstr/>
      </vt:variant>
      <vt:variant>
        <vt:lpwstr>_Toc240991844</vt:lpwstr>
      </vt:variant>
      <vt:variant>
        <vt:i4>2031667</vt:i4>
      </vt:variant>
      <vt:variant>
        <vt:i4>50</vt:i4>
      </vt:variant>
      <vt:variant>
        <vt:i4>0</vt:i4>
      </vt:variant>
      <vt:variant>
        <vt:i4>5</vt:i4>
      </vt:variant>
      <vt:variant>
        <vt:lpwstr/>
      </vt:variant>
      <vt:variant>
        <vt:lpwstr>_Toc240991843</vt:lpwstr>
      </vt:variant>
      <vt:variant>
        <vt:i4>2031667</vt:i4>
      </vt:variant>
      <vt:variant>
        <vt:i4>44</vt:i4>
      </vt:variant>
      <vt:variant>
        <vt:i4>0</vt:i4>
      </vt:variant>
      <vt:variant>
        <vt:i4>5</vt:i4>
      </vt:variant>
      <vt:variant>
        <vt:lpwstr/>
      </vt:variant>
      <vt:variant>
        <vt:lpwstr>_Toc240991842</vt:lpwstr>
      </vt:variant>
      <vt:variant>
        <vt:i4>2031667</vt:i4>
      </vt:variant>
      <vt:variant>
        <vt:i4>38</vt:i4>
      </vt:variant>
      <vt:variant>
        <vt:i4>0</vt:i4>
      </vt:variant>
      <vt:variant>
        <vt:i4>5</vt:i4>
      </vt:variant>
      <vt:variant>
        <vt:lpwstr/>
      </vt:variant>
      <vt:variant>
        <vt:lpwstr>_Toc240991841</vt:lpwstr>
      </vt:variant>
      <vt:variant>
        <vt:i4>2031667</vt:i4>
      </vt:variant>
      <vt:variant>
        <vt:i4>32</vt:i4>
      </vt:variant>
      <vt:variant>
        <vt:i4>0</vt:i4>
      </vt:variant>
      <vt:variant>
        <vt:i4>5</vt:i4>
      </vt:variant>
      <vt:variant>
        <vt:lpwstr/>
      </vt:variant>
      <vt:variant>
        <vt:lpwstr>_Toc240991840</vt:lpwstr>
      </vt:variant>
      <vt:variant>
        <vt:i4>1572915</vt:i4>
      </vt:variant>
      <vt:variant>
        <vt:i4>26</vt:i4>
      </vt:variant>
      <vt:variant>
        <vt:i4>0</vt:i4>
      </vt:variant>
      <vt:variant>
        <vt:i4>5</vt:i4>
      </vt:variant>
      <vt:variant>
        <vt:lpwstr/>
      </vt:variant>
      <vt:variant>
        <vt:lpwstr>_Toc240991839</vt:lpwstr>
      </vt:variant>
      <vt:variant>
        <vt:i4>1572915</vt:i4>
      </vt:variant>
      <vt:variant>
        <vt:i4>20</vt:i4>
      </vt:variant>
      <vt:variant>
        <vt:i4>0</vt:i4>
      </vt:variant>
      <vt:variant>
        <vt:i4>5</vt:i4>
      </vt:variant>
      <vt:variant>
        <vt:lpwstr/>
      </vt:variant>
      <vt:variant>
        <vt:lpwstr>_Toc240991838</vt:lpwstr>
      </vt:variant>
      <vt:variant>
        <vt:i4>1572915</vt:i4>
      </vt:variant>
      <vt:variant>
        <vt:i4>14</vt:i4>
      </vt:variant>
      <vt:variant>
        <vt:i4>0</vt:i4>
      </vt:variant>
      <vt:variant>
        <vt:i4>5</vt:i4>
      </vt:variant>
      <vt:variant>
        <vt:lpwstr/>
      </vt:variant>
      <vt:variant>
        <vt:lpwstr>_Toc240991837</vt:lpwstr>
      </vt:variant>
      <vt:variant>
        <vt:i4>1572915</vt:i4>
      </vt:variant>
      <vt:variant>
        <vt:i4>8</vt:i4>
      </vt:variant>
      <vt:variant>
        <vt:i4>0</vt:i4>
      </vt:variant>
      <vt:variant>
        <vt:i4>5</vt:i4>
      </vt:variant>
      <vt:variant>
        <vt:lpwstr/>
      </vt:variant>
      <vt:variant>
        <vt:lpwstr>_Toc240991836</vt:lpwstr>
      </vt:variant>
      <vt:variant>
        <vt:i4>1572915</vt:i4>
      </vt:variant>
      <vt:variant>
        <vt:i4>2</vt:i4>
      </vt:variant>
      <vt:variant>
        <vt:i4>0</vt:i4>
      </vt:variant>
      <vt:variant>
        <vt:i4>5</vt:i4>
      </vt:variant>
      <vt:variant>
        <vt:lpwstr/>
      </vt:variant>
      <vt:variant>
        <vt:lpwstr>_Toc240991835</vt:lpwstr>
      </vt:variant>
      <vt:variant>
        <vt:i4>1507353</vt:i4>
      </vt:variant>
      <vt:variant>
        <vt:i4>339</vt:i4>
      </vt:variant>
      <vt:variant>
        <vt:i4>0</vt:i4>
      </vt:variant>
      <vt:variant>
        <vt:i4>5</vt:i4>
      </vt:variant>
      <vt:variant>
        <vt:lpwstr>https://www.thegef.org/council-meeting-documents/gef-r-09-18</vt:lpwstr>
      </vt:variant>
      <vt:variant>
        <vt:lpwstr/>
      </vt:variant>
      <vt:variant>
        <vt:i4>5439581</vt:i4>
      </vt:variant>
      <vt:variant>
        <vt:i4>336</vt:i4>
      </vt:variant>
      <vt:variant>
        <vt:i4>0</vt:i4>
      </vt:variant>
      <vt:variant>
        <vt:i4>5</vt:i4>
      </vt:variant>
      <vt:variant>
        <vt:lpwstr>https://www.cbd.int/decisions/np-mop/?m=np-mop-05</vt:lpwstr>
      </vt:variant>
      <vt:variant>
        <vt:lpwstr/>
      </vt:variant>
      <vt:variant>
        <vt:i4>1507353</vt:i4>
      </vt:variant>
      <vt:variant>
        <vt:i4>333</vt:i4>
      </vt:variant>
      <vt:variant>
        <vt:i4>0</vt:i4>
      </vt:variant>
      <vt:variant>
        <vt:i4>5</vt:i4>
      </vt:variant>
      <vt:variant>
        <vt:lpwstr>https://www.thegef.org/council-meeting-documents/gef-r-09-18</vt:lpwstr>
      </vt:variant>
      <vt:variant>
        <vt:lpwstr/>
      </vt:variant>
      <vt:variant>
        <vt:i4>7340145</vt:i4>
      </vt:variant>
      <vt:variant>
        <vt:i4>330</vt:i4>
      </vt:variant>
      <vt:variant>
        <vt:i4>0</vt:i4>
      </vt:variant>
      <vt:variant>
        <vt:i4>5</vt:i4>
      </vt:variant>
      <vt:variant>
        <vt:lpwstr>https://www.cbd.int/decisions/mop/?m=cp-mop-10</vt:lpwstr>
      </vt:variant>
      <vt:variant>
        <vt:lpwstr/>
      </vt:variant>
      <vt:variant>
        <vt:i4>7340145</vt:i4>
      </vt:variant>
      <vt:variant>
        <vt:i4>327</vt:i4>
      </vt:variant>
      <vt:variant>
        <vt:i4>0</vt:i4>
      </vt:variant>
      <vt:variant>
        <vt:i4>5</vt:i4>
      </vt:variant>
      <vt:variant>
        <vt:lpwstr>https://www.cbd.int/decisions/mop/?m=cp-mop-10</vt:lpwstr>
      </vt:variant>
      <vt:variant>
        <vt:lpwstr/>
      </vt:variant>
      <vt:variant>
        <vt:i4>6946853</vt:i4>
      </vt:variant>
      <vt:variant>
        <vt:i4>324</vt:i4>
      </vt:variant>
      <vt:variant>
        <vt:i4>0</vt:i4>
      </vt:variant>
      <vt:variant>
        <vt:i4>5</vt:i4>
      </vt:variant>
      <vt:variant>
        <vt:lpwstr>https://www.thegef.org/council-meeting-documents/gef-gbff-06-07</vt:lpwstr>
      </vt:variant>
      <vt:variant>
        <vt:lpwstr/>
      </vt:variant>
      <vt:variant>
        <vt:i4>4587572</vt:i4>
      </vt:variant>
      <vt:variant>
        <vt:i4>321</vt:i4>
      </vt:variant>
      <vt:variant>
        <vt:i4>0</vt:i4>
      </vt:variant>
      <vt:variant>
        <vt:i4>5</vt:i4>
      </vt:variant>
      <vt:variant>
        <vt:lpwstr>https://www.thegef.org/sites/default/files/documents/2026-05/GEF_EN_Formative_Evaluation_GBFF1_0.pdf</vt:lpwstr>
      </vt:variant>
      <vt:variant>
        <vt:lpwstr/>
      </vt:variant>
      <vt:variant>
        <vt:i4>6815781</vt:i4>
      </vt:variant>
      <vt:variant>
        <vt:i4>318</vt:i4>
      </vt:variant>
      <vt:variant>
        <vt:i4>0</vt:i4>
      </vt:variant>
      <vt:variant>
        <vt:i4>5</vt:i4>
      </vt:variant>
      <vt:variant>
        <vt:lpwstr>https://www.thegef.org/council-meeting-documents/gef-gbff-04-05</vt:lpwstr>
      </vt:variant>
      <vt:variant>
        <vt:lpwstr/>
      </vt:variant>
      <vt:variant>
        <vt:i4>6815779</vt:i4>
      </vt:variant>
      <vt:variant>
        <vt:i4>315</vt:i4>
      </vt:variant>
      <vt:variant>
        <vt:i4>0</vt:i4>
      </vt:variant>
      <vt:variant>
        <vt:i4>5</vt:i4>
      </vt:variant>
      <vt:variant>
        <vt:lpwstr>https://www.thegef.org/council-meeting-documents/gef-gbff-e-c-04-01</vt:lpwstr>
      </vt:variant>
      <vt:variant>
        <vt:lpwstr/>
      </vt:variant>
      <vt:variant>
        <vt:i4>4784252</vt:i4>
      </vt:variant>
      <vt:variant>
        <vt:i4>312</vt:i4>
      </vt:variant>
      <vt:variant>
        <vt:i4>0</vt:i4>
      </vt:variant>
      <vt:variant>
        <vt:i4>5</vt:i4>
      </vt:variant>
      <vt:variant>
        <vt:lpwstr>https://www.thegef.org/sites/default/files/documents/2025-06/GEF  Council  Decisions  2025_0.pdf</vt:lpwstr>
      </vt:variant>
      <vt:variant>
        <vt:lpwstr/>
      </vt:variant>
      <vt:variant>
        <vt:i4>7667824</vt:i4>
      </vt:variant>
      <vt:variant>
        <vt:i4>309</vt:i4>
      </vt:variant>
      <vt:variant>
        <vt:i4>0</vt:i4>
      </vt:variant>
      <vt:variant>
        <vt:i4>5</vt:i4>
      </vt:variant>
      <vt:variant>
        <vt:lpwstr>https://www.thegef.org/sites/default/files/documents/2026-04/GEF_R.9.22_GEF-9  Policy  Recommendatios.pdf</vt:lpwstr>
      </vt:variant>
      <vt:variant>
        <vt:lpwstr/>
      </vt:variant>
      <vt:variant>
        <vt:i4>7077933</vt:i4>
      </vt:variant>
      <vt:variant>
        <vt:i4>306</vt:i4>
      </vt:variant>
      <vt:variant>
        <vt:i4>0</vt:i4>
      </vt:variant>
      <vt:variant>
        <vt:i4>5</vt:i4>
      </vt:variant>
      <vt:variant>
        <vt:lpwstr>https://www.thegef.org/newsroom/press-releases/gef-announces-winners-first-innovation-window-funds</vt:lpwstr>
      </vt:variant>
      <vt:variant>
        <vt:lpwstr/>
      </vt:variant>
      <vt:variant>
        <vt:i4>3866740</vt:i4>
      </vt:variant>
      <vt:variant>
        <vt:i4>303</vt:i4>
      </vt:variant>
      <vt:variant>
        <vt:i4>0</vt:i4>
      </vt:variant>
      <vt:variant>
        <vt:i4>5</vt:i4>
      </vt:variant>
      <vt:variant>
        <vt:lpwstr>https://www.thegef.org/council-meeting-documents/gef-c-70-06-rev-01</vt:lpwstr>
      </vt:variant>
      <vt:variant>
        <vt:lpwstr/>
      </vt:variant>
      <vt:variant>
        <vt:i4>7143484</vt:i4>
      </vt:variant>
      <vt:variant>
        <vt:i4>300</vt:i4>
      </vt:variant>
      <vt:variant>
        <vt:i4>0</vt:i4>
      </vt:variant>
      <vt:variant>
        <vt:i4>5</vt:i4>
      </vt:variant>
      <vt:variant>
        <vt:lpwstr>https://www.thegef.org/council-meeting-documents/gef-e-c-70-01</vt:lpwstr>
      </vt:variant>
      <vt:variant>
        <vt:lpwstr/>
      </vt:variant>
      <vt:variant>
        <vt:i4>65560</vt:i4>
      </vt:variant>
      <vt:variant>
        <vt:i4>297</vt:i4>
      </vt:variant>
      <vt:variant>
        <vt:i4>0</vt:i4>
      </vt:variant>
      <vt:variant>
        <vt:i4>5</vt:i4>
      </vt:variant>
      <vt:variant>
        <vt:lpwstr>https://www.thegef.org/council-meeting-documents/gef-c-69-09</vt:lpwstr>
      </vt:variant>
      <vt:variant>
        <vt:lpwstr/>
      </vt:variant>
      <vt:variant>
        <vt:i4>7209020</vt:i4>
      </vt:variant>
      <vt:variant>
        <vt:i4>294</vt:i4>
      </vt:variant>
      <vt:variant>
        <vt:i4>0</vt:i4>
      </vt:variant>
      <vt:variant>
        <vt:i4>5</vt:i4>
      </vt:variant>
      <vt:variant>
        <vt:lpwstr>https://www.thegef.org/council-meeting-documents/gef-e-c-70-02</vt:lpwstr>
      </vt:variant>
      <vt:variant>
        <vt:lpwstr/>
      </vt:variant>
      <vt:variant>
        <vt:i4>6619254</vt:i4>
      </vt:variant>
      <vt:variant>
        <vt:i4>291</vt:i4>
      </vt:variant>
      <vt:variant>
        <vt:i4>0</vt:i4>
      </vt:variant>
      <vt:variant>
        <vt:i4>5</vt:i4>
      </vt:variant>
      <vt:variant>
        <vt:lpwstr>https://www.thegef.org/newsroom/publications/strategy-knowledge-management-and-learning</vt:lpwstr>
      </vt:variant>
      <vt:variant>
        <vt:lpwstr/>
      </vt:variant>
      <vt:variant>
        <vt:i4>1966179</vt:i4>
      </vt:variant>
      <vt:variant>
        <vt:i4>288</vt:i4>
      </vt:variant>
      <vt:variant>
        <vt:i4>0</vt:i4>
      </vt:variant>
      <vt:variant>
        <vt:i4>5</vt:i4>
      </vt:variant>
      <vt:variant>
        <vt:lpwstr>https://www.thegef.org/sites/default/files/documents/2022-05/EN_GEF.C.62.Inf_.11_GEF-8  Country  Engagement  Strategy  Implementation  Arrangements.pdf</vt:lpwstr>
      </vt:variant>
      <vt:variant>
        <vt:lpwstr/>
      </vt:variant>
      <vt:variant>
        <vt:i4>65560</vt:i4>
      </vt:variant>
      <vt:variant>
        <vt:i4>285</vt:i4>
      </vt:variant>
      <vt:variant>
        <vt:i4>0</vt:i4>
      </vt:variant>
      <vt:variant>
        <vt:i4>5</vt:i4>
      </vt:variant>
      <vt:variant>
        <vt:lpwstr>https://www.thegef.org/council-meeting-documents/gef-c-69-09</vt:lpwstr>
      </vt:variant>
      <vt:variant>
        <vt:lpwstr/>
      </vt:variant>
      <vt:variant>
        <vt:i4>6881333</vt:i4>
      </vt:variant>
      <vt:variant>
        <vt:i4>282</vt:i4>
      </vt:variant>
      <vt:variant>
        <vt:i4>0</vt:i4>
      </vt:variant>
      <vt:variant>
        <vt:i4>5</vt:i4>
      </vt:variant>
      <vt:variant>
        <vt:lpwstr>https://www.thegef.org/council-meeting-documents/gef-e-c-69-04</vt:lpwstr>
      </vt:variant>
      <vt:variant>
        <vt:lpwstr/>
      </vt:variant>
      <vt:variant>
        <vt:i4>4325461</vt:i4>
      </vt:variant>
      <vt:variant>
        <vt:i4>279</vt:i4>
      </vt:variant>
      <vt:variant>
        <vt:i4>0</vt:i4>
      </vt:variant>
      <vt:variant>
        <vt:i4>5</vt:i4>
      </vt:variant>
      <vt:variant>
        <vt:lpwstr>https://www.thegef.org/sites/default/files/documents/2024-11/EN_GEF.C68.06_Magmnt  Response  to  Eval  of  GEF  Programs  in  Pacific  SIDS   %281 %29.pdf</vt:lpwstr>
      </vt:variant>
      <vt:variant>
        <vt:lpwstr/>
      </vt:variant>
      <vt:variant>
        <vt:i4>4325461</vt:i4>
      </vt:variant>
      <vt:variant>
        <vt:i4>276</vt:i4>
      </vt:variant>
      <vt:variant>
        <vt:i4>0</vt:i4>
      </vt:variant>
      <vt:variant>
        <vt:i4>5</vt:i4>
      </vt:variant>
      <vt:variant>
        <vt:lpwstr>https://www.thegef.org/sites/default/files/documents/2024-11/EN_GEF.C68.06_Magmnt  Response  to  Eval  of  GEF  Programs  in  Pacific  SIDS   %281 %29.pdf</vt:lpwstr>
      </vt:variant>
      <vt:variant>
        <vt:lpwstr/>
      </vt:variant>
      <vt:variant>
        <vt:i4>1572867</vt:i4>
      </vt:variant>
      <vt:variant>
        <vt:i4>273</vt:i4>
      </vt:variant>
      <vt:variant>
        <vt:i4>0</vt:i4>
      </vt:variant>
      <vt:variant>
        <vt:i4>5</vt:i4>
      </vt:variant>
      <vt:variant>
        <vt:lpwstr>https://www.gefieo.org/en/types/evaluations/scce-sids</vt:lpwstr>
      </vt:variant>
      <vt:variant>
        <vt:lpwstr/>
      </vt:variant>
      <vt:variant>
        <vt:i4>7274548</vt:i4>
      </vt:variant>
      <vt:variant>
        <vt:i4>270</vt:i4>
      </vt:variant>
      <vt:variant>
        <vt:i4>0</vt:i4>
      </vt:variant>
      <vt:variant>
        <vt:i4>5</vt:i4>
      </vt:variant>
      <vt:variant>
        <vt:lpwstr>https://www.thegef.org/council-meeting-documents/gef-e-c-68-02</vt:lpwstr>
      </vt:variant>
      <vt:variant>
        <vt:lpwstr/>
      </vt:variant>
      <vt:variant>
        <vt:i4>5570562</vt:i4>
      </vt:variant>
      <vt:variant>
        <vt:i4>267</vt:i4>
      </vt:variant>
      <vt:variant>
        <vt:i4>0</vt:i4>
      </vt:variant>
      <vt:variant>
        <vt:i4>5</vt:i4>
      </vt:variant>
      <vt:variant>
        <vt:lpwstr>https://www.thegef.org/sites/default/files/documents/2024-10/EN_GEF_CBD  COP16  Report_7.23.2024_Rev1_10.14.2024_clean.pdf</vt:lpwstr>
      </vt:variant>
      <vt:variant>
        <vt:lpwstr/>
      </vt:variant>
      <vt:variant>
        <vt:i4>5439587</vt:i4>
      </vt:variant>
      <vt:variant>
        <vt:i4>264</vt:i4>
      </vt:variant>
      <vt:variant>
        <vt:i4>0</vt:i4>
      </vt:variant>
      <vt:variant>
        <vt:i4>5</vt:i4>
      </vt:variant>
      <vt:variant>
        <vt:lpwstr>https://www.thegef.org/sites/default/files/council-meeting-documents/EN_GEF.C.56.03.Rev_.01_Policy_on_Monitoring.pdf</vt:lpwstr>
      </vt:variant>
      <vt:variant>
        <vt:lpwstr/>
      </vt:variant>
      <vt:variant>
        <vt:i4>7667824</vt:i4>
      </vt:variant>
      <vt:variant>
        <vt:i4>261</vt:i4>
      </vt:variant>
      <vt:variant>
        <vt:i4>0</vt:i4>
      </vt:variant>
      <vt:variant>
        <vt:i4>5</vt:i4>
      </vt:variant>
      <vt:variant>
        <vt:lpwstr>https://www.thegef.org/sites/default/files/documents/2026-04/GEF_R.9.22_GEF-9  Policy  Recommendatios.pdf</vt:lpwstr>
      </vt:variant>
      <vt:variant>
        <vt:lpwstr/>
      </vt:variant>
      <vt:variant>
        <vt:i4>917523</vt:i4>
      </vt:variant>
      <vt:variant>
        <vt:i4>258</vt:i4>
      </vt:variant>
      <vt:variant>
        <vt:i4>0</vt:i4>
      </vt:variant>
      <vt:variant>
        <vt:i4>5</vt:i4>
      </vt:variant>
      <vt:variant>
        <vt:lpwstr>https://www.thegef.org/fonseca-leadership-program</vt:lpwstr>
      </vt:variant>
      <vt:variant>
        <vt:lpwstr/>
      </vt:variant>
      <vt:variant>
        <vt:i4>6946832</vt:i4>
      </vt:variant>
      <vt:variant>
        <vt:i4>255</vt:i4>
      </vt:variant>
      <vt:variant>
        <vt:i4>0</vt:i4>
      </vt:variant>
      <vt:variant>
        <vt:i4>5</vt:i4>
      </vt:variant>
      <vt:variant>
        <vt:lpwstr>https://www.thegef.org/sites/default/files/documents/2026-06/GEFScorecard_June  2026_06_30.pdf</vt:lpwstr>
      </vt:variant>
      <vt:variant>
        <vt:lpwstr/>
      </vt:variant>
      <vt:variant>
        <vt:i4>1835047</vt:i4>
      </vt:variant>
      <vt:variant>
        <vt:i4>252</vt:i4>
      </vt:variant>
      <vt:variant>
        <vt:i4>0</vt:i4>
      </vt:variant>
      <vt:variant>
        <vt:i4>5</vt:i4>
      </vt:variant>
      <vt:variant>
        <vt:lpwstr>https://www.thegef.org/sites/default/files/documents/2022-05/EN_GEF.C.62.Inf_.11_GEF-8 Country Engagement Strategy Implementation Arrangements.pdf</vt:lpwstr>
      </vt:variant>
      <vt:variant>
        <vt:lpwstr/>
      </vt:variant>
      <vt:variant>
        <vt:i4>1507353</vt:i4>
      </vt:variant>
      <vt:variant>
        <vt:i4>249</vt:i4>
      </vt:variant>
      <vt:variant>
        <vt:i4>0</vt:i4>
      </vt:variant>
      <vt:variant>
        <vt:i4>5</vt:i4>
      </vt:variant>
      <vt:variant>
        <vt:lpwstr>https://www.thegef.org/council-meeting-documents/gef-r-09-18</vt:lpwstr>
      </vt:variant>
      <vt:variant>
        <vt:lpwstr/>
      </vt:variant>
      <vt:variant>
        <vt:i4>1507353</vt:i4>
      </vt:variant>
      <vt:variant>
        <vt:i4>246</vt:i4>
      </vt:variant>
      <vt:variant>
        <vt:i4>0</vt:i4>
      </vt:variant>
      <vt:variant>
        <vt:i4>5</vt:i4>
      </vt:variant>
      <vt:variant>
        <vt:lpwstr>https://www.thegef.org/council-meeting-documents/gef-r-09-18</vt:lpwstr>
      </vt:variant>
      <vt:variant>
        <vt:lpwstr/>
      </vt:variant>
      <vt:variant>
        <vt:i4>5439581</vt:i4>
      </vt:variant>
      <vt:variant>
        <vt:i4>243</vt:i4>
      </vt:variant>
      <vt:variant>
        <vt:i4>0</vt:i4>
      </vt:variant>
      <vt:variant>
        <vt:i4>5</vt:i4>
      </vt:variant>
      <vt:variant>
        <vt:lpwstr>https://www.cbd.int/decisions/np-mop/?m=np-mop-05</vt:lpwstr>
      </vt:variant>
      <vt:variant>
        <vt:lpwstr/>
      </vt:variant>
      <vt:variant>
        <vt:i4>5439581</vt:i4>
      </vt:variant>
      <vt:variant>
        <vt:i4>240</vt:i4>
      </vt:variant>
      <vt:variant>
        <vt:i4>0</vt:i4>
      </vt:variant>
      <vt:variant>
        <vt:i4>5</vt:i4>
      </vt:variant>
      <vt:variant>
        <vt:lpwstr>https://www.cbd.int/decisions/np-mop/?m=np-mop-05</vt:lpwstr>
      </vt:variant>
      <vt:variant>
        <vt:lpwstr/>
      </vt:variant>
      <vt:variant>
        <vt:i4>1507353</vt:i4>
      </vt:variant>
      <vt:variant>
        <vt:i4>237</vt:i4>
      </vt:variant>
      <vt:variant>
        <vt:i4>0</vt:i4>
      </vt:variant>
      <vt:variant>
        <vt:i4>5</vt:i4>
      </vt:variant>
      <vt:variant>
        <vt:lpwstr>https://www.thegef.org/council-meeting-documents/gef-r-09-18</vt:lpwstr>
      </vt:variant>
      <vt:variant>
        <vt:lpwstr/>
      </vt:variant>
      <vt:variant>
        <vt:i4>7209057</vt:i4>
      </vt:variant>
      <vt:variant>
        <vt:i4>234</vt:i4>
      </vt:variant>
      <vt:variant>
        <vt:i4>0</vt:i4>
      </vt:variant>
      <vt:variant>
        <vt:i4>5</vt:i4>
      </vt:variant>
      <vt:variant>
        <vt:lpwstr>https://www.cbd.int/decisions/cop/?m=cop-15</vt:lpwstr>
      </vt:variant>
      <vt:variant>
        <vt:lpwstr/>
      </vt:variant>
      <vt:variant>
        <vt:i4>1507353</vt:i4>
      </vt:variant>
      <vt:variant>
        <vt:i4>231</vt:i4>
      </vt:variant>
      <vt:variant>
        <vt:i4>0</vt:i4>
      </vt:variant>
      <vt:variant>
        <vt:i4>5</vt:i4>
      </vt:variant>
      <vt:variant>
        <vt:lpwstr>https://www.thegef.org/council-meeting-documents/gef-r-09-18</vt:lpwstr>
      </vt:variant>
      <vt:variant>
        <vt:lpwstr/>
      </vt:variant>
      <vt:variant>
        <vt:i4>7209057</vt:i4>
      </vt:variant>
      <vt:variant>
        <vt:i4>228</vt:i4>
      </vt:variant>
      <vt:variant>
        <vt:i4>0</vt:i4>
      </vt:variant>
      <vt:variant>
        <vt:i4>5</vt:i4>
      </vt:variant>
      <vt:variant>
        <vt:lpwstr>https://www.cbd.int/decisions/cop/?m=cop-16</vt:lpwstr>
      </vt:variant>
      <vt:variant>
        <vt:lpwstr/>
      </vt:variant>
      <vt:variant>
        <vt:i4>1507353</vt:i4>
      </vt:variant>
      <vt:variant>
        <vt:i4>225</vt:i4>
      </vt:variant>
      <vt:variant>
        <vt:i4>0</vt:i4>
      </vt:variant>
      <vt:variant>
        <vt:i4>5</vt:i4>
      </vt:variant>
      <vt:variant>
        <vt:lpwstr>https://www.thegef.org/council-meeting-documents/gef-r-09-18</vt:lpwstr>
      </vt:variant>
      <vt:variant>
        <vt:lpwstr/>
      </vt:variant>
      <vt:variant>
        <vt:i4>5439581</vt:i4>
      </vt:variant>
      <vt:variant>
        <vt:i4>222</vt:i4>
      </vt:variant>
      <vt:variant>
        <vt:i4>0</vt:i4>
      </vt:variant>
      <vt:variant>
        <vt:i4>5</vt:i4>
      </vt:variant>
      <vt:variant>
        <vt:lpwstr>https://www.cbd.int/decisions/np-mop/?m=np-mop-05</vt:lpwstr>
      </vt:variant>
      <vt:variant>
        <vt:lpwstr/>
      </vt:variant>
      <vt:variant>
        <vt:i4>1507353</vt:i4>
      </vt:variant>
      <vt:variant>
        <vt:i4>219</vt:i4>
      </vt:variant>
      <vt:variant>
        <vt:i4>0</vt:i4>
      </vt:variant>
      <vt:variant>
        <vt:i4>5</vt:i4>
      </vt:variant>
      <vt:variant>
        <vt:lpwstr>https://www.thegef.org/council-meeting-documents/gef-r-09-18</vt:lpwstr>
      </vt:variant>
      <vt:variant>
        <vt:lpwstr/>
      </vt:variant>
      <vt:variant>
        <vt:i4>7340145</vt:i4>
      </vt:variant>
      <vt:variant>
        <vt:i4>216</vt:i4>
      </vt:variant>
      <vt:variant>
        <vt:i4>0</vt:i4>
      </vt:variant>
      <vt:variant>
        <vt:i4>5</vt:i4>
      </vt:variant>
      <vt:variant>
        <vt:lpwstr>https://www.cbd.int/decisions/mop/?m=cp-mop-10</vt:lpwstr>
      </vt:variant>
      <vt:variant>
        <vt:lpwstr/>
      </vt:variant>
      <vt:variant>
        <vt:i4>7340145</vt:i4>
      </vt:variant>
      <vt:variant>
        <vt:i4>213</vt:i4>
      </vt:variant>
      <vt:variant>
        <vt:i4>0</vt:i4>
      </vt:variant>
      <vt:variant>
        <vt:i4>5</vt:i4>
      </vt:variant>
      <vt:variant>
        <vt:lpwstr>https://www.cbd.int/decisions/mop/?m=cp-mop-10</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4587546</vt:i4>
      </vt:variant>
      <vt:variant>
        <vt:i4>207</vt:i4>
      </vt:variant>
      <vt:variant>
        <vt:i4>0</vt:i4>
      </vt:variant>
      <vt:variant>
        <vt:i4>5</vt:i4>
      </vt:variant>
      <vt:variant>
        <vt:lpwstr>https://www.thegef.org/sites/default/files/documents/2026-06/EN_GEF.71.05.Rev_.01_Strengthening  the  GEF  Partnership_06032026.pdf</vt:lpwstr>
      </vt:variant>
      <vt:variant>
        <vt:lpwstr/>
      </vt:variant>
      <vt:variant>
        <vt:i4>196630</vt:i4>
      </vt:variant>
      <vt:variant>
        <vt:i4>204</vt:i4>
      </vt:variant>
      <vt:variant>
        <vt:i4>0</vt:i4>
      </vt:variant>
      <vt:variant>
        <vt:i4>5</vt:i4>
      </vt:variant>
      <vt:variant>
        <vt:lpwstr>https://www.thegef.org/documents/guidance-nature-based-solutions-gef-projects</vt:lpwstr>
      </vt:variant>
      <vt:variant>
        <vt:lpwstr/>
      </vt:variant>
      <vt:variant>
        <vt:i4>1900651</vt:i4>
      </vt:variant>
      <vt:variant>
        <vt:i4>201</vt:i4>
      </vt:variant>
      <vt:variant>
        <vt:i4>0</vt:i4>
      </vt:variant>
      <vt:variant>
        <vt:i4>5</vt:i4>
      </vt:variant>
      <vt:variant>
        <vt:lpwstr>https://www.thegef.org/sites/default/files/documents/2025-08/EN_GEF_C69_E_04_GEF_Support_for_NbS_2025.pdf</vt:lpwstr>
      </vt:variant>
      <vt:variant>
        <vt:lpwstr/>
      </vt:variant>
      <vt:variant>
        <vt:i4>1966104</vt:i4>
      </vt:variant>
      <vt:variant>
        <vt:i4>198</vt:i4>
      </vt:variant>
      <vt:variant>
        <vt:i4>0</vt:i4>
      </vt:variant>
      <vt:variant>
        <vt:i4>5</vt:i4>
      </vt:variant>
      <vt:variant>
        <vt:lpwstr>https://www.thegef.org/council-meeting-documents/gef-r-09-01</vt:lpwstr>
      </vt:variant>
      <vt:variant>
        <vt:lpwstr/>
      </vt:variant>
      <vt:variant>
        <vt:i4>1966104</vt:i4>
      </vt:variant>
      <vt:variant>
        <vt:i4>195</vt:i4>
      </vt:variant>
      <vt:variant>
        <vt:i4>0</vt:i4>
      </vt:variant>
      <vt:variant>
        <vt:i4>5</vt:i4>
      </vt:variant>
      <vt:variant>
        <vt:lpwstr>https://www.thegef.org/council-meeting-documents/gef-r-09-01</vt:lpwstr>
      </vt:variant>
      <vt:variant>
        <vt:lpwstr/>
      </vt:variant>
      <vt:variant>
        <vt:i4>5439581</vt:i4>
      </vt:variant>
      <vt:variant>
        <vt:i4>192</vt:i4>
      </vt:variant>
      <vt:variant>
        <vt:i4>0</vt:i4>
      </vt:variant>
      <vt:variant>
        <vt:i4>5</vt:i4>
      </vt:variant>
      <vt:variant>
        <vt:lpwstr>https://www.cbd.int/decisions/np-mop/?m=np-mop-05</vt:lpwstr>
      </vt:variant>
      <vt:variant>
        <vt:lpwstr/>
      </vt:variant>
      <vt:variant>
        <vt:i4>7340145</vt:i4>
      </vt:variant>
      <vt:variant>
        <vt:i4>189</vt:i4>
      </vt:variant>
      <vt:variant>
        <vt:i4>0</vt:i4>
      </vt:variant>
      <vt:variant>
        <vt:i4>5</vt:i4>
      </vt:variant>
      <vt:variant>
        <vt:lpwstr>https://www.cbd.int/decisions/mop/?m=cp-mop-10</vt:lpwstr>
      </vt:variant>
      <vt:variant>
        <vt:lpwstr/>
      </vt:variant>
      <vt:variant>
        <vt:i4>7340145</vt:i4>
      </vt:variant>
      <vt:variant>
        <vt:i4>186</vt:i4>
      </vt:variant>
      <vt:variant>
        <vt:i4>0</vt:i4>
      </vt:variant>
      <vt:variant>
        <vt:i4>5</vt:i4>
      </vt:variant>
      <vt:variant>
        <vt:lpwstr>https://www.cbd.int/decisions/mop/?m=cp-mop-10</vt:lpwstr>
      </vt:variant>
      <vt:variant>
        <vt:lpwstr/>
      </vt:variant>
      <vt:variant>
        <vt:i4>7209057</vt:i4>
      </vt:variant>
      <vt:variant>
        <vt:i4>183</vt:i4>
      </vt:variant>
      <vt:variant>
        <vt:i4>0</vt:i4>
      </vt:variant>
      <vt:variant>
        <vt:i4>5</vt:i4>
      </vt:variant>
      <vt:variant>
        <vt:lpwstr>https://www.cbd.int/decisions/cop/?m=cop-15</vt:lpwstr>
      </vt:variant>
      <vt:variant>
        <vt:lpwstr/>
      </vt:variant>
      <vt:variant>
        <vt:i4>7209057</vt:i4>
      </vt:variant>
      <vt:variant>
        <vt:i4>180</vt:i4>
      </vt:variant>
      <vt:variant>
        <vt:i4>0</vt:i4>
      </vt:variant>
      <vt:variant>
        <vt:i4>5</vt:i4>
      </vt:variant>
      <vt:variant>
        <vt:lpwstr>https://www.cbd.int/decisions/cop/?m=cop-15</vt:lpwstr>
      </vt:variant>
      <vt:variant>
        <vt:lpwstr/>
      </vt:variant>
      <vt:variant>
        <vt:i4>7209057</vt:i4>
      </vt:variant>
      <vt:variant>
        <vt:i4>177</vt:i4>
      </vt:variant>
      <vt:variant>
        <vt:i4>0</vt:i4>
      </vt:variant>
      <vt:variant>
        <vt:i4>5</vt:i4>
      </vt:variant>
      <vt:variant>
        <vt:lpwstr>https://www.cbd.int/decisions/cop/?m=cop-16</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7209057</vt:i4>
      </vt:variant>
      <vt:variant>
        <vt:i4>171</vt:i4>
      </vt:variant>
      <vt:variant>
        <vt:i4>0</vt:i4>
      </vt:variant>
      <vt:variant>
        <vt:i4>5</vt:i4>
      </vt:variant>
      <vt:variant>
        <vt:lpwstr>https://www.cbd.int/decisions/cop/?m=cop-15</vt:lpwstr>
      </vt:variant>
      <vt:variant>
        <vt:lpwstr/>
      </vt:variant>
      <vt:variant>
        <vt:i4>7209057</vt:i4>
      </vt:variant>
      <vt:variant>
        <vt:i4>168</vt:i4>
      </vt:variant>
      <vt:variant>
        <vt:i4>0</vt:i4>
      </vt:variant>
      <vt:variant>
        <vt:i4>5</vt:i4>
      </vt:variant>
      <vt:variant>
        <vt:lpwstr>https://www.cbd.int/decisions/cop/?m=cop-16</vt:lpwstr>
      </vt:variant>
      <vt:variant>
        <vt:lpwstr/>
      </vt:variant>
      <vt:variant>
        <vt:i4>7209057</vt:i4>
      </vt:variant>
      <vt:variant>
        <vt:i4>165</vt:i4>
      </vt:variant>
      <vt:variant>
        <vt:i4>0</vt:i4>
      </vt:variant>
      <vt:variant>
        <vt:i4>5</vt:i4>
      </vt:variant>
      <vt:variant>
        <vt:lpwstr>https://www.cbd.int/decisions/cop/?m=cop-15</vt:lpwstr>
      </vt:variant>
      <vt:variant>
        <vt:lpwstr/>
      </vt:variant>
      <vt:variant>
        <vt:i4>5832776</vt:i4>
      </vt:variant>
      <vt:variant>
        <vt:i4>162</vt:i4>
      </vt:variant>
      <vt:variant>
        <vt:i4>0</vt:i4>
      </vt:variant>
      <vt:variant>
        <vt:i4>5</vt:i4>
      </vt:variant>
      <vt:variant>
        <vt:lpwstr>https://www.thegef.org/sites/default/files/documents/2026-04/GEF_R.9.18_GEF-9  Programming  Directions.pdf</vt:lpwstr>
      </vt:variant>
      <vt:variant>
        <vt:lpwstr/>
      </vt:variant>
      <vt:variant>
        <vt:i4>7209057</vt:i4>
      </vt:variant>
      <vt:variant>
        <vt:i4>159</vt:i4>
      </vt:variant>
      <vt:variant>
        <vt:i4>0</vt:i4>
      </vt:variant>
      <vt:variant>
        <vt:i4>5</vt:i4>
      </vt:variant>
      <vt:variant>
        <vt:lpwstr>https://www.cbd.int/decisions/cop/?m=cop-15</vt:lpwstr>
      </vt:variant>
      <vt:variant>
        <vt:lpwstr/>
      </vt:variant>
      <vt:variant>
        <vt:i4>6553649</vt:i4>
      </vt:variant>
      <vt:variant>
        <vt:i4>156</vt:i4>
      </vt:variant>
      <vt:variant>
        <vt:i4>0</vt:i4>
      </vt:variant>
      <vt:variant>
        <vt:i4>5</vt:i4>
      </vt:variant>
      <vt:variant>
        <vt:lpwstr>https://www.cbd.int/decision/cop/default.shtml?id=7104</vt:lpwstr>
      </vt:variant>
      <vt:variant>
        <vt:lpwstr/>
      </vt:variant>
      <vt:variant>
        <vt:i4>917520</vt:i4>
      </vt:variant>
      <vt:variant>
        <vt:i4>153</vt:i4>
      </vt:variant>
      <vt:variant>
        <vt:i4>0</vt:i4>
      </vt:variant>
      <vt:variant>
        <vt:i4>5</vt:i4>
      </vt:variant>
      <vt:variant>
        <vt:lpwstr>https://www.thegef.org/council-meeting-documents/gef-c-71-07</vt:lpwstr>
      </vt:variant>
      <vt:variant>
        <vt:lpwstr/>
      </vt:variant>
      <vt:variant>
        <vt:i4>4849694</vt:i4>
      </vt:variant>
      <vt:variant>
        <vt:i4>150</vt:i4>
      </vt:variant>
      <vt:variant>
        <vt:i4>0</vt:i4>
      </vt:variant>
      <vt:variant>
        <vt:i4>5</vt:i4>
      </vt:variant>
      <vt:variant>
        <vt:lpwstr>https://www.thegef.org/council-meeting-documents/gef-c-71-inf-10</vt:lpwstr>
      </vt:variant>
      <vt:variant>
        <vt:lpwstr/>
      </vt:variant>
      <vt:variant>
        <vt:i4>1900570</vt:i4>
      </vt:variant>
      <vt:variant>
        <vt:i4>147</vt:i4>
      </vt:variant>
      <vt:variant>
        <vt:i4>0</vt:i4>
      </vt:variant>
      <vt:variant>
        <vt:i4>5</vt:i4>
      </vt:variant>
      <vt:variant>
        <vt:lpwstr>https://www.thegef.org/council-meeting-documents/gef-r-09-22</vt:lpwstr>
      </vt:variant>
      <vt:variant>
        <vt:lpwstr/>
      </vt:variant>
      <vt:variant>
        <vt:i4>6619238</vt:i4>
      </vt:variant>
      <vt:variant>
        <vt:i4>144</vt:i4>
      </vt:variant>
      <vt:variant>
        <vt:i4>0</vt:i4>
      </vt:variant>
      <vt:variant>
        <vt:i4>5</vt:i4>
      </vt:variant>
      <vt:variant>
        <vt:lpwstr>https://www.thegef.org/council-meeting-documents/gef-gbff-06-inf-02</vt:lpwstr>
      </vt:variant>
      <vt:variant>
        <vt:lpwstr/>
      </vt:variant>
      <vt:variant>
        <vt:i4>589867</vt:i4>
      </vt:variant>
      <vt:variant>
        <vt:i4>141</vt:i4>
      </vt:variant>
      <vt:variant>
        <vt:i4>0</vt:i4>
      </vt:variant>
      <vt:variant>
        <vt:i4>5</vt:i4>
      </vt:variant>
      <vt:variant>
        <vt:lpwstr>https://www.thegef.org/sites/default/files/documents/2025-12/EN_GEF.GBFF_.05.05_Results  Framework  of  the  GBFF.pdf</vt:lpwstr>
      </vt:variant>
      <vt:variant>
        <vt:lpwstr/>
      </vt:variant>
      <vt:variant>
        <vt:i4>6881317</vt:i4>
      </vt:variant>
      <vt:variant>
        <vt:i4>138</vt:i4>
      </vt:variant>
      <vt:variant>
        <vt:i4>0</vt:i4>
      </vt:variant>
      <vt:variant>
        <vt:i4>5</vt:i4>
      </vt:variant>
      <vt:variant>
        <vt:lpwstr>https://www.thegef.org/council-meeting-documents/gef-gbff-05-05</vt:lpwstr>
      </vt:variant>
      <vt:variant>
        <vt:lpwstr/>
      </vt:variant>
      <vt:variant>
        <vt:i4>6684774</vt:i4>
      </vt:variant>
      <vt:variant>
        <vt:i4>135</vt:i4>
      </vt:variant>
      <vt:variant>
        <vt:i4>0</vt:i4>
      </vt:variant>
      <vt:variant>
        <vt:i4>5</vt:i4>
      </vt:variant>
      <vt:variant>
        <vt:lpwstr>https://www.thegef.org/council-meeting-documents/gef-gbff-05-inf-04</vt:lpwstr>
      </vt:variant>
      <vt:variant>
        <vt:lpwstr/>
      </vt:variant>
      <vt:variant>
        <vt:i4>5439561</vt:i4>
      </vt:variant>
      <vt:variant>
        <vt:i4>132</vt:i4>
      </vt:variant>
      <vt:variant>
        <vt:i4>0</vt:i4>
      </vt:variant>
      <vt:variant>
        <vt:i4>5</vt:i4>
      </vt:variant>
      <vt:variant>
        <vt:lpwstr>https://www.thegef.org/sites/default/files/documents/2026-06/EN_GEF.71.05.Rev_.01_Strengthening the GEF Partnership_06032026.pdf</vt:lpwstr>
      </vt:variant>
      <vt:variant>
        <vt:lpwstr/>
      </vt:variant>
      <vt:variant>
        <vt:i4>7143539</vt:i4>
      </vt:variant>
      <vt:variant>
        <vt:i4>129</vt:i4>
      </vt:variant>
      <vt:variant>
        <vt:i4>0</vt:i4>
      </vt:variant>
      <vt:variant>
        <vt:i4>5</vt:i4>
      </vt:variant>
      <vt:variant>
        <vt:lpwstr>https://www.thegef.org/council-meeting-documents/gef-r-09-inf-15-rev-01</vt:lpwstr>
      </vt:variant>
      <vt:variant>
        <vt:lpwstr/>
      </vt:variant>
      <vt:variant>
        <vt:i4>5767190</vt:i4>
      </vt:variant>
      <vt:variant>
        <vt:i4>126</vt:i4>
      </vt:variant>
      <vt:variant>
        <vt:i4>0</vt:i4>
      </vt:variant>
      <vt:variant>
        <vt:i4>5</vt:i4>
      </vt:variant>
      <vt:variant>
        <vt:lpwstr>https://www.thegef.org/council-meeting-documents/gef-r-09-inf-14</vt:lpwstr>
      </vt:variant>
      <vt:variant>
        <vt:lpwstr/>
      </vt:variant>
      <vt:variant>
        <vt:i4>7667824</vt:i4>
      </vt:variant>
      <vt:variant>
        <vt:i4>123</vt:i4>
      </vt:variant>
      <vt:variant>
        <vt:i4>0</vt:i4>
      </vt:variant>
      <vt:variant>
        <vt:i4>5</vt:i4>
      </vt:variant>
      <vt:variant>
        <vt:lpwstr>https://www.thegef.org/sites/default/files/documents/2026-04/GEF_R.9.22_GEF-9  Policy  Recommendatios.pdf</vt:lpwstr>
      </vt:variant>
      <vt:variant>
        <vt:lpwstr/>
      </vt:variant>
      <vt:variant>
        <vt:i4>1966163</vt:i4>
      </vt:variant>
      <vt:variant>
        <vt:i4>120</vt:i4>
      </vt:variant>
      <vt:variant>
        <vt:i4>0</vt:i4>
      </vt:variant>
      <vt:variant>
        <vt:i4>5</vt:i4>
      </vt:variant>
      <vt:variant>
        <vt:lpwstr>https://www.thegef.org/sites/default/files/documents/2025-11/EN_GEF.C.70.Inf_.08_Progress_Report_on_Implementation_GEF_Policy_on_ESS.pdf</vt:lpwstr>
      </vt:variant>
      <vt:variant>
        <vt:lpwstr/>
      </vt:variant>
      <vt:variant>
        <vt:i4>65601</vt:i4>
      </vt:variant>
      <vt:variant>
        <vt:i4>117</vt:i4>
      </vt:variant>
      <vt:variant>
        <vt:i4>0</vt:i4>
      </vt:variant>
      <vt:variant>
        <vt:i4>5</vt:i4>
      </vt:variant>
      <vt:variant>
        <vt:lpwstr>https://www.cbd.int/doc/interventions/6717c9819a0ecc27c502d552/GEF  Financial  Mechanism.docx</vt:lpwstr>
      </vt:variant>
      <vt:variant>
        <vt:lpwstr/>
      </vt:variant>
      <vt:variant>
        <vt:i4>2949122</vt:i4>
      </vt:variant>
      <vt:variant>
        <vt:i4>114</vt:i4>
      </vt:variant>
      <vt:variant>
        <vt:i4>0</vt:i4>
      </vt:variant>
      <vt:variant>
        <vt:i4>5</vt:i4>
      </vt:variant>
      <vt:variant>
        <vt:lpwstr>https://www.thegef.org/sites/default/files/documents/2026-05/EN_GEF.GBFF_.C06.06_Options to  Facilitate the  Achievement of  the  IFI Target.pdf</vt:lpwstr>
      </vt:variant>
      <vt:variant>
        <vt:lpwstr/>
      </vt:variant>
      <vt:variant>
        <vt:i4>6684774</vt:i4>
      </vt:variant>
      <vt:variant>
        <vt:i4>111</vt:i4>
      </vt:variant>
      <vt:variant>
        <vt:i4>0</vt:i4>
      </vt:variant>
      <vt:variant>
        <vt:i4>5</vt:i4>
      </vt:variant>
      <vt:variant>
        <vt:lpwstr>https://www.thegef.org/council-meeting-documents/gef-gbff-05-inf-04</vt:lpwstr>
      </vt:variant>
      <vt:variant>
        <vt:lpwstr/>
      </vt:variant>
      <vt:variant>
        <vt:i4>6946853</vt:i4>
      </vt:variant>
      <vt:variant>
        <vt:i4>108</vt:i4>
      </vt:variant>
      <vt:variant>
        <vt:i4>0</vt:i4>
      </vt:variant>
      <vt:variant>
        <vt:i4>5</vt:i4>
      </vt:variant>
      <vt:variant>
        <vt:lpwstr>https://www.thegef.org/council-meeting-documents/gef-gbff-06-04</vt:lpwstr>
      </vt:variant>
      <vt:variant>
        <vt:lpwstr/>
      </vt:variant>
      <vt:variant>
        <vt:i4>3997733</vt:i4>
      </vt:variant>
      <vt:variant>
        <vt:i4>105</vt:i4>
      </vt:variant>
      <vt:variant>
        <vt:i4>0</vt:i4>
      </vt:variant>
      <vt:variant>
        <vt:i4>5</vt:i4>
      </vt:variant>
      <vt:variant>
        <vt:lpwstr>https://www.thegef.org/council-meeting-documents/gef-gbff-05-04-rev-01</vt:lpwstr>
      </vt:variant>
      <vt:variant>
        <vt:lpwstr/>
      </vt:variant>
      <vt:variant>
        <vt:i4>3997733</vt:i4>
      </vt:variant>
      <vt:variant>
        <vt:i4>102</vt:i4>
      </vt:variant>
      <vt:variant>
        <vt:i4>0</vt:i4>
      </vt:variant>
      <vt:variant>
        <vt:i4>5</vt:i4>
      </vt:variant>
      <vt:variant>
        <vt:lpwstr>https://www.thegef.org/council-meeting-documents/gef-gbff-05-04-rev-01</vt:lpwstr>
      </vt:variant>
      <vt:variant>
        <vt:lpwstr/>
      </vt:variant>
      <vt:variant>
        <vt:i4>6488111</vt:i4>
      </vt:variant>
      <vt:variant>
        <vt:i4>99</vt:i4>
      </vt:variant>
      <vt:variant>
        <vt:i4>0</vt:i4>
      </vt:variant>
      <vt:variant>
        <vt:i4>5</vt:i4>
      </vt:variant>
      <vt:variant>
        <vt:lpwstr>https://www.thegef.org/index .php/council-meeting-documents/gef-gbff-06-04</vt:lpwstr>
      </vt:variant>
      <vt:variant>
        <vt:lpwstr/>
      </vt:variant>
      <vt:variant>
        <vt:i4>3932274</vt:i4>
      </vt:variant>
      <vt:variant>
        <vt:i4>96</vt:i4>
      </vt:variant>
      <vt:variant>
        <vt:i4>0</vt:i4>
      </vt:variant>
      <vt:variant>
        <vt:i4>5</vt:i4>
      </vt:variant>
      <vt:variant>
        <vt:lpwstr>https://eur02.safelinks.protection.outlook.com/?url=https%20%3A%20%2F%20%2Ffiftrustee.worldbank.org%20%2Fen%20%2Fabout%20%2Funit%20%2Fdfi%20%2Ffiftrustee%20%2Ffund-detail%20%2Fgbff&amp;data=05%20%7C02%20%7Cgauthierl%20%40un.org%20%7C2e65ae17d01f4018d8f908dd57323cbb%20%7C0f9e35db544f4f60bdcc5ea416e6dc70%20%7C0%20%7C0%20%7C638762595450799477%20%7CUnknown%20%7CTWFpbGZsb3d8eyJFbXB0eU1hcGkiOnRydWUsIlYiOiIwLjAuMDAwMCIsIlAiOiJXaW4zMiIsIkFOIjoiTWFpbCIsIldUIjoyfQ%20%3D%20%3D%20%7C0%20%7C%20%7C%20%7C&amp;sdata=4s6qxB0DqSGMqcHylj3iOTR6RXei3DAOYFcrxTboS5c%20%3D&amp;reserved=0</vt:lpwstr>
      </vt:variant>
      <vt:variant>
        <vt:lpwstr/>
      </vt:variant>
      <vt:variant>
        <vt:i4>6684774</vt:i4>
      </vt:variant>
      <vt:variant>
        <vt:i4>93</vt:i4>
      </vt:variant>
      <vt:variant>
        <vt:i4>0</vt:i4>
      </vt:variant>
      <vt:variant>
        <vt:i4>5</vt:i4>
      </vt:variant>
      <vt:variant>
        <vt:lpwstr>https://www.thegef.org/council-meeting-documents/gef-gbff-05-inf-04</vt:lpwstr>
      </vt:variant>
      <vt:variant>
        <vt:lpwstr/>
      </vt:variant>
      <vt:variant>
        <vt:i4>7340145</vt:i4>
      </vt:variant>
      <vt:variant>
        <vt:i4>90</vt:i4>
      </vt:variant>
      <vt:variant>
        <vt:i4>0</vt:i4>
      </vt:variant>
      <vt:variant>
        <vt:i4>5</vt:i4>
      </vt:variant>
      <vt:variant>
        <vt:lpwstr>https://www.cbd.int/decisions/mop/?m=cp-mop-10</vt:lpwstr>
      </vt:variant>
      <vt:variant>
        <vt:lpwstr/>
      </vt:variant>
      <vt:variant>
        <vt:i4>7340145</vt:i4>
      </vt:variant>
      <vt:variant>
        <vt:i4>87</vt:i4>
      </vt:variant>
      <vt:variant>
        <vt:i4>0</vt:i4>
      </vt:variant>
      <vt:variant>
        <vt:i4>5</vt:i4>
      </vt:variant>
      <vt:variant>
        <vt:lpwstr>https://www.cbd.int/decisions/mop/?m=cp-mop-10</vt:lpwstr>
      </vt:variant>
      <vt:variant>
        <vt:lpwstr/>
      </vt:variant>
      <vt:variant>
        <vt:i4>6750310</vt:i4>
      </vt:variant>
      <vt:variant>
        <vt:i4>84</vt:i4>
      </vt:variant>
      <vt:variant>
        <vt:i4>0</vt:i4>
      </vt:variant>
      <vt:variant>
        <vt:i4>5</vt:i4>
      </vt:variant>
      <vt:variant>
        <vt:lpwstr>https://www.cbd.int/documents/CBD/COP/16/INF/25</vt:lpwstr>
      </vt:variant>
      <vt:variant>
        <vt:lpwstr/>
      </vt:variant>
      <vt:variant>
        <vt:i4>7143463</vt:i4>
      </vt:variant>
      <vt:variant>
        <vt:i4>81</vt:i4>
      </vt:variant>
      <vt:variant>
        <vt:i4>0</vt:i4>
      </vt:variant>
      <vt:variant>
        <vt:i4>5</vt:i4>
      </vt:variant>
      <vt:variant>
        <vt:lpwstr>https://www.cbd.int/documents/CBD/COP/16/7</vt:lpwstr>
      </vt:variant>
      <vt:variant>
        <vt:lpwstr/>
      </vt:variant>
      <vt:variant>
        <vt:i4>6684781</vt:i4>
      </vt:variant>
      <vt:variant>
        <vt:i4>78</vt:i4>
      </vt:variant>
      <vt:variant>
        <vt:i4>0</vt:i4>
      </vt:variant>
      <vt:variant>
        <vt:i4>5</vt:i4>
      </vt:variant>
      <vt:variant>
        <vt:lpwstr>https://www.cbd.int/documents/CBD/COP/16/8/REV1</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72</vt:i4>
      </vt:variant>
      <vt:variant>
        <vt:i4>0</vt:i4>
      </vt:variant>
      <vt:variant>
        <vt:i4>5</vt:i4>
      </vt:variant>
      <vt:variant>
        <vt:lpwstr>https://www.cbd.int/decisions/cop/?m=cop-15</vt:lpwstr>
      </vt:variant>
      <vt:variant>
        <vt:lpwstr/>
      </vt:variant>
      <vt:variant>
        <vt:i4>6553649</vt:i4>
      </vt:variant>
      <vt:variant>
        <vt:i4>69</vt:i4>
      </vt:variant>
      <vt:variant>
        <vt:i4>0</vt:i4>
      </vt:variant>
      <vt:variant>
        <vt:i4>5</vt:i4>
      </vt:variant>
      <vt:variant>
        <vt:lpwstr>https://www.cbd.int/decision/cop/default.shtml?id=7104</vt:lpwstr>
      </vt:variant>
      <vt:variant>
        <vt:lpwstr/>
      </vt:variant>
      <vt:variant>
        <vt:i4>917579</vt:i4>
      </vt:variant>
      <vt:variant>
        <vt:i4>66</vt:i4>
      </vt:variant>
      <vt:variant>
        <vt:i4>0</vt:i4>
      </vt:variant>
      <vt:variant>
        <vt:i4>5</vt:i4>
      </vt:variant>
      <vt:variant>
        <vt:lpwstr>https://www.cbd.int/doc/decisions/cop-16/cop-16-dec-33-en.pdf</vt:lpwstr>
      </vt:variant>
      <vt:variant>
        <vt:lpwstr/>
      </vt:variant>
      <vt:variant>
        <vt:i4>3801125</vt:i4>
      </vt:variant>
      <vt:variant>
        <vt:i4>63</vt:i4>
      </vt:variant>
      <vt:variant>
        <vt:i4>0</vt:i4>
      </vt:variant>
      <vt:variant>
        <vt:i4>5</vt:i4>
      </vt:variant>
      <vt:variant>
        <vt:lpwstr>https://www.thegef.org/council-meeting-documents/gef-gbff-01-04-rev-02</vt:lpwstr>
      </vt:variant>
      <vt:variant>
        <vt:lpwstr/>
      </vt:variant>
      <vt:variant>
        <vt:i4>25</vt:i4>
      </vt:variant>
      <vt:variant>
        <vt:i4>60</vt:i4>
      </vt:variant>
      <vt:variant>
        <vt:i4>0</vt:i4>
      </vt:variant>
      <vt:variant>
        <vt:i4>5</vt:i4>
      </vt:variant>
      <vt:variant>
        <vt:lpwstr>C:\Users\wb368377\AppData\Local\Microsoft\Windows\INetCache\Content.Outlook\0A31CR3B\Towards a Resource Mobilization Strategy for the Global Biodiversity Framework Fund 2025-2030</vt:lpwstr>
      </vt:variant>
      <vt:variant>
        <vt:lpwstr/>
      </vt:variant>
      <vt:variant>
        <vt:i4>3866659</vt:i4>
      </vt:variant>
      <vt:variant>
        <vt:i4>57</vt:i4>
      </vt:variant>
      <vt:variant>
        <vt:i4>0</vt:i4>
      </vt:variant>
      <vt:variant>
        <vt:i4>5</vt:i4>
      </vt:variant>
      <vt:variant>
        <vt:lpwstr>https://www.thegef.org/sites/default/files/documents/2025-12/EN_GEF.GBFF_.C.05.Inf_.04_Guidelines  on  Actions  by  IPLCs.pdf</vt:lpwstr>
      </vt:variant>
      <vt:variant>
        <vt:lpwstr/>
      </vt:variant>
      <vt:variant>
        <vt:i4>589867</vt:i4>
      </vt:variant>
      <vt:variant>
        <vt:i4>54</vt:i4>
      </vt:variant>
      <vt:variant>
        <vt:i4>0</vt:i4>
      </vt:variant>
      <vt:variant>
        <vt:i4>5</vt:i4>
      </vt:variant>
      <vt:variant>
        <vt:lpwstr>https://www.thegef.org/sites/default/files/documents/2025-12/EN_GEF.GBFF_.05.05_Results  Framework  of  the  GBFF.pdf</vt:lpwstr>
      </vt:variant>
      <vt:variant>
        <vt:lpwstr/>
      </vt:variant>
      <vt:variant>
        <vt:i4>6946853</vt:i4>
      </vt:variant>
      <vt:variant>
        <vt:i4>51</vt:i4>
      </vt:variant>
      <vt:variant>
        <vt:i4>0</vt:i4>
      </vt:variant>
      <vt:variant>
        <vt:i4>5</vt:i4>
      </vt:variant>
      <vt:variant>
        <vt:lpwstr>https://www.thegef.org/council-meeting-documents/gef-gbff-06-05</vt:lpwstr>
      </vt:variant>
      <vt:variant>
        <vt:lpwstr/>
      </vt:variant>
      <vt:variant>
        <vt:i4>6946853</vt:i4>
      </vt:variant>
      <vt:variant>
        <vt:i4>48</vt:i4>
      </vt:variant>
      <vt:variant>
        <vt:i4>0</vt:i4>
      </vt:variant>
      <vt:variant>
        <vt:i4>5</vt:i4>
      </vt:variant>
      <vt:variant>
        <vt:lpwstr>https://www.thegef.org/council-meeting-documents/gef-gbff-06-06</vt:lpwstr>
      </vt:variant>
      <vt:variant>
        <vt:lpwstr/>
      </vt:variant>
      <vt:variant>
        <vt:i4>6946853</vt:i4>
      </vt:variant>
      <vt:variant>
        <vt:i4>45</vt:i4>
      </vt:variant>
      <vt:variant>
        <vt:i4>0</vt:i4>
      </vt:variant>
      <vt:variant>
        <vt:i4>5</vt:i4>
      </vt:variant>
      <vt:variant>
        <vt:lpwstr>https://www.thegef.org/council-meeting-documents/gef-gbff-06-04</vt:lpwstr>
      </vt:variant>
      <vt:variant>
        <vt:lpwstr/>
      </vt:variant>
      <vt:variant>
        <vt:i4>5373994</vt:i4>
      </vt:variant>
      <vt:variant>
        <vt:i4>42</vt:i4>
      </vt:variant>
      <vt:variant>
        <vt:i4>0</vt:i4>
      </vt:variant>
      <vt:variant>
        <vt:i4>5</vt:i4>
      </vt:variant>
      <vt:variant>
        <vt:lpwstr>https://www.thegef.org/sites/default/files/documents/2024-12/GEF_GBFF.03_04_GEF  Progress  Report  on  the  Advisory  Group  and  Auxiliary  Body_cleared_0.pdf</vt:lpwstr>
      </vt:variant>
      <vt:variant>
        <vt:lpwstr/>
      </vt:variant>
      <vt:variant>
        <vt:i4>6946853</vt:i4>
      </vt:variant>
      <vt:variant>
        <vt:i4>39</vt:i4>
      </vt:variant>
      <vt:variant>
        <vt:i4>0</vt:i4>
      </vt:variant>
      <vt:variant>
        <vt:i4>5</vt:i4>
      </vt:variant>
      <vt:variant>
        <vt:lpwstr>https://www.thegef.org/council-meeting-documents/gef-gbff-06-05</vt:lpwstr>
      </vt:variant>
      <vt:variant>
        <vt:lpwstr/>
      </vt:variant>
      <vt:variant>
        <vt:i4>6946853</vt:i4>
      </vt:variant>
      <vt:variant>
        <vt:i4>36</vt:i4>
      </vt:variant>
      <vt:variant>
        <vt:i4>0</vt:i4>
      </vt:variant>
      <vt:variant>
        <vt:i4>5</vt:i4>
      </vt:variant>
      <vt:variant>
        <vt:lpwstr>https://www.thegef.org/council-meeting-documents/gef-gbff-06-05</vt:lpwstr>
      </vt:variant>
      <vt:variant>
        <vt:lpwstr/>
      </vt:variant>
      <vt:variant>
        <vt:i4>4653104</vt:i4>
      </vt:variant>
      <vt:variant>
        <vt:i4>33</vt:i4>
      </vt:variant>
      <vt:variant>
        <vt:i4>0</vt:i4>
      </vt:variant>
      <vt:variant>
        <vt:i4>5</vt:i4>
      </vt:variant>
      <vt:variant>
        <vt:lpwstr>https://www.thegef.org/sites/default/files/documents/2024-05/EN_GEF.GBFF_.C.02.04_Terms_Reference_Advisory_Groups_and_Auxilliary_Body.pdf</vt:lpwstr>
      </vt:variant>
      <vt:variant>
        <vt:lpwstr/>
      </vt:variant>
      <vt:variant>
        <vt:i4>3866658</vt:i4>
      </vt:variant>
      <vt:variant>
        <vt:i4>30</vt:i4>
      </vt:variant>
      <vt:variant>
        <vt:i4>0</vt:i4>
      </vt:variant>
      <vt:variant>
        <vt:i4>5</vt:i4>
      </vt:variant>
      <vt:variant>
        <vt:lpwstr>https://www.thegef.org/council-meeting-documents/gef-gbff-01-03-rev-03</vt:lpwstr>
      </vt:variant>
      <vt:variant>
        <vt:lpwstr/>
      </vt:variant>
      <vt:variant>
        <vt:i4>8257640</vt:i4>
      </vt:variant>
      <vt:variant>
        <vt:i4>27</vt:i4>
      </vt:variant>
      <vt:variant>
        <vt:i4>0</vt:i4>
      </vt:variant>
      <vt:variant>
        <vt:i4>5</vt:i4>
      </vt:variant>
      <vt:variant>
        <vt:lpwstr>https://www.thegef.org/sites/default/files/documents/2023-09/EN_GEF.C.64.06.Rev_.02_GBF_Fund_Programming_Directions.pdf</vt:lpwstr>
      </vt:variant>
      <vt:variant>
        <vt:lpwstr/>
      </vt:variant>
      <vt:variant>
        <vt:i4>1114234</vt:i4>
      </vt:variant>
      <vt:variant>
        <vt:i4>24</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7012465</vt:i4>
      </vt:variant>
      <vt:variant>
        <vt:i4>21</vt:i4>
      </vt:variant>
      <vt:variant>
        <vt:i4>0</vt:i4>
      </vt:variant>
      <vt:variant>
        <vt:i4>5</vt:i4>
      </vt:variant>
      <vt:variant>
        <vt:lpwstr>https://www.worldwildlife.org/our-work/funds/wwf-gef/projects/heart-of-conservation-initiative/wwf-gef-expressions-of-interest/</vt:lpwstr>
      </vt:variant>
      <vt:variant>
        <vt:lpwstr/>
      </vt:variant>
      <vt:variant>
        <vt:i4>6029364</vt:i4>
      </vt:variant>
      <vt:variant>
        <vt:i4>18</vt:i4>
      </vt:variant>
      <vt:variant>
        <vt:i4>0</vt:i4>
      </vt:variant>
      <vt:variant>
        <vt:i4>5</vt:i4>
      </vt:variant>
      <vt:variant>
        <vt:lpwstr>https://www.thegef.org/sites/default/files/documents/2025-10/IPFactSheetv9_0.pdf</vt:lpwstr>
      </vt:variant>
      <vt:variant>
        <vt:lpwstr/>
      </vt:variant>
      <vt:variant>
        <vt:i4>6029364</vt:i4>
      </vt:variant>
      <vt:variant>
        <vt:i4>15</vt:i4>
      </vt:variant>
      <vt:variant>
        <vt:i4>0</vt:i4>
      </vt:variant>
      <vt:variant>
        <vt:i4>5</vt:i4>
      </vt:variant>
      <vt:variant>
        <vt:lpwstr>https://www.thegef.org/sites/default/files/documents/2025-10/IPFactSheetv9_0.pdf</vt:lpwstr>
      </vt:variant>
      <vt:variant>
        <vt:lpwstr/>
      </vt:variant>
      <vt:variant>
        <vt:i4>7995448</vt:i4>
      </vt:variant>
      <vt:variant>
        <vt:i4>12</vt:i4>
      </vt:variant>
      <vt:variant>
        <vt:i4>0</vt:i4>
      </vt:variant>
      <vt:variant>
        <vt:i4>5</vt:i4>
      </vt:variant>
      <vt:variant>
        <vt:lpwstr>https://www.cbd.int/gbf/targets</vt:lpwstr>
      </vt:variant>
      <vt:variant>
        <vt:lpwstr/>
      </vt:variant>
      <vt:variant>
        <vt:i4>3407927</vt:i4>
      </vt:variant>
      <vt:variant>
        <vt:i4>9</vt:i4>
      </vt:variant>
      <vt:variant>
        <vt:i4>0</vt:i4>
      </vt:variant>
      <vt:variant>
        <vt:i4>5</vt:i4>
      </vt:variant>
      <vt:variant>
        <vt:lpwstr>https://www.thegef.org/sites/default/files/2023-01/GEF-8_Programming_Directions.pdf</vt:lpwstr>
      </vt:variant>
      <vt:variant>
        <vt:lpwstr/>
      </vt:variant>
      <vt:variant>
        <vt:i4>7995448</vt:i4>
      </vt:variant>
      <vt:variant>
        <vt:i4>6</vt:i4>
      </vt:variant>
      <vt:variant>
        <vt:i4>0</vt:i4>
      </vt:variant>
      <vt:variant>
        <vt:i4>5</vt:i4>
      </vt:variant>
      <vt:variant>
        <vt:lpwstr>https://www.cbd.int/gbf/targets</vt:lpwstr>
      </vt:variant>
      <vt:variant>
        <vt:lpwstr/>
      </vt:variant>
      <vt:variant>
        <vt:i4>5373954</vt:i4>
      </vt:variant>
      <vt:variant>
        <vt:i4>3</vt:i4>
      </vt:variant>
      <vt:variant>
        <vt:i4>0</vt:i4>
      </vt:variant>
      <vt:variant>
        <vt:i4>5</vt:i4>
      </vt:variant>
      <vt:variant>
        <vt:lpwstr>https://d.docs.live.net/A6DE23E8395BEA39/Bureau/Politique : FI/GN/01</vt:lpwstr>
      </vt:variant>
      <vt:variant>
        <vt:lpwstr/>
      </vt:variant>
      <vt:variant>
        <vt:i4>3866725</vt:i4>
      </vt:variant>
      <vt:variant>
        <vt:i4>0</vt:i4>
      </vt:variant>
      <vt:variant>
        <vt:i4>0</vt:i4>
      </vt:variant>
      <vt:variant>
        <vt:i4>5</vt:i4>
      </vt:variant>
      <vt:variant>
        <vt:lpwstr>https://one.oecd.org/document/DCD/DAC/STAT(2025)50/REV2/en/pdf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établi par le Conseil du Fonds pour l’environnement mondial en vue de la dix-septième réunion de la Conférence des Parties à la Convention</dc:title>
  <dc:subject>CBD/COP/15/8</dc:subject>
  <dc:creator>Mark Thomas Zimsky</dc:creator>
  <cp:keywords>Subsidiary Body on Implementation, third meeting</cp:keywords>
  <dc:description/>
  <cp:lastModifiedBy>Veronique Lefebvre</cp:lastModifiedBy>
  <cp:revision>3</cp:revision>
  <cp:lastPrinted>2026-08-12T15:28:00Z</cp:lastPrinted>
  <dcterms:created xsi:type="dcterms:W3CDTF">2026-10-06T13:43:00Z</dcterms:created>
  <dcterms:modified xsi:type="dcterms:W3CDTF">2026-10-06T13:44:00Z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y fmtid="{D5CDD505-2E9C-101B-9397-08002B2CF9AE}" pid="4" name="GrammarlyDocumentId">
    <vt:lpwstr>acf50b3e-537b-4447-9d02-a80f1ca1ffe5</vt:lpwstr>
  </property>
  <property fmtid="{D5CDD505-2E9C-101B-9397-08002B2CF9AE}" pid="5" name="MSIP_Label_89608d83-f952-409d-b7c5-456515bbbf5a_Enabled">
    <vt:lpwstr>true</vt:lpwstr>
  </property>
  <property fmtid="{D5CDD505-2E9C-101B-9397-08002B2CF9AE}" pid="6" name="MSIP_Label_89608d83-f952-409d-b7c5-456515bbbf5a_SetDate">
    <vt:lpwstr>2026-06-01T09:09:22Z</vt:lpwstr>
  </property>
  <property fmtid="{D5CDD505-2E9C-101B-9397-08002B2CF9AE}" pid="7" name="MSIP_Label_89608d83-f952-409d-b7c5-456515bbbf5a_Method">
    <vt:lpwstr>Privileged</vt:lpwstr>
  </property>
  <property fmtid="{D5CDD505-2E9C-101B-9397-08002B2CF9AE}" pid="8" name="MSIP_Label_89608d83-f952-409d-b7c5-456515bbbf5a_Name">
    <vt:lpwstr>Public</vt:lpwstr>
  </property>
  <property fmtid="{D5CDD505-2E9C-101B-9397-08002B2CF9AE}" pid="9" name="MSIP_Label_89608d83-f952-409d-b7c5-456515bbbf5a_SiteId">
    <vt:lpwstr>31a2fec0-266b-4c67-b56e-2796d8f59c36</vt:lpwstr>
  </property>
  <property fmtid="{D5CDD505-2E9C-101B-9397-08002B2CF9AE}" pid="10" name="MSIP_Label_89608d83-f952-409d-b7c5-456515bbbf5a_ActionId">
    <vt:lpwstr>21afd142-5887-4ecc-9188-2502883139fa</vt:lpwstr>
  </property>
  <property fmtid="{D5CDD505-2E9C-101B-9397-08002B2CF9AE}" pid="11" name="MSIP_Label_89608d83-f952-409d-b7c5-456515bbbf5a_ContentBits">
    <vt:lpwstr>0</vt:lpwstr>
  </property>
  <property fmtid="{D5CDD505-2E9C-101B-9397-08002B2CF9AE}" pid="12" name="MSIP_Label_89608d83-f952-409d-b7c5-456515bbbf5a_Tag">
    <vt:lpwstr>10, 0, 1, 1</vt:lpwstr>
  </property>
  <property fmtid="{D5CDD505-2E9C-101B-9397-08002B2CF9AE}" pid="13" name="WBDocs_Local_Document_Type">
    <vt:lpwstr/>
  </property>
  <property fmtid="{D5CDD505-2E9C-101B-9397-08002B2CF9AE}" pid="14" name="lcf76f155ced4ddcb4097134ff3c332f">
    <vt:lpwstr/>
  </property>
  <property fmtid="{D5CDD505-2E9C-101B-9397-08002B2CF9AE}" pid="15" name="WBDocs_Originating_Unit">
    <vt:lpwstr/>
  </property>
  <property fmtid="{D5CDD505-2E9C-101B-9397-08002B2CF9AE}" pid="16" name="docLang">
    <vt:lpwstr>fr</vt:lpwstr>
  </property>
</Properties>
</file>