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0A0"/>
      </w:tblPr>
      <w:tblGrid>
        <w:gridCol w:w="976"/>
        <w:gridCol w:w="5141"/>
        <w:gridCol w:w="4090"/>
      </w:tblGrid>
      <w:tr w:rsidR="00680F35" w:rsidRPr="002647CE">
        <w:trPr>
          <w:trHeight w:val="709"/>
        </w:trPr>
        <w:tc>
          <w:tcPr>
            <w:tcW w:w="976" w:type="dxa"/>
            <w:tcBorders>
              <w:bottom w:val="single" w:sz="12" w:space="0" w:color="auto"/>
            </w:tcBorders>
          </w:tcPr>
          <w:p w:rsidR="00680F35" w:rsidRPr="002647CE" w:rsidRDefault="00EA59B0">
            <w:pPr>
              <w:suppressLineNumbers/>
              <w:suppressAutoHyphens/>
              <w:rPr>
                <w:rFonts w:eastAsia="Times New Roman"/>
                <w:kern w:val="22"/>
                <w:lang w:val="es-ES"/>
              </w:rPr>
            </w:pPr>
            <w:r w:rsidRPr="002647CE">
              <w:rPr>
                <w:rFonts w:eastAsia="Times New Roman"/>
                <w:snapToGrid/>
                <w:kern w:val="22"/>
                <w:lang w:val="es-ES" w:eastAsia="es-UY"/>
              </w:rPr>
              <w:drawing>
                <wp:inline distT="0" distB="0" distL="0" distR="0">
                  <wp:extent cx="427990" cy="36449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27990" cy="36449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680F35" w:rsidRPr="002647CE" w:rsidRDefault="00EA59B0">
            <w:pPr>
              <w:suppressLineNumbers/>
              <w:suppressAutoHyphens/>
              <w:rPr>
                <w:rFonts w:eastAsia="Times New Roman"/>
                <w:kern w:val="22"/>
                <w:lang w:val="es-ES"/>
              </w:rPr>
            </w:pPr>
            <w:r w:rsidRPr="002647CE">
              <w:rPr>
                <w:snapToGrid/>
                <w:lang w:val="es-ES" w:eastAsia="es-UY"/>
              </w:rPr>
              <w:drawing>
                <wp:anchor distT="0" distB="0" distL="114300" distR="114300" simplePos="0" relativeHeight="251657728" behindDoc="1" locked="0" layoutInCell="1" allowOverlap="1">
                  <wp:simplePos x="0" y="0"/>
                  <wp:positionH relativeFrom="column">
                    <wp:posOffset>-772795</wp:posOffset>
                  </wp:positionH>
                  <wp:positionV relativeFrom="paragraph">
                    <wp:posOffset>-1905</wp:posOffset>
                  </wp:positionV>
                  <wp:extent cx="676275" cy="386080"/>
                  <wp:effectExtent l="19050" t="0" r="9525" b="0"/>
                  <wp:wrapTight wrapText="bothSides">
                    <wp:wrapPolygon edited="0">
                      <wp:start x="-608" y="0"/>
                      <wp:lineTo x="-608" y="20250"/>
                      <wp:lineTo x="21904" y="20250"/>
                      <wp:lineTo x="21296" y="17053"/>
                      <wp:lineTo x="21904" y="12789"/>
                      <wp:lineTo x="21904" y="0"/>
                      <wp:lineTo x="-608"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676275" cy="386080"/>
                          </a:xfrm>
                          <a:prstGeom prst="rect">
                            <a:avLst/>
                          </a:prstGeom>
                          <a:noFill/>
                          <a:ln w="9525">
                            <a:noFill/>
                            <a:miter lim="800000"/>
                            <a:headEnd/>
                            <a:tailEnd/>
                          </a:ln>
                        </pic:spPr>
                      </pic:pic>
                    </a:graphicData>
                  </a:graphic>
                </wp:anchor>
              </w:drawing>
            </w:r>
          </w:p>
        </w:tc>
        <w:tc>
          <w:tcPr>
            <w:tcW w:w="4090" w:type="dxa"/>
            <w:tcBorders>
              <w:bottom w:val="single" w:sz="12" w:space="0" w:color="auto"/>
            </w:tcBorders>
          </w:tcPr>
          <w:p w:rsidR="00680F35" w:rsidRPr="002647CE" w:rsidRDefault="00680F35">
            <w:pPr>
              <w:suppressLineNumbers/>
              <w:suppressAutoHyphens/>
              <w:jc w:val="right"/>
              <w:rPr>
                <w:rFonts w:ascii="Arial" w:eastAsia="Times New Roman" w:hAnsi="Arial"/>
                <w:b/>
                <w:kern w:val="22"/>
                <w:sz w:val="32"/>
                <w:lang w:val="es-ES"/>
              </w:rPr>
            </w:pPr>
            <w:r w:rsidRPr="002647CE">
              <w:rPr>
                <w:rFonts w:ascii="Arial" w:eastAsia="Times New Roman" w:hAnsi="Arial"/>
                <w:b/>
                <w:kern w:val="22"/>
                <w:sz w:val="32"/>
                <w:lang w:val="es-ES"/>
              </w:rPr>
              <w:t>CBD</w:t>
            </w:r>
          </w:p>
        </w:tc>
      </w:tr>
      <w:tr w:rsidR="00680F35" w:rsidRPr="002647CE">
        <w:tc>
          <w:tcPr>
            <w:tcW w:w="6117" w:type="dxa"/>
            <w:gridSpan w:val="2"/>
            <w:tcBorders>
              <w:top w:val="single" w:sz="12" w:space="0" w:color="auto"/>
              <w:bottom w:val="single" w:sz="36" w:space="0" w:color="auto"/>
            </w:tcBorders>
            <w:vAlign w:val="center"/>
          </w:tcPr>
          <w:p w:rsidR="00680F35" w:rsidRPr="002647CE" w:rsidRDefault="00EA59B0">
            <w:pPr>
              <w:suppressLineNumbers/>
              <w:suppressAutoHyphens/>
              <w:rPr>
                <w:rFonts w:eastAsia="Times New Roman"/>
                <w:kern w:val="22"/>
                <w:lang w:val="es-ES"/>
              </w:rPr>
            </w:pPr>
            <w:r w:rsidRPr="002647CE">
              <w:rPr>
                <w:rFonts w:eastAsia="Times New Roman"/>
                <w:snapToGrid/>
                <w:kern w:val="22"/>
                <w:lang w:val="es-ES" w:eastAsia="es-UY"/>
              </w:rPr>
              <w:drawing>
                <wp:inline distT="0" distB="0" distL="0" distR="0">
                  <wp:extent cx="2901950" cy="106743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2901950" cy="106743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680F35" w:rsidRPr="002647CE" w:rsidRDefault="00680F35" w:rsidP="00EA59B0">
            <w:pPr>
              <w:suppressLineNumbers/>
              <w:suppressAutoHyphens/>
              <w:ind w:left="1215"/>
              <w:jc w:val="left"/>
              <w:rPr>
                <w:rFonts w:eastAsia="Times New Roman"/>
                <w:kern w:val="22"/>
                <w:lang w:val="es-ES"/>
              </w:rPr>
            </w:pPr>
            <w:r w:rsidRPr="002647CE">
              <w:rPr>
                <w:rFonts w:eastAsia="Times New Roman"/>
                <w:kern w:val="22"/>
                <w:lang w:val="es-ES"/>
              </w:rPr>
              <w:t>Distr.</w:t>
            </w:r>
          </w:p>
          <w:p w:rsidR="00680F35" w:rsidRPr="002647CE" w:rsidRDefault="00680F35" w:rsidP="00EA59B0">
            <w:pPr>
              <w:suppressLineNumbers/>
              <w:suppressAutoHyphens/>
              <w:ind w:left="1215"/>
              <w:jc w:val="left"/>
              <w:rPr>
                <w:rFonts w:eastAsia="Times New Roman"/>
                <w:kern w:val="22"/>
                <w:lang w:val="es-ES"/>
              </w:rPr>
            </w:pPr>
            <w:r w:rsidRPr="002647CE">
              <w:rPr>
                <w:rFonts w:eastAsia="Times New Roman"/>
                <w:kern w:val="22"/>
                <w:lang w:val="es-ES"/>
              </w:rPr>
              <w:t>GENERAL</w:t>
            </w:r>
          </w:p>
          <w:p w:rsidR="00680F35" w:rsidRPr="002647CE" w:rsidRDefault="00680F35">
            <w:pPr>
              <w:suppressLineNumbers/>
              <w:suppressAutoHyphens/>
              <w:ind w:left="1215"/>
              <w:rPr>
                <w:rFonts w:eastAsia="Times New Roman"/>
                <w:kern w:val="22"/>
                <w:lang w:val="es-ES"/>
              </w:rPr>
            </w:pPr>
          </w:p>
          <w:p w:rsidR="00680F35" w:rsidRPr="002647CE" w:rsidRDefault="00680F35">
            <w:pPr>
              <w:suppressLineNumbers/>
              <w:suppressAutoHyphens/>
              <w:ind w:left="1215"/>
              <w:rPr>
                <w:rFonts w:eastAsia="Times New Roman"/>
                <w:kern w:val="22"/>
                <w:lang w:val="es-ES"/>
              </w:rPr>
            </w:pPr>
            <w:r w:rsidRPr="002647CE">
              <w:rPr>
                <w:rFonts w:eastAsia="Times New Roman"/>
                <w:kern w:val="22"/>
                <w:lang w:val="es-ES"/>
              </w:rPr>
              <w:t>CBD/SBI/3/8/Add.1</w:t>
            </w:r>
          </w:p>
          <w:p w:rsidR="00680F35" w:rsidRPr="002647CE" w:rsidRDefault="00680F35">
            <w:pPr>
              <w:suppressLineNumbers/>
              <w:suppressAutoHyphens/>
              <w:ind w:left="1215"/>
              <w:rPr>
                <w:rFonts w:eastAsia="Times New Roman"/>
                <w:kern w:val="22"/>
                <w:lang w:val="es-ES"/>
              </w:rPr>
            </w:pPr>
            <w:r w:rsidRPr="002647CE">
              <w:rPr>
                <w:rFonts w:eastAsia="Times New Roman"/>
                <w:kern w:val="22"/>
                <w:lang w:val="es-ES"/>
              </w:rPr>
              <w:t>6 de octubre de 2020</w:t>
            </w:r>
          </w:p>
          <w:p w:rsidR="00680F35" w:rsidRPr="002647CE" w:rsidRDefault="00680F35">
            <w:pPr>
              <w:suppressLineNumbers/>
              <w:suppressAutoHyphens/>
              <w:ind w:left="1215"/>
              <w:rPr>
                <w:rFonts w:eastAsia="Times New Roman"/>
                <w:kern w:val="22"/>
                <w:lang w:val="es-ES"/>
              </w:rPr>
            </w:pPr>
          </w:p>
          <w:p w:rsidR="00680F35" w:rsidRPr="002647CE" w:rsidRDefault="00680F35">
            <w:pPr>
              <w:suppressLineNumbers/>
              <w:suppressAutoHyphens/>
              <w:ind w:left="1215"/>
              <w:rPr>
                <w:rFonts w:eastAsia="Times New Roman"/>
                <w:kern w:val="22"/>
                <w:lang w:val="es-ES"/>
              </w:rPr>
            </w:pPr>
            <w:r w:rsidRPr="002647CE">
              <w:rPr>
                <w:rFonts w:eastAsia="Times New Roman"/>
                <w:kern w:val="22"/>
                <w:lang w:val="es-ES"/>
              </w:rPr>
              <w:t>ESPAÑOL</w:t>
            </w:r>
          </w:p>
          <w:p w:rsidR="00680F35" w:rsidRPr="002647CE" w:rsidRDefault="00680F35">
            <w:pPr>
              <w:suppressLineNumbers/>
              <w:suppressAutoHyphens/>
              <w:ind w:left="1215"/>
              <w:rPr>
                <w:rFonts w:eastAsia="Times New Roman"/>
                <w:kern w:val="22"/>
                <w:lang w:val="es-ES"/>
              </w:rPr>
            </w:pPr>
            <w:r w:rsidRPr="002647CE">
              <w:rPr>
                <w:rFonts w:eastAsia="Times New Roman"/>
                <w:kern w:val="22"/>
                <w:lang w:val="es-ES"/>
              </w:rPr>
              <w:t>ORIGINAL: INGLÉS</w:t>
            </w:r>
          </w:p>
          <w:p w:rsidR="00680F35" w:rsidRPr="002647CE" w:rsidRDefault="00680F35">
            <w:pPr>
              <w:suppressLineNumbers/>
              <w:suppressAutoHyphens/>
              <w:rPr>
                <w:rFonts w:eastAsia="Times New Roman"/>
                <w:kern w:val="22"/>
                <w:lang w:val="es-ES"/>
              </w:rPr>
            </w:pPr>
          </w:p>
        </w:tc>
      </w:tr>
    </w:tbl>
    <w:p w:rsidR="00680F35" w:rsidRPr="002647CE" w:rsidRDefault="00680F35">
      <w:pPr>
        <w:pStyle w:val="meetingname"/>
        <w:suppressLineNumbers/>
        <w:suppressAutoHyphens/>
        <w:spacing w:before="120"/>
        <w:ind w:left="0" w:right="4392" w:firstLine="0"/>
        <w:rPr>
          <w:rFonts w:eastAsia="Times New Roman"/>
          <w:kern w:val="22"/>
          <w:szCs w:val="24"/>
          <w:lang w:val="es-ES"/>
        </w:rPr>
      </w:pPr>
      <w:bookmarkStart w:id="0" w:name="Meeting"/>
      <w:bookmarkStart w:id="1" w:name="_Hlk47946195"/>
      <w:r w:rsidRPr="002647CE">
        <w:rPr>
          <w:rFonts w:eastAsia="Times New Roman"/>
          <w:szCs w:val="24"/>
          <w:lang w:val="es-ES"/>
        </w:rPr>
        <w:t>ÓRGANO SUBSIDIARIO SOBRE LA APLICACIÓN</w:t>
      </w:r>
      <w:bookmarkEnd w:id="0"/>
    </w:p>
    <w:p w:rsidR="00680F35" w:rsidRPr="002647CE" w:rsidRDefault="00680F35">
      <w:pPr>
        <w:suppressLineNumbers/>
        <w:suppressAutoHyphens/>
        <w:ind w:left="284" w:hanging="284"/>
        <w:jc w:val="left"/>
        <w:rPr>
          <w:rFonts w:eastAsia="Times New Roman"/>
          <w:kern w:val="22"/>
          <w:lang w:val="es-ES"/>
        </w:rPr>
      </w:pPr>
      <w:r w:rsidRPr="002647CE">
        <w:rPr>
          <w:rFonts w:eastAsia="Times New Roman"/>
          <w:lang w:val="es-ES"/>
        </w:rPr>
        <w:t>Tercera reunión</w:t>
      </w:r>
    </w:p>
    <w:p w:rsidR="00680F35" w:rsidRPr="002647CE" w:rsidRDefault="00680F35">
      <w:pPr>
        <w:pStyle w:val="Cornernotation"/>
        <w:suppressLineNumbers/>
        <w:suppressAutoHyphens/>
        <w:kinsoku w:val="0"/>
        <w:overflowPunct w:val="0"/>
        <w:autoSpaceDE w:val="0"/>
        <w:autoSpaceDN w:val="0"/>
        <w:ind w:left="227" w:right="3970" w:hanging="227"/>
        <w:rPr>
          <w:rFonts w:ascii="Batang" w:eastAsia="Batang"/>
          <w:color w:val="000000"/>
          <w:kern w:val="22"/>
          <w:lang w:val="es-ES"/>
        </w:rPr>
      </w:pPr>
      <w:r w:rsidRPr="002647CE">
        <w:rPr>
          <w:color w:val="000000"/>
          <w:kern w:val="22"/>
          <w:lang w:val="es-ES"/>
        </w:rPr>
        <w:t>Lugar y fechas por determinar</w:t>
      </w:r>
    </w:p>
    <w:p w:rsidR="00680F35" w:rsidRPr="002647CE" w:rsidRDefault="00680F35">
      <w:pPr>
        <w:pStyle w:val="Cornernotation"/>
        <w:suppressLineNumbers/>
        <w:suppressAutoHyphens/>
        <w:kinsoku w:val="0"/>
        <w:overflowPunct w:val="0"/>
        <w:autoSpaceDE w:val="0"/>
        <w:autoSpaceDN w:val="0"/>
        <w:ind w:left="227" w:right="3970" w:hanging="227"/>
        <w:rPr>
          <w:rFonts w:ascii="Batang" w:eastAsia="Batang"/>
          <w:color w:val="000000"/>
          <w:kern w:val="22"/>
          <w:lang w:val="es-ES"/>
        </w:rPr>
      </w:pPr>
      <w:bookmarkStart w:id="2" w:name="_Hlk35353706"/>
      <w:bookmarkEnd w:id="1"/>
      <w:r w:rsidRPr="002647CE">
        <w:rPr>
          <w:kern w:val="22"/>
          <w:lang w:val="es-ES"/>
        </w:rPr>
        <w:t xml:space="preserve">Tema 7 </w:t>
      </w:r>
      <w:r w:rsidRPr="002647CE">
        <w:rPr>
          <w:lang w:val="es-ES"/>
        </w:rPr>
        <w:t>del programa provisional</w:t>
      </w:r>
      <w:r w:rsidRPr="002647CE">
        <w:rPr>
          <w:rStyle w:val="FootnoteReference"/>
          <w:kern w:val="22"/>
          <w:vertAlign w:val="baseline"/>
          <w:lang w:val="es-ES"/>
        </w:rPr>
        <w:footnoteReference w:customMarkFollows="1" w:id="1"/>
        <w:t>*</w:t>
      </w:r>
      <w:bookmarkEnd w:id="2"/>
    </w:p>
    <w:p w:rsidR="00680F35" w:rsidRPr="002647CE" w:rsidRDefault="00680F35" w:rsidP="00EA59B0">
      <w:pPr>
        <w:suppressLineNumbers/>
        <w:suppressAutoHyphens/>
        <w:kinsoku w:val="0"/>
        <w:overflowPunct w:val="0"/>
        <w:autoSpaceDE w:val="0"/>
        <w:autoSpaceDN w:val="0"/>
        <w:spacing w:before="240" w:after="120"/>
        <w:ind w:left="284"/>
        <w:jc w:val="center"/>
        <w:rPr>
          <w:rFonts w:eastAsia="Times New Roman"/>
          <w:b/>
          <w:caps/>
          <w:kern w:val="22"/>
          <w:lang w:val="es-ES"/>
        </w:rPr>
      </w:pPr>
      <w:r w:rsidRPr="002647CE">
        <w:rPr>
          <w:rFonts w:eastAsia="Times New Roman"/>
          <w:b/>
          <w:caps/>
          <w:kern w:val="22"/>
          <w:lang w:val="es-ES"/>
        </w:rPr>
        <w:t>COMPONENTE DE GESTIÓN DE LOS CONOCIMIENTOS DEL MARCO MUNDIAL PARA LA DIVERSIDAD BIOLÓGICA POSTERIOR A 2020</w:t>
      </w:r>
    </w:p>
    <w:p w:rsidR="00680F35" w:rsidRPr="002647CE" w:rsidRDefault="00680F35" w:rsidP="00EA59B0">
      <w:pPr>
        <w:pStyle w:val="Para1"/>
        <w:numPr>
          <w:ilvl w:val="0"/>
          <w:numId w:val="0"/>
        </w:numPr>
        <w:suppressLineNumbers/>
        <w:suppressAutoHyphens/>
        <w:kinsoku w:val="0"/>
        <w:overflowPunct w:val="0"/>
        <w:autoSpaceDE w:val="0"/>
        <w:autoSpaceDN w:val="0"/>
        <w:adjustRightInd w:val="0"/>
        <w:snapToGrid w:val="0"/>
        <w:jc w:val="center"/>
        <w:rPr>
          <w:rFonts w:eastAsia="Times New Roman"/>
          <w:i/>
          <w:kern w:val="22"/>
          <w:szCs w:val="24"/>
          <w:lang w:val="es-ES"/>
        </w:rPr>
      </w:pPr>
      <w:r w:rsidRPr="002647CE">
        <w:rPr>
          <w:rFonts w:eastAsia="Times New Roman"/>
          <w:i/>
          <w:kern w:val="22"/>
          <w:szCs w:val="24"/>
          <w:lang w:val="es-ES"/>
        </w:rPr>
        <w:t>Nota de la Secretaria Ejecutiva</w:t>
      </w:r>
    </w:p>
    <w:p w:rsidR="00680F35" w:rsidRPr="002647CE" w:rsidRDefault="00680F35">
      <w:pPr>
        <w:pStyle w:val="Heading1"/>
        <w:numPr>
          <w:ilvl w:val="0"/>
          <w:numId w:val="5"/>
        </w:numPr>
        <w:suppressLineNumbers/>
        <w:suppressAutoHyphens/>
        <w:spacing w:before="120"/>
        <w:ind w:left="720"/>
        <w:rPr>
          <w:rFonts w:eastAsia="Times New Roman"/>
          <w:kern w:val="22"/>
          <w:lang w:val="es-ES"/>
        </w:rPr>
      </w:pPr>
      <w:r w:rsidRPr="002647CE">
        <w:rPr>
          <w:rFonts w:eastAsia="Times New Roman"/>
          <w:kern w:val="22"/>
          <w:lang w:val="es-ES"/>
        </w:rPr>
        <w:t>Introducción</w:t>
      </w:r>
    </w:p>
    <w:p w:rsidR="00680F35" w:rsidRPr="002647CE" w:rsidRDefault="00680F35">
      <w:pPr>
        <w:pStyle w:val="Para1"/>
        <w:numPr>
          <w:ilvl w:val="0"/>
          <w:numId w:val="10"/>
        </w:numPr>
        <w:suppressLineNumbers/>
        <w:tabs>
          <w:tab w:val="clear" w:pos="360"/>
        </w:tabs>
        <w:suppressAutoHyphens/>
        <w:rPr>
          <w:rFonts w:eastAsia="Times New Roman"/>
          <w:kern w:val="22"/>
          <w:szCs w:val="22"/>
          <w:lang w:val="es-ES"/>
        </w:rPr>
      </w:pPr>
      <w:r w:rsidRPr="002647CE">
        <w:rPr>
          <w:rFonts w:eastAsia="Times New Roman"/>
          <w:kern w:val="22"/>
          <w:szCs w:val="22"/>
          <w:lang w:val="es-ES"/>
        </w:rPr>
        <w:t xml:space="preserve">En su decisión </w:t>
      </w:r>
      <w:hyperlink r:id="rId11" w:history="1">
        <w:r w:rsidRPr="002647CE">
          <w:rPr>
            <w:rStyle w:val="Hyperlink"/>
            <w:rFonts w:eastAsia="Times New Roman"/>
            <w:kern w:val="22"/>
            <w:sz w:val="22"/>
            <w:szCs w:val="22"/>
            <w:lang w:val="es-ES"/>
          </w:rPr>
          <w:t>14/25</w:t>
        </w:r>
      </w:hyperlink>
      <w:r w:rsidRPr="002647CE">
        <w:rPr>
          <w:rFonts w:eastAsia="Times New Roman"/>
          <w:kern w:val="22"/>
          <w:szCs w:val="22"/>
          <w:lang w:val="es-ES"/>
        </w:rPr>
        <w:t xml:space="preserve">, la Conferencia de las Partes pidió a la Secretaria Ejecutiva que, en consulta con los comités asesores oficiosos </w:t>
      </w:r>
      <w:r w:rsidR="00EA59B0" w:rsidRPr="002647CE">
        <w:rPr>
          <w:rFonts w:eastAsia="Times New Roman"/>
          <w:kern w:val="22"/>
          <w:szCs w:val="22"/>
          <w:lang w:val="es-ES"/>
        </w:rPr>
        <w:t xml:space="preserve">para </w:t>
      </w:r>
      <w:r w:rsidRPr="002647CE">
        <w:rPr>
          <w:rFonts w:eastAsia="Times New Roman"/>
          <w:kern w:val="22"/>
          <w:szCs w:val="22"/>
          <w:lang w:val="es-ES"/>
        </w:rPr>
        <w:t>el mecanismo de facilitación, el Centro de Intercambio de Información sobre Seguridad de la Biotecnología y el Centro de Intercambio de Información sobre Acceso y Participación en los Beneficios, elaborara un componente de gestión de los conocimientos como parte del proceso de preparación para el marco mundial de la diversidad biológica posterior a 2020.</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En diversas disposiciones y decisiones de convenios y procesos relacionados con la diversidad biológica se reconoce la importancia crítica que tiene la gestión de la información y los conocimientos para el logro de sus objetivos</w:t>
      </w:r>
      <w:r w:rsidRPr="002647CE">
        <w:rPr>
          <w:rStyle w:val="FootnoteReference"/>
          <w:rFonts w:eastAsia="Times New Roman"/>
          <w:kern w:val="22"/>
          <w:szCs w:val="24"/>
          <w:lang w:val="es-ES"/>
        </w:rPr>
        <w:footnoteReference w:id="2"/>
      </w:r>
      <w:r w:rsidRPr="002647CE">
        <w:rPr>
          <w:rFonts w:eastAsia="Times New Roman"/>
          <w:kern w:val="22"/>
          <w:szCs w:val="24"/>
          <w:lang w:val="es-ES"/>
        </w:rPr>
        <w:t xml:space="preserve">. En el Plan Estratégico para la Diversidad Biológica 2011-2020 se </w:t>
      </w:r>
      <w:r w:rsidR="008F2DD1" w:rsidRPr="002647CE">
        <w:rPr>
          <w:rFonts w:eastAsia="Times New Roman"/>
          <w:kern w:val="22"/>
          <w:szCs w:val="24"/>
          <w:lang w:val="es-ES"/>
        </w:rPr>
        <w:t>incluyó</w:t>
      </w:r>
      <w:r w:rsidRPr="002647CE">
        <w:rPr>
          <w:rFonts w:eastAsia="Times New Roman"/>
          <w:kern w:val="22"/>
          <w:szCs w:val="24"/>
          <w:lang w:val="es-ES"/>
        </w:rPr>
        <w:t xml:space="preserve"> como Objetivo E el de mejorar la aplicación a través de la planificación participativa, la gestión de los conocimientos y la creación de capacidad</w:t>
      </w:r>
      <w:r w:rsidRPr="002647CE">
        <w:rPr>
          <w:rStyle w:val="FootnoteReference"/>
          <w:rFonts w:eastAsia="Times New Roman"/>
          <w:kern w:val="22"/>
          <w:szCs w:val="24"/>
          <w:lang w:val="es-ES"/>
        </w:rPr>
        <w:footnoteReference w:id="3"/>
      </w:r>
      <w:r w:rsidRPr="002647CE">
        <w:rPr>
          <w:rFonts w:eastAsia="Times New Roman"/>
          <w:kern w:val="22"/>
          <w:szCs w:val="24"/>
          <w:lang w:val="es-ES"/>
        </w:rPr>
        <w:t xml:space="preserve">. Como Meta 19 </w:t>
      </w:r>
      <w:r w:rsidR="008F2DD1" w:rsidRPr="002647CE">
        <w:rPr>
          <w:rFonts w:eastAsia="Times New Roman"/>
          <w:kern w:val="22"/>
          <w:szCs w:val="24"/>
          <w:lang w:val="es-ES"/>
        </w:rPr>
        <w:t xml:space="preserve">del Plan </w:t>
      </w:r>
      <w:r w:rsidRPr="002647CE">
        <w:rPr>
          <w:rFonts w:eastAsia="Times New Roman"/>
          <w:kern w:val="22"/>
          <w:szCs w:val="24"/>
          <w:lang w:val="es-ES"/>
        </w:rPr>
        <w:t xml:space="preserve">también se </w:t>
      </w:r>
      <w:r w:rsidR="008F2DD1" w:rsidRPr="002647CE">
        <w:rPr>
          <w:rFonts w:eastAsia="Times New Roman"/>
          <w:kern w:val="22"/>
          <w:szCs w:val="24"/>
          <w:lang w:val="es-ES"/>
        </w:rPr>
        <w:t>estableció</w:t>
      </w:r>
      <w:r w:rsidRPr="002647CE">
        <w:rPr>
          <w:rFonts w:eastAsia="Times New Roman"/>
          <w:kern w:val="22"/>
          <w:szCs w:val="24"/>
          <w:lang w:val="es-ES"/>
        </w:rPr>
        <w:t xml:space="preserve"> que “para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 </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En el Plan Estratégico para la Diversidad Biológica 2011-2020 se reconocía que el logro de sus objetivos y metas requeriría mecanismos de apoyo mejorados, incluidos la generación, uso e intercambio de conocimientos, y se señalaba que las Partes y los interesados directos poseen colectivamente un cúmulo de experiencia y han desarrollado numerosos casos de buenas prácticas, instrumentos y orientaci</w:t>
      </w:r>
      <w:r w:rsidR="008F2DD1" w:rsidRPr="002647CE">
        <w:rPr>
          <w:rFonts w:eastAsia="Times New Roman"/>
          <w:kern w:val="22"/>
          <w:szCs w:val="24"/>
          <w:lang w:val="es-ES"/>
        </w:rPr>
        <w:t>ó</w:t>
      </w:r>
      <w:r w:rsidRPr="002647CE">
        <w:rPr>
          <w:rFonts w:eastAsia="Times New Roman"/>
          <w:kern w:val="22"/>
          <w:szCs w:val="24"/>
          <w:lang w:val="es-ES"/>
        </w:rPr>
        <w:t xml:space="preserve">n útiles y que existe también información útil más allá de esta comunidad. </w:t>
      </w:r>
      <w:r w:rsidR="008F2DD1" w:rsidRPr="002647CE">
        <w:rPr>
          <w:rFonts w:eastAsia="Times New Roman"/>
          <w:kern w:val="22"/>
          <w:szCs w:val="24"/>
          <w:lang w:val="es-ES"/>
        </w:rPr>
        <w:t>E</w:t>
      </w:r>
      <w:r w:rsidRPr="002647CE">
        <w:rPr>
          <w:rFonts w:eastAsia="Times New Roman"/>
          <w:kern w:val="22"/>
          <w:szCs w:val="24"/>
          <w:lang w:val="es-ES"/>
        </w:rPr>
        <w:t>n el Plan</w:t>
      </w:r>
      <w:r w:rsidR="008F2DD1" w:rsidRPr="002647CE">
        <w:rPr>
          <w:rFonts w:eastAsia="Times New Roman"/>
          <w:kern w:val="22"/>
          <w:szCs w:val="24"/>
          <w:lang w:val="es-ES"/>
        </w:rPr>
        <w:t>, por lo tanto,</w:t>
      </w:r>
      <w:r w:rsidRPr="002647CE">
        <w:rPr>
          <w:rFonts w:eastAsia="Times New Roman"/>
          <w:kern w:val="22"/>
          <w:szCs w:val="24"/>
          <w:lang w:val="es-ES"/>
        </w:rPr>
        <w:t xml:space="preserve"> se </w:t>
      </w:r>
      <w:r w:rsidR="008F2DD1" w:rsidRPr="002647CE">
        <w:rPr>
          <w:rFonts w:eastAsia="Times New Roman"/>
          <w:kern w:val="22"/>
          <w:szCs w:val="24"/>
          <w:lang w:val="es-ES"/>
        </w:rPr>
        <w:t>llamaba</w:t>
      </w:r>
      <w:r w:rsidRPr="002647CE">
        <w:rPr>
          <w:rFonts w:eastAsia="Times New Roman"/>
          <w:kern w:val="22"/>
          <w:szCs w:val="24"/>
          <w:lang w:val="es-ES"/>
        </w:rPr>
        <w:t xml:space="preserve"> a </w:t>
      </w:r>
      <w:r w:rsidR="008F2DD1" w:rsidRPr="002647CE">
        <w:rPr>
          <w:rFonts w:eastAsia="Times New Roman"/>
          <w:kern w:val="22"/>
          <w:szCs w:val="24"/>
          <w:lang w:val="es-ES"/>
        </w:rPr>
        <w:t>d</w:t>
      </w:r>
      <w:r w:rsidRPr="002647CE">
        <w:rPr>
          <w:rFonts w:eastAsia="Times New Roman"/>
          <w:kern w:val="22"/>
          <w:szCs w:val="24"/>
          <w:lang w:val="es-ES"/>
        </w:rPr>
        <w:t>e</w:t>
      </w:r>
      <w:r w:rsidR="008F2DD1" w:rsidRPr="002647CE">
        <w:rPr>
          <w:rFonts w:eastAsia="Times New Roman"/>
          <w:kern w:val="22"/>
          <w:szCs w:val="24"/>
          <w:lang w:val="es-ES"/>
        </w:rPr>
        <w:t>s</w:t>
      </w:r>
      <w:r w:rsidRPr="002647CE">
        <w:rPr>
          <w:rFonts w:eastAsia="Times New Roman"/>
          <w:kern w:val="22"/>
          <w:szCs w:val="24"/>
          <w:lang w:val="es-ES"/>
        </w:rPr>
        <w:t>ar</w:t>
      </w:r>
      <w:r w:rsidR="008F2DD1" w:rsidRPr="002647CE">
        <w:rPr>
          <w:rFonts w:eastAsia="Times New Roman"/>
          <w:kern w:val="22"/>
          <w:szCs w:val="24"/>
          <w:lang w:val="es-ES"/>
        </w:rPr>
        <w:t>rollar</w:t>
      </w:r>
      <w:r w:rsidRPr="002647CE">
        <w:rPr>
          <w:rFonts w:eastAsia="Times New Roman"/>
          <w:kern w:val="22"/>
          <w:szCs w:val="24"/>
          <w:lang w:val="es-ES"/>
        </w:rPr>
        <w:t xml:space="preserve"> una red de conocimientos sobre diversidad biológica que incluyera una base de datos y una red de profesionales, a fin de reunir todos esos conocimientos y experiencia y ponerlos a disposición de</w:t>
      </w:r>
      <w:r w:rsidR="008F2DD1" w:rsidRPr="002647CE">
        <w:rPr>
          <w:rFonts w:eastAsia="Times New Roman"/>
          <w:kern w:val="22"/>
          <w:szCs w:val="24"/>
          <w:lang w:val="es-ES"/>
        </w:rPr>
        <w:t xml:space="preserve"> todos</w:t>
      </w:r>
      <w:r w:rsidRPr="002647CE">
        <w:rPr>
          <w:rFonts w:eastAsia="Times New Roman"/>
          <w:kern w:val="22"/>
          <w:szCs w:val="24"/>
          <w:lang w:val="es-ES"/>
        </w:rPr>
        <w:t xml:space="preserve"> los interesados a través del mecanismo de facilitación.</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 xml:space="preserve">En la quinta edición de la </w:t>
      </w:r>
      <w:r w:rsidRPr="002647CE">
        <w:rPr>
          <w:rFonts w:eastAsia="Times New Roman"/>
          <w:i/>
          <w:kern w:val="22"/>
          <w:szCs w:val="24"/>
          <w:lang w:val="es-ES"/>
        </w:rPr>
        <w:t>Perspectiva Mundial sobre la Diversidad Biológica</w:t>
      </w:r>
      <w:r w:rsidRPr="002647CE">
        <w:rPr>
          <w:rFonts w:eastAsia="Times New Roman"/>
          <w:kern w:val="22"/>
          <w:szCs w:val="24"/>
          <w:lang w:val="es-ES"/>
        </w:rPr>
        <w:t xml:space="preserve"> se observó que desde 2010 se ha</w:t>
      </w:r>
      <w:r w:rsidR="00E54BA4" w:rsidRPr="002647CE">
        <w:rPr>
          <w:rFonts w:eastAsia="Times New Roman"/>
          <w:kern w:val="22"/>
          <w:szCs w:val="24"/>
          <w:lang w:val="es-ES"/>
        </w:rPr>
        <w:t>n</w:t>
      </w:r>
      <w:r w:rsidRPr="002647CE">
        <w:rPr>
          <w:rFonts w:eastAsia="Times New Roman"/>
          <w:kern w:val="22"/>
          <w:szCs w:val="24"/>
          <w:lang w:val="es-ES"/>
        </w:rPr>
        <w:t xml:space="preserve"> logrado </w:t>
      </w:r>
      <w:r w:rsidR="00E54BA4" w:rsidRPr="002647CE">
        <w:rPr>
          <w:rFonts w:eastAsia="Times New Roman"/>
          <w:kern w:val="22"/>
          <w:szCs w:val="24"/>
          <w:lang w:val="es-ES"/>
        </w:rPr>
        <w:t>progresos</w:t>
      </w:r>
      <w:r w:rsidRPr="002647CE">
        <w:rPr>
          <w:rFonts w:eastAsia="Times New Roman"/>
          <w:kern w:val="22"/>
          <w:szCs w:val="24"/>
          <w:lang w:val="es-ES"/>
        </w:rPr>
        <w:t xml:space="preserve"> significativo</w:t>
      </w:r>
      <w:r w:rsidR="00E54BA4" w:rsidRPr="002647CE">
        <w:rPr>
          <w:rFonts w:eastAsia="Times New Roman"/>
          <w:kern w:val="22"/>
          <w:szCs w:val="24"/>
          <w:lang w:val="es-ES"/>
        </w:rPr>
        <w:t>s</w:t>
      </w:r>
      <w:r w:rsidRPr="002647CE">
        <w:rPr>
          <w:rFonts w:eastAsia="Times New Roman"/>
          <w:kern w:val="22"/>
          <w:szCs w:val="24"/>
          <w:lang w:val="es-ES"/>
        </w:rPr>
        <w:t xml:space="preserve"> en la generación, intercambio y evaluación de conocimientos, información y datos sobre la diversidad biológica, con </w:t>
      </w:r>
      <w:r w:rsidR="00E54BA4" w:rsidRPr="002647CE">
        <w:rPr>
          <w:rFonts w:eastAsia="Times New Roman"/>
          <w:kern w:val="22"/>
          <w:szCs w:val="24"/>
          <w:lang w:val="es-ES"/>
        </w:rPr>
        <w:t xml:space="preserve">la </w:t>
      </w:r>
      <w:r w:rsidRPr="002647CE">
        <w:rPr>
          <w:rFonts w:eastAsia="Times New Roman"/>
          <w:kern w:val="22"/>
          <w:szCs w:val="24"/>
          <w:lang w:val="es-ES"/>
        </w:rPr>
        <w:t xml:space="preserve">agregación de macrodatos y </w:t>
      </w:r>
      <w:r w:rsidR="00E54BA4" w:rsidRPr="002647CE">
        <w:rPr>
          <w:rFonts w:eastAsia="Times New Roman"/>
          <w:kern w:val="22"/>
          <w:szCs w:val="24"/>
          <w:lang w:val="es-ES"/>
        </w:rPr>
        <w:t xml:space="preserve">los </w:t>
      </w:r>
      <w:r w:rsidRPr="002647CE">
        <w:rPr>
          <w:rFonts w:eastAsia="Times New Roman"/>
          <w:kern w:val="22"/>
          <w:szCs w:val="24"/>
          <w:lang w:val="es-ES"/>
        </w:rPr>
        <w:lastRenderedPageBreak/>
        <w:t xml:space="preserve">avances en la </w:t>
      </w:r>
      <w:r w:rsidR="00E54BA4" w:rsidRPr="002647CE">
        <w:rPr>
          <w:rFonts w:eastAsia="Times New Roman"/>
          <w:kern w:val="22"/>
          <w:szCs w:val="24"/>
          <w:lang w:val="es-ES"/>
        </w:rPr>
        <w:t xml:space="preserve">generación de </w:t>
      </w:r>
      <w:r w:rsidRPr="002647CE">
        <w:rPr>
          <w:rFonts w:eastAsia="Times New Roman"/>
          <w:kern w:val="22"/>
          <w:szCs w:val="24"/>
          <w:lang w:val="es-ES"/>
        </w:rPr>
        <w:t>model</w:t>
      </w:r>
      <w:r w:rsidR="00E54BA4" w:rsidRPr="002647CE">
        <w:rPr>
          <w:rFonts w:eastAsia="Times New Roman"/>
          <w:kern w:val="22"/>
          <w:szCs w:val="24"/>
          <w:lang w:val="es-ES"/>
        </w:rPr>
        <w:t>o</w:t>
      </w:r>
      <w:r w:rsidR="00B407D4" w:rsidRPr="002647CE">
        <w:rPr>
          <w:rFonts w:eastAsia="Times New Roman"/>
          <w:kern w:val="22"/>
          <w:szCs w:val="24"/>
          <w:lang w:val="es-ES"/>
        </w:rPr>
        <w:t>s</w:t>
      </w:r>
      <w:r w:rsidRPr="002647CE">
        <w:rPr>
          <w:rFonts w:eastAsia="Times New Roman"/>
          <w:kern w:val="22"/>
          <w:szCs w:val="24"/>
          <w:lang w:val="es-ES"/>
        </w:rPr>
        <w:t xml:space="preserve"> y la inteligencia artificial</w:t>
      </w:r>
      <w:r w:rsidR="00E54BA4" w:rsidRPr="002647CE">
        <w:rPr>
          <w:rFonts w:eastAsia="Times New Roman"/>
          <w:kern w:val="22"/>
          <w:szCs w:val="24"/>
          <w:lang w:val="es-ES"/>
        </w:rPr>
        <w:t>,</w:t>
      </w:r>
      <w:r w:rsidRPr="002647CE">
        <w:rPr>
          <w:rFonts w:eastAsia="Times New Roman"/>
          <w:kern w:val="22"/>
          <w:szCs w:val="24"/>
          <w:lang w:val="es-ES"/>
        </w:rPr>
        <w:t xml:space="preserve"> que abren nuevas oportunidades para </w:t>
      </w:r>
      <w:r w:rsidR="00E54BA4" w:rsidRPr="002647CE">
        <w:rPr>
          <w:rFonts w:eastAsia="Times New Roman"/>
          <w:kern w:val="22"/>
          <w:szCs w:val="24"/>
          <w:lang w:val="es-ES"/>
        </w:rPr>
        <w:t>comprender</w:t>
      </w:r>
      <w:r w:rsidRPr="002647CE">
        <w:rPr>
          <w:rFonts w:eastAsia="Times New Roman"/>
          <w:kern w:val="22"/>
          <w:szCs w:val="24"/>
          <w:lang w:val="es-ES"/>
        </w:rPr>
        <w:t xml:space="preserve"> mejor la biosfera. No obstante, persisten importantes desequilibrios en </w:t>
      </w:r>
      <w:r w:rsidR="005E0106" w:rsidRPr="002647CE">
        <w:rPr>
          <w:rFonts w:eastAsia="Times New Roman"/>
          <w:kern w:val="22"/>
          <w:szCs w:val="24"/>
          <w:lang w:val="es-ES"/>
        </w:rPr>
        <w:t xml:space="preserve">cuanto a la ubicación y </w:t>
      </w:r>
      <w:r w:rsidRPr="002647CE">
        <w:rPr>
          <w:rFonts w:eastAsia="Times New Roman"/>
          <w:kern w:val="22"/>
          <w:szCs w:val="24"/>
          <w:lang w:val="es-ES"/>
        </w:rPr>
        <w:t xml:space="preserve">el enfoque taxonómico de los estudios y el seguimiento. También sigue </w:t>
      </w:r>
      <w:r w:rsidR="005E0106" w:rsidRPr="002647CE">
        <w:rPr>
          <w:rFonts w:eastAsia="Times New Roman"/>
          <w:kern w:val="22"/>
          <w:szCs w:val="24"/>
          <w:lang w:val="es-ES"/>
        </w:rPr>
        <w:t>habiendo</w:t>
      </w:r>
      <w:r w:rsidRPr="002647CE">
        <w:rPr>
          <w:rFonts w:eastAsia="Times New Roman"/>
          <w:kern w:val="22"/>
          <w:szCs w:val="24"/>
          <w:lang w:val="es-ES"/>
        </w:rPr>
        <w:t xml:space="preserve"> carencias de información en cuanto a las consecuencias </w:t>
      </w:r>
      <w:r w:rsidR="005E0106" w:rsidRPr="002647CE">
        <w:rPr>
          <w:rFonts w:eastAsia="Times New Roman"/>
          <w:kern w:val="22"/>
          <w:szCs w:val="24"/>
          <w:lang w:val="es-ES"/>
        </w:rPr>
        <w:t>de</w:t>
      </w:r>
      <w:r w:rsidRPr="002647CE">
        <w:rPr>
          <w:rFonts w:eastAsia="Times New Roman"/>
          <w:kern w:val="22"/>
          <w:szCs w:val="24"/>
          <w:lang w:val="es-ES"/>
        </w:rPr>
        <w:t xml:space="preserve"> la pérdida de diversidad biológica para las personas y </w:t>
      </w:r>
      <w:r w:rsidR="005E0106" w:rsidRPr="002647CE">
        <w:rPr>
          <w:rFonts w:eastAsia="Times New Roman"/>
          <w:kern w:val="22"/>
          <w:szCs w:val="24"/>
          <w:lang w:val="es-ES"/>
        </w:rPr>
        <w:t xml:space="preserve">es limitada </w:t>
      </w:r>
      <w:r w:rsidRPr="002647CE">
        <w:rPr>
          <w:rFonts w:eastAsia="Times New Roman"/>
          <w:kern w:val="22"/>
          <w:szCs w:val="24"/>
          <w:lang w:val="es-ES"/>
        </w:rPr>
        <w:t>la aplicación de conocimientos sobre la diversidad biológica en la toma de decisiones</w:t>
      </w:r>
      <w:r w:rsidRPr="002647CE">
        <w:rPr>
          <w:rStyle w:val="FootnoteReference"/>
          <w:rFonts w:eastAsia="Times New Roman"/>
          <w:kern w:val="22"/>
          <w:szCs w:val="24"/>
          <w:lang w:val="es-ES"/>
        </w:rPr>
        <w:footnoteReference w:id="4"/>
      </w:r>
      <w:r w:rsidRPr="002647CE">
        <w:rPr>
          <w:rFonts w:eastAsia="Times New Roman"/>
          <w:kern w:val="22"/>
          <w:szCs w:val="24"/>
          <w:lang w:val="es-ES"/>
        </w:rPr>
        <w:t>.</w:t>
      </w:r>
    </w:p>
    <w:p w:rsidR="00680F35" w:rsidRPr="002647CE" w:rsidRDefault="00680F35">
      <w:pPr>
        <w:pStyle w:val="Para1"/>
        <w:numPr>
          <w:ilvl w:val="0"/>
          <w:numId w:val="10"/>
        </w:numPr>
        <w:suppressLineNumbers/>
        <w:tabs>
          <w:tab w:val="clear" w:pos="360"/>
        </w:tabs>
        <w:suppressAutoHyphens/>
        <w:rPr>
          <w:rFonts w:eastAsia="Times New Roman"/>
          <w:kern w:val="22"/>
          <w:szCs w:val="24"/>
          <w:lang w:val="es-ES"/>
        </w:rPr>
      </w:pPr>
      <w:r w:rsidRPr="002647CE">
        <w:rPr>
          <w:rFonts w:eastAsia="Times New Roman"/>
          <w:kern w:val="22"/>
          <w:szCs w:val="24"/>
          <w:lang w:val="es-ES"/>
        </w:rPr>
        <w:t xml:space="preserve">En las reuniones del Grupo de </w:t>
      </w:r>
      <w:r w:rsidR="00B407D4" w:rsidRPr="002647CE">
        <w:rPr>
          <w:rFonts w:eastAsia="Times New Roman"/>
          <w:kern w:val="22"/>
          <w:szCs w:val="24"/>
          <w:lang w:val="es-ES"/>
        </w:rPr>
        <w:t xml:space="preserve">Trabajo de </w:t>
      </w:r>
      <w:r w:rsidRPr="002647CE">
        <w:rPr>
          <w:rFonts w:eastAsia="Times New Roman"/>
          <w:kern w:val="22"/>
          <w:szCs w:val="24"/>
          <w:lang w:val="es-ES"/>
        </w:rPr>
        <w:t>Composición Abierta sobre el Marco Mundial de la Diversidad Biológica posterior a 2020 y en las consultas t</w:t>
      </w:r>
      <w:r w:rsidR="00B407D4" w:rsidRPr="002647CE">
        <w:rPr>
          <w:rFonts w:eastAsia="Times New Roman"/>
          <w:kern w:val="22"/>
          <w:szCs w:val="24"/>
          <w:lang w:val="es-ES"/>
        </w:rPr>
        <w:t>emáticas y regionales asociadas</w:t>
      </w:r>
      <w:r w:rsidRPr="002647CE">
        <w:rPr>
          <w:rFonts w:eastAsia="Times New Roman"/>
          <w:kern w:val="22"/>
          <w:szCs w:val="24"/>
          <w:lang w:val="es-ES"/>
        </w:rPr>
        <w:t xml:space="preserve"> se determinó que la gestión de los conocimientos es uno de los medios fundamentales para la implementación exitosa del marco mundial de la diversidad biológica posterior a 2020, junto con la movilización de recursos, la creación de capacidad, la cooperación científica y técnica y la comunicación.</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 xml:space="preserve">En el presente documento se </w:t>
      </w:r>
      <w:r w:rsidR="002647CE" w:rsidRPr="002647CE">
        <w:rPr>
          <w:rFonts w:eastAsia="Times New Roman"/>
          <w:kern w:val="22"/>
          <w:szCs w:val="24"/>
          <w:lang w:val="es-ES"/>
        </w:rPr>
        <w:t>esbozan</w:t>
      </w:r>
      <w:r w:rsidRPr="002647CE">
        <w:rPr>
          <w:rFonts w:eastAsia="Times New Roman"/>
          <w:kern w:val="22"/>
          <w:szCs w:val="24"/>
          <w:lang w:val="es-ES"/>
        </w:rPr>
        <w:t xml:space="preserve"> elementos del componente de gestión de los conocimientos del marco mundial de la diversidad biológica posterior a 2020 y posibles estrategias para ponerlo en práctica. En la sección II se brinda una introducción </w:t>
      </w:r>
      <w:r w:rsidR="00B407D4" w:rsidRPr="002647CE">
        <w:rPr>
          <w:rFonts w:eastAsia="Times New Roman"/>
          <w:kern w:val="22"/>
          <w:szCs w:val="24"/>
          <w:lang w:val="es-ES"/>
        </w:rPr>
        <w:t>d</w:t>
      </w:r>
      <w:r w:rsidRPr="002647CE">
        <w:rPr>
          <w:rFonts w:eastAsia="Times New Roman"/>
          <w:kern w:val="22"/>
          <w:szCs w:val="24"/>
          <w:lang w:val="es-ES"/>
        </w:rPr>
        <w:t xml:space="preserve">el componente de gestión de los conocimientos y se expone su marco conceptual; en la sección III se </w:t>
      </w:r>
      <w:r w:rsidR="002647CE" w:rsidRPr="002647CE">
        <w:rPr>
          <w:rFonts w:eastAsia="Times New Roman"/>
          <w:kern w:val="22"/>
          <w:szCs w:val="24"/>
          <w:lang w:val="es-ES"/>
        </w:rPr>
        <w:t>presentan</w:t>
      </w:r>
      <w:r w:rsidRPr="002647CE">
        <w:rPr>
          <w:rFonts w:eastAsia="Times New Roman"/>
          <w:kern w:val="22"/>
          <w:szCs w:val="24"/>
          <w:lang w:val="es-ES"/>
        </w:rPr>
        <w:t xml:space="preserve"> la </w:t>
      </w:r>
      <w:r w:rsidR="002E0EF6" w:rsidRPr="002647CE">
        <w:rPr>
          <w:rFonts w:eastAsia="Times New Roman"/>
          <w:kern w:val="22"/>
          <w:szCs w:val="24"/>
          <w:lang w:val="es-ES"/>
        </w:rPr>
        <w:t>justificación</w:t>
      </w:r>
      <w:r w:rsidRPr="002647CE">
        <w:rPr>
          <w:rFonts w:eastAsia="Times New Roman"/>
          <w:kern w:val="22"/>
          <w:szCs w:val="24"/>
          <w:lang w:val="es-ES"/>
        </w:rPr>
        <w:t>, los objetivos y los efectos esperados del componente de gestión de los conocimientos; en la sección IV se proponen estrategias para mejorar la gestión de los conocimientos en apoyo al marco mundial de la diversidad biológica posterior a 2020</w:t>
      </w:r>
      <w:r w:rsidR="00B407D4" w:rsidRPr="002647CE">
        <w:rPr>
          <w:rFonts w:eastAsia="Times New Roman"/>
          <w:kern w:val="22"/>
          <w:szCs w:val="24"/>
          <w:lang w:val="es-ES"/>
        </w:rPr>
        <w:t>;</w:t>
      </w:r>
      <w:r w:rsidRPr="002647CE">
        <w:rPr>
          <w:rFonts w:eastAsia="Times New Roman"/>
          <w:kern w:val="22"/>
          <w:szCs w:val="24"/>
          <w:lang w:val="es-ES"/>
        </w:rPr>
        <w:t xml:space="preserve"> y en la sección V se describen posibles opciones para un marco de implementación.</w:t>
      </w:r>
    </w:p>
    <w:p w:rsidR="00680F35" w:rsidRPr="002647CE" w:rsidRDefault="00692503" w:rsidP="00692503">
      <w:pPr>
        <w:pStyle w:val="Heading2"/>
        <w:numPr>
          <w:ilvl w:val="0"/>
          <w:numId w:val="6"/>
        </w:numPr>
        <w:suppressLineNumbers/>
        <w:tabs>
          <w:tab w:val="clear" w:pos="720"/>
        </w:tabs>
        <w:suppressAutoHyphens/>
        <w:spacing w:before="0" w:after="0"/>
        <w:ind w:left="714" w:hanging="357"/>
        <w:rPr>
          <w:rFonts w:eastAsia="Times New Roman"/>
          <w:bCs w:val="0"/>
          <w:iCs w:val="0"/>
          <w:kern w:val="22"/>
          <w:lang w:val="es-ES"/>
        </w:rPr>
      </w:pPr>
      <w:r w:rsidRPr="002647CE">
        <w:rPr>
          <w:rFonts w:eastAsia="Times New Roman"/>
          <w:bCs w:val="0"/>
          <w:iCs w:val="0"/>
          <w:kern w:val="22"/>
          <w:lang w:val="es-ES"/>
        </w:rPr>
        <w:t>Justificación</w:t>
      </w:r>
      <w:r w:rsidR="00680F35" w:rsidRPr="002647CE">
        <w:rPr>
          <w:rFonts w:eastAsia="Times New Roman"/>
          <w:bCs w:val="0"/>
          <w:iCs w:val="0"/>
          <w:kern w:val="22"/>
          <w:lang w:val="es-ES"/>
        </w:rPr>
        <w:t xml:space="preserve"> del componente de gestión de los conocimientos</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 xml:space="preserve">La gestión de los conocimientos es uno de los medios estratégicos </w:t>
      </w:r>
      <w:r w:rsidR="00692503" w:rsidRPr="002647CE">
        <w:rPr>
          <w:rFonts w:eastAsia="Times New Roman"/>
          <w:kern w:val="22"/>
          <w:szCs w:val="24"/>
          <w:lang w:val="es-ES"/>
        </w:rPr>
        <w:t>clave para la</w:t>
      </w:r>
      <w:r w:rsidRPr="002647CE">
        <w:rPr>
          <w:rFonts w:eastAsia="Times New Roman"/>
          <w:kern w:val="22"/>
          <w:szCs w:val="24"/>
          <w:lang w:val="es-ES"/>
        </w:rPr>
        <w:t xml:space="preserve"> implementación que sustentarán el logro de los objetivos y las metas del marco mundial de la diversidad biológica posterior a 2020. Para que la planificación, la formulación de políticas, la adopción de decisiones y la implementación sean eficaces es crucial contar con acceso fácil y oportuno a los mejores y más idóneos </w:t>
      </w:r>
      <w:r w:rsidR="002647CE" w:rsidRPr="002647CE">
        <w:rPr>
          <w:rFonts w:eastAsia="Times New Roman"/>
          <w:kern w:val="22"/>
          <w:szCs w:val="24"/>
          <w:lang w:val="es-ES"/>
        </w:rPr>
        <w:t xml:space="preserve">recursos de </w:t>
      </w:r>
      <w:r w:rsidRPr="002647CE">
        <w:rPr>
          <w:rFonts w:eastAsia="Times New Roman"/>
          <w:kern w:val="22"/>
          <w:szCs w:val="24"/>
          <w:lang w:val="es-ES"/>
        </w:rPr>
        <w:t xml:space="preserve">datos, información y conocimientos sobre </w:t>
      </w:r>
      <w:r w:rsidR="002647CE" w:rsidRPr="002647CE">
        <w:rPr>
          <w:rFonts w:eastAsia="Times New Roman"/>
          <w:kern w:val="22"/>
          <w:szCs w:val="24"/>
          <w:lang w:val="es-ES"/>
        </w:rPr>
        <w:t xml:space="preserve">la </w:t>
      </w:r>
      <w:r w:rsidRPr="002647CE">
        <w:rPr>
          <w:rFonts w:eastAsia="Times New Roman"/>
          <w:kern w:val="22"/>
          <w:szCs w:val="24"/>
          <w:lang w:val="es-ES"/>
        </w:rPr>
        <w:t xml:space="preserve">diversidad biológica disponibles. Sin embargo, muchos Gobiernos y organizaciones siguen enfrentando </w:t>
      </w:r>
      <w:r w:rsidR="00EA7BF0" w:rsidRPr="002647CE">
        <w:rPr>
          <w:rFonts w:eastAsia="Times New Roman"/>
          <w:kern w:val="22"/>
          <w:szCs w:val="24"/>
          <w:lang w:val="es-ES"/>
        </w:rPr>
        <w:t xml:space="preserve">diversas </w:t>
      </w:r>
      <w:r w:rsidRPr="002647CE">
        <w:rPr>
          <w:rFonts w:eastAsia="Times New Roman"/>
          <w:kern w:val="22"/>
          <w:szCs w:val="24"/>
          <w:lang w:val="es-ES"/>
        </w:rPr>
        <w:t xml:space="preserve">dificultades </w:t>
      </w:r>
      <w:r w:rsidR="00EA7BF0" w:rsidRPr="002647CE">
        <w:rPr>
          <w:rFonts w:eastAsia="Times New Roman"/>
          <w:kern w:val="22"/>
          <w:szCs w:val="24"/>
          <w:lang w:val="es-ES"/>
        </w:rPr>
        <w:t>en la</w:t>
      </w:r>
      <w:r w:rsidRPr="002647CE">
        <w:rPr>
          <w:rFonts w:eastAsia="Times New Roman"/>
          <w:kern w:val="22"/>
          <w:szCs w:val="24"/>
          <w:lang w:val="es-ES"/>
        </w:rPr>
        <w:t xml:space="preserve"> </w:t>
      </w:r>
      <w:r w:rsidR="00EA7BF0" w:rsidRPr="002647CE">
        <w:rPr>
          <w:rFonts w:eastAsia="Times New Roman"/>
          <w:kern w:val="22"/>
          <w:szCs w:val="24"/>
          <w:lang w:val="es-ES"/>
        </w:rPr>
        <w:t>implementación de</w:t>
      </w:r>
      <w:r w:rsidRPr="002647CE">
        <w:rPr>
          <w:rFonts w:eastAsia="Times New Roman"/>
          <w:kern w:val="22"/>
          <w:szCs w:val="24"/>
          <w:lang w:val="es-ES"/>
        </w:rPr>
        <w:t xml:space="preserve"> procesos e iniciativas eficaces de gestión de los conocimientos. En muchos países, en particular en países en desarrollo y países con economías en transición, los datos, la información y los conocimientos sobre </w:t>
      </w:r>
      <w:r w:rsidR="00EA7BF0" w:rsidRPr="002647CE">
        <w:rPr>
          <w:rFonts w:eastAsia="Times New Roman"/>
          <w:kern w:val="22"/>
          <w:szCs w:val="24"/>
          <w:lang w:val="es-ES"/>
        </w:rPr>
        <w:t xml:space="preserve">la </w:t>
      </w:r>
      <w:r w:rsidRPr="002647CE">
        <w:rPr>
          <w:rFonts w:eastAsia="Times New Roman"/>
          <w:kern w:val="22"/>
          <w:szCs w:val="24"/>
          <w:lang w:val="es-ES"/>
        </w:rPr>
        <w:t>diversidad biológica que requieren los encargados de la formulación de políticas, los profesionales, los pueblos indígenas y las comunidades locales y los científicos son limitados. Además, gran parte de lo que está disponible está fragmentado, es difícil de encontrar o resulta inaccesible.</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En un</w:t>
      </w:r>
      <w:r w:rsidR="002647CE" w:rsidRPr="002647CE">
        <w:rPr>
          <w:rFonts w:eastAsia="Times New Roman"/>
          <w:kern w:val="22"/>
          <w:szCs w:val="24"/>
          <w:lang w:val="es-ES"/>
        </w:rPr>
        <w:t>a</w:t>
      </w:r>
      <w:r w:rsidRPr="002647CE">
        <w:rPr>
          <w:rFonts w:eastAsia="Times New Roman"/>
          <w:kern w:val="22"/>
          <w:szCs w:val="24"/>
          <w:lang w:val="es-ES"/>
        </w:rPr>
        <w:t xml:space="preserve"> reunión de expertos convocada en Cambridge (Reino Unido) entre el 10 y el 12 de abril de 2018 por Cambridge Conservation Initiative </w:t>
      </w:r>
      <w:r w:rsidR="006942D6">
        <w:rPr>
          <w:rFonts w:eastAsia="Times New Roman"/>
          <w:kern w:val="22"/>
          <w:szCs w:val="24"/>
          <w:lang w:val="es-ES"/>
        </w:rPr>
        <w:t>p</w:t>
      </w:r>
      <w:r w:rsidR="002647CE" w:rsidRPr="002647CE">
        <w:rPr>
          <w:rFonts w:eastAsia="Times New Roman"/>
          <w:kern w:val="22"/>
          <w:szCs w:val="24"/>
          <w:lang w:val="es-ES"/>
        </w:rPr>
        <w:t>a</w:t>
      </w:r>
      <w:r w:rsidR="006942D6">
        <w:rPr>
          <w:rFonts w:eastAsia="Times New Roman"/>
          <w:kern w:val="22"/>
          <w:szCs w:val="24"/>
          <w:lang w:val="es-ES"/>
        </w:rPr>
        <w:t>ra</w:t>
      </w:r>
      <w:r w:rsidRPr="002647CE">
        <w:rPr>
          <w:rFonts w:eastAsia="Times New Roman"/>
          <w:kern w:val="22"/>
          <w:szCs w:val="24"/>
          <w:lang w:val="es-ES"/>
        </w:rPr>
        <w:t xml:space="preserve"> promover la comprensión de la necesidad de basar la elaboración del marco mundial de la diversidad biológica posterior a 2020 en datos empíricos disponibles, se señaló, entre otras cosas, que </w:t>
      </w:r>
      <w:r w:rsidR="002647CE" w:rsidRPr="002647CE">
        <w:rPr>
          <w:rFonts w:eastAsia="Times New Roman"/>
          <w:kern w:val="22"/>
          <w:szCs w:val="24"/>
          <w:lang w:val="es-ES"/>
        </w:rPr>
        <w:t>existe</w:t>
      </w:r>
      <w:r w:rsidRPr="002647CE">
        <w:rPr>
          <w:rFonts w:eastAsia="Times New Roman"/>
          <w:kern w:val="22"/>
          <w:szCs w:val="24"/>
          <w:lang w:val="es-ES"/>
        </w:rPr>
        <w:t xml:space="preserve"> un importante cúmulo de datos, información y conocimientos, pero que con frecuencia estos no son fácilmente accesibles para quienes podrían </w:t>
      </w:r>
      <w:r w:rsidR="006942D6">
        <w:rPr>
          <w:rFonts w:eastAsia="Times New Roman"/>
          <w:kern w:val="22"/>
          <w:szCs w:val="24"/>
          <w:lang w:val="es-ES"/>
        </w:rPr>
        <w:t>darles la utilidad necesaria</w:t>
      </w:r>
      <w:r w:rsidRPr="002647CE">
        <w:rPr>
          <w:rFonts w:eastAsia="Times New Roman"/>
          <w:kern w:val="22"/>
          <w:szCs w:val="24"/>
          <w:lang w:val="es-ES"/>
        </w:rPr>
        <w:t xml:space="preserve">. Esto sucede por varias razones, entre ellas las barreras de pago de las revistas académicas, la confidencialidad o simplemente el desconocimiento de la existencia de tales recursos o de cómo usarlos. Los participantes subrayaron la necesidad de facilitar el “descubrimiento” de datos, información y conocimientos pertinentes de todas las fuentes y de facilitar su uso. También destacaron el valor potencial de elaborar una estrategia de generación de conocimientos o de investigación para determinar claramente </w:t>
      </w:r>
      <w:r w:rsidR="006C3139" w:rsidRPr="002647CE">
        <w:rPr>
          <w:rFonts w:eastAsia="Times New Roman"/>
          <w:kern w:val="22"/>
          <w:szCs w:val="24"/>
          <w:lang w:val="es-ES"/>
        </w:rPr>
        <w:t>qué</w:t>
      </w:r>
      <w:r w:rsidRPr="002647CE">
        <w:rPr>
          <w:rFonts w:eastAsia="Times New Roman"/>
          <w:kern w:val="22"/>
          <w:szCs w:val="24"/>
          <w:lang w:val="es-ES"/>
        </w:rPr>
        <w:t xml:space="preserve"> conocimientos se requieren para apoyar la implementación de un marco mundial de la diversidad biológica posterior a 2020. Por último, </w:t>
      </w:r>
      <w:r w:rsidR="006C3139" w:rsidRPr="002647CE">
        <w:rPr>
          <w:rFonts w:eastAsia="Times New Roman"/>
          <w:kern w:val="22"/>
          <w:szCs w:val="24"/>
          <w:lang w:val="es-ES"/>
        </w:rPr>
        <w:t>los expertos</w:t>
      </w:r>
      <w:r w:rsidRPr="002647CE">
        <w:rPr>
          <w:rFonts w:eastAsia="Times New Roman"/>
          <w:kern w:val="22"/>
          <w:szCs w:val="24"/>
          <w:lang w:val="es-ES"/>
        </w:rPr>
        <w:t xml:space="preserve"> </w:t>
      </w:r>
      <w:r w:rsidR="006C3139" w:rsidRPr="002647CE">
        <w:rPr>
          <w:rFonts w:eastAsia="Times New Roman"/>
          <w:kern w:val="22"/>
          <w:szCs w:val="24"/>
          <w:lang w:val="es-ES"/>
        </w:rPr>
        <w:t>insistieron</w:t>
      </w:r>
      <w:r w:rsidRPr="002647CE">
        <w:rPr>
          <w:rFonts w:eastAsia="Times New Roman"/>
          <w:kern w:val="22"/>
          <w:szCs w:val="24"/>
          <w:lang w:val="es-ES"/>
        </w:rPr>
        <w:t xml:space="preserve"> </w:t>
      </w:r>
      <w:r w:rsidR="006942D6" w:rsidRPr="002647CE">
        <w:rPr>
          <w:rFonts w:eastAsia="Times New Roman"/>
          <w:kern w:val="22"/>
          <w:szCs w:val="24"/>
          <w:lang w:val="es-ES"/>
        </w:rPr>
        <w:t xml:space="preserve">en </w:t>
      </w:r>
      <w:r w:rsidR="006942D6">
        <w:rPr>
          <w:rFonts w:eastAsia="Times New Roman"/>
          <w:kern w:val="22"/>
          <w:szCs w:val="24"/>
          <w:lang w:val="es-ES"/>
        </w:rPr>
        <w:t>que para que una</w:t>
      </w:r>
      <w:r w:rsidR="006942D6" w:rsidRPr="002647CE">
        <w:rPr>
          <w:rFonts w:eastAsia="Times New Roman"/>
          <w:kern w:val="22"/>
          <w:szCs w:val="24"/>
          <w:lang w:val="es-ES"/>
        </w:rPr>
        <w:t xml:space="preserve"> estrategia de generación de conocimientos o de investigación sea eficaz </w:t>
      </w:r>
      <w:r w:rsidR="006942D6">
        <w:rPr>
          <w:rFonts w:eastAsia="Times New Roman"/>
          <w:kern w:val="22"/>
          <w:szCs w:val="24"/>
          <w:lang w:val="es-ES"/>
        </w:rPr>
        <w:t>d</w:t>
      </w:r>
      <w:r w:rsidRPr="002647CE">
        <w:rPr>
          <w:rFonts w:eastAsia="Times New Roman"/>
          <w:kern w:val="22"/>
          <w:szCs w:val="24"/>
          <w:lang w:val="es-ES"/>
        </w:rPr>
        <w:t>e</w:t>
      </w:r>
      <w:r w:rsidR="006942D6">
        <w:rPr>
          <w:rFonts w:eastAsia="Times New Roman"/>
          <w:kern w:val="22"/>
          <w:szCs w:val="24"/>
          <w:lang w:val="es-ES"/>
        </w:rPr>
        <w:t>be</w:t>
      </w:r>
      <w:r w:rsidRPr="002647CE">
        <w:rPr>
          <w:rFonts w:eastAsia="Times New Roman"/>
          <w:kern w:val="22"/>
          <w:szCs w:val="24"/>
          <w:lang w:val="es-ES"/>
        </w:rPr>
        <w:t xml:space="preserve"> incluir datos empíricos de distintos sistemas de conocim</w:t>
      </w:r>
      <w:r w:rsidR="00036FFB" w:rsidRPr="002647CE">
        <w:rPr>
          <w:rFonts w:eastAsia="Times New Roman"/>
          <w:kern w:val="22"/>
          <w:szCs w:val="24"/>
          <w:lang w:val="es-ES"/>
        </w:rPr>
        <w:t xml:space="preserve">ientos, </w:t>
      </w:r>
      <w:r w:rsidRPr="002647CE">
        <w:rPr>
          <w:rFonts w:eastAsia="Times New Roman"/>
          <w:kern w:val="22"/>
          <w:szCs w:val="24"/>
          <w:lang w:val="es-ES"/>
        </w:rPr>
        <w:t>en particular de sistemas de conocimientos tradicionales</w:t>
      </w:r>
      <w:r w:rsidRPr="002647CE">
        <w:rPr>
          <w:rStyle w:val="FootnoteReference"/>
          <w:rFonts w:eastAsia="Times New Roman"/>
          <w:kern w:val="22"/>
          <w:szCs w:val="24"/>
          <w:lang w:val="es-ES"/>
        </w:rPr>
        <w:footnoteReference w:id="5"/>
      </w:r>
      <w:r w:rsidRPr="002647CE">
        <w:rPr>
          <w:rFonts w:eastAsia="Times New Roman"/>
          <w:kern w:val="22"/>
          <w:szCs w:val="24"/>
          <w:lang w:val="es-ES"/>
        </w:rPr>
        <w:t>.</w:t>
      </w:r>
    </w:p>
    <w:p w:rsidR="00680F35" w:rsidRPr="002647CE" w:rsidRDefault="00036FFB" w:rsidP="009B0E51">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E</w:t>
      </w:r>
      <w:r w:rsidR="00680F35" w:rsidRPr="002647CE">
        <w:rPr>
          <w:rFonts w:eastAsia="Times New Roman"/>
          <w:kern w:val="22"/>
          <w:szCs w:val="24"/>
          <w:lang w:val="es-ES"/>
        </w:rPr>
        <w:t xml:space="preserve">l componente de gestión de los conocimientos </w:t>
      </w:r>
      <w:r w:rsidRPr="002647CE">
        <w:rPr>
          <w:rFonts w:eastAsia="Times New Roman"/>
          <w:kern w:val="22"/>
          <w:szCs w:val="24"/>
          <w:lang w:val="es-ES"/>
        </w:rPr>
        <w:t>está dirigido a</w:t>
      </w:r>
      <w:r w:rsidR="00680F35" w:rsidRPr="002647CE">
        <w:rPr>
          <w:rFonts w:eastAsia="Times New Roman"/>
          <w:kern w:val="22"/>
          <w:szCs w:val="24"/>
          <w:lang w:val="es-ES"/>
        </w:rPr>
        <w:t xml:space="preserve"> abordar algunas de las cuestiones </w:t>
      </w:r>
      <w:r w:rsidR="006942D6">
        <w:rPr>
          <w:rFonts w:eastAsia="Times New Roman"/>
          <w:kern w:val="22"/>
          <w:szCs w:val="24"/>
          <w:lang w:val="es-ES"/>
        </w:rPr>
        <w:t xml:space="preserve">antes </w:t>
      </w:r>
      <w:r w:rsidR="00680F35" w:rsidRPr="002647CE">
        <w:rPr>
          <w:rFonts w:eastAsia="Times New Roman"/>
          <w:kern w:val="22"/>
          <w:szCs w:val="24"/>
          <w:lang w:val="es-ES"/>
        </w:rPr>
        <w:t xml:space="preserve">mencionadas, entre ellas las barreras que impiden la utilización eficaz de los datos, la información y </w:t>
      </w:r>
      <w:r w:rsidR="00680F35" w:rsidRPr="002647CE">
        <w:rPr>
          <w:rFonts w:eastAsia="Times New Roman"/>
          <w:kern w:val="22"/>
          <w:szCs w:val="24"/>
          <w:lang w:val="es-ES"/>
        </w:rPr>
        <w:lastRenderedPageBreak/>
        <w:t xml:space="preserve">los conocimientos </w:t>
      </w:r>
      <w:r w:rsidRPr="002647CE">
        <w:rPr>
          <w:rFonts w:eastAsia="Times New Roman"/>
          <w:kern w:val="22"/>
          <w:szCs w:val="24"/>
          <w:lang w:val="es-ES"/>
        </w:rPr>
        <w:t>sobre</w:t>
      </w:r>
      <w:r w:rsidR="00680F35" w:rsidRPr="002647CE">
        <w:rPr>
          <w:rFonts w:eastAsia="Times New Roman"/>
          <w:kern w:val="22"/>
          <w:szCs w:val="24"/>
          <w:lang w:val="es-ES"/>
        </w:rPr>
        <w:t xml:space="preserve"> </w:t>
      </w:r>
      <w:r w:rsidRPr="002647CE">
        <w:rPr>
          <w:rFonts w:eastAsia="Times New Roman"/>
          <w:kern w:val="22"/>
          <w:szCs w:val="24"/>
          <w:lang w:val="es-ES"/>
        </w:rPr>
        <w:t xml:space="preserve">la </w:t>
      </w:r>
      <w:r w:rsidR="00680F35" w:rsidRPr="002647CE">
        <w:rPr>
          <w:rFonts w:eastAsia="Times New Roman"/>
          <w:kern w:val="22"/>
          <w:szCs w:val="24"/>
          <w:lang w:val="es-ES"/>
        </w:rPr>
        <w:t>diversidad biológica existentes</w:t>
      </w:r>
      <w:r w:rsidR="006942D6">
        <w:rPr>
          <w:rFonts w:eastAsia="Times New Roman"/>
          <w:kern w:val="22"/>
          <w:szCs w:val="24"/>
          <w:lang w:val="es-ES"/>
        </w:rPr>
        <w:t>,</w:t>
      </w:r>
      <w:r w:rsidR="00680F35" w:rsidRPr="002647CE">
        <w:rPr>
          <w:rFonts w:eastAsia="Times New Roman"/>
          <w:kern w:val="22"/>
          <w:szCs w:val="24"/>
          <w:lang w:val="es-ES"/>
        </w:rPr>
        <w:t xml:space="preserve"> aprovechando </w:t>
      </w:r>
      <w:r w:rsidR="006942D6">
        <w:rPr>
          <w:rFonts w:eastAsia="Times New Roman"/>
          <w:kern w:val="22"/>
          <w:szCs w:val="24"/>
          <w:lang w:val="es-ES"/>
        </w:rPr>
        <w:t xml:space="preserve">para superar esas barreras </w:t>
      </w:r>
      <w:r w:rsidR="00680F35" w:rsidRPr="002647CE">
        <w:rPr>
          <w:rFonts w:eastAsia="Times New Roman"/>
          <w:kern w:val="22"/>
          <w:szCs w:val="24"/>
          <w:lang w:val="es-ES"/>
        </w:rPr>
        <w:t xml:space="preserve">las iniciativas y redes de gestión de los conocimientos </w:t>
      </w:r>
      <w:r w:rsidRPr="002647CE">
        <w:rPr>
          <w:rFonts w:eastAsia="Times New Roman"/>
          <w:kern w:val="22"/>
          <w:szCs w:val="24"/>
          <w:lang w:val="es-ES"/>
        </w:rPr>
        <w:t xml:space="preserve">sobre la </w:t>
      </w:r>
      <w:r w:rsidR="00680F35" w:rsidRPr="002647CE">
        <w:rPr>
          <w:rFonts w:eastAsia="Times New Roman"/>
          <w:kern w:val="22"/>
          <w:szCs w:val="24"/>
          <w:lang w:val="es-ES"/>
        </w:rPr>
        <w:t xml:space="preserve">diversidad biológica existentes, </w:t>
      </w:r>
      <w:r w:rsidR="006942D6">
        <w:rPr>
          <w:rFonts w:eastAsia="Times New Roman"/>
          <w:kern w:val="22"/>
          <w:szCs w:val="24"/>
          <w:lang w:val="es-ES"/>
        </w:rPr>
        <w:t>subsanando</w:t>
      </w:r>
      <w:r w:rsidR="00680F35" w:rsidRPr="002647CE">
        <w:rPr>
          <w:rFonts w:eastAsia="Times New Roman"/>
          <w:kern w:val="22"/>
          <w:szCs w:val="24"/>
          <w:lang w:val="es-ES"/>
        </w:rPr>
        <w:t xml:space="preserve"> las carencias que impiden su plena utilización y mejorando la coordinación y colaboración entre ellas. Tales esfuerzos requieren que se reconozcan y optimicen los aportes de diversas instituciones gubernamentales y no gubernamentales, organizaciones regionales e internacionales, investigadores, profesionales y otros interesados directos dedicados a la gestión de los conocimientos </w:t>
      </w:r>
      <w:r w:rsidRPr="002647CE">
        <w:rPr>
          <w:rFonts w:eastAsia="Times New Roman"/>
          <w:kern w:val="22"/>
          <w:szCs w:val="24"/>
          <w:lang w:val="es-ES"/>
        </w:rPr>
        <w:t>sobre la</w:t>
      </w:r>
      <w:r w:rsidR="00680F35" w:rsidRPr="002647CE">
        <w:rPr>
          <w:rFonts w:eastAsia="Times New Roman"/>
          <w:kern w:val="22"/>
          <w:szCs w:val="24"/>
          <w:lang w:val="es-ES"/>
        </w:rPr>
        <w:t xml:space="preserve"> diversidad biológica.</w:t>
      </w:r>
    </w:p>
    <w:p w:rsidR="00680F35" w:rsidRPr="002647CE" w:rsidRDefault="00680F35">
      <w:pPr>
        <w:pStyle w:val="Heading2"/>
        <w:numPr>
          <w:ilvl w:val="0"/>
          <w:numId w:val="6"/>
        </w:numPr>
        <w:suppressLineNumbers/>
        <w:tabs>
          <w:tab w:val="clear" w:pos="720"/>
        </w:tabs>
        <w:suppressAutoHyphens/>
        <w:ind w:left="714" w:hanging="357"/>
        <w:rPr>
          <w:rFonts w:eastAsia="Times New Roman"/>
          <w:bCs w:val="0"/>
          <w:iCs w:val="0"/>
          <w:kern w:val="22"/>
          <w:lang w:val="es-ES"/>
        </w:rPr>
      </w:pPr>
      <w:bookmarkStart w:id="3" w:name="_Hlk33447232"/>
      <w:r w:rsidRPr="002647CE">
        <w:rPr>
          <w:rFonts w:eastAsia="Times New Roman"/>
          <w:bCs w:val="0"/>
          <w:iCs w:val="0"/>
          <w:kern w:val="22"/>
          <w:lang w:val="es-ES"/>
        </w:rPr>
        <w:t>Alcance del componente de gestión de los conocimientos</w:t>
      </w:r>
    </w:p>
    <w:p w:rsidR="00680F35" w:rsidRPr="002647CE" w:rsidRDefault="00680F35">
      <w:pPr>
        <w:pStyle w:val="Para1"/>
        <w:numPr>
          <w:ilvl w:val="0"/>
          <w:numId w:val="10"/>
        </w:numPr>
        <w:suppressLineNumbers/>
        <w:tabs>
          <w:tab w:val="clear" w:pos="360"/>
        </w:tabs>
        <w:suppressAutoHyphens/>
        <w:rPr>
          <w:rFonts w:eastAsia="Times New Roman"/>
          <w:spacing w:val="-2"/>
          <w:szCs w:val="24"/>
          <w:lang w:val="es-ES"/>
        </w:rPr>
      </w:pPr>
      <w:bookmarkStart w:id="4" w:name="_GoBack"/>
      <w:bookmarkEnd w:id="3"/>
      <w:r w:rsidRPr="002647CE">
        <w:rPr>
          <w:rFonts w:eastAsia="Times New Roman"/>
          <w:spacing w:val="-2"/>
          <w:kern w:val="22"/>
          <w:szCs w:val="24"/>
          <w:lang w:val="es-ES"/>
        </w:rPr>
        <w:t xml:space="preserve">En el contexto de este componente, la gestión de los conocimientos abarca una serie de procesos, estrategias y prácticas mediante los cuales se generan, descubren y reúnen, organizan/curan, almacenan, comparten y utilizan/aplican conocimientos, información y datos </w:t>
      </w:r>
      <w:r w:rsidR="00161355" w:rsidRPr="002647CE">
        <w:rPr>
          <w:rFonts w:eastAsia="Times New Roman"/>
          <w:spacing w:val="-2"/>
          <w:kern w:val="22"/>
          <w:szCs w:val="24"/>
          <w:lang w:val="es-ES"/>
        </w:rPr>
        <w:t>sobre la</w:t>
      </w:r>
      <w:r w:rsidRPr="002647CE">
        <w:rPr>
          <w:rFonts w:eastAsia="Times New Roman"/>
          <w:spacing w:val="-2"/>
          <w:kern w:val="22"/>
          <w:szCs w:val="24"/>
          <w:lang w:val="es-ES"/>
        </w:rPr>
        <w:t xml:space="preserve"> diversidad biológica con el fin de lograr objetivos y resultados relacionados con la diversidad biológica. Tales objetivos pueden incluir la formulación de políticas, la toma de decisiones, la planificación y la implementación fundamentadas o el aprendizaje organizativo continuo a través de la recolección y el intercambio de mejores prácticas y lecciones aprendidas de actividades pasadas </w:t>
      </w:r>
      <w:r w:rsidR="00161355" w:rsidRPr="002647CE">
        <w:rPr>
          <w:rFonts w:eastAsia="Times New Roman"/>
          <w:spacing w:val="-2"/>
          <w:kern w:val="22"/>
          <w:szCs w:val="24"/>
          <w:lang w:val="es-ES"/>
        </w:rPr>
        <w:t>con el</w:t>
      </w:r>
      <w:r w:rsidRPr="002647CE">
        <w:rPr>
          <w:rFonts w:eastAsia="Times New Roman"/>
          <w:spacing w:val="-2"/>
          <w:kern w:val="22"/>
          <w:szCs w:val="24"/>
          <w:lang w:val="es-ES"/>
        </w:rPr>
        <w:t xml:space="preserve"> fin de brindar insumos para actividades futuras o </w:t>
      </w:r>
      <w:r w:rsidR="00161355" w:rsidRPr="002647CE">
        <w:rPr>
          <w:rFonts w:eastAsia="Times New Roman"/>
          <w:spacing w:val="-2"/>
          <w:kern w:val="22"/>
          <w:szCs w:val="24"/>
          <w:lang w:val="es-ES"/>
        </w:rPr>
        <w:t xml:space="preserve">de </w:t>
      </w:r>
      <w:r w:rsidRPr="002647CE">
        <w:rPr>
          <w:rFonts w:eastAsia="Times New Roman"/>
          <w:spacing w:val="-2"/>
          <w:kern w:val="22"/>
          <w:szCs w:val="24"/>
          <w:lang w:val="es-ES"/>
        </w:rPr>
        <w:t>mejorarlas.</w:t>
      </w:r>
    </w:p>
    <w:bookmarkEnd w:id="4"/>
    <w:p w:rsidR="00680F35" w:rsidRPr="002647CE" w:rsidRDefault="00680F35">
      <w:pPr>
        <w:pStyle w:val="Para1"/>
        <w:numPr>
          <w:ilvl w:val="0"/>
          <w:numId w:val="10"/>
        </w:numPr>
        <w:suppressLineNumbers/>
        <w:tabs>
          <w:tab w:val="clear" w:pos="360"/>
        </w:tabs>
        <w:suppressAutoHyphens/>
        <w:rPr>
          <w:rFonts w:eastAsia="Times New Roman"/>
          <w:kern w:val="22"/>
          <w:szCs w:val="24"/>
          <w:lang w:val="es-ES"/>
        </w:rPr>
      </w:pPr>
      <w:r w:rsidRPr="002647CE">
        <w:rPr>
          <w:rFonts w:eastAsia="Times New Roman"/>
          <w:kern w:val="22"/>
          <w:szCs w:val="24"/>
          <w:lang w:val="es-ES"/>
        </w:rPr>
        <w:t>El componente de gestión de los conocimientos emplea las siguientes descripciones operativas basadas en la jerarquía Datos-Información-Conocimientos-Sabiduría (DICS)</w:t>
      </w:r>
      <w:r w:rsidRPr="002647CE">
        <w:rPr>
          <w:rStyle w:val="FootnoteReference"/>
          <w:rFonts w:eastAsia="Times New Roman"/>
          <w:kern w:val="22"/>
          <w:szCs w:val="24"/>
          <w:lang w:val="es-ES"/>
        </w:rPr>
        <w:footnoteReference w:id="6"/>
      </w:r>
      <w:r w:rsidRPr="002647CE">
        <w:rPr>
          <w:rFonts w:eastAsia="Times New Roman"/>
          <w:kern w:val="22"/>
          <w:szCs w:val="24"/>
          <w:lang w:val="es-ES"/>
        </w:rPr>
        <w:t xml:space="preserve"> (véase la </w:t>
      </w:r>
      <w:r w:rsidR="00161355" w:rsidRPr="002647CE">
        <w:rPr>
          <w:rFonts w:eastAsia="Times New Roman"/>
          <w:kern w:val="22"/>
          <w:szCs w:val="24"/>
          <w:lang w:val="es-ES"/>
        </w:rPr>
        <w:t>figura</w:t>
      </w:r>
      <w:r w:rsidRPr="002647CE">
        <w:rPr>
          <w:rFonts w:eastAsia="Times New Roman"/>
          <w:kern w:val="22"/>
          <w:szCs w:val="24"/>
          <w:lang w:val="es-ES"/>
        </w:rPr>
        <w:t xml:space="preserve"> 1):</w:t>
      </w:r>
    </w:p>
    <w:p w:rsidR="00680F35" w:rsidRPr="002647CE" w:rsidRDefault="00680F35" w:rsidP="004214C7">
      <w:pPr>
        <w:pStyle w:val="Para1"/>
        <w:numPr>
          <w:ilvl w:val="1"/>
          <w:numId w:val="10"/>
        </w:numPr>
        <w:suppressLineNumbers/>
        <w:tabs>
          <w:tab w:val="clear" w:pos="1080"/>
        </w:tabs>
        <w:suppressAutoHyphens/>
        <w:ind w:left="0" w:firstLine="720"/>
        <w:rPr>
          <w:rFonts w:eastAsia="Times New Roman"/>
          <w:kern w:val="22"/>
          <w:szCs w:val="24"/>
          <w:lang w:val="es-ES"/>
        </w:rPr>
      </w:pPr>
      <w:r w:rsidRPr="002647CE">
        <w:rPr>
          <w:rFonts w:eastAsia="Times New Roman"/>
          <w:kern w:val="22"/>
          <w:szCs w:val="24"/>
          <w:lang w:val="es-ES"/>
        </w:rPr>
        <w:t>Los datos son cifras, hechos o resultados de observaciones en bruto que muchas veces carecen de significado por sí solos y hasta tanto no se org</w:t>
      </w:r>
      <w:r w:rsidR="004214C7" w:rsidRPr="002647CE">
        <w:rPr>
          <w:rFonts w:eastAsia="Times New Roman"/>
          <w:kern w:val="22"/>
          <w:szCs w:val="24"/>
          <w:lang w:val="es-ES"/>
        </w:rPr>
        <w:t>anizan, procesan e interpretan;</w:t>
      </w:r>
    </w:p>
    <w:p w:rsidR="00680F35" w:rsidRPr="002647CE" w:rsidRDefault="00680F35" w:rsidP="004214C7">
      <w:pPr>
        <w:pStyle w:val="Para1"/>
        <w:numPr>
          <w:ilvl w:val="1"/>
          <w:numId w:val="10"/>
        </w:numPr>
        <w:suppressLineNumbers/>
        <w:tabs>
          <w:tab w:val="clear" w:pos="1080"/>
        </w:tabs>
        <w:suppressAutoHyphens/>
        <w:ind w:left="0" w:firstLine="720"/>
        <w:rPr>
          <w:rFonts w:eastAsia="Times New Roman"/>
          <w:kern w:val="22"/>
          <w:szCs w:val="24"/>
          <w:lang w:val="es-ES"/>
        </w:rPr>
      </w:pPr>
      <w:r w:rsidRPr="002647CE">
        <w:rPr>
          <w:rFonts w:eastAsia="Times New Roman"/>
          <w:kern w:val="22"/>
          <w:szCs w:val="24"/>
          <w:lang w:val="es-ES"/>
        </w:rPr>
        <w:t>La información puede definirse como datos que están organizados, estructurados, procesados y contextualizados, lo que hace que tengan significado y sean útiles y pertinentes para un fin o contexto específico;</w:t>
      </w:r>
    </w:p>
    <w:p w:rsidR="00680F35" w:rsidRPr="002647CE" w:rsidRDefault="00680F35" w:rsidP="004214C7">
      <w:pPr>
        <w:pStyle w:val="Para1"/>
        <w:numPr>
          <w:ilvl w:val="1"/>
          <w:numId w:val="10"/>
        </w:numPr>
        <w:suppressLineNumbers/>
        <w:tabs>
          <w:tab w:val="clear" w:pos="1080"/>
        </w:tabs>
        <w:suppressAutoHyphens/>
        <w:ind w:left="0" w:firstLine="720"/>
        <w:rPr>
          <w:rFonts w:eastAsia="Times New Roman"/>
          <w:szCs w:val="24"/>
          <w:lang w:val="es-ES"/>
        </w:rPr>
      </w:pPr>
      <w:r w:rsidRPr="002647CE">
        <w:rPr>
          <w:rFonts w:eastAsia="Times New Roman"/>
          <w:kern w:val="22"/>
          <w:szCs w:val="24"/>
          <w:lang w:val="es-ES"/>
        </w:rPr>
        <w:t>El conocimiento se refiere a información transformada a través de</w:t>
      </w:r>
      <w:r w:rsidR="004214C7" w:rsidRPr="002647CE">
        <w:rPr>
          <w:rFonts w:eastAsia="Times New Roman"/>
          <w:kern w:val="22"/>
          <w:szCs w:val="24"/>
          <w:lang w:val="es-ES"/>
        </w:rPr>
        <w:t>l</w:t>
      </w:r>
      <w:r w:rsidRPr="002647CE">
        <w:rPr>
          <w:rFonts w:eastAsia="Times New Roman"/>
          <w:kern w:val="22"/>
          <w:szCs w:val="24"/>
          <w:lang w:val="es-ES"/>
        </w:rPr>
        <w:t xml:space="preserve"> procesamiento, </w:t>
      </w:r>
      <w:r w:rsidR="004214C7" w:rsidRPr="002647CE">
        <w:rPr>
          <w:rFonts w:eastAsia="Times New Roman"/>
          <w:kern w:val="22"/>
          <w:szCs w:val="24"/>
          <w:lang w:val="es-ES"/>
        </w:rPr>
        <w:t xml:space="preserve">la </w:t>
      </w:r>
      <w:r w:rsidRPr="002647CE">
        <w:rPr>
          <w:rFonts w:eastAsia="Times New Roman"/>
          <w:kern w:val="22"/>
          <w:szCs w:val="24"/>
          <w:lang w:val="es-ES"/>
        </w:rPr>
        <w:t xml:space="preserve">reflexión y </w:t>
      </w:r>
      <w:r w:rsidR="004214C7" w:rsidRPr="002647CE">
        <w:rPr>
          <w:rFonts w:eastAsia="Times New Roman"/>
          <w:kern w:val="22"/>
          <w:szCs w:val="24"/>
          <w:lang w:val="es-ES"/>
        </w:rPr>
        <w:t xml:space="preserve">la </w:t>
      </w:r>
      <w:r w:rsidRPr="002647CE">
        <w:rPr>
          <w:rFonts w:eastAsia="Times New Roman"/>
          <w:kern w:val="22"/>
          <w:szCs w:val="24"/>
          <w:lang w:val="es-ES"/>
        </w:rPr>
        <w:t>aplicación cognitivos</w:t>
      </w:r>
      <w:r w:rsidR="007C0B2A">
        <w:rPr>
          <w:rFonts w:eastAsia="Times New Roman"/>
          <w:kern w:val="22"/>
          <w:szCs w:val="24"/>
          <w:lang w:val="es-ES"/>
        </w:rPr>
        <w:t>,</w:t>
      </w:r>
      <w:r w:rsidRPr="002647CE">
        <w:rPr>
          <w:rFonts w:eastAsia="Times New Roman"/>
          <w:kern w:val="22"/>
          <w:szCs w:val="24"/>
          <w:lang w:val="es-ES"/>
        </w:rPr>
        <w:t xml:space="preserve"> lo que da lugar a </w:t>
      </w:r>
      <w:r w:rsidR="00FB160A" w:rsidRPr="002647CE">
        <w:rPr>
          <w:rFonts w:eastAsia="Times New Roman"/>
          <w:kern w:val="22"/>
          <w:szCs w:val="24"/>
          <w:lang w:val="es-ES"/>
        </w:rPr>
        <w:t>la toma de conciencia</w:t>
      </w:r>
      <w:r w:rsidRPr="002647CE">
        <w:rPr>
          <w:rFonts w:eastAsia="Times New Roman"/>
          <w:kern w:val="22"/>
          <w:szCs w:val="24"/>
          <w:lang w:val="es-ES"/>
        </w:rPr>
        <w:t xml:space="preserve"> o </w:t>
      </w:r>
      <w:r w:rsidR="00FB160A" w:rsidRPr="002647CE">
        <w:rPr>
          <w:rFonts w:eastAsia="Times New Roman"/>
          <w:kern w:val="22"/>
          <w:szCs w:val="24"/>
          <w:lang w:val="es-ES"/>
        </w:rPr>
        <w:t xml:space="preserve">la </w:t>
      </w:r>
      <w:r w:rsidRPr="002647CE">
        <w:rPr>
          <w:rFonts w:eastAsia="Times New Roman"/>
          <w:kern w:val="22"/>
          <w:szCs w:val="24"/>
          <w:lang w:val="es-ES"/>
        </w:rPr>
        <w:t xml:space="preserve">comprensión por personas o comunidades </w:t>
      </w:r>
      <w:r w:rsidR="00FB160A" w:rsidRPr="002647CE">
        <w:rPr>
          <w:rFonts w:eastAsia="Times New Roman"/>
          <w:kern w:val="22"/>
          <w:szCs w:val="24"/>
          <w:lang w:val="es-ES"/>
        </w:rPr>
        <w:t>para</w:t>
      </w:r>
      <w:r w:rsidRPr="002647CE">
        <w:rPr>
          <w:rFonts w:eastAsia="Times New Roman"/>
          <w:kern w:val="22"/>
          <w:szCs w:val="24"/>
          <w:lang w:val="es-ES"/>
        </w:rPr>
        <w:t xml:space="preserve"> un fin específico o dentro de un contexto dado. El conocimiento puede adquirirse a través del aprendizaje, la experiencia o la práctica;</w:t>
      </w:r>
    </w:p>
    <w:p w:rsidR="00680F35" w:rsidRPr="002647CE" w:rsidRDefault="00680F35" w:rsidP="004214C7">
      <w:pPr>
        <w:pStyle w:val="Para1"/>
        <w:numPr>
          <w:ilvl w:val="1"/>
          <w:numId w:val="10"/>
        </w:numPr>
        <w:suppressLineNumbers/>
        <w:tabs>
          <w:tab w:val="clear" w:pos="1080"/>
        </w:tabs>
        <w:suppressAutoHyphens/>
        <w:ind w:left="0" w:firstLine="720"/>
        <w:rPr>
          <w:rFonts w:eastAsia="Times New Roman"/>
          <w:szCs w:val="24"/>
          <w:lang w:val="es-ES"/>
        </w:rPr>
      </w:pPr>
      <w:r w:rsidRPr="002647CE">
        <w:rPr>
          <w:rFonts w:eastAsia="Times New Roman"/>
          <w:kern w:val="22"/>
          <w:szCs w:val="24"/>
          <w:lang w:val="es-ES"/>
        </w:rPr>
        <w:t>La sabiduría tiene que ver con la intuición y la perspicacia humanas basadas en la aplicación reiterada de conocimientos y años de experiencia. La sabiduría suele estar codificada en creencias, tradiciones, filosofías y principios. La mayor parte de los conocimientos tradicionales de los pueblos indígenas y las comunidades locales podría considerarse como “sabiduría”.</w:t>
      </w:r>
    </w:p>
    <w:p w:rsidR="00680F35" w:rsidRPr="002647CE" w:rsidRDefault="00680F35" w:rsidP="00E507C1">
      <w:pPr>
        <w:pStyle w:val="CBD-Para"/>
        <w:keepNext/>
        <w:numPr>
          <w:ilvl w:val="0"/>
          <w:numId w:val="0"/>
        </w:numPr>
        <w:spacing w:before="0" w:after="0"/>
        <w:jc w:val="center"/>
        <w:rPr>
          <w:rFonts w:eastAsia="Times New Roman"/>
          <w:b/>
          <w:szCs w:val="24"/>
          <w:lang w:val="es-ES"/>
        </w:rPr>
      </w:pPr>
      <w:r w:rsidRPr="002647CE">
        <w:rPr>
          <w:rFonts w:eastAsia="Times New Roman"/>
          <w:b/>
          <w:kern w:val="22"/>
          <w:szCs w:val="24"/>
          <w:lang w:val="es-ES"/>
        </w:rPr>
        <w:t>Figura 1: La pirámide de datos, información, conocimientos y sabiduría (DICS)</w:t>
      </w:r>
    </w:p>
    <w:p w:rsidR="00680F35" w:rsidRPr="002647CE" w:rsidRDefault="009B0E51" w:rsidP="00E507C1">
      <w:pPr>
        <w:pStyle w:val="CBD-Para"/>
        <w:keepLines w:val="0"/>
        <w:numPr>
          <w:ilvl w:val="0"/>
          <w:numId w:val="0"/>
        </w:numPr>
        <w:spacing w:before="240" w:after="240"/>
        <w:jc w:val="center"/>
        <w:rPr>
          <w:rFonts w:eastAsia="Times New Roman"/>
          <w:i/>
          <w:kern w:val="22"/>
          <w:szCs w:val="24"/>
          <w:lang w:val="es-ES"/>
        </w:rPr>
      </w:pPr>
      <w:r w:rsidRPr="002647CE">
        <w:rPr>
          <w:rFonts w:eastAsia="Times New Roman"/>
          <w:i/>
          <w:snapToGrid/>
          <w:kern w:val="22"/>
          <w:szCs w:val="24"/>
          <w:lang w:val="es-ES" w:eastAsia="es-UY"/>
        </w:rPr>
        <w:drawing>
          <wp:inline distT="0" distB="0" distL="0" distR="0">
            <wp:extent cx="4193533" cy="2198259"/>
            <wp:effectExtent l="19050" t="0" r="0" b="0"/>
            <wp:docPr id="5" name="Picture 4" descr="sbi-03-08-add1-Figu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i-03-08-add1-Figure-es.jpg"/>
                    <pic:cNvPicPr/>
                  </pic:nvPicPr>
                  <pic:blipFill>
                    <a:blip r:embed="rId12" cstate="print"/>
                    <a:stretch>
                      <a:fillRect/>
                    </a:stretch>
                  </pic:blipFill>
                  <pic:spPr>
                    <a:xfrm>
                      <a:off x="0" y="0"/>
                      <a:ext cx="4200633" cy="2201981"/>
                    </a:xfrm>
                    <a:prstGeom prst="rect">
                      <a:avLst/>
                    </a:prstGeom>
                  </pic:spPr>
                </pic:pic>
              </a:graphicData>
            </a:graphic>
          </wp:inline>
        </w:drawing>
      </w:r>
    </w:p>
    <w:p w:rsidR="00680F35" w:rsidRPr="002647CE" w:rsidRDefault="00680F35" w:rsidP="00E507C1">
      <w:pPr>
        <w:pStyle w:val="CBD-Para"/>
        <w:keepLines w:val="0"/>
        <w:numPr>
          <w:ilvl w:val="0"/>
          <w:numId w:val="0"/>
        </w:numPr>
        <w:spacing w:before="240" w:after="240"/>
        <w:jc w:val="center"/>
        <w:rPr>
          <w:rFonts w:eastAsia="Times New Roman"/>
          <w:kern w:val="22"/>
          <w:szCs w:val="24"/>
          <w:lang w:val="es-ES"/>
        </w:rPr>
      </w:pPr>
      <w:r w:rsidRPr="002647CE">
        <w:rPr>
          <w:rFonts w:eastAsia="Times New Roman"/>
          <w:i/>
          <w:kern w:val="22"/>
          <w:szCs w:val="24"/>
          <w:lang w:val="es-ES"/>
        </w:rPr>
        <w:t>Fuente:</w:t>
      </w:r>
      <w:r w:rsidRPr="002647CE">
        <w:rPr>
          <w:rFonts w:eastAsia="Times New Roman"/>
          <w:kern w:val="22"/>
          <w:szCs w:val="24"/>
          <w:lang w:val="es-ES"/>
        </w:rPr>
        <w:t xml:space="preserve"> </w:t>
      </w:r>
      <w:hyperlink r:id="rId13" w:history="1">
        <w:r w:rsidRPr="002647CE">
          <w:rPr>
            <w:rStyle w:val="Hyperlink"/>
            <w:rFonts w:eastAsia="Times New Roman"/>
            <w:kern w:val="22"/>
            <w:szCs w:val="24"/>
            <w:lang w:val="es-ES"/>
          </w:rPr>
          <w:t>https://academic.oup.com/jas/article/97/5/1921/5382308</w:t>
        </w:r>
      </w:hyperlink>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lastRenderedPageBreak/>
        <w:t>De las definiciones anteriores se desprende claramente que el componente de gestión de los conocimientos abarca la gestión de datos, la gestión de información y otras disciplinas y prácticas relacionadas, como la gestión de registros, la gestión de documentos y la gestión de contenidos. Si bien estos términos se utilizan a veces indistintamente, es importante reconocer que</w:t>
      </w:r>
      <w:r w:rsidR="00631ECE" w:rsidRPr="002647CE">
        <w:rPr>
          <w:rFonts w:eastAsia="Times New Roman"/>
          <w:kern w:val="22"/>
          <w:szCs w:val="24"/>
          <w:lang w:val="es-ES"/>
        </w:rPr>
        <w:t>,</w:t>
      </w:r>
      <w:r w:rsidRPr="002647CE">
        <w:rPr>
          <w:rFonts w:eastAsia="Times New Roman"/>
          <w:kern w:val="22"/>
          <w:szCs w:val="24"/>
          <w:lang w:val="es-ES"/>
        </w:rPr>
        <w:t xml:space="preserve"> en el contexto de este componente</w:t>
      </w:r>
      <w:r w:rsidR="00631ECE" w:rsidRPr="002647CE">
        <w:rPr>
          <w:rFonts w:eastAsia="Times New Roman"/>
          <w:kern w:val="22"/>
          <w:szCs w:val="24"/>
          <w:lang w:val="es-ES"/>
        </w:rPr>
        <w:t>,</w:t>
      </w:r>
      <w:r w:rsidRPr="002647CE">
        <w:rPr>
          <w:rFonts w:eastAsia="Times New Roman"/>
          <w:kern w:val="22"/>
          <w:szCs w:val="24"/>
          <w:lang w:val="es-ES"/>
        </w:rPr>
        <w:t xml:space="preserve"> todas estas actividades son elementos constitutivos que contribuyen a distintas etapas del ciclo de gestión de los conocimientos.</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 xml:space="preserve">El componente de gestión de los conocimientos complementa estrategias y mecanismos que ya están establecidos o que se están elaborando para apoyar la implementación del marco mundial de la diversidad biológica posterior a 2020. Estos incluyen el marco para una estrategia mundial de comunicaciones, el marco estratégico a largo plazo para la creación de capacidad, las propuestas para </w:t>
      </w:r>
      <w:r w:rsidR="006E0957" w:rsidRPr="002647CE">
        <w:rPr>
          <w:rFonts w:eastAsia="Times New Roman"/>
          <w:kern w:val="22"/>
          <w:szCs w:val="24"/>
          <w:lang w:val="es-ES"/>
        </w:rPr>
        <w:t>profundizar</w:t>
      </w:r>
      <w:r w:rsidRPr="002647CE">
        <w:rPr>
          <w:rFonts w:eastAsia="Times New Roman"/>
          <w:kern w:val="22"/>
          <w:szCs w:val="24"/>
          <w:lang w:val="es-ES"/>
        </w:rPr>
        <w:t xml:space="preserve"> la cooperación científica y técnica en apoyo al marco mundial de la diversidad biológica posterior a 2020 y los mecanismos para la presentación de informes, la evaluación y la revisión de la implementación.</w:t>
      </w:r>
    </w:p>
    <w:p w:rsidR="00680F35" w:rsidRPr="002647CE" w:rsidRDefault="00680F35">
      <w:pPr>
        <w:pStyle w:val="Para1"/>
        <w:numPr>
          <w:ilvl w:val="0"/>
          <w:numId w:val="10"/>
        </w:numPr>
        <w:suppressLineNumbers/>
        <w:tabs>
          <w:tab w:val="clear" w:pos="360"/>
          <w:tab w:val="num" w:pos="720"/>
        </w:tabs>
        <w:suppressAutoHyphens/>
        <w:rPr>
          <w:rFonts w:eastAsia="Times New Roman"/>
          <w:szCs w:val="24"/>
          <w:lang w:val="es-ES"/>
        </w:rPr>
      </w:pPr>
      <w:r w:rsidRPr="002647CE">
        <w:rPr>
          <w:rFonts w:eastAsia="Times New Roman"/>
          <w:kern w:val="22"/>
          <w:szCs w:val="24"/>
          <w:lang w:val="es-ES"/>
        </w:rPr>
        <w:t>Este componente abarca diversos tipos de datos, información y conocimientos pertinentes para la conservación y la utilización sostenible de la diversidad biológica, que van desde información y datos científicos, técnicos, tecnológicos, jurídicos y de políticas hasta información y conocimientos relacionados con la implementación, incluidos estudios de casos sobre experiencias, mejores prácticas y lecciones aprendidas en la elaboración y aplicación de políticas, planes y programas nacionales de diversidad biológica. También incluye las decisiones, recomendaciones y documentación oficial generadas por los convenios relacionados con la diversidad biológica, otros convenios de Río y procesos relacionados.</w:t>
      </w:r>
    </w:p>
    <w:p w:rsidR="00680F35" w:rsidRPr="002647CE" w:rsidRDefault="006E0957">
      <w:pPr>
        <w:pStyle w:val="Para1"/>
        <w:numPr>
          <w:ilvl w:val="0"/>
          <w:numId w:val="10"/>
        </w:numPr>
        <w:suppressLineNumbers/>
        <w:tabs>
          <w:tab w:val="clear" w:pos="360"/>
          <w:tab w:val="num" w:pos="720"/>
        </w:tabs>
        <w:suppressAutoHyphens/>
        <w:rPr>
          <w:rFonts w:eastAsia="Times New Roman"/>
          <w:szCs w:val="24"/>
          <w:lang w:val="es-ES"/>
        </w:rPr>
      </w:pPr>
      <w:r w:rsidRPr="002647CE">
        <w:rPr>
          <w:rFonts w:eastAsia="Times New Roman"/>
          <w:kern w:val="22"/>
          <w:szCs w:val="24"/>
          <w:lang w:val="es-ES"/>
        </w:rPr>
        <w:t>Con e</w:t>
      </w:r>
      <w:r w:rsidR="00680F35" w:rsidRPr="002647CE">
        <w:rPr>
          <w:rFonts w:eastAsia="Times New Roman"/>
          <w:kern w:val="22"/>
          <w:szCs w:val="24"/>
          <w:lang w:val="es-ES"/>
        </w:rPr>
        <w:t>l componente de gestión de los conocimientos</w:t>
      </w:r>
      <w:r w:rsidRPr="002647CE">
        <w:rPr>
          <w:rFonts w:eastAsia="Times New Roman"/>
          <w:kern w:val="22"/>
          <w:szCs w:val="24"/>
          <w:lang w:val="es-ES"/>
        </w:rPr>
        <w:t xml:space="preserve"> se</w:t>
      </w:r>
      <w:r w:rsidR="00680F35" w:rsidRPr="002647CE">
        <w:rPr>
          <w:rFonts w:eastAsia="Times New Roman"/>
          <w:kern w:val="22"/>
          <w:szCs w:val="24"/>
          <w:lang w:val="es-ES"/>
        </w:rPr>
        <w:t xml:space="preserve"> busca mejorar la interoperabilidad, la accesibilidad y la utilización de sistemas, herramientas y mecanismos de gestión de la información y los conocimientos pertinentes para apoyar </w:t>
      </w:r>
      <w:r w:rsidR="007C0B2A">
        <w:rPr>
          <w:rFonts w:eastAsia="Times New Roman"/>
          <w:kern w:val="22"/>
          <w:szCs w:val="24"/>
          <w:lang w:val="es-ES"/>
        </w:rPr>
        <w:t>a</w:t>
      </w:r>
      <w:r w:rsidR="00680F35" w:rsidRPr="002647CE">
        <w:rPr>
          <w:rFonts w:eastAsia="Times New Roman"/>
          <w:kern w:val="22"/>
          <w:szCs w:val="24"/>
          <w:lang w:val="es-ES"/>
        </w:rPr>
        <w:t>l marco mundial de la diversidad biológica posterior a 2020. Estos incluyen, pero sin limita</w:t>
      </w:r>
      <w:r w:rsidR="007C0B2A">
        <w:rPr>
          <w:rFonts w:eastAsia="Times New Roman"/>
          <w:kern w:val="22"/>
          <w:szCs w:val="24"/>
          <w:lang w:val="es-ES"/>
        </w:rPr>
        <w:t>rse a ellos</w:t>
      </w:r>
      <w:r w:rsidR="00680F35" w:rsidRPr="002647CE">
        <w:rPr>
          <w:rFonts w:eastAsia="Times New Roman"/>
          <w:kern w:val="22"/>
          <w:szCs w:val="24"/>
          <w:lang w:val="es-ES"/>
        </w:rPr>
        <w:t xml:space="preserve">, los sistemas de los convenios relacionados con la diversidad biológica, entre </w:t>
      </w:r>
      <w:r w:rsidR="007C0B2A">
        <w:rPr>
          <w:rFonts w:eastAsia="Times New Roman"/>
          <w:kern w:val="22"/>
          <w:szCs w:val="24"/>
          <w:lang w:val="es-ES"/>
        </w:rPr>
        <w:t>otros</w:t>
      </w:r>
      <w:r w:rsidRPr="002647CE">
        <w:rPr>
          <w:rFonts w:eastAsia="Times New Roman"/>
          <w:kern w:val="22"/>
          <w:szCs w:val="24"/>
          <w:lang w:val="es-ES"/>
        </w:rPr>
        <w:t>,</w:t>
      </w:r>
      <w:r w:rsidR="00680F35" w:rsidRPr="002647CE">
        <w:rPr>
          <w:rFonts w:eastAsia="Times New Roman"/>
          <w:kern w:val="22"/>
          <w:szCs w:val="24"/>
          <w:lang w:val="es-ES"/>
        </w:rPr>
        <w:t xml:space="preserve"> el mecanismo de facilitación del Convenio sobre la Diversidad Biológica, el Centro de Intercambio de Información sobre Seguridad de la Biotecnología y el Centro de Intercambio de Información sobre Acceso y Participación en los Beneficios, el Servicio de Información sobre Sitios Ramsar y la Base de Datos sobre el Comercio CITES</w:t>
      </w:r>
      <w:r w:rsidR="00680F35" w:rsidRPr="002647CE">
        <w:rPr>
          <w:rStyle w:val="FootnoteReference"/>
          <w:rFonts w:eastAsia="Times New Roman"/>
          <w:kern w:val="22"/>
          <w:szCs w:val="24"/>
          <w:lang w:val="es-ES"/>
        </w:rPr>
        <w:footnoteReference w:id="7"/>
      </w:r>
      <w:r w:rsidR="00680F35" w:rsidRPr="002647CE">
        <w:rPr>
          <w:rFonts w:eastAsia="Times New Roman"/>
          <w:kern w:val="22"/>
          <w:szCs w:val="24"/>
          <w:lang w:val="es-ES"/>
        </w:rPr>
        <w:t xml:space="preserve">. </w:t>
      </w:r>
      <w:r w:rsidRPr="002647CE">
        <w:rPr>
          <w:rFonts w:eastAsia="Times New Roman"/>
          <w:kern w:val="22"/>
          <w:szCs w:val="24"/>
          <w:lang w:val="es-ES"/>
        </w:rPr>
        <w:t>También incluyen</w:t>
      </w:r>
      <w:r w:rsidR="00680F35" w:rsidRPr="002647CE">
        <w:rPr>
          <w:rFonts w:eastAsia="Times New Roman"/>
          <w:kern w:val="22"/>
          <w:szCs w:val="24"/>
          <w:lang w:val="es-ES"/>
        </w:rPr>
        <w:t xml:space="preserve"> </w:t>
      </w:r>
      <w:r w:rsidRPr="002647CE">
        <w:rPr>
          <w:rFonts w:eastAsia="Times New Roman"/>
          <w:kern w:val="22"/>
          <w:szCs w:val="24"/>
          <w:lang w:val="es-ES"/>
        </w:rPr>
        <w:t>e</w:t>
      </w:r>
      <w:r w:rsidR="00680F35" w:rsidRPr="002647CE">
        <w:rPr>
          <w:rFonts w:eastAsia="Times New Roman"/>
          <w:kern w:val="22"/>
          <w:szCs w:val="24"/>
          <w:lang w:val="es-ES"/>
        </w:rPr>
        <w:t>l Portal de Información de las Naciones Unidas sobre los Acuerdos Ambientales Multilaterales (InforMEA)</w:t>
      </w:r>
      <w:r w:rsidR="00680F35" w:rsidRPr="002647CE">
        <w:rPr>
          <w:rStyle w:val="FootnoteReference"/>
          <w:rFonts w:eastAsia="Times New Roman"/>
          <w:kern w:val="22"/>
          <w:szCs w:val="24"/>
          <w:lang w:val="es-ES"/>
        </w:rPr>
        <w:footnoteReference w:id="8"/>
      </w:r>
      <w:r w:rsidR="00680F35" w:rsidRPr="002647CE">
        <w:rPr>
          <w:rFonts w:eastAsia="Times New Roman"/>
          <w:kern w:val="22"/>
          <w:szCs w:val="24"/>
          <w:lang w:val="es-ES"/>
        </w:rPr>
        <w:t>, el Servicio de Información de Especies de la Unión Internacional para la Conservación de la Naturaleza (UICN)</w:t>
      </w:r>
      <w:r w:rsidR="00680F35" w:rsidRPr="002647CE">
        <w:rPr>
          <w:rStyle w:val="FootnoteReference"/>
          <w:rFonts w:eastAsia="Times New Roman"/>
          <w:kern w:val="22"/>
          <w:szCs w:val="24"/>
          <w:lang w:val="es-ES"/>
        </w:rPr>
        <w:footnoteReference w:id="9"/>
      </w:r>
      <w:r w:rsidR="00680F35" w:rsidRPr="002647CE">
        <w:rPr>
          <w:rFonts w:eastAsia="Times New Roman"/>
          <w:kern w:val="22"/>
          <w:szCs w:val="24"/>
          <w:lang w:val="es-ES"/>
        </w:rPr>
        <w:t>, el Laboratorio de Diversidad Biológica de las Naciones Unidas</w:t>
      </w:r>
      <w:r w:rsidR="00680F35" w:rsidRPr="002647CE">
        <w:rPr>
          <w:rStyle w:val="FootnoteReference"/>
          <w:rFonts w:eastAsia="Times New Roman"/>
          <w:kern w:val="22"/>
          <w:szCs w:val="24"/>
          <w:lang w:val="es-ES"/>
        </w:rPr>
        <w:footnoteReference w:id="10"/>
      </w:r>
      <w:r w:rsidR="00680F35" w:rsidRPr="002647CE">
        <w:rPr>
          <w:rFonts w:eastAsia="Times New Roman"/>
          <w:kern w:val="22"/>
          <w:szCs w:val="24"/>
          <w:lang w:val="es-ES"/>
        </w:rPr>
        <w:t>, la Base de Datos Mundial de Áreas Protegidas (WDPA), la Base de Datos Mundial sobre Efectividad de la Gestión de Áreas Protegidas (GDPAME) y el registro de</w:t>
      </w:r>
      <w:r w:rsidR="00D5415A">
        <w:rPr>
          <w:rFonts w:eastAsia="Times New Roman"/>
          <w:kern w:val="22"/>
          <w:szCs w:val="24"/>
          <w:lang w:val="es-ES"/>
        </w:rPr>
        <w:t> </w:t>
      </w:r>
      <w:r w:rsidR="00680F35" w:rsidRPr="002647CE">
        <w:rPr>
          <w:rFonts w:eastAsia="Times New Roman"/>
          <w:kern w:val="22"/>
          <w:szCs w:val="24"/>
          <w:lang w:val="es-ES"/>
        </w:rPr>
        <w:t>territorios y áreas conservadas por pueblos indígenas y comunidades locales (Registro TICCA)</w:t>
      </w:r>
      <w:r w:rsidR="00680F35" w:rsidRPr="002647CE">
        <w:rPr>
          <w:rStyle w:val="FootnoteReference"/>
          <w:rFonts w:eastAsia="Times New Roman"/>
          <w:kern w:val="22"/>
          <w:szCs w:val="24"/>
          <w:lang w:val="es-ES"/>
        </w:rPr>
        <w:footnoteReference w:id="11"/>
      </w:r>
      <w:r w:rsidR="00680F35" w:rsidRPr="002647CE">
        <w:rPr>
          <w:rFonts w:eastAsia="Times New Roman"/>
          <w:kern w:val="22"/>
          <w:szCs w:val="24"/>
          <w:lang w:val="es-ES"/>
        </w:rPr>
        <w:t xml:space="preserve">, </w:t>
      </w:r>
      <w:r w:rsidRPr="002647CE">
        <w:rPr>
          <w:rFonts w:eastAsia="Times New Roman"/>
          <w:kern w:val="22"/>
          <w:szCs w:val="24"/>
          <w:lang w:val="es-ES"/>
        </w:rPr>
        <w:t>entre</w:t>
      </w:r>
      <w:r w:rsidR="00D5415A">
        <w:rPr>
          <w:rFonts w:eastAsia="Times New Roman"/>
          <w:kern w:val="22"/>
          <w:szCs w:val="24"/>
          <w:lang w:val="es-ES"/>
        </w:rPr>
        <w:t> </w:t>
      </w:r>
      <w:r w:rsidRPr="002647CE">
        <w:rPr>
          <w:rFonts w:eastAsia="Times New Roman"/>
          <w:kern w:val="22"/>
          <w:szCs w:val="24"/>
          <w:lang w:val="es-ES"/>
        </w:rPr>
        <w:t>otros</w:t>
      </w:r>
      <w:r w:rsidR="00680F35" w:rsidRPr="002647CE">
        <w:rPr>
          <w:rStyle w:val="FootnoteReference"/>
          <w:rFonts w:eastAsia="Times New Roman"/>
          <w:kern w:val="22"/>
          <w:szCs w:val="24"/>
          <w:lang w:val="es-ES"/>
        </w:rPr>
        <w:footnoteReference w:id="12"/>
      </w:r>
      <w:r w:rsidR="00680F35" w:rsidRPr="002647CE">
        <w:rPr>
          <w:rFonts w:eastAsia="Times New Roman"/>
          <w:kern w:val="22"/>
          <w:szCs w:val="24"/>
          <w:lang w:val="es-ES"/>
        </w:rPr>
        <w:t>.</w:t>
      </w:r>
    </w:p>
    <w:p w:rsidR="00680F35" w:rsidRPr="002647CE" w:rsidRDefault="00680F35">
      <w:pPr>
        <w:pStyle w:val="Para1"/>
        <w:numPr>
          <w:ilvl w:val="0"/>
          <w:numId w:val="10"/>
        </w:numPr>
        <w:suppressLineNumbers/>
        <w:tabs>
          <w:tab w:val="clear" w:pos="360"/>
          <w:tab w:val="num" w:pos="720"/>
        </w:tabs>
        <w:suppressAutoHyphens/>
        <w:rPr>
          <w:rFonts w:eastAsia="Times New Roman"/>
          <w:szCs w:val="24"/>
          <w:lang w:val="es-ES"/>
        </w:rPr>
      </w:pPr>
      <w:r w:rsidRPr="002647CE">
        <w:rPr>
          <w:rFonts w:eastAsia="Times New Roman"/>
          <w:kern w:val="22"/>
          <w:szCs w:val="24"/>
          <w:lang w:val="es-ES"/>
        </w:rPr>
        <w:t xml:space="preserve">El componente de gestión de los conocimientos también propone medidas para fomentar la coordinación, la colaboración y la complementariedad entre diversas iniciativas e instituciones </w:t>
      </w:r>
      <w:r w:rsidR="006E0957" w:rsidRPr="002647CE">
        <w:rPr>
          <w:rFonts w:eastAsia="Times New Roman"/>
          <w:kern w:val="22"/>
          <w:szCs w:val="24"/>
          <w:lang w:val="es-ES"/>
        </w:rPr>
        <w:t>que</w:t>
      </w:r>
      <w:r w:rsidRPr="002647CE">
        <w:rPr>
          <w:rFonts w:eastAsia="Times New Roman"/>
          <w:kern w:val="22"/>
          <w:szCs w:val="24"/>
          <w:lang w:val="es-ES"/>
        </w:rPr>
        <w:t xml:space="preserve"> apoya</w:t>
      </w:r>
      <w:r w:rsidR="006E0957" w:rsidRPr="002647CE">
        <w:rPr>
          <w:rFonts w:eastAsia="Times New Roman"/>
          <w:kern w:val="22"/>
          <w:szCs w:val="24"/>
          <w:lang w:val="es-ES"/>
        </w:rPr>
        <w:t>n</w:t>
      </w:r>
      <w:r w:rsidRPr="002647CE">
        <w:rPr>
          <w:rFonts w:eastAsia="Times New Roman"/>
          <w:kern w:val="22"/>
          <w:szCs w:val="24"/>
          <w:lang w:val="es-ES"/>
        </w:rPr>
        <w:t xml:space="preserve"> la generación, </w:t>
      </w:r>
      <w:r w:rsidR="00D5415A">
        <w:rPr>
          <w:rFonts w:eastAsia="Times New Roman"/>
          <w:kern w:val="22"/>
          <w:szCs w:val="24"/>
          <w:lang w:val="es-ES"/>
        </w:rPr>
        <w:t xml:space="preserve">la </w:t>
      </w:r>
      <w:r w:rsidRPr="002647CE">
        <w:rPr>
          <w:rFonts w:eastAsia="Times New Roman"/>
          <w:kern w:val="22"/>
          <w:szCs w:val="24"/>
          <w:lang w:val="es-ES"/>
        </w:rPr>
        <w:t xml:space="preserve">captación, </w:t>
      </w:r>
      <w:r w:rsidR="00D5415A">
        <w:rPr>
          <w:rFonts w:eastAsia="Times New Roman"/>
          <w:kern w:val="22"/>
          <w:szCs w:val="24"/>
          <w:lang w:val="es-ES"/>
        </w:rPr>
        <w:t xml:space="preserve">la </w:t>
      </w:r>
      <w:r w:rsidRPr="002647CE">
        <w:rPr>
          <w:rFonts w:eastAsia="Times New Roman"/>
          <w:kern w:val="22"/>
          <w:szCs w:val="24"/>
          <w:lang w:val="es-ES"/>
        </w:rPr>
        <w:t xml:space="preserve">gestión y </w:t>
      </w:r>
      <w:r w:rsidR="00D5415A">
        <w:rPr>
          <w:rFonts w:eastAsia="Times New Roman"/>
          <w:kern w:val="22"/>
          <w:szCs w:val="24"/>
          <w:lang w:val="es-ES"/>
        </w:rPr>
        <w:t xml:space="preserve">la </w:t>
      </w:r>
      <w:r w:rsidR="006E0957" w:rsidRPr="002647CE">
        <w:rPr>
          <w:rFonts w:eastAsia="Times New Roman"/>
          <w:kern w:val="22"/>
          <w:szCs w:val="24"/>
          <w:lang w:val="es-ES"/>
        </w:rPr>
        <w:t>utilización</w:t>
      </w:r>
      <w:r w:rsidRPr="002647CE">
        <w:rPr>
          <w:rFonts w:eastAsia="Times New Roman"/>
          <w:kern w:val="22"/>
          <w:szCs w:val="24"/>
          <w:lang w:val="es-ES"/>
        </w:rPr>
        <w:t xml:space="preserve"> de datos, información y conocimientos relacionados con la diversidad biológica y</w:t>
      </w:r>
      <w:r w:rsidR="00D5415A">
        <w:rPr>
          <w:rFonts w:eastAsia="Times New Roman"/>
          <w:kern w:val="22"/>
          <w:szCs w:val="24"/>
          <w:lang w:val="es-ES"/>
        </w:rPr>
        <w:t xml:space="preserve"> para</w:t>
      </w:r>
      <w:r w:rsidRPr="002647CE">
        <w:rPr>
          <w:rFonts w:eastAsia="Times New Roman"/>
          <w:kern w:val="22"/>
          <w:szCs w:val="24"/>
          <w:lang w:val="es-ES"/>
        </w:rPr>
        <w:t xml:space="preserve"> alentar a lo</w:t>
      </w:r>
      <w:r w:rsidR="00D5415A">
        <w:rPr>
          <w:rFonts w:eastAsia="Times New Roman"/>
          <w:kern w:val="22"/>
          <w:szCs w:val="24"/>
          <w:lang w:val="es-ES"/>
        </w:rPr>
        <w:t>s</w:t>
      </w:r>
      <w:r w:rsidRPr="002647CE">
        <w:rPr>
          <w:rFonts w:eastAsia="Times New Roman"/>
          <w:kern w:val="22"/>
          <w:szCs w:val="24"/>
          <w:lang w:val="es-ES"/>
        </w:rPr>
        <w:t xml:space="preserve"> proveedores de datos mundiales a que apoyen a los interesados directos nacionales y a los sistemas estadísticos nacionales, que son clave para el seguimiento nacional. Estos incluyen: el Centro Mundial de Vigilancia de la Conservación del Programa de las Naciones Unidas para el Medio Ambiente</w:t>
      </w:r>
      <w:r w:rsidRPr="002647CE">
        <w:rPr>
          <w:rFonts w:eastAsia="Times New Roman"/>
          <w:kern w:val="22"/>
          <w:sz w:val="24"/>
          <w:szCs w:val="24"/>
          <w:lang w:val="es-ES"/>
        </w:rPr>
        <w:t>,</w:t>
      </w:r>
      <w:r w:rsidRPr="002647CE">
        <w:rPr>
          <w:rFonts w:eastAsia="Times New Roman"/>
          <w:kern w:val="22"/>
          <w:szCs w:val="24"/>
          <w:lang w:val="es-ES"/>
        </w:rPr>
        <w:t xml:space="preserve"> el grupo de trabajo sobre conocimientos y datos de la </w:t>
      </w:r>
      <w:r w:rsidRPr="002647CE">
        <w:rPr>
          <w:rFonts w:eastAsia="Times New Roman"/>
          <w:kern w:val="22"/>
          <w:szCs w:val="24"/>
          <w:lang w:val="es-ES"/>
        </w:rPr>
        <w:lastRenderedPageBreak/>
        <w:t>Plataforma Intergubernamental Científico-Normativa sobre Diversidad Biológica y Servicios de los Ecosistemas (IPBES), el Programa de Colaboración de las Naciones Unidas para Reducir las Emisiones debidas a la Deforestación y la Degradación Forestal en los Países en Desarrollo (ONU-REDD), la Infraestructura Mundial de Información sobre Biodiversidad (GBIF), la Enciclopedia de la Vida (EOL), la Iniciativa Internacional del Código de Barras de la Vida (iBOL), la Red de Observación de la Biodiversidad del Grupo de Observaciones de la Tierra (GEO</w:t>
      </w:r>
      <w:r w:rsidR="00F5136D" w:rsidRPr="002647CE">
        <w:rPr>
          <w:rFonts w:eastAsia="Times New Roman"/>
          <w:kern w:val="22"/>
          <w:szCs w:val="24"/>
          <w:lang w:val="es-ES"/>
        </w:rPr>
        <w:t> </w:t>
      </w:r>
      <w:r w:rsidRPr="002647CE">
        <w:rPr>
          <w:rFonts w:eastAsia="Times New Roman"/>
          <w:kern w:val="22"/>
          <w:szCs w:val="24"/>
          <w:lang w:val="es-ES"/>
        </w:rPr>
        <w:t xml:space="preserve">BON), el Observatorio Digital de Áreas Protegidas (DOPA), la Herramienta de Datos y Presentación de Informes (DaRT), el Centro de Conocimientos de la Convención de las Naciones Unidas de Lucha contra la Desertificación y el Centro Abierto de Datos </w:t>
      </w:r>
      <w:r w:rsidR="00F3288D" w:rsidRPr="002647CE">
        <w:rPr>
          <w:rFonts w:eastAsia="Times New Roman"/>
          <w:kern w:val="22"/>
          <w:szCs w:val="24"/>
          <w:lang w:val="es-ES"/>
        </w:rPr>
        <w:t>de</w:t>
      </w:r>
      <w:r w:rsidRPr="002647CE">
        <w:rPr>
          <w:rFonts w:eastAsia="Times New Roman"/>
          <w:kern w:val="22"/>
          <w:szCs w:val="24"/>
          <w:lang w:val="es-ES"/>
        </w:rPr>
        <w:t xml:space="preserve"> los Objetivos de Desarrollo Sostenible (ODS) de </w:t>
      </w:r>
      <w:r w:rsidR="00F3288D" w:rsidRPr="002647CE">
        <w:rPr>
          <w:rFonts w:eastAsia="Times New Roman"/>
          <w:kern w:val="22"/>
          <w:szCs w:val="24"/>
          <w:lang w:val="es-ES"/>
        </w:rPr>
        <w:t>la División de Estadística de la</w:t>
      </w:r>
      <w:r w:rsidR="00D5415A">
        <w:rPr>
          <w:rFonts w:eastAsia="Times New Roman"/>
          <w:kern w:val="22"/>
          <w:szCs w:val="24"/>
          <w:lang w:val="es-ES"/>
        </w:rPr>
        <w:t>s</w:t>
      </w:r>
      <w:r w:rsidR="00F3288D" w:rsidRPr="002647CE">
        <w:rPr>
          <w:rFonts w:eastAsia="Times New Roman"/>
          <w:kern w:val="22"/>
          <w:szCs w:val="24"/>
          <w:lang w:val="es-ES"/>
        </w:rPr>
        <w:t xml:space="preserve"> </w:t>
      </w:r>
      <w:r w:rsidR="00D5415A">
        <w:rPr>
          <w:rFonts w:eastAsia="Times New Roman"/>
          <w:kern w:val="22"/>
          <w:szCs w:val="24"/>
          <w:lang w:val="es-ES"/>
        </w:rPr>
        <w:t>Naciones Unidas</w:t>
      </w:r>
      <w:r w:rsidRPr="002647CE">
        <w:rPr>
          <w:rFonts w:eastAsia="Times New Roman"/>
          <w:kern w:val="22"/>
          <w:szCs w:val="24"/>
          <w:lang w:val="es-ES"/>
        </w:rPr>
        <w:t>. Estas y otras iniciativas e instituciones se describen en el documento de información CBD/SBI/3/INF/13.</w:t>
      </w:r>
    </w:p>
    <w:p w:rsidR="00680F35" w:rsidRPr="002647CE" w:rsidRDefault="00680F35">
      <w:pPr>
        <w:pStyle w:val="Heading2"/>
        <w:numPr>
          <w:ilvl w:val="0"/>
          <w:numId w:val="6"/>
        </w:numPr>
        <w:suppressLineNumbers/>
        <w:tabs>
          <w:tab w:val="clear" w:pos="720"/>
        </w:tabs>
        <w:suppressAutoHyphens/>
        <w:ind w:left="714" w:hanging="357"/>
        <w:rPr>
          <w:rFonts w:eastAsia="Times New Roman"/>
          <w:bCs w:val="0"/>
          <w:iCs w:val="0"/>
          <w:kern w:val="22"/>
          <w:lang w:val="es-ES"/>
        </w:rPr>
      </w:pPr>
      <w:r w:rsidRPr="002647CE">
        <w:rPr>
          <w:rFonts w:eastAsia="Times New Roman"/>
          <w:bCs w:val="0"/>
          <w:iCs w:val="0"/>
          <w:kern w:val="22"/>
          <w:lang w:val="es-ES"/>
        </w:rPr>
        <w:t>Pilares del componente de gestión de los conocimientos</w:t>
      </w:r>
    </w:p>
    <w:p w:rsidR="00680F35" w:rsidRPr="002647CE" w:rsidRDefault="00680F35">
      <w:pPr>
        <w:pStyle w:val="Para1"/>
        <w:numPr>
          <w:ilvl w:val="0"/>
          <w:numId w:val="10"/>
        </w:numPr>
        <w:suppressLineNumbers/>
        <w:tabs>
          <w:tab w:val="clear" w:pos="360"/>
          <w:tab w:val="num" w:pos="720"/>
        </w:tabs>
        <w:suppressAutoHyphens/>
        <w:rPr>
          <w:rFonts w:eastAsia="Times New Roman"/>
          <w:kern w:val="22"/>
          <w:szCs w:val="24"/>
          <w:lang w:val="es-ES"/>
        </w:rPr>
      </w:pPr>
      <w:r w:rsidRPr="002647CE">
        <w:rPr>
          <w:rFonts w:eastAsia="Times New Roman"/>
          <w:kern w:val="22"/>
          <w:szCs w:val="24"/>
          <w:lang w:val="es-ES"/>
        </w:rPr>
        <w:t>El componente de gestión de los conocimientos tiene cuatro pilares:</w:t>
      </w:r>
    </w:p>
    <w:p w:rsidR="00680F35" w:rsidRPr="002647CE" w:rsidRDefault="00680F35">
      <w:pPr>
        <w:pStyle w:val="Para1"/>
        <w:numPr>
          <w:ilvl w:val="1"/>
          <w:numId w:val="10"/>
        </w:numPr>
        <w:suppressLineNumbers/>
        <w:tabs>
          <w:tab w:val="clear" w:pos="1080"/>
        </w:tabs>
        <w:suppressAutoHyphens/>
        <w:ind w:left="0" w:firstLine="720"/>
        <w:rPr>
          <w:rFonts w:eastAsia="Times New Roman"/>
          <w:szCs w:val="24"/>
          <w:lang w:val="es-ES"/>
        </w:rPr>
      </w:pPr>
      <w:r w:rsidRPr="002647CE">
        <w:rPr>
          <w:rFonts w:eastAsia="Times New Roman"/>
          <w:i/>
          <w:kern w:val="22"/>
          <w:szCs w:val="24"/>
          <w:lang w:val="es-ES"/>
        </w:rPr>
        <w:t>Personas</w:t>
      </w:r>
      <w:r w:rsidRPr="002647CE">
        <w:rPr>
          <w:rFonts w:eastAsia="Times New Roman"/>
          <w:kern w:val="22"/>
          <w:szCs w:val="24"/>
          <w:lang w:val="es-ES"/>
        </w:rPr>
        <w:t>:</w:t>
      </w:r>
      <w:r w:rsidR="00D5415A">
        <w:rPr>
          <w:rFonts w:eastAsia="Times New Roman"/>
          <w:kern w:val="22"/>
          <w:szCs w:val="24"/>
          <w:lang w:val="es-ES"/>
        </w:rPr>
        <w:t> Este pilar c</w:t>
      </w:r>
      <w:r w:rsidR="0071442E" w:rsidRPr="002647CE">
        <w:rPr>
          <w:rFonts w:eastAsia="Times New Roman"/>
          <w:kern w:val="22"/>
          <w:szCs w:val="24"/>
          <w:lang w:val="es-ES"/>
        </w:rPr>
        <w:t>omprende</w:t>
      </w:r>
      <w:r w:rsidRPr="002647CE">
        <w:rPr>
          <w:rFonts w:eastAsia="Times New Roman"/>
          <w:kern w:val="22"/>
          <w:szCs w:val="24"/>
          <w:lang w:val="es-ES"/>
        </w:rPr>
        <w:t xml:space="preserve"> a diversos actores (creadores, custodios, gestores, curadores y usuarios de conocimientos </w:t>
      </w:r>
      <w:r w:rsidR="0071442E" w:rsidRPr="002647CE">
        <w:rPr>
          <w:rFonts w:eastAsia="Times New Roman"/>
          <w:kern w:val="22"/>
          <w:szCs w:val="24"/>
          <w:lang w:val="es-ES"/>
        </w:rPr>
        <w:t>sobre la</w:t>
      </w:r>
      <w:r w:rsidRPr="002647CE">
        <w:rPr>
          <w:rFonts w:eastAsia="Times New Roman"/>
          <w:kern w:val="22"/>
          <w:szCs w:val="24"/>
          <w:lang w:val="es-ES"/>
        </w:rPr>
        <w:t xml:space="preserve"> diversidad biológica) que constituyen las bases del componente de gestión de los conocimientos. Es necesario aclarar sus funciones, responsabilidades y expectativas.</w:t>
      </w:r>
      <w:r w:rsidRPr="002647CE">
        <w:rPr>
          <w:rFonts w:eastAsia="Times New Roman"/>
          <w:color w:val="000000"/>
          <w:kern w:val="22"/>
          <w:szCs w:val="24"/>
          <w:lang w:val="es-ES"/>
        </w:rPr>
        <w:t xml:space="preserve"> También es importante promover y nutrir una cultura de intercambio de conocimientos y reconocer y recompensar a quienes promueven los conocimientos;</w:t>
      </w:r>
    </w:p>
    <w:p w:rsidR="00680F35" w:rsidRPr="002647CE" w:rsidRDefault="00680F35">
      <w:pPr>
        <w:pStyle w:val="Para1"/>
        <w:numPr>
          <w:ilvl w:val="1"/>
          <w:numId w:val="10"/>
        </w:numPr>
        <w:suppressLineNumbers/>
        <w:tabs>
          <w:tab w:val="clear" w:pos="1080"/>
        </w:tabs>
        <w:suppressAutoHyphens/>
        <w:ind w:left="0" w:firstLine="720"/>
        <w:rPr>
          <w:rFonts w:eastAsia="Times New Roman"/>
          <w:szCs w:val="24"/>
          <w:lang w:val="es-ES"/>
        </w:rPr>
      </w:pPr>
      <w:r w:rsidRPr="002647CE">
        <w:rPr>
          <w:rFonts w:eastAsia="Times New Roman"/>
          <w:i/>
          <w:color w:val="000000"/>
          <w:kern w:val="22"/>
          <w:szCs w:val="24"/>
          <w:lang w:val="es-ES"/>
        </w:rPr>
        <w:t>Procesos</w:t>
      </w:r>
      <w:r w:rsidRPr="002647CE">
        <w:rPr>
          <w:rFonts w:eastAsia="Times New Roman"/>
          <w:color w:val="000000"/>
          <w:kern w:val="22"/>
          <w:szCs w:val="24"/>
          <w:lang w:val="es-ES"/>
        </w:rPr>
        <w:t xml:space="preserve">: </w:t>
      </w:r>
      <w:r w:rsidR="00D5415A">
        <w:rPr>
          <w:rFonts w:eastAsia="Times New Roman"/>
          <w:color w:val="000000"/>
          <w:kern w:val="22"/>
          <w:szCs w:val="24"/>
          <w:lang w:val="es-ES"/>
        </w:rPr>
        <w:t>Este pilar c</w:t>
      </w:r>
      <w:r w:rsidRPr="002647CE">
        <w:rPr>
          <w:rFonts w:eastAsia="Times New Roman"/>
          <w:color w:val="000000"/>
          <w:kern w:val="22"/>
          <w:szCs w:val="24"/>
          <w:lang w:val="es-ES"/>
        </w:rPr>
        <w:t xml:space="preserve">omprende a los procesos, procedimientos y políticas que orientan la generación, captación, gestión, intercambio y utilización de conocimientos. También implica visión, liderazgo y supervisión, así como </w:t>
      </w:r>
      <w:r w:rsidR="0071442E" w:rsidRPr="002647CE">
        <w:rPr>
          <w:rFonts w:eastAsia="Times New Roman"/>
          <w:color w:val="000000"/>
          <w:kern w:val="22"/>
          <w:szCs w:val="24"/>
          <w:lang w:val="es-ES"/>
        </w:rPr>
        <w:t>alineación</w:t>
      </w:r>
      <w:r w:rsidRPr="002647CE">
        <w:rPr>
          <w:rFonts w:eastAsia="Times New Roman"/>
          <w:color w:val="000000"/>
          <w:kern w:val="22"/>
          <w:szCs w:val="24"/>
          <w:lang w:val="es-ES"/>
        </w:rPr>
        <w:t xml:space="preserve"> de la gestión de los conocimientos con los objetivos y la provisión de los recursos necesarios;</w:t>
      </w:r>
    </w:p>
    <w:p w:rsidR="00680F35" w:rsidRPr="002647CE" w:rsidRDefault="00680F35">
      <w:pPr>
        <w:pStyle w:val="Para1"/>
        <w:numPr>
          <w:ilvl w:val="1"/>
          <w:numId w:val="10"/>
        </w:numPr>
        <w:suppressLineNumbers/>
        <w:tabs>
          <w:tab w:val="clear" w:pos="1080"/>
        </w:tabs>
        <w:suppressAutoHyphens/>
        <w:ind w:left="0" w:firstLine="720"/>
        <w:rPr>
          <w:rFonts w:eastAsia="Times New Roman"/>
          <w:szCs w:val="24"/>
          <w:lang w:val="es-ES"/>
        </w:rPr>
      </w:pPr>
      <w:r w:rsidRPr="002647CE">
        <w:rPr>
          <w:rFonts w:eastAsia="Times New Roman"/>
          <w:i/>
          <w:color w:val="000000"/>
          <w:kern w:val="22"/>
          <w:szCs w:val="24"/>
          <w:lang w:val="es-ES"/>
        </w:rPr>
        <w:t>Tecnología</w:t>
      </w:r>
      <w:r w:rsidRPr="002647CE">
        <w:rPr>
          <w:rFonts w:eastAsia="Times New Roman"/>
          <w:color w:val="000000"/>
          <w:kern w:val="22"/>
          <w:szCs w:val="24"/>
          <w:lang w:val="es-ES"/>
        </w:rPr>
        <w:t xml:space="preserve">: </w:t>
      </w:r>
      <w:r w:rsidRPr="002647CE">
        <w:rPr>
          <w:rFonts w:eastAsia="Times New Roman"/>
          <w:kern w:val="22"/>
          <w:szCs w:val="24"/>
          <w:lang w:val="es-ES"/>
        </w:rPr>
        <w:t>La tecnología desempeña un papel clave en la prestación y el apoyo de servicios de gestión de los conocimientos.</w:t>
      </w:r>
      <w:r w:rsidRPr="002647CE">
        <w:rPr>
          <w:rFonts w:eastAsia="Times New Roman"/>
          <w:color w:val="000000"/>
          <w:kern w:val="22"/>
          <w:szCs w:val="24"/>
          <w:lang w:val="es-ES"/>
        </w:rPr>
        <w:t xml:space="preserve"> Esto incluye </w:t>
      </w:r>
      <w:r w:rsidR="00996A41" w:rsidRPr="002647CE">
        <w:rPr>
          <w:rFonts w:eastAsia="Times New Roman"/>
          <w:color w:val="000000"/>
          <w:kern w:val="22"/>
          <w:szCs w:val="24"/>
          <w:lang w:val="es-ES"/>
        </w:rPr>
        <w:t xml:space="preserve">plataformas, </w:t>
      </w:r>
      <w:r w:rsidR="00996A41">
        <w:rPr>
          <w:rFonts w:eastAsia="Times New Roman"/>
          <w:color w:val="000000"/>
          <w:kern w:val="22"/>
          <w:szCs w:val="24"/>
          <w:lang w:val="es-ES"/>
        </w:rPr>
        <w:t>herramientas</w:t>
      </w:r>
      <w:r w:rsidRPr="002647CE">
        <w:rPr>
          <w:rFonts w:eastAsia="Times New Roman"/>
          <w:color w:val="000000"/>
          <w:kern w:val="22"/>
          <w:szCs w:val="24"/>
          <w:lang w:val="es-ES"/>
        </w:rPr>
        <w:t xml:space="preserve"> y sistemas tecnológicos</w:t>
      </w:r>
      <w:r w:rsidR="00996A41" w:rsidRPr="002647CE">
        <w:rPr>
          <w:rFonts w:eastAsia="Times New Roman"/>
          <w:color w:val="000000"/>
          <w:kern w:val="22"/>
          <w:szCs w:val="24"/>
          <w:vertAlign w:val="superscript"/>
          <w:lang w:val="es-ES"/>
        </w:rPr>
        <w:footnoteReference w:id="13"/>
      </w:r>
      <w:r w:rsidRPr="002647CE">
        <w:rPr>
          <w:rFonts w:eastAsia="Times New Roman"/>
          <w:color w:val="000000"/>
          <w:kern w:val="22"/>
          <w:szCs w:val="24"/>
          <w:lang w:val="es-ES"/>
        </w:rPr>
        <w:t xml:space="preserve"> que permiten a actores pertinentes (</w:t>
      </w:r>
      <w:r w:rsidR="0071442E" w:rsidRPr="002647CE">
        <w:rPr>
          <w:rFonts w:eastAsia="Times New Roman"/>
          <w:color w:val="000000"/>
          <w:kern w:val="22"/>
          <w:szCs w:val="24"/>
          <w:lang w:val="es-ES"/>
        </w:rPr>
        <w:t xml:space="preserve">las </w:t>
      </w:r>
      <w:r w:rsidRPr="002647CE">
        <w:rPr>
          <w:rFonts w:eastAsia="Times New Roman"/>
          <w:color w:val="000000"/>
          <w:kern w:val="22"/>
          <w:szCs w:val="24"/>
          <w:lang w:val="es-ES"/>
        </w:rPr>
        <w:t xml:space="preserve">personas) reunir, analizar, organizar, almacenar, recuperar y compartir conocimientos relacionados con la diversidad biológica; </w:t>
      </w:r>
    </w:p>
    <w:p w:rsidR="00680F35" w:rsidRPr="002647CE" w:rsidRDefault="00680F35">
      <w:pPr>
        <w:pStyle w:val="Para1"/>
        <w:numPr>
          <w:ilvl w:val="1"/>
          <w:numId w:val="10"/>
        </w:numPr>
        <w:suppressLineNumbers/>
        <w:tabs>
          <w:tab w:val="clear" w:pos="1080"/>
        </w:tabs>
        <w:suppressAutoHyphens/>
        <w:ind w:left="0" w:firstLine="720"/>
        <w:rPr>
          <w:rFonts w:eastAsia="Times New Roman"/>
          <w:szCs w:val="24"/>
          <w:lang w:val="es-ES"/>
        </w:rPr>
      </w:pPr>
      <w:r w:rsidRPr="002647CE">
        <w:rPr>
          <w:rFonts w:eastAsia="Times New Roman"/>
          <w:i/>
          <w:color w:val="000000"/>
          <w:kern w:val="22"/>
          <w:szCs w:val="24"/>
          <w:lang w:val="es-ES"/>
        </w:rPr>
        <w:t>Contenido</w:t>
      </w:r>
      <w:r w:rsidRPr="002647CE">
        <w:rPr>
          <w:rFonts w:eastAsia="Times New Roman"/>
          <w:color w:val="000000"/>
          <w:kern w:val="22"/>
          <w:szCs w:val="24"/>
          <w:lang w:val="es-ES"/>
        </w:rPr>
        <w:t xml:space="preserve">: </w:t>
      </w:r>
      <w:r w:rsidR="00996A41">
        <w:rPr>
          <w:rFonts w:eastAsia="Times New Roman"/>
          <w:color w:val="000000"/>
          <w:kern w:val="22"/>
          <w:szCs w:val="24"/>
          <w:lang w:val="es-ES"/>
        </w:rPr>
        <w:t>Este pilar s</w:t>
      </w:r>
      <w:r w:rsidRPr="002647CE">
        <w:rPr>
          <w:rFonts w:eastAsia="Times New Roman"/>
          <w:color w:val="000000"/>
          <w:kern w:val="22"/>
          <w:szCs w:val="24"/>
          <w:lang w:val="es-ES"/>
        </w:rPr>
        <w:t>e refiere al alcance del contenido de los conocimientos sobre</w:t>
      </w:r>
      <w:r w:rsidR="002D64CF" w:rsidRPr="002647CE">
        <w:rPr>
          <w:rFonts w:eastAsia="Times New Roman"/>
          <w:color w:val="000000"/>
          <w:kern w:val="22"/>
          <w:szCs w:val="24"/>
          <w:lang w:val="es-ES"/>
        </w:rPr>
        <w:t xml:space="preserve"> la</w:t>
      </w:r>
      <w:r w:rsidRPr="002647CE">
        <w:rPr>
          <w:rFonts w:eastAsia="Times New Roman"/>
          <w:color w:val="000000"/>
          <w:kern w:val="22"/>
          <w:szCs w:val="24"/>
          <w:lang w:val="es-ES"/>
        </w:rPr>
        <w:t xml:space="preserve"> diversidad biológica y la forma en que se gestiona </w:t>
      </w:r>
      <w:r w:rsidR="00996A41">
        <w:rPr>
          <w:rFonts w:eastAsia="Times New Roman"/>
          <w:color w:val="000000"/>
          <w:kern w:val="22"/>
          <w:szCs w:val="24"/>
          <w:lang w:val="es-ES"/>
        </w:rPr>
        <w:t xml:space="preserve">ese contenido </w:t>
      </w:r>
      <w:r w:rsidRPr="002647CE">
        <w:rPr>
          <w:rFonts w:eastAsia="Times New Roman"/>
          <w:kern w:val="22"/>
          <w:szCs w:val="24"/>
          <w:lang w:val="es-ES"/>
        </w:rPr>
        <w:t xml:space="preserve">– la taxonomía y los metadatos, las herramientas y plantillas y el análisis y la validación (para garantizar la calidad), la clasificación, </w:t>
      </w:r>
      <w:r w:rsidR="002D64CF" w:rsidRPr="002647CE">
        <w:rPr>
          <w:rFonts w:eastAsia="Times New Roman"/>
          <w:kern w:val="22"/>
          <w:szCs w:val="24"/>
          <w:lang w:val="es-ES"/>
        </w:rPr>
        <w:t>el etiquetado</w:t>
      </w:r>
      <w:r w:rsidRPr="002647CE">
        <w:rPr>
          <w:rFonts w:eastAsia="Times New Roman"/>
          <w:kern w:val="22"/>
          <w:szCs w:val="24"/>
          <w:lang w:val="es-ES"/>
        </w:rPr>
        <w:t xml:space="preserve"> </w:t>
      </w:r>
      <w:r w:rsidR="002D64CF" w:rsidRPr="002647CE">
        <w:rPr>
          <w:rFonts w:eastAsia="Times New Roman"/>
          <w:kern w:val="22"/>
          <w:szCs w:val="24"/>
          <w:lang w:val="es-ES"/>
        </w:rPr>
        <w:t>y la</w:t>
      </w:r>
      <w:r w:rsidRPr="002647CE">
        <w:rPr>
          <w:rFonts w:eastAsia="Times New Roman"/>
          <w:kern w:val="22"/>
          <w:szCs w:val="24"/>
          <w:lang w:val="es-ES"/>
        </w:rPr>
        <w:t xml:space="preserve"> </w:t>
      </w:r>
      <w:r w:rsidR="002D64CF" w:rsidRPr="002647CE">
        <w:rPr>
          <w:rFonts w:eastAsia="Times New Roman"/>
          <w:kern w:val="22"/>
          <w:szCs w:val="24"/>
          <w:lang w:val="es-ES"/>
        </w:rPr>
        <w:t>indexación</w:t>
      </w:r>
      <w:r w:rsidRPr="002647CE">
        <w:rPr>
          <w:rFonts w:eastAsia="Times New Roman"/>
          <w:kern w:val="22"/>
          <w:szCs w:val="24"/>
          <w:lang w:val="es-ES"/>
        </w:rPr>
        <w:t>, la digitalización y la organización de los recursos de información y conocimientos para facilitar una búsqueda y recuperación</w:t>
      </w:r>
      <w:r w:rsidR="002D64CF" w:rsidRPr="002647CE">
        <w:rPr>
          <w:rFonts w:eastAsia="Times New Roman"/>
          <w:kern w:val="22"/>
          <w:szCs w:val="24"/>
          <w:lang w:val="es-ES"/>
        </w:rPr>
        <w:t xml:space="preserve"> ágiles</w:t>
      </w:r>
      <w:r w:rsidRPr="002647CE">
        <w:rPr>
          <w:rFonts w:eastAsia="Times New Roman"/>
          <w:color w:val="000000"/>
          <w:kern w:val="22"/>
          <w:szCs w:val="24"/>
          <w:lang w:val="es-ES"/>
        </w:rPr>
        <w:t>.</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bookmarkStart w:id="5" w:name="_Hlk52838994"/>
      <w:r w:rsidRPr="002647CE">
        <w:rPr>
          <w:rFonts w:eastAsia="Times New Roman"/>
          <w:kern w:val="22"/>
          <w:szCs w:val="24"/>
          <w:lang w:val="es-ES"/>
        </w:rPr>
        <w:t xml:space="preserve">Estos cuatro pilares son interdependientes y deben abordarse </w:t>
      </w:r>
      <w:r w:rsidR="002D64CF" w:rsidRPr="002647CE">
        <w:rPr>
          <w:rFonts w:eastAsia="Times New Roman"/>
          <w:kern w:val="22"/>
          <w:szCs w:val="24"/>
          <w:lang w:val="es-ES"/>
        </w:rPr>
        <w:t>en forma</w:t>
      </w:r>
      <w:r w:rsidRPr="002647CE">
        <w:rPr>
          <w:rFonts w:eastAsia="Times New Roman"/>
          <w:kern w:val="22"/>
          <w:szCs w:val="24"/>
          <w:lang w:val="es-ES"/>
        </w:rPr>
        <w:t xml:space="preserve"> equilibrada y complementaria. La gestión de los conocimientos no </w:t>
      </w:r>
      <w:r w:rsidR="002D64CF" w:rsidRPr="002647CE">
        <w:rPr>
          <w:rFonts w:eastAsia="Times New Roman"/>
          <w:kern w:val="22"/>
          <w:szCs w:val="24"/>
          <w:lang w:val="es-ES"/>
        </w:rPr>
        <w:t>será</w:t>
      </w:r>
      <w:r w:rsidRPr="002647CE">
        <w:rPr>
          <w:rFonts w:eastAsia="Times New Roman"/>
          <w:kern w:val="22"/>
          <w:szCs w:val="24"/>
          <w:lang w:val="es-ES"/>
        </w:rPr>
        <w:t xml:space="preserve"> eficaz si se </w:t>
      </w:r>
      <w:r w:rsidR="002D64CF" w:rsidRPr="002647CE">
        <w:rPr>
          <w:rFonts w:eastAsia="Times New Roman"/>
          <w:kern w:val="22"/>
          <w:szCs w:val="24"/>
          <w:lang w:val="es-ES"/>
        </w:rPr>
        <w:t>abordan</w:t>
      </w:r>
      <w:r w:rsidRPr="002647CE">
        <w:rPr>
          <w:rFonts w:eastAsia="Times New Roman"/>
          <w:kern w:val="22"/>
          <w:szCs w:val="24"/>
          <w:lang w:val="es-ES"/>
        </w:rPr>
        <w:t xml:space="preserve"> únicamente los aspectos tecnológicos</w:t>
      </w:r>
      <w:r w:rsidR="002D64CF" w:rsidRPr="002647CE">
        <w:rPr>
          <w:rFonts w:eastAsia="Times New Roman"/>
          <w:kern w:val="22"/>
          <w:szCs w:val="24"/>
          <w:lang w:val="es-ES"/>
        </w:rPr>
        <w:t xml:space="preserve"> y se ignoran</w:t>
      </w:r>
      <w:r w:rsidRPr="002647CE">
        <w:rPr>
          <w:rFonts w:eastAsia="Times New Roman"/>
          <w:kern w:val="22"/>
          <w:szCs w:val="24"/>
          <w:lang w:val="es-ES"/>
        </w:rPr>
        <w:t xml:space="preserve"> los aspectos relacionados con los procesos y las personas. El componente de gestión de los conocimientos </w:t>
      </w:r>
      <w:r w:rsidR="002D64CF" w:rsidRPr="002647CE">
        <w:rPr>
          <w:rFonts w:eastAsia="Times New Roman"/>
          <w:kern w:val="22"/>
          <w:szCs w:val="24"/>
          <w:lang w:val="es-ES"/>
        </w:rPr>
        <w:t>se</w:t>
      </w:r>
      <w:r w:rsidRPr="002647CE">
        <w:rPr>
          <w:rFonts w:eastAsia="Times New Roman"/>
          <w:kern w:val="22"/>
          <w:szCs w:val="24"/>
          <w:lang w:val="es-ES"/>
        </w:rPr>
        <w:t xml:space="preserve"> </w:t>
      </w:r>
      <w:r w:rsidR="002D64CF" w:rsidRPr="002647CE">
        <w:rPr>
          <w:rFonts w:eastAsia="Times New Roman"/>
          <w:kern w:val="22"/>
          <w:szCs w:val="24"/>
          <w:lang w:val="es-ES"/>
        </w:rPr>
        <w:t xml:space="preserve">vinculará </w:t>
      </w:r>
      <w:r w:rsidRPr="002647CE">
        <w:rPr>
          <w:rFonts w:eastAsia="Times New Roman"/>
          <w:kern w:val="22"/>
          <w:szCs w:val="24"/>
          <w:lang w:val="es-ES"/>
        </w:rPr>
        <w:t xml:space="preserve">estrechamente </w:t>
      </w:r>
      <w:r w:rsidR="002D64CF" w:rsidRPr="002647CE">
        <w:rPr>
          <w:rFonts w:eastAsia="Times New Roman"/>
          <w:kern w:val="22"/>
          <w:szCs w:val="24"/>
          <w:lang w:val="es-ES"/>
        </w:rPr>
        <w:t>con</w:t>
      </w:r>
      <w:r w:rsidRPr="002647CE">
        <w:rPr>
          <w:rFonts w:eastAsia="Times New Roman"/>
          <w:kern w:val="22"/>
          <w:szCs w:val="24"/>
          <w:lang w:val="es-ES"/>
        </w:rPr>
        <w:t xml:space="preserve"> los sistemas de información para el seguimiento de la diversidad biológica y el mecanismo para la mejora de la planificación, la presentación de informes y la revisión del marco mundial de la diversidad biológica posterior a 2020</w:t>
      </w:r>
      <w:r w:rsidR="00996A41">
        <w:rPr>
          <w:rFonts w:eastAsia="Times New Roman"/>
          <w:kern w:val="22"/>
          <w:szCs w:val="24"/>
          <w:lang w:val="es-ES"/>
        </w:rPr>
        <w:t>,</w:t>
      </w:r>
      <w:r w:rsidRPr="002647CE">
        <w:rPr>
          <w:rFonts w:eastAsia="Times New Roman"/>
          <w:kern w:val="22"/>
          <w:szCs w:val="24"/>
          <w:lang w:val="es-ES"/>
        </w:rPr>
        <w:t xml:space="preserve"> </w:t>
      </w:r>
      <w:r w:rsidR="00996A41">
        <w:rPr>
          <w:rFonts w:eastAsia="Times New Roman"/>
          <w:kern w:val="22"/>
          <w:szCs w:val="24"/>
          <w:lang w:val="es-ES"/>
        </w:rPr>
        <w:t>a fin de</w:t>
      </w:r>
      <w:r w:rsidRPr="002647CE">
        <w:rPr>
          <w:rFonts w:eastAsia="Times New Roman"/>
          <w:kern w:val="22"/>
          <w:szCs w:val="24"/>
          <w:lang w:val="es-ES"/>
        </w:rPr>
        <w:t xml:space="preserve"> facilitar el logro de las metas. También promoverá un enfoque de todo el sistema, que incluya datos en bruto, como datos satelitales y ciencia ciudadana, datos procesados y geoespaciales, como mapas de cubierta terrestre, los algoritmos necesarios para procesar los datos, datos de indicadores, análisis y analítica y </w:t>
      </w:r>
      <w:r w:rsidR="002D64CF" w:rsidRPr="002647CE">
        <w:rPr>
          <w:rFonts w:eastAsia="Times New Roman"/>
          <w:kern w:val="22"/>
          <w:szCs w:val="24"/>
          <w:lang w:val="es-ES"/>
        </w:rPr>
        <w:t>observaciones</w:t>
      </w:r>
      <w:r w:rsidRPr="002647CE">
        <w:rPr>
          <w:rFonts w:eastAsia="Times New Roman"/>
          <w:kern w:val="22"/>
          <w:szCs w:val="24"/>
          <w:lang w:val="es-ES"/>
        </w:rPr>
        <w:t xml:space="preserve"> predictivas y publicaciones.</w:t>
      </w:r>
    </w:p>
    <w:bookmarkEnd w:id="5"/>
    <w:p w:rsidR="00680F35" w:rsidRPr="002647CE" w:rsidRDefault="002D64CF">
      <w:pPr>
        <w:pStyle w:val="Heading1"/>
        <w:suppressLineNumbers/>
        <w:tabs>
          <w:tab w:val="clear" w:pos="720"/>
          <w:tab w:val="left" w:pos="426"/>
        </w:tabs>
        <w:suppressAutoHyphens/>
        <w:spacing w:before="120"/>
        <w:rPr>
          <w:rFonts w:ascii="Times New Roman Bold" w:eastAsia="Times New Roman" w:hAnsi="Times New Roman Bold"/>
          <w:caps w:val="0"/>
          <w:lang w:val="es-ES"/>
        </w:rPr>
      </w:pPr>
      <w:r w:rsidRPr="002647CE">
        <w:rPr>
          <w:rFonts w:ascii="Times New Roman Bold" w:eastAsia="Times New Roman" w:hAnsi="Times New Roman Bold"/>
          <w:caps w:val="0"/>
          <w:kern w:val="22"/>
          <w:lang w:val="es-ES"/>
        </w:rPr>
        <w:t>II.</w:t>
      </w:r>
      <w:r w:rsidRPr="002647CE">
        <w:rPr>
          <w:rFonts w:ascii="Times New Roman Bold" w:eastAsia="Times New Roman" w:hAnsi="Times New Roman Bold"/>
          <w:caps w:val="0"/>
          <w:kern w:val="22"/>
          <w:lang w:val="es-ES"/>
        </w:rPr>
        <w:tab/>
        <w:t>OBJETIVOS Y RESULTADOS ESPERADOS</w:t>
      </w:r>
    </w:p>
    <w:p w:rsidR="00680F35" w:rsidRPr="002647CE" w:rsidRDefault="00680F35">
      <w:pPr>
        <w:pStyle w:val="Para1"/>
        <w:numPr>
          <w:ilvl w:val="0"/>
          <w:numId w:val="10"/>
        </w:numPr>
        <w:suppressLineNumbers/>
        <w:tabs>
          <w:tab w:val="clear" w:pos="360"/>
          <w:tab w:val="num" w:pos="720"/>
        </w:tabs>
        <w:suppressAutoHyphens/>
        <w:rPr>
          <w:rFonts w:eastAsia="Times New Roman"/>
          <w:szCs w:val="24"/>
          <w:lang w:val="es-ES"/>
        </w:rPr>
      </w:pPr>
      <w:r w:rsidRPr="002647CE">
        <w:rPr>
          <w:rFonts w:eastAsia="Times New Roman"/>
          <w:kern w:val="22"/>
          <w:szCs w:val="24"/>
          <w:lang w:val="es-ES"/>
        </w:rPr>
        <w:t>Este componente de gestión de los conocimientos está pensado para orientar a la comunidad de</w:t>
      </w:r>
      <w:r w:rsidR="002D64CF" w:rsidRPr="002647CE">
        <w:rPr>
          <w:rFonts w:eastAsia="Times New Roman"/>
          <w:kern w:val="22"/>
          <w:szCs w:val="24"/>
          <w:lang w:val="es-ES"/>
        </w:rPr>
        <w:t xml:space="preserve"> la</w:t>
      </w:r>
      <w:r w:rsidRPr="002647CE">
        <w:rPr>
          <w:rFonts w:eastAsia="Times New Roman"/>
          <w:kern w:val="22"/>
          <w:szCs w:val="24"/>
          <w:lang w:val="es-ES"/>
        </w:rPr>
        <w:t xml:space="preserve"> diversidad biológica en la gestión de los conocimientos en apoyo al marco mundial de la diversidad biológica posterior a 2020. Las acciones propuestas serán implementadas y coordinadas, según proceda, </w:t>
      </w:r>
      <w:r w:rsidRPr="002647CE">
        <w:rPr>
          <w:rFonts w:eastAsia="Times New Roman"/>
          <w:kern w:val="22"/>
          <w:szCs w:val="24"/>
          <w:lang w:val="es-ES"/>
        </w:rPr>
        <w:lastRenderedPageBreak/>
        <w:t xml:space="preserve">por actores gubernamentales y no gubernamentales, incluidas </w:t>
      </w:r>
      <w:r w:rsidR="002D64CF" w:rsidRPr="002647CE">
        <w:rPr>
          <w:rFonts w:eastAsia="Times New Roman"/>
          <w:kern w:val="22"/>
          <w:szCs w:val="24"/>
          <w:lang w:val="es-ES"/>
        </w:rPr>
        <w:t xml:space="preserve">las </w:t>
      </w:r>
      <w:r w:rsidRPr="002647CE">
        <w:rPr>
          <w:rFonts w:eastAsia="Times New Roman"/>
          <w:kern w:val="22"/>
          <w:szCs w:val="24"/>
          <w:lang w:val="es-ES"/>
        </w:rPr>
        <w:t xml:space="preserve">Partes en los convenios y procesos relacionados con la diversidad biológica, las secretarías de los </w:t>
      </w:r>
      <w:r w:rsidR="00996A41">
        <w:rPr>
          <w:rFonts w:eastAsia="Times New Roman"/>
          <w:kern w:val="22"/>
          <w:szCs w:val="24"/>
          <w:lang w:val="es-ES"/>
        </w:rPr>
        <w:t>c</w:t>
      </w:r>
      <w:r w:rsidRPr="002647CE">
        <w:rPr>
          <w:rFonts w:eastAsia="Times New Roman"/>
          <w:kern w:val="22"/>
          <w:szCs w:val="24"/>
          <w:lang w:val="es-ES"/>
        </w:rPr>
        <w:t>onvenios, organizaciones asociadas y otros interesados directos. El componente busca mejorar el intercambio de datos, información y conocimientos entre tod</w:t>
      </w:r>
      <w:r w:rsidR="002D64CF" w:rsidRPr="002647CE">
        <w:rPr>
          <w:rFonts w:eastAsia="Times New Roman"/>
          <w:kern w:val="22"/>
          <w:szCs w:val="24"/>
          <w:lang w:val="es-ES"/>
        </w:rPr>
        <w:t>a</w:t>
      </w:r>
      <w:r w:rsidRPr="002647CE">
        <w:rPr>
          <w:rFonts w:eastAsia="Times New Roman"/>
          <w:kern w:val="22"/>
          <w:szCs w:val="24"/>
          <w:lang w:val="es-ES"/>
        </w:rPr>
        <w:t xml:space="preserve">s </w:t>
      </w:r>
      <w:r w:rsidR="002D64CF" w:rsidRPr="002647CE">
        <w:rPr>
          <w:rFonts w:eastAsia="Times New Roman"/>
          <w:kern w:val="22"/>
          <w:szCs w:val="24"/>
          <w:lang w:val="es-ES"/>
        </w:rPr>
        <w:t>las organizaciones y</w:t>
      </w:r>
      <w:r w:rsidRPr="002647CE">
        <w:rPr>
          <w:rFonts w:eastAsia="Times New Roman"/>
          <w:kern w:val="22"/>
          <w:szCs w:val="24"/>
          <w:lang w:val="es-ES"/>
        </w:rPr>
        <w:t xml:space="preserve"> convenios</w:t>
      </w:r>
      <w:r w:rsidR="002D64CF" w:rsidRPr="002647CE">
        <w:rPr>
          <w:rFonts w:eastAsia="Times New Roman"/>
          <w:kern w:val="22"/>
          <w:szCs w:val="24"/>
          <w:lang w:val="es-ES"/>
        </w:rPr>
        <w:t xml:space="preserve"> </w:t>
      </w:r>
      <w:r w:rsidRPr="002647CE">
        <w:rPr>
          <w:rFonts w:eastAsia="Times New Roman"/>
          <w:kern w:val="22"/>
          <w:szCs w:val="24"/>
          <w:lang w:val="es-ES"/>
        </w:rPr>
        <w:t>relacionados con la diversidad biológica.</w:t>
      </w:r>
    </w:p>
    <w:p w:rsidR="00680F35" w:rsidRPr="002647CE" w:rsidRDefault="00680F35">
      <w:pPr>
        <w:pStyle w:val="Para1"/>
        <w:numPr>
          <w:ilvl w:val="0"/>
          <w:numId w:val="10"/>
        </w:numPr>
        <w:suppressLineNumbers/>
        <w:tabs>
          <w:tab w:val="clear" w:pos="360"/>
          <w:tab w:val="num" w:pos="720"/>
        </w:tabs>
        <w:suppressAutoHyphens/>
        <w:rPr>
          <w:rFonts w:eastAsia="Times New Roman"/>
          <w:szCs w:val="24"/>
          <w:lang w:val="es-ES"/>
        </w:rPr>
      </w:pPr>
      <w:r w:rsidRPr="002647CE">
        <w:rPr>
          <w:rFonts w:eastAsia="Times New Roman"/>
          <w:kern w:val="22"/>
          <w:szCs w:val="24"/>
          <w:lang w:val="es-ES"/>
        </w:rPr>
        <w:t xml:space="preserve">El objetivo general es facilitar y apoyar la implementación eficaz del marco mundial de la diversidad biológica posterior a 2020 mejorando la generación, </w:t>
      </w:r>
      <w:r w:rsidR="00996A41">
        <w:rPr>
          <w:rFonts w:eastAsia="Times New Roman"/>
          <w:kern w:val="22"/>
          <w:szCs w:val="24"/>
          <w:lang w:val="es-ES"/>
        </w:rPr>
        <w:t>reunión</w:t>
      </w:r>
      <w:r w:rsidRPr="002647CE">
        <w:rPr>
          <w:rFonts w:eastAsia="Times New Roman"/>
          <w:kern w:val="22"/>
          <w:szCs w:val="24"/>
          <w:lang w:val="es-ES"/>
        </w:rPr>
        <w:t xml:space="preserve">, organización, intercambio y utilización de datos, información y conocimientos pertinentes por la comunidad mundial. </w:t>
      </w:r>
      <w:r w:rsidR="00996A41">
        <w:rPr>
          <w:rFonts w:eastAsia="Times New Roman"/>
          <w:kern w:val="22"/>
          <w:szCs w:val="24"/>
          <w:lang w:val="es-ES"/>
        </w:rPr>
        <w:t>Esto requeriría</w:t>
      </w:r>
      <w:r w:rsidRPr="002647CE">
        <w:rPr>
          <w:rFonts w:eastAsia="Times New Roman"/>
          <w:kern w:val="22"/>
          <w:szCs w:val="24"/>
          <w:lang w:val="es-ES"/>
        </w:rPr>
        <w:t xml:space="preserve"> construir una cultura de intercambio de conocimientos y fomentar redes de colaboración y comunidades de práctica en línea. También requeriría analizar, compartir y aprovechar experiencias y lecciones aprendidas de diversas iniciativas de gestión de conocimientos sobre </w:t>
      </w:r>
      <w:r w:rsidR="000A195F" w:rsidRPr="002647CE">
        <w:rPr>
          <w:rFonts w:eastAsia="Times New Roman"/>
          <w:kern w:val="22"/>
          <w:szCs w:val="24"/>
          <w:lang w:val="es-ES"/>
        </w:rPr>
        <w:t xml:space="preserve">la </w:t>
      </w:r>
      <w:r w:rsidRPr="002647CE">
        <w:rPr>
          <w:rFonts w:eastAsia="Times New Roman"/>
          <w:kern w:val="22"/>
          <w:szCs w:val="24"/>
          <w:lang w:val="es-ES"/>
        </w:rPr>
        <w:t xml:space="preserve">diversidad biológica. Además, la planificación nacional y el seguimiento de los planes y compromisos nacionales son esenciales para determinar dónde se requieren medidas. El componente de gestión de los conocimientos debería contribuir directamente al seguimiento del marco mundial de la diversidad biológica posterior a 2020 y </w:t>
      </w:r>
      <w:r w:rsidR="00996A41">
        <w:rPr>
          <w:rFonts w:eastAsia="Times New Roman"/>
          <w:kern w:val="22"/>
          <w:szCs w:val="24"/>
          <w:lang w:val="es-ES"/>
        </w:rPr>
        <w:t>garantizar</w:t>
      </w:r>
      <w:r w:rsidRPr="002647CE">
        <w:rPr>
          <w:rFonts w:eastAsia="Times New Roman"/>
          <w:kern w:val="22"/>
          <w:szCs w:val="24"/>
          <w:lang w:val="es-ES"/>
        </w:rPr>
        <w:t xml:space="preserve"> que la presentación de informes gire en torno a datos e indicadores.</w:t>
      </w:r>
    </w:p>
    <w:p w:rsidR="00680F35" w:rsidRPr="002647CE" w:rsidRDefault="00680F35">
      <w:pPr>
        <w:pStyle w:val="Heading2"/>
        <w:numPr>
          <w:ilvl w:val="0"/>
          <w:numId w:val="7"/>
        </w:numPr>
        <w:suppressLineNumbers/>
        <w:tabs>
          <w:tab w:val="clear" w:pos="720"/>
        </w:tabs>
        <w:suppressAutoHyphens/>
        <w:ind w:left="714" w:hanging="357"/>
        <w:rPr>
          <w:rFonts w:eastAsia="Times New Roman"/>
          <w:bCs w:val="0"/>
          <w:iCs w:val="0"/>
          <w:kern w:val="22"/>
          <w:lang w:val="es-ES"/>
        </w:rPr>
      </w:pPr>
      <w:r w:rsidRPr="002647CE">
        <w:rPr>
          <w:rFonts w:eastAsia="Times New Roman"/>
          <w:bCs w:val="0"/>
          <w:iCs w:val="0"/>
          <w:kern w:val="22"/>
          <w:lang w:val="es-ES"/>
        </w:rPr>
        <w:t>Objetivos específicos</w:t>
      </w:r>
    </w:p>
    <w:p w:rsidR="00680F35" w:rsidRPr="002647CE" w:rsidRDefault="00680F35">
      <w:pPr>
        <w:pStyle w:val="Para1"/>
        <w:numPr>
          <w:ilvl w:val="0"/>
          <w:numId w:val="10"/>
        </w:numPr>
        <w:suppressLineNumbers/>
        <w:tabs>
          <w:tab w:val="clear" w:pos="360"/>
          <w:tab w:val="num" w:pos="720"/>
        </w:tabs>
        <w:suppressAutoHyphens/>
        <w:rPr>
          <w:rFonts w:eastAsia="Times New Roman"/>
          <w:kern w:val="22"/>
          <w:szCs w:val="24"/>
          <w:lang w:val="es-ES"/>
        </w:rPr>
      </w:pPr>
      <w:r w:rsidRPr="002647CE">
        <w:rPr>
          <w:rFonts w:eastAsia="Times New Roman"/>
          <w:kern w:val="22"/>
          <w:szCs w:val="24"/>
          <w:lang w:val="es-ES"/>
        </w:rPr>
        <w:t xml:space="preserve">Los objetivos específicos del componente de gestión de los conocimientos son </w:t>
      </w:r>
      <w:r w:rsidR="00EF2C4D" w:rsidRPr="002647CE">
        <w:rPr>
          <w:rFonts w:eastAsia="Times New Roman"/>
          <w:kern w:val="22"/>
          <w:szCs w:val="24"/>
          <w:lang w:val="es-ES"/>
        </w:rPr>
        <w:t>lograr</w:t>
      </w:r>
      <w:r w:rsidRPr="002647CE">
        <w:rPr>
          <w:rFonts w:eastAsia="Times New Roman"/>
          <w:kern w:val="22"/>
          <w:szCs w:val="24"/>
          <w:lang w:val="es-ES"/>
        </w:rPr>
        <w:t xml:space="preserve"> que los actores gubernamentales y no gubernamentales </w:t>
      </w:r>
      <w:r w:rsidR="00EF2C4D" w:rsidRPr="002647CE">
        <w:rPr>
          <w:rFonts w:eastAsia="Times New Roman"/>
          <w:kern w:val="22"/>
          <w:szCs w:val="24"/>
          <w:lang w:val="es-ES"/>
        </w:rPr>
        <w:t>accedan</w:t>
      </w:r>
      <w:r w:rsidRPr="002647CE">
        <w:rPr>
          <w:rFonts w:eastAsia="Times New Roman"/>
          <w:kern w:val="22"/>
          <w:szCs w:val="24"/>
          <w:lang w:val="es-ES"/>
        </w:rPr>
        <w:t xml:space="preserve"> fácil y oportunamente a datos, información y conocimientos de calidad para desarrollar su labor</w:t>
      </w:r>
      <w:r w:rsidR="00996A41">
        <w:rPr>
          <w:rFonts w:eastAsia="Times New Roman"/>
          <w:kern w:val="22"/>
          <w:szCs w:val="24"/>
          <w:lang w:val="es-ES"/>
        </w:rPr>
        <w:t>,</w:t>
      </w:r>
      <w:r w:rsidRPr="002647CE">
        <w:rPr>
          <w:rFonts w:eastAsia="Times New Roman"/>
          <w:kern w:val="22"/>
          <w:szCs w:val="24"/>
          <w:lang w:val="es-ES"/>
        </w:rPr>
        <w:t xml:space="preserve"> y también </w:t>
      </w:r>
      <w:r w:rsidR="00EF2C4D" w:rsidRPr="002647CE">
        <w:rPr>
          <w:rFonts w:eastAsia="Times New Roman"/>
          <w:kern w:val="22"/>
          <w:szCs w:val="24"/>
          <w:lang w:val="es-ES"/>
        </w:rPr>
        <w:t>lograr</w:t>
      </w:r>
      <w:r w:rsidRPr="002647CE">
        <w:rPr>
          <w:rFonts w:eastAsia="Times New Roman"/>
          <w:kern w:val="22"/>
          <w:szCs w:val="24"/>
          <w:lang w:val="es-ES"/>
        </w:rPr>
        <w:t xml:space="preserve"> que los proveedores de información sobre </w:t>
      </w:r>
      <w:r w:rsidR="00EF2C4D" w:rsidRPr="002647CE">
        <w:rPr>
          <w:rFonts w:eastAsia="Times New Roman"/>
          <w:kern w:val="22"/>
          <w:szCs w:val="24"/>
          <w:lang w:val="es-ES"/>
        </w:rPr>
        <w:t xml:space="preserve">la </w:t>
      </w:r>
      <w:r w:rsidRPr="002647CE">
        <w:rPr>
          <w:rFonts w:eastAsia="Times New Roman"/>
          <w:kern w:val="22"/>
          <w:szCs w:val="24"/>
          <w:lang w:val="es-ES"/>
        </w:rPr>
        <w:t>diversidad biológica colaboren, compartan y aprovechen la información entre todos en las diversas plataformas, tratados y procesos relacionados</w:t>
      </w:r>
      <w:r w:rsidR="00996A41">
        <w:rPr>
          <w:rFonts w:eastAsia="Times New Roman"/>
          <w:kern w:val="22"/>
          <w:szCs w:val="24"/>
          <w:lang w:val="es-ES"/>
        </w:rPr>
        <w:t>,</w:t>
      </w:r>
      <w:r w:rsidRPr="002647CE">
        <w:rPr>
          <w:rFonts w:eastAsia="Times New Roman"/>
          <w:kern w:val="22"/>
          <w:szCs w:val="24"/>
          <w:lang w:val="es-ES"/>
        </w:rPr>
        <w:t xml:space="preserve"> a través de las siguientes medidas:</w:t>
      </w:r>
    </w:p>
    <w:p w:rsidR="00680F35" w:rsidRPr="002647CE" w:rsidRDefault="00680F35">
      <w:pPr>
        <w:pStyle w:val="CBD-Para-a"/>
        <w:numPr>
          <w:ilvl w:val="1"/>
          <w:numId w:val="12"/>
        </w:numPr>
        <w:tabs>
          <w:tab w:val="clear" w:pos="1080"/>
        </w:tabs>
        <w:ind w:left="0" w:firstLine="720"/>
        <w:rPr>
          <w:rFonts w:eastAsia="Times New Roman"/>
          <w:kern w:val="22"/>
          <w:szCs w:val="24"/>
          <w:lang w:val="es-ES"/>
        </w:rPr>
      </w:pPr>
      <w:r w:rsidRPr="002647CE">
        <w:rPr>
          <w:rFonts w:eastAsia="Times New Roman"/>
          <w:kern w:val="22"/>
          <w:szCs w:val="24"/>
          <w:lang w:val="es-ES"/>
        </w:rPr>
        <w:t>creación de mecanismos y entornos propicios para mejorar la generación, gestión, intercambio y utilización de datos, información y conocimientos relacionados con la diversidad biológica;</w:t>
      </w:r>
    </w:p>
    <w:p w:rsidR="00680F35" w:rsidRPr="002647CE" w:rsidRDefault="00680F35">
      <w:pPr>
        <w:pStyle w:val="CBD-Para-a"/>
        <w:numPr>
          <w:ilvl w:val="1"/>
          <w:numId w:val="12"/>
        </w:numPr>
        <w:tabs>
          <w:tab w:val="clear" w:pos="1080"/>
        </w:tabs>
        <w:ind w:left="0" w:firstLine="720"/>
        <w:rPr>
          <w:rFonts w:eastAsia="Times New Roman"/>
          <w:kern w:val="22"/>
          <w:szCs w:val="24"/>
          <w:lang w:val="es-ES"/>
        </w:rPr>
      </w:pPr>
      <w:r w:rsidRPr="002647CE">
        <w:rPr>
          <w:rFonts w:eastAsia="Times New Roman"/>
          <w:kern w:val="22"/>
          <w:szCs w:val="24"/>
          <w:lang w:val="es-ES"/>
        </w:rPr>
        <w:t xml:space="preserve">aprovechamiento de sistemas, iniciativas y redes existentes de gestión de conocimientos sobre la diversidad biológica pertinentes, </w:t>
      </w:r>
      <w:r w:rsidR="00996A41">
        <w:rPr>
          <w:rFonts w:eastAsia="Times New Roman"/>
          <w:kern w:val="22"/>
          <w:szCs w:val="24"/>
          <w:lang w:val="es-ES"/>
        </w:rPr>
        <w:t>mediante</w:t>
      </w:r>
      <w:r w:rsidRPr="002647CE">
        <w:rPr>
          <w:rFonts w:eastAsia="Times New Roman"/>
          <w:kern w:val="22"/>
          <w:szCs w:val="24"/>
          <w:lang w:val="es-ES"/>
        </w:rPr>
        <w:t xml:space="preserve"> procesos de múltiples interesados directos coordinados y colaborativos;</w:t>
      </w:r>
    </w:p>
    <w:p w:rsidR="00680F35" w:rsidRPr="002647CE" w:rsidRDefault="00680F35">
      <w:pPr>
        <w:pStyle w:val="CBD-Para-a"/>
        <w:numPr>
          <w:ilvl w:val="1"/>
          <w:numId w:val="12"/>
        </w:numPr>
        <w:tabs>
          <w:tab w:val="clear" w:pos="1080"/>
        </w:tabs>
        <w:ind w:left="0" w:firstLine="720"/>
        <w:rPr>
          <w:rFonts w:eastAsia="Times New Roman"/>
          <w:kern w:val="22"/>
          <w:szCs w:val="24"/>
          <w:lang w:val="es-ES"/>
        </w:rPr>
      </w:pPr>
      <w:r w:rsidRPr="002647CE">
        <w:rPr>
          <w:rFonts w:eastAsia="Times New Roman"/>
          <w:kern w:val="22"/>
          <w:szCs w:val="24"/>
          <w:lang w:val="es-ES"/>
        </w:rPr>
        <w:t>mejora de la encontrabilidad y la accesibilidad de datos, información y conocimientos relacionados con la diversidad biológica en múltiples fuentes;</w:t>
      </w:r>
    </w:p>
    <w:p w:rsidR="00680F35" w:rsidRPr="002647CE" w:rsidRDefault="00680F35">
      <w:pPr>
        <w:pStyle w:val="CBD-Para-a"/>
        <w:numPr>
          <w:ilvl w:val="1"/>
          <w:numId w:val="12"/>
        </w:numPr>
        <w:tabs>
          <w:tab w:val="clear" w:pos="1080"/>
        </w:tabs>
        <w:ind w:left="0" w:firstLine="720"/>
        <w:rPr>
          <w:rFonts w:eastAsia="Times New Roman"/>
          <w:kern w:val="22"/>
          <w:szCs w:val="24"/>
          <w:lang w:val="es-ES"/>
        </w:rPr>
      </w:pPr>
      <w:r w:rsidRPr="002647CE">
        <w:rPr>
          <w:rFonts w:eastAsia="Times New Roman"/>
          <w:kern w:val="22"/>
          <w:szCs w:val="24"/>
          <w:lang w:val="es-ES"/>
        </w:rPr>
        <w:t>fomento y habilitación de la participación de interesados directos pertinentes en procesos y redes de intercambio de conocimientos sobre la diversidad biológica;</w:t>
      </w:r>
    </w:p>
    <w:p w:rsidR="00680F35" w:rsidRPr="002647CE" w:rsidRDefault="00680F35">
      <w:pPr>
        <w:pStyle w:val="CBD-Para-a"/>
        <w:numPr>
          <w:ilvl w:val="1"/>
          <w:numId w:val="12"/>
        </w:numPr>
        <w:tabs>
          <w:tab w:val="clear" w:pos="1080"/>
        </w:tabs>
        <w:ind w:left="0" w:firstLine="720"/>
        <w:rPr>
          <w:rFonts w:eastAsia="Times New Roman"/>
          <w:kern w:val="22"/>
          <w:szCs w:val="24"/>
          <w:lang w:val="es-ES"/>
        </w:rPr>
      </w:pPr>
      <w:r w:rsidRPr="002647CE">
        <w:rPr>
          <w:rFonts w:eastAsia="Times New Roman"/>
          <w:kern w:val="22"/>
          <w:szCs w:val="24"/>
          <w:lang w:val="es-ES"/>
        </w:rPr>
        <w:t>fortalecimiento de las capacidades de los interesados directos pertinentes para acceder y utilizar datos, información y conocimientos relacionados con la diversidad biológica existentes a nivel nacional, regional e internacional;</w:t>
      </w:r>
    </w:p>
    <w:p w:rsidR="00680F35" w:rsidRPr="002647CE" w:rsidRDefault="00680F35">
      <w:pPr>
        <w:pStyle w:val="CBD-Para-a"/>
        <w:numPr>
          <w:ilvl w:val="1"/>
          <w:numId w:val="12"/>
        </w:numPr>
        <w:tabs>
          <w:tab w:val="clear" w:pos="1080"/>
        </w:tabs>
        <w:ind w:left="0" w:firstLine="720"/>
        <w:rPr>
          <w:rFonts w:eastAsia="Times New Roman"/>
          <w:kern w:val="22"/>
          <w:szCs w:val="24"/>
          <w:lang w:val="es-ES"/>
        </w:rPr>
      </w:pPr>
      <w:r w:rsidRPr="002647CE">
        <w:rPr>
          <w:rFonts w:eastAsia="Times New Roman"/>
          <w:kern w:val="22"/>
          <w:szCs w:val="24"/>
          <w:lang w:val="es-ES"/>
        </w:rPr>
        <w:t>facilitación del seguimiento y la evaluación;</w:t>
      </w:r>
    </w:p>
    <w:p w:rsidR="00680F35" w:rsidRPr="002647CE" w:rsidRDefault="00680F35">
      <w:pPr>
        <w:pStyle w:val="CBD-Para-a"/>
        <w:numPr>
          <w:ilvl w:val="1"/>
          <w:numId w:val="12"/>
        </w:numPr>
        <w:tabs>
          <w:tab w:val="clear" w:pos="1080"/>
        </w:tabs>
        <w:ind w:left="0" w:firstLine="720"/>
        <w:rPr>
          <w:rFonts w:eastAsia="Times New Roman"/>
          <w:kern w:val="22"/>
          <w:szCs w:val="24"/>
          <w:lang w:val="es-ES"/>
        </w:rPr>
      </w:pPr>
      <w:r w:rsidRPr="002647CE">
        <w:rPr>
          <w:rFonts w:eastAsia="Times New Roman"/>
          <w:kern w:val="22"/>
          <w:szCs w:val="24"/>
          <w:lang w:val="es-ES"/>
        </w:rPr>
        <w:t>promoción del intercambio de datos y el diálogo a nivel nacional y mundial, así como los datos abiertos, los metadatos abiertos y la garantía de calidad;</w:t>
      </w:r>
    </w:p>
    <w:p w:rsidR="00680F35" w:rsidRPr="002647CE" w:rsidRDefault="00680F35">
      <w:pPr>
        <w:pStyle w:val="CBD-Para-a"/>
        <w:keepLines w:val="0"/>
        <w:numPr>
          <w:ilvl w:val="1"/>
          <w:numId w:val="12"/>
        </w:numPr>
        <w:tabs>
          <w:tab w:val="clear" w:pos="1080"/>
        </w:tabs>
        <w:ind w:left="0" w:firstLine="720"/>
        <w:rPr>
          <w:rFonts w:eastAsia="Times New Roman"/>
          <w:szCs w:val="24"/>
          <w:lang w:val="es-ES"/>
        </w:rPr>
      </w:pPr>
      <w:r w:rsidRPr="002647CE">
        <w:rPr>
          <w:rFonts w:eastAsia="Times New Roman"/>
          <w:kern w:val="22"/>
          <w:szCs w:val="24"/>
          <w:lang w:val="es-ES"/>
        </w:rPr>
        <w:t>profundización de sinergias entre los convenios relacionados con la diversidad biológica para facilitar una mayor coordinación en la presentación de informes.</w:t>
      </w:r>
    </w:p>
    <w:p w:rsidR="00680F35" w:rsidRPr="002647CE" w:rsidRDefault="00680F35">
      <w:pPr>
        <w:pStyle w:val="Para1"/>
        <w:numPr>
          <w:ilvl w:val="0"/>
          <w:numId w:val="10"/>
        </w:numPr>
        <w:suppressLineNumbers/>
        <w:tabs>
          <w:tab w:val="clear" w:pos="360"/>
          <w:tab w:val="num" w:pos="720"/>
        </w:tabs>
        <w:suppressAutoHyphens/>
        <w:rPr>
          <w:rFonts w:eastAsia="Times New Roman"/>
          <w:szCs w:val="24"/>
          <w:lang w:val="es-ES"/>
        </w:rPr>
      </w:pPr>
      <w:r w:rsidRPr="002647CE">
        <w:rPr>
          <w:rFonts w:eastAsia="Times New Roman"/>
          <w:kern w:val="22"/>
          <w:szCs w:val="24"/>
          <w:lang w:val="es-ES"/>
        </w:rPr>
        <w:t xml:space="preserve">Estos objetivos son complementarios a los establecidos en el marco estratégico a largo plazo para </w:t>
      </w:r>
      <w:r w:rsidR="00255D9B">
        <w:rPr>
          <w:rFonts w:eastAsia="Times New Roman"/>
          <w:kern w:val="22"/>
          <w:szCs w:val="24"/>
          <w:lang w:val="es-ES"/>
        </w:rPr>
        <w:t>la creación</w:t>
      </w:r>
      <w:r w:rsidRPr="002647CE">
        <w:rPr>
          <w:rFonts w:eastAsia="Times New Roman"/>
          <w:kern w:val="22"/>
          <w:szCs w:val="24"/>
          <w:lang w:val="es-ES"/>
        </w:rPr>
        <w:t xml:space="preserve"> de capacidad (CBD/SBI/3/7/Add.1), las propuestas para mejorar la cooperación científica y técnica (CBD/SBI/3/7/Add.2) y las propuestas para mejorar el mecanismo de planificación, presentación de informes y revisión del marco mundial de la diversidad biológica posterior a 2020 (CBD/SBI/3/11).</w:t>
      </w:r>
      <w:r w:rsidRPr="002647CE">
        <w:rPr>
          <w:rStyle w:val="CommentReference"/>
          <w:rFonts w:eastAsia="Times New Roman"/>
          <w:kern w:val="22"/>
          <w:szCs w:val="24"/>
          <w:lang w:val="es-ES"/>
        </w:rPr>
        <w:t xml:space="preserve"> </w:t>
      </w:r>
    </w:p>
    <w:p w:rsidR="00680F35" w:rsidRPr="002647CE" w:rsidRDefault="00680F35">
      <w:pPr>
        <w:pStyle w:val="Heading2"/>
        <w:numPr>
          <w:ilvl w:val="0"/>
          <w:numId w:val="7"/>
        </w:numPr>
        <w:suppressLineNumbers/>
        <w:tabs>
          <w:tab w:val="clear" w:pos="720"/>
        </w:tabs>
        <w:suppressAutoHyphens/>
        <w:ind w:left="714" w:hanging="357"/>
        <w:rPr>
          <w:rFonts w:eastAsia="Times New Roman"/>
          <w:bCs w:val="0"/>
          <w:iCs w:val="0"/>
          <w:kern w:val="22"/>
          <w:lang w:val="es-ES"/>
        </w:rPr>
      </w:pPr>
      <w:r w:rsidRPr="002647CE">
        <w:rPr>
          <w:rFonts w:eastAsia="Times New Roman"/>
          <w:bCs w:val="0"/>
          <w:iCs w:val="0"/>
          <w:kern w:val="22"/>
          <w:lang w:val="es-ES"/>
        </w:rPr>
        <w:t>Resultados previstos e hitos</w:t>
      </w:r>
    </w:p>
    <w:p w:rsidR="00680F35" w:rsidRPr="002647CE" w:rsidRDefault="00F62D67">
      <w:pPr>
        <w:pStyle w:val="Para1"/>
        <w:numPr>
          <w:ilvl w:val="0"/>
          <w:numId w:val="10"/>
        </w:numPr>
        <w:suppressLineNumbers/>
        <w:tabs>
          <w:tab w:val="clear" w:pos="360"/>
          <w:tab w:val="num" w:pos="720"/>
        </w:tabs>
        <w:suppressAutoHyphens/>
        <w:rPr>
          <w:rFonts w:eastAsia="Times New Roman"/>
          <w:kern w:val="22"/>
          <w:szCs w:val="24"/>
          <w:lang w:val="es-ES"/>
        </w:rPr>
      </w:pPr>
      <w:r w:rsidRPr="002647CE">
        <w:rPr>
          <w:rFonts w:eastAsia="Times New Roman"/>
          <w:kern w:val="22"/>
          <w:szCs w:val="24"/>
          <w:lang w:val="es-ES"/>
        </w:rPr>
        <w:t xml:space="preserve">Los resultados </w:t>
      </w:r>
      <w:r w:rsidR="000A0B78" w:rsidRPr="002647CE">
        <w:rPr>
          <w:rFonts w:eastAsia="Times New Roman"/>
          <w:kern w:val="22"/>
          <w:szCs w:val="24"/>
          <w:lang w:val="es-ES"/>
        </w:rPr>
        <w:t xml:space="preserve">previstos </w:t>
      </w:r>
      <w:r w:rsidRPr="002647CE">
        <w:rPr>
          <w:rFonts w:eastAsia="Times New Roman"/>
          <w:kern w:val="22"/>
          <w:szCs w:val="24"/>
          <w:lang w:val="es-ES"/>
        </w:rPr>
        <w:t>de la</w:t>
      </w:r>
      <w:r w:rsidR="00680F35" w:rsidRPr="002647CE">
        <w:rPr>
          <w:rFonts w:eastAsia="Times New Roman"/>
          <w:kern w:val="22"/>
          <w:szCs w:val="24"/>
          <w:lang w:val="es-ES"/>
        </w:rPr>
        <w:t xml:space="preserve"> implementación del componente de gestión de los conocimientos </w:t>
      </w:r>
      <w:r w:rsidRPr="002647CE">
        <w:rPr>
          <w:rFonts w:eastAsia="Times New Roman"/>
          <w:kern w:val="22"/>
          <w:szCs w:val="24"/>
          <w:lang w:val="es-ES"/>
        </w:rPr>
        <w:t>son</w:t>
      </w:r>
      <w:r w:rsidR="00680F35" w:rsidRPr="002647CE">
        <w:rPr>
          <w:rFonts w:eastAsia="Times New Roman"/>
          <w:kern w:val="22"/>
          <w:szCs w:val="24"/>
          <w:lang w:val="es-ES"/>
        </w:rPr>
        <w:t xml:space="preserve"> los siguientes:</w:t>
      </w:r>
    </w:p>
    <w:p w:rsidR="00680F35" w:rsidRPr="002647CE" w:rsidRDefault="00680F35">
      <w:pPr>
        <w:pStyle w:val="CBD-Para-a"/>
        <w:numPr>
          <w:ilvl w:val="0"/>
          <w:numId w:val="15"/>
        </w:numPr>
        <w:ind w:left="0" w:firstLine="720"/>
        <w:rPr>
          <w:rFonts w:eastAsia="Times New Roman"/>
          <w:kern w:val="22"/>
          <w:szCs w:val="24"/>
          <w:lang w:val="es-ES"/>
        </w:rPr>
      </w:pPr>
      <w:r w:rsidRPr="002647CE">
        <w:rPr>
          <w:rFonts w:eastAsia="Times New Roman"/>
          <w:kern w:val="22"/>
          <w:szCs w:val="24"/>
          <w:lang w:val="es-ES"/>
        </w:rPr>
        <w:t>una mayor disponibilidad y accesibilidad de datos, información y conocimientos pertinentes a todos los niveles;</w:t>
      </w:r>
    </w:p>
    <w:p w:rsidR="00680F35" w:rsidRPr="002647CE" w:rsidRDefault="00680F35">
      <w:pPr>
        <w:pStyle w:val="CBD-Para-a"/>
        <w:numPr>
          <w:ilvl w:val="0"/>
          <w:numId w:val="15"/>
        </w:numPr>
        <w:ind w:left="0" w:firstLine="720"/>
        <w:rPr>
          <w:rFonts w:eastAsia="Times New Roman"/>
          <w:kern w:val="22"/>
          <w:szCs w:val="24"/>
          <w:lang w:val="es-ES"/>
        </w:rPr>
      </w:pPr>
      <w:r w:rsidRPr="002647CE">
        <w:rPr>
          <w:rFonts w:eastAsia="Times New Roman"/>
          <w:kern w:val="22"/>
          <w:szCs w:val="24"/>
          <w:lang w:val="es-ES"/>
        </w:rPr>
        <w:lastRenderedPageBreak/>
        <w:t>una mayor adopción y utilización de datos, información y conocimientos para apoyar la implementación del marco mundial de la diversidad biológica posterior a 2020;</w:t>
      </w:r>
    </w:p>
    <w:p w:rsidR="00680F35" w:rsidRPr="002647CE" w:rsidRDefault="00680F35">
      <w:pPr>
        <w:pStyle w:val="CBD-Para-a"/>
        <w:numPr>
          <w:ilvl w:val="0"/>
          <w:numId w:val="15"/>
        </w:numPr>
        <w:ind w:left="0" w:firstLine="720"/>
        <w:rPr>
          <w:rFonts w:eastAsia="Times New Roman"/>
          <w:kern w:val="22"/>
          <w:szCs w:val="24"/>
          <w:lang w:val="es-ES"/>
        </w:rPr>
      </w:pPr>
      <w:r w:rsidRPr="002647CE">
        <w:rPr>
          <w:rFonts w:eastAsia="Times New Roman"/>
          <w:kern w:val="22"/>
          <w:szCs w:val="24"/>
          <w:lang w:val="es-ES"/>
        </w:rPr>
        <w:t xml:space="preserve">un aumento en la capacidad de los Gobiernos y de interesados directos pertinentes </w:t>
      </w:r>
      <w:r w:rsidR="00F62D67" w:rsidRPr="002647CE">
        <w:rPr>
          <w:rFonts w:eastAsia="Times New Roman"/>
          <w:kern w:val="22"/>
          <w:szCs w:val="24"/>
          <w:lang w:val="es-ES"/>
        </w:rPr>
        <w:t>para</w:t>
      </w:r>
      <w:r w:rsidRPr="002647CE">
        <w:rPr>
          <w:rFonts w:eastAsia="Times New Roman"/>
          <w:kern w:val="22"/>
          <w:szCs w:val="24"/>
          <w:lang w:val="es-ES"/>
        </w:rPr>
        <w:t xml:space="preserve"> captar, gestionar y utilizar datos, información y conocimientos relacionados con la diversidad biológica;</w:t>
      </w:r>
    </w:p>
    <w:p w:rsidR="00680F35" w:rsidRPr="002647CE" w:rsidRDefault="00680F35">
      <w:pPr>
        <w:pStyle w:val="CBD-Para-a"/>
        <w:numPr>
          <w:ilvl w:val="0"/>
          <w:numId w:val="15"/>
        </w:numPr>
        <w:ind w:left="0" w:firstLine="720"/>
        <w:rPr>
          <w:rFonts w:eastAsia="Times New Roman"/>
          <w:kern w:val="22"/>
          <w:szCs w:val="24"/>
          <w:lang w:val="es-ES"/>
        </w:rPr>
      </w:pPr>
      <w:r w:rsidRPr="002647CE">
        <w:rPr>
          <w:rFonts w:eastAsia="Times New Roman"/>
          <w:kern w:val="22"/>
          <w:szCs w:val="24"/>
          <w:lang w:val="es-ES"/>
        </w:rPr>
        <w:t xml:space="preserve">un mayor número de </w:t>
      </w:r>
      <w:r w:rsidR="00F62D67" w:rsidRPr="002647CE">
        <w:rPr>
          <w:rFonts w:eastAsia="Times New Roman"/>
          <w:kern w:val="22"/>
          <w:szCs w:val="24"/>
          <w:lang w:val="es-ES"/>
        </w:rPr>
        <w:t xml:space="preserve">comunidades de práctica y </w:t>
      </w:r>
      <w:r w:rsidRPr="002647CE">
        <w:rPr>
          <w:rFonts w:eastAsia="Times New Roman"/>
          <w:kern w:val="22"/>
          <w:szCs w:val="24"/>
          <w:lang w:val="es-ES"/>
        </w:rPr>
        <w:t xml:space="preserve">redes de apoyo </w:t>
      </w:r>
      <w:r w:rsidR="00F62D67" w:rsidRPr="002647CE">
        <w:rPr>
          <w:rFonts w:eastAsia="Times New Roman"/>
          <w:kern w:val="22"/>
          <w:szCs w:val="24"/>
          <w:lang w:val="es-ES"/>
        </w:rPr>
        <w:t>de</w:t>
      </w:r>
      <w:r w:rsidRPr="002647CE">
        <w:rPr>
          <w:rFonts w:eastAsia="Times New Roman"/>
          <w:kern w:val="22"/>
          <w:szCs w:val="24"/>
          <w:lang w:val="es-ES"/>
        </w:rPr>
        <w:t xml:space="preserve"> la gestión de los conocimientos sobre </w:t>
      </w:r>
      <w:r w:rsidR="00F62D67" w:rsidRPr="002647CE">
        <w:rPr>
          <w:rFonts w:eastAsia="Times New Roman"/>
          <w:kern w:val="22"/>
          <w:szCs w:val="24"/>
          <w:lang w:val="es-ES"/>
        </w:rPr>
        <w:t xml:space="preserve">la </w:t>
      </w:r>
      <w:r w:rsidRPr="002647CE">
        <w:rPr>
          <w:rFonts w:eastAsia="Times New Roman"/>
          <w:kern w:val="22"/>
          <w:szCs w:val="24"/>
          <w:lang w:val="es-ES"/>
        </w:rPr>
        <w:t>diversidad biológica activas;</w:t>
      </w:r>
    </w:p>
    <w:p w:rsidR="00680F35" w:rsidRPr="002647CE" w:rsidRDefault="00680F35">
      <w:pPr>
        <w:pStyle w:val="CBD-Para-a"/>
        <w:numPr>
          <w:ilvl w:val="0"/>
          <w:numId w:val="15"/>
        </w:numPr>
        <w:ind w:left="0" w:firstLine="720"/>
        <w:rPr>
          <w:rFonts w:eastAsia="Times New Roman"/>
          <w:kern w:val="22"/>
          <w:szCs w:val="24"/>
          <w:lang w:val="es-ES"/>
        </w:rPr>
      </w:pPr>
      <w:r w:rsidRPr="002647CE">
        <w:rPr>
          <w:rFonts w:eastAsia="Times New Roman"/>
          <w:kern w:val="22"/>
          <w:szCs w:val="24"/>
          <w:lang w:val="es-ES"/>
        </w:rPr>
        <w:t>una mejora en el acceso en tiempo real a datos e información para la planificación y</w:t>
      </w:r>
      <w:r w:rsidR="00F62D67" w:rsidRPr="002647CE">
        <w:rPr>
          <w:rFonts w:eastAsia="Times New Roman"/>
          <w:kern w:val="22"/>
          <w:szCs w:val="24"/>
          <w:lang w:val="es-ES"/>
        </w:rPr>
        <w:t xml:space="preserve"> la</w:t>
      </w:r>
      <w:r w:rsidRPr="002647CE">
        <w:rPr>
          <w:rFonts w:eastAsia="Times New Roman"/>
          <w:kern w:val="22"/>
          <w:szCs w:val="24"/>
          <w:lang w:val="es-ES"/>
        </w:rPr>
        <w:t xml:space="preserve"> presentación de informes nacionales en el </w:t>
      </w:r>
      <w:r w:rsidR="000A0B78">
        <w:rPr>
          <w:rFonts w:eastAsia="Times New Roman"/>
          <w:kern w:val="22"/>
          <w:szCs w:val="24"/>
          <w:lang w:val="es-ES"/>
        </w:rPr>
        <w:t>marco</w:t>
      </w:r>
      <w:r w:rsidRPr="002647CE">
        <w:rPr>
          <w:rFonts w:eastAsia="Times New Roman"/>
          <w:kern w:val="22"/>
          <w:szCs w:val="24"/>
          <w:lang w:val="es-ES"/>
        </w:rPr>
        <w:t xml:space="preserve"> de los convenios relacionados con la diversidad biológica y para revisiones mundiales, incluido en el contexto de la IPBES;</w:t>
      </w:r>
    </w:p>
    <w:p w:rsidR="00680F35" w:rsidRPr="002647CE" w:rsidRDefault="00680F35">
      <w:pPr>
        <w:pStyle w:val="CBD-Para-a"/>
        <w:numPr>
          <w:ilvl w:val="0"/>
          <w:numId w:val="15"/>
        </w:numPr>
        <w:ind w:left="0" w:firstLine="720"/>
        <w:rPr>
          <w:rFonts w:eastAsia="Times New Roman"/>
          <w:kern w:val="22"/>
          <w:szCs w:val="24"/>
          <w:lang w:val="es-ES"/>
        </w:rPr>
      </w:pPr>
      <w:r w:rsidRPr="002647CE">
        <w:rPr>
          <w:rFonts w:eastAsia="Times New Roman"/>
          <w:kern w:val="22"/>
          <w:szCs w:val="24"/>
          <w:lang w:val="es-ES"/>
        </w:rPr>
        <w:t>un mayor intercambio de información entre organizaciones y convenios relacionados con la diversidad biológica.</w:t>
      </w:r>
    </w:p>
    <w:p w:rsidR="00680F35" w:rsidRPr="002647CE" w:rsidRDefault="00680F35">
      <w:pPr>
        <w:pStyle w:val="Para1"/>
        <w:numPr>
          <w:ilvl w:val="0"/>
          <w:numId w:val="10"/>
        </w:numPr>
        <w:suppressLineNumbers/>
        <w:tabs>
          <w:tab w:val="clear" w:pos="360"/>
          <w:tab w:val="num" w:pos="720"/>
        </w:tabs>
        <w:suppressAutoHyphens/>
        <w:rPr>
          <w:rFonts w:eastAsia="Times New Roman"/>
          <w:szCs w:val="24"/>
          <w:lang w:val="es-ES"/>
        </w:rPr>
      </w:pPr>
      <w:r w:rsidRPr="002647CE">
        <w:rPr>
          <w:rFonts w:eastAsia="Times New Roman"/>
          <w:kern w:val="22"/>
          <w:szCs w:val="24"/>
          <w:lang w:val="es-ES"/>
        </w:rPr>
        <w:t xml:space="preserve">En definitiva, se espera que todas estas mejoras </w:t>
      </w:r>
      <w:r w:rsidR="00F62D67" w:rsidRPr="002647CE">
        <w:rPr>
          <w:rFonts w:eastAsia="Times New Roman"/>
          <w:kern w:val="22"/>
          <w:szCs w:val="24"/>
          <w:lang w:val="es-ES"/>
        </w:rPr>
        <w:t>hagan posible que</w:t>
      </w:r>
      <w:r w:rsidRPr="002647CE">
        <w:rPr>
          <w:rFonts w:eastAsia="Times New Roman"/>
          <w:kern w:val="22"/>
          <w:szCs w:val="24"/>
          <w:lang w:val="es-ES"/>
        </w:rPr>
        <w:t xml:space="preserve"> los Gobiernos, los pueblos indígenas y las comunidades locales y todos los interesados directos, según proceda: </w:t>
      </w:r>
    </w:p>
    <w:p w:rsidR="00680F35" w:rsidRPr="002647CE" w:rsidRDefault="00680F35">
      <w:pPr>
        <w:pStyle w:val="CBD-Para-a"/>
        <w:keepLines w:val="0"/>
        <w:numPr>
          <w:ilvl w:val="0"/>
          <w:numId w:val="16"/>
        </w:numPr>
        <w:ind w:left="0" w:firstLine="720"/>
        <w:rPr>
          <w:rFonts w:eastAsia="Times New Roman"/>
          <w:kern w:val="22"/>
          <w:szCs w:val="24"/>
          <w:lang w:val="es-ES"/>
        </w:rPr>
      </w:pPr>
      <w:r w:rsidRPr="002647CE">
        <w:rPr>
          <w:rFonts w:eastAsia="Times New Roman"/>
          <w:kern w:val="22"/>
          <w:szCs w:val="24"/>
          <w:lang w:val="es-ES"/>
        </w:rPr>
        <w:t>mejor</w:t>
      </w:r>
      <w:r w:rsidR="00F62D67" w:rsidRPr="002647CE">
        <w:rPr>
          <w:rFonts w:eastAsia="Times New Roman"/>
          <w:kern w:val="22"/>
          <w:szCs w:val="24"/>
          <w:lang w:val="es-ES"/>
        </w:rPr>
        <w:t>en</w:t>
      </w:r>
      <w:r w:rsidRPr="002647CE">
        <w:rPr>
          <w:rFonts w:eastAsia="Times New Roman"/>
          <w:kern w:val="22"/>
          <w:szCs w:val="24"/>
          <w:lang w:val="es-ES"/>
        </w:rPr>
        <w:t xml:space="preserve"> la implementación y la toma de decisiones mediante una utilización más eficaz de los datos, la información y los conocimientos disponibles;</w:t>
      </w:r>
    </w:p>
    <w:p w:rsidR="00680F35" w:rsidRPr="002647CE" w:rsidRDefault="00680F35">
      <w:pPr>
        <w:pStyle w:val="CBD-Para-a"/>
        <w:keepLines w:val="0"/>
        <w:numPr>
          <w:ilvl w:val="0"/>
          <w:numId w:val="16"/>
        </w:numPr>
        <w:ind w:left="0" w:firstLine="720"/>
        <w:rPr>
          <w:rFonts w:eastAsia="Times New Roman"/>
          <w:kern w:val="22"/>
          <w:szCs w:val="24"/>
          <w:lang w:val="es-ES"/>
        </w:rPr>
      </w:pPr>
      <w:r w:rsidRPr="002647CE">
        <w:rPr>
          <w:rFonts w:eastAsia="Times New Roman"/>
          <w:kern w:val="22"/>
          <w:szCs w:val="24"/>
          <w:lang w:val="es-ES"/>
        </w:rPr>
        <w:t>aument</w:t>
      </w:r>
      <w:r w:rsidR="00F62D67" w:rsidRPr="002647CE">
        <w:rPr>
          <w:rFonts w:eastAsia="Times New Roman"/>
          <w:kern w:val="22"/>
          <w:szCs w:val="24"/>
          <w:lang w:val="es-ES"/>
        </w:rPr>
        <w:t>en</w:t>
      </w:r>
      <w:r w:rsidRPr="002647CE">
        <w:rPr>
          <w:rFonts w:eastAsia="Times New Roman"/>
          <w:kern w:val="22"/>
          <w:szCs w:val="24"/>
          <w:lang w:val="es-ES"/>
        </w:rPr>
        <w:t xml:space="preserve"> la eficiencia accediendo al trabajo ya realizado y aprovechándolo, en vez de repetirlo, y aprendiendo de las experiencias de otros;</w:t>
      </w:r>
    </w:p>
    <w:p w:rsidR="00680F35" w:rsidRPr="002647CE" w:rsidRDefault="00F62D67">
      <w:pPr>
        <w:pStyle w:val="CBD-Para-a"/>
        <w:keepLines w:val="0"/>
        <w:numPr>
          <w:ilvl w:val="0"/>
          <w:numId w:val="16"/>
        </w:numPr>
        <w:ind w:left="0" w:firstLine="720"/>
        <w:rPr>
          <w:rFonts w:eastAsia="Times New Roman"/>
          <w:kern w:val="22"/>
          <w:szCs w:val="24"/>
          <w:lang w:val="es-ES"/>
        </w:rPr>
      </w:pPr>
      <w:r w:rsidRPr="002647CE">
        <w:rPr>
          <w:rFonts w:eastAsia="Times New Roman"/>
          <w:kern w:val="22"/>
          <w:szCs w:val="24"/>
          <w:lang w:val="es-ES"/>
        </w:rPr>
        <w:t>reduzcan</w:t>
      </w:r>
      <w:r w:rsidR="00680F35" w:rsidRPr="002647CE">
        <w:rPr>
          <w:rFonts w:eastAsia="Times New Roman"/>
          <w:kern w:val="22"/>
          <w:szCs w:val="24"/>
          <w:lang w:val="es-ES"/>
        </w:rPr>
        <w:t xml:space="preserve"> las ineficiencias en la prestación de servicios</w:t>
      </w:r>
      <w:r w:rsidR="000A0B78">
        <w:rPr>
          <w:rFonts w:eastAsia="Times New Roman"/>
          <w:kern w:val="22"/>
          <w:szCs w:val="24"/>
          <w:lang w:val="es-ES"/>
        </w:rPr>
        <w:t xml:space="preserve"> mediante la</w:t>
      </w:r>
      <w:r w:rsidR="00680F35" w:rsidRPr="002647CE">
        <w:rPr>
          <w:rFonts w:eastAsia="Times New Roman"/>
          <w:kern w:val="22"/>
          <w:szCs w:val="24"/>
          <w:lang w:val="es-ES"/>
        </w:rPr>
        <w:t xml:space="preserve"> obten</w:t>
      </w:r>
      <w:r w:rsidR="000A0B78">
        <w:rPr>
          <w:rFonts w:eastAsia="Times New Roman"/>
          <w:kern w:val="22"/>
          <w:szCs w:val="24"/>
          <w:lang w:val="es-ES"/>
        </w:rPr>
        <w:t>c</w:t>
      </w:r>
      <w:r w:rsidR="00680F35" w:rsidRPr="002647CE">
        <w:rPr>
          <w:rFonts w:eastAsia="Times New Roman"/>
          <w:kern w:val="22"/>
          <w:szCs w:val="24"/>
          <w:lang w:val="es-ES"/>
        </w:rPr>
        <w:t>i</w:t>
      </w:r>
      <w:r w:rsidR="000A0B78">
        <w:rPr>
          <w:rFonts w:eastAsia="Times New Roman"/>
          <w:kern w:val="22"/>
          <w:szCs w:val="24"/>
          <w:lang w:val="es-ES"/>
        </w:rPr>
        <w:t>ó</w:t>
      </w:r>
      <w:r w:rsidR="00680F35" w:rsidRPr="002647CE">
        <w:rPr>
          <w:rFonts w:eastAsia="Times New Roman"/>
          <w:kern w:val="22"/>
          <w:szCs w:val="24"/>
          <w:lang w:val="es-ES"/>
        </w:rPr>
        <w:t xml:space="preserve">n oportuna </w:t>
      </w:r>
      <w:r w:rsidR="000A0B78">
        <w:rPr>
          <w:rFonts w:eastAsia="Times New Roman"/>
          <w:kern w:val="22"/>
          <w:szCs w:val="24"/>
          <w:lang w:val="es-ES"/>
        </w:rPr>
        <w:t xml:space="preserve">de </w:t>
      </w:r>
      <w:r w:rsidR="00680F35" w:rsidRPr="002647CE">
        <w:rPr>
          <w:rFonts w:eastAsia="Times New Roman"/>
          <w:kern w:val="22"/>
          <w:szCs w:val="24"/>
          <w:lang w:val="es-ES"/>
        </w:rPr>
        <w:t xml:space="preserve">la información necesaria o </w:t>
      </w:r>
      <w:r w:rsidR="000A0B78">
        <w:rPr>
          <w:rFonts w:eastAsia="Times New Roman"/>
          <w:kern w:val="22"/>
          <w:szCs w:val="24"/>
          <w:lang w:val="es-ES"/>
        </w:rPr>
        <w:t xml:space="preserve">la </w:t>
      </w:r>
      <w:r w:rsidRPr="002647CE">
        <w:rPr>
          <w:rFonts w:eastAsia="Times New Roman"/>
          <w:kern w:val="22"/>
          <w:szCs w:val="24"/>
          <w:lang w:val="es-ES"/>
        </w:rPr>
        <w:t>disminu</w:t>
      </w:r>
      <w:r w:rsidR="000A0B78">
        <w:rPr>
          <w:rFonts w:eastAsia="Times New Roman"/>
          <w:kern w:val="22"/>
          <w:szCs w:val="24"/>
          <w:lang w:val="es-ES"/>
        </w:rPr>
        <w:t>ció</w:t>
      </w:r>
      <w:r w:rsidRPr="002647CE">
        <w:rPr>
          <w:rFonts w:eastAsia="Times New Roman"/>
          <w:kern w:val="22"/>
          <w:szCs w:val="24"/>
          <w:lang w:val="es-ES"/>
        </w:rPr>
        <w:t>n</w:t>
      </w:r>
      <w:r w:rsidR="000A0B78">
        <w:rPr>
          <w:rFonts w:eastAsia="Times New Roman"/>
          <w:kern w:val="22"/>
          <w:szCs w:val="24"/>
          <w:lang w:val="es-ES"/>
        </w:rPr>
        <w:t xml:space="preserve"> </w:t>
      </w:r>
      <w:r w:rsidRPr="002647CE">
        <w:rPr>
          <w:rFonts w:eastAsia="Times New Roman"/>
          <w:kern w:val="22"/>
          <w:szCs w:val="24"/>
          <w:lang w:val="es-ES"/>
        </w:rPr>
        <w:t>d</w:t>
      </w:r>
      <w:r w:rsidR="00680F35" w:rsidRPr="002647CE">
        <w:rPr>
          <w:rFonts w:eastAsia="Times New Roman"/>
          <w:kern w:val="22"/>
          <w:szCs w:val="24"/>
          <w:lang w:val="es-ES"/>
        </w:rPr>
        <w:t xml:space="preserve">el tiempo </w:t>
      </w:r>
      <w:r w:rsidR="000A0B78">
        <w:rPr>
          <w:rFonts w:eastAsia="Times New Roman"/>
          <w:kern w:val="22"/>
          <w:szCs w:val="24"/>
          <w:lang w:val="es-ES"/>
        </w:rPr>
        <w:t>que se dedica</w:t>
      </w:r>
      <w:r w:rsidR="00680F35" w:rsidRPr="002647CE">
        <w:rPr>
          <w:rFonts w:eastAsia="Times New Roman"/>
          <w:kern w:val="22"/>
          <w:szCs w:val="24"/>
          <w:lang w:val="es-ES"/>
        </w:rPr>
        <w:t xml:space="preserve"> a la búsqueda de información;</w:t>
      </w:r>
    </w:p>
    <w:p w:rsidR="00680F35" w:rsidRPr="002647CE" w:rsidRDefault="00F62D67">
      <w:pPr>
        <w:pStyle w:val="CBD-Para-a"/>
        <w:keepLines w:val="0"/>
        <w:numPr>
          <w:ilvl w:val="0"/>
          <w:numId w:val="16"/>
        </w:numPr>
        <w:ind w:left="0" w:firstLine="720"/>
        <w:rPr>
          <w:rFonts w:eastAsia="Times New Roman"/>
          <w:kern w:val="22"/>
          <w:szCs w:val="24"/>
          <w:lang w:val="es-ES"/>
        </w:rPr>
      </w:pPr>
      <w:r w:rsidRPr="002647CE">
        <w:rPr>
          <w:rFonts w:eastAsia="Times New Roman"/>
          <w:kern w:val="22"/>
          <w:szCs w:val="24"/>
          <w:lang w:val="es-ES"/>
        </w:rPr>
        <w:t>mejoren</w:t>
      </w:r>
      <w:r w:rsidR="00680F35" w:rsidRPr="002647CE">
        <w:rPr>
          <w:rFonts w:eastAsia="Times New Roman"/>
          <w:kern w:val="22"/>
          <w:szCs w:val="24"/>
          <w:lang w:val="es-ES"/>
        </w:rPr>
        <w:t xml:space="preserve"> la comunicación y el desarrollo profesional y organizativo profundizando el aprendizaje en todos los ámbitos gubernamentales y de las organizaciones;</w:t>
      </w:r>
    </w:p>
    <w:p w:rsidR="00680F35" w:rsidRPr="002647CE" w:rsidRDefault="00F62D67">
      <w:pPr>
        <w:pStyle w:val="CBD-Para-a"/>
        <w:keepLines w:val="0"/>
        <w:numPr>
          <w:ilvl w:val="0"/>
          <w:numId w:val="16"/>
        </w:numPr>
        <w:ind w:left="0" w:firstLine="720"/>
        <w:rPr>
          <w:rFonts w:eastAsia="Times New Roman"/>
          <w:kern w:val="22"/>
          <w:szCs w:val="24"/>
          <w:lang w:val="es-ES"/>
        </w:rPr>
      </w:pPr>
      <w:r w:rsidRPr="002647CE">
        <w:rPr>
          <w:rFonts w:eastAsia="Times New Roman"/>
          <w:kern w:val="22"/>
          <w:szCs w:val="24"/>
          <w:lang w:val="es-ES"/>
        </w:rPr>
        <w:t>faciliten</w:t>
      </w:r>
      <w:r w:rsidR="00680F35" w:rsidRPr="002647CE">
        <w:rPr>
          <w:rFonts w:eastAsia="Times New Roman"/>
          <w:kern w:val="22"/>
          <w:szCs w:val="24"/>
          <w:lang w:val="es-ES"/>
        </w:rPr>
        <w:t xml:space="preserve"> la innovación aprovechando los recursos de conocimientos existentes para crear nuevos productos.</w:t>
      </w:r>
    </w:p>
    <w:p w:rsidR="00680F35" w:rsidRPr="002647CE" w:rsidRDefault="00680F35">
      <w:pPr>
        <w:pStyle w:val="Heading1"/>
        <w:suppressLineNumbers/>
        <w:tabs>
          <w:tab w:val="clear" w:pos="720"/>
          <w:tab w:val="left" w:pos="426"/>
        </w:tabs>
        <w:suppressAutoHyphens/>
        <w:spacing w:before="120"/>
        <w:rPr>
          <w:rFonts w:eastAsia="Times New Roman"/>
          <w:lang w:val="es-ES"/>
        </w:rPr>
      </w:pPr>
      <w:r w:rsidRPr="002647CE">
        <w:rPr>
          <w:rFonts w:eastAsia="Times New Roman"/>
          <w:kern w:val="22"/>
          <w:lang w:val="es-ES"/>
        </w:rPr>
        <w:t>iii.</w:t>
      </w:r>
      <w:r w:rsidRPr="002647CE">
        <w:rPr>
          <w:rFonts w:eastAsia="Times New Roman"/>
          <w:kern w:val="22"/>
          <w:lang w:val="es-ES"/>
        </w:rPr>
        <w:tab/>
      </w:r>
      <w:r w:rsidRPr="002647CE">
        <w:rPr>
          <w:rFonts w:ascii="Times New Roman Bold" w:eastAsia="Times New Roman" w:hAnsi="Times New Roman Bold"/>
          <w:caps w:val="0"/>
          <w:kern w:val="22"/>
          <w:lang w:val="es-ES"/>
        </w:rPr>
        <w:t>ESTRATEGIAS PARA MEJORAR LA GESTIÓN DE LOS CONOCIMIENTOS SOBRE LA DIVERSIDAD BIOLÓGICA</w:t>
      </w:r>
    </w:p>
    <w:p w:rsidR="00680F35" w:rsidRPr="002647CE" w:rsidRDefault="00680F35">
      <w:pPr>
        <w:pStyle w:val="Para1"/>
        <w:numPr>
          <w:ilvl w:val="0"/>
          <w:numId w:val="10"/>
        </w:numPr>
        <w:suppressLineNumbers/>
        <w:tabs>
          <w:tab w:val="clear" w:pos="360"/>
          <w:tab w:val="num" w:pos="720"/>
        </w:tabs>
        <w:suppressAutoHyphens/>
        <w:rPr>
          <w:rFonts w:eastAsia="Times New Roman"/>
          <w:szCs w:val="24"/>
          <w:lang w:val="es-ES"/>
        </w:rPr>
      </w:pPr>
      <w:r w:rsidRPr="002647CE">
        <w:rPr>
          <w:rFonts w:eastAsia="Times New Roman"/>
          <w:kern w:val="22"/>
          <w:szCs w:val="24"/>
          <w:lang w:val="es-ES"/>
        </w:rPr>
        <w:t xml:space="preserve">En esta sección se </w:t>
      </w:r>
      <w:r w:rsidR="000B71C5" w:rsidRPr="002647CE">
        <w:rPr>
          <w:rFonts w:eastAsia="Times New Roman"/>
          <w:kern w:val="22"/>
          <w:szCs w:val="24"/>
          <w:lang w:val="es-ES"/>
        </w:rPr>
        <w:t>describen</w:t>
      </w:r>
      <w:r w:rsidRPr="002647CE">
        <w:rPr>
          <w:rFonts w:eastAsia="Times New Roman"/>
          <w:kern w:val="22"/>
          <w:szCs w:val="24"/>
          <w:lang w:val="es-ES"/>
        </w:rPr>
        <w:t xml:space="preserve"> grandes categorías de estrategias que pueden adoptar las Partes, organizaciones pertinentes y secretarías de convenios, según proceda, para mejorar las siguientes etapas del ciclo de gestión de los conocimientos en apoyo al marco mundial de la diversidad biológica posterior a</w:t>
      </w:r>
      <w:r w:rsidR="00D040BC">
        <w:rPr>
          <w:rFonts w:eastAsia="Times New Roman"/>
          <w:kern w:val="22"/>
          <w:szCs w:val="24"/>
          <w:lang w:val="es-ES"/>
        </w:rPr>
        <w:t> </w:t>
      </w:r>
      <w:r w:rsidRPr="002647CE">
        <w:rPr>
          <w:rFonts w:eastAsia="Times New Roman"/>
          <w:kern w:val="22"/>
          <w:szCs w:val="24"/>
          <w:lang w:val="es-ES"/>
        </w:rPr>
        <w:t>2020. En el anexo I se presentan las principales medidas estratégicas específicas para facilitar la implementación de este componente, incluidos los plazos propuestos y una lista indicativa de los principales encargados de la implementación de las respectivas medidas. Las medidas estratégicas propuestas se agrupan en las siguientes etapas del ciclo de gestión de los conocimientos: generación y síntesis de conocimientos; descubrimiento y re</w:t>
      </w:r>
      <w:r w:rsidR="000B71C5" w:rsidRPr="002647CE">
        <w:rPr>
          <w:rFonts w:eastAsia="Times New Roman"/>
          <w:kern w:val="22"/>
          <w:szCs w:val="24"/>
          <w:lang w:val="es-ES"/>
        </w:rPr>
        <w:t>un</w:t>
      </w:r>
      <w:r w:rsidRPr="002647CE">
        <w:rPr>
          <w:rFonts w:eastAsia="Times New Roman"/>
          <w:kern w:val="22"/>
          <w:szCs w:val="24"/>
          <w:lang w:val="es-ES"/>
        </w:rPr>
        <w:t>ión de conocimientos; organización e intercambio de conocimientos; utilización/aplicación de conocimientos; y auditoría y revisión de conocimientos para detectar carencias de conocimientos y mejorar la planificación y el establecimiento de prioridades nacionales, teniendo en cuenta a la vez las prioridades mundiales.</w:t>
      </w:r>
    </w:p>
    <w:p w:rsidR="00680F35" w:rsidRPr="002647CE" w:rsidRDefault="00D040BC">
      <w:pPr>
        <w:pStyle w:val="Heading2"/>
        <w:numPr>
          <w:ilvl w:val="0"/>
          <w:numId w:val="11"/>
        </w:numPr>
        <w:suppressLineNumbers/>
        <w:tabs>
          <w:tab w:val="clear" w:pos="720"/>
        </w:tabs>
        <w:suppressAutoHyphens/>
        <w:ind w:left="714" w:hanging="357"/>
        <w:rPr>
          <w:rFonts w:eastAsia="Times New Roman"/>
          <w:bCs w:val="0"/>
          <w:iCs w:val="0"/>
          <w:kern w:val="22"/>
          <w:lang w:val="es-ES"/>
        </w:rPr>
      </w:pPr>
      <w:r>
        <w:rPr>
          <w:rFonts w:eastAsia="Times New Roman"/>
          <w:bCs w:val="0"/>
          <w:iCs w:val="0"/>
          <w:kern w:val="22"/>
          <w:lang w:val="es-ES"/>
        </w:rPr>
        <w:t>Impulsar</w:t>
      </w:r>
      <w:r w:rsidR="00680F35" w:rsidRPr="002647CE">
        <w:rPr>
          <w:rFonts w:eastAsia="Times New Roman"/>
          <w:bCs w:val="0"/>
          <w:iCs w:val="0"/>
          <w:kern w:val="22"/>
          <w:lang w:val="es-ES"/>
        </w:rPr>
        <w:t xml:space="preserve"> la generación y</w:t>
      </w:r>
      <w:r>
        <w:rPr>
          <w:rFonts w:eastAsia="Times New Roman"/>
          <w:bCs w:val="0"/>
          <w:iCs w:val="0"/>
          <w:kern w:val="22"/>
          <w:lang w:val="es-ES"/>
        </w:rPr>
        <w:t xml:space="preserve"> la</w:t>
      </w:r>
      <w:r w:rsidR="00680F35" w:rsidRPr="002647CE">
        <w:rPr>
          <w:rFonts w:eastAsia="Times New Roman"/>
          <w:bCs w:val="0"/>
          <w:iCs w:val="0"/>
          <w:kern w:val="22"/>
          <w:lang w:val="es-ES"/>
        </w:rPr>
        <w:t xml:space="preserve"> síntesis de conocimientos</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 xml:space="preserve">La generación y </w:t>
      </w:r>
      <w:r w:rsidR="00D040BC">
        <w:rPr>
          <w:rFonts w:eastAsia="Times New Roman"/>
          <w:kern w:val="22"/>
          <w:szCs w:val="24"/>
          <w:lang w:val="es-ES"/>
        </w:rPr>
        <w:t xml:space="preserve">la </w:t>
      </w:r>
      <w:r w:rsidRPr="002647CE">
        <w:rPr>
          <w:rFonts w:eastAsia="Times New Roman"/>
          <w:kern w:val="22"/>
          <w:szCs w:val="24"/>
          <w:lang w:val="es-ES"/>
        </w:rPr>
        <w:t>síntesis de conocimientos comprenden la creación y la promoción de nuevos conocimientos y la construcción de una base empírica, principalmente a través de iniciativas académicas</w:t>
      </w:r>
      <w:r w:rsidR="000B71C5" w:rsidRPr="002647CE">
        <w:rPr>
          <w:rFonts w:eastAsia="Times New Roman"/>
          <w:kern w:val="22"/>
          <w:szCs w:val="24"/>
          <w:lang w:val="es-ES"/>
        </w:rPr>
        <w:t xml:space="preserve"> y de investigación</w:t>
      </w:r>
      <w:r w:rsidRPr="002647CE">
        <w:rPr>
          <w:rFonts w:eastAsia="Times New Roman"/>
          <w:kern w:val="22"/>
          <w:szCs w:val="24"/>
          <w:lang w:val="es-ES"/>
        </w:rPr>
        <w:t>, así como el análisis de</w:t>
      </w:r>
      <w:r w:rsidR="000B71C5" w:rsidRPr="002647CE">
        <w:rPr>
          <w:rFonts w:eastAsia="Times New Roman"/>
          <w:kern w:val="22"/>
          <w:szCs w:val="24"/>
          <w:lang w:val="es-ES"/>
        </w:rPr>
        <w:t xml:space="preserve"> la</w:t>
      </w:r>
      <w:r w:rsidRPr="002647CE">
        <w:rPr>
          <w:rFonts w:eastAsia="Times New Roman"/>
          <w:kern w:val="22"/>
          <w:szCs w:val="24"/>
          <w:lang w:val="es-ES"/>
        </w:rPr>
        <w:t xml:space="preserve"> información proporcionada por Gobiernos, organizaciones pertinentes y otras fuentes. Algunos ejemplos de organizaciones y procesos que contribuyen a la generación y síntesis de información y conocimientos relacionados </w:t>
      </w:r>
      <w:r w:rsidR="001E47C9" w:rsidRPr="002647CE">
        <w:rPr>
          <w:rFonts w:eastAsia="Times New Roman"/>
          <w:kern w:val="22"/>
          <w:szCs w:val="24"/>
          <w:lang w:val="es-ES"/>
        </w:rPr>
        <w:t>con la diversidad biológica son</w:t>
      </w:r>
      <w:r w:rsidRPr="002647CE">
        <w:rPr>
          <w:rFonts w:eastAsia="Times New Roman"/>
          <w:kern w:val="22"/>
          <w:szCs w:val="24"/>
          <w:lang w:val="es-ES"/>
        </w:rPr>
        <w:t xml:space="preserve"> instituciones universitarias de investigación, GEO-BON,</w:t>
      </w:r>
      <w:r w:rsidR="00D040BC">
        <w:rPr>
          <w:rFonts w:eastAsia="Times New Roman"/>
          <w:kern w:val="22"/>
          <w:szCs w:val="24"/>
          <w:lang w:val="es-ES"/>
        </w:rPr>
        <w:t xml:space="preserve"> la</w:t>
      </w:r>
      <w:r w:rsidRPr="002647CE">
        <w:rPr>
          <w:rFonts w:eastAsia="Times New Roman"/>
          <w:kern w:val="22"/>
          <w:szCs w:val="24"/>
          <w:lang w:val="es-ES"/>
        </w:rPr>
        <w:t xml:space="preserve"> IPBES</w:t>
      </w:r>
      <w:r w:rsidRPr="002647CE">
        <w:rPr>
          <w:rStyle w:val="FootnoteReference"/>
          <w:rFonts w:eastAsia="Times New Roman"/>
          <w:kern w:val="22"/>
          <w:szCs w:val="24"/>
          <w:lang w:val="es-ES"/>
        </w:rPr>
        <w:footnoteReference w:id="14"/>
      </w:r>
      <w:r w:rsidRPr="002647CE">
        <w:rPr>
          <w:rFonts w:eastAsia="Times New Roman"/>
          <w:kern w:val="22"/>
          <w:szCs w:val="24"/>
          <w:lang w:val="es-ES"/>
        </w:rPr>
        <w:t>, evaluaciones mundiales de la</w:t>
      </w:r>
      <w:r w:rsidR="00980FC2">
        <w:rPr>
          <w:rFonts w:eastAsia="Times New Roman"/>
          <w:kern w:val="22"/>
          <w:szCs w:val="24"/>
          <w:lang w:val="es-ES"/>
        </w:rPr>
        <w:t xml:space="preserve"> </w:t>
      </w:r>
      <w:r w:rsidRPr="002647CE">
        <w:rPr>
          <w:rFonts w:eastAsia="Times New Roman"/>
          <w:kern w:val="22"/>
          <w:szCs w:val="24"/>
          <w:lang w:val="es-ES"/>
        </w:rPr>
        <w:t>Organización de las Naciones Unidas para la Alimentación y la Agricultura (FAO) y el CMVC-PNUMA, entre otros.</w:t>
      </w:r>
    </w:p>
    <w:p w:rsidR="00680F35" w:rsidRPr="002647CE" w:rsidRDefault="00680F35">
      <w:pPr>
        <w:pStyle w:val="Heading2"/>
        <w:numPr>
          <w:ilvl w:val="0"/>
          <w:numId w:val="11"/>
        </w:numPr>
        <w:suppressLineNumbers/>
        <w:tabs>
          <w:tab w:val="clear" w:pos="720"/>
        </w:tabs>
        <w:suppressAutoHyphens/>
        <w:ind w:left="714" w:hanging="357"/>
        <w:rPr>
          <w:rFonts w:eastAsia="Times New Roman"/>
          <w:bCs w:val="0"/>
          <w:iCs w:val="0"/>
          <w:kern w:val="22"/>
          <w:lang w:val="es-ES"/>
        </w:rPr>
      </w:pPr>
      <w:r w:rsidRPr="002647CE">
        <w:rPr>
          <w:rFonts w:eastAsia="Times New Roman"/>
          <w:bCs w:val="0"/>
          <w:iCs w:val="0"/>
          <w:kern w:val="22"/>
          <w:lang w:val="es-ES"/>
        </w:rPr>
        <w:lastRenderedPageBreak/>
        <w:t>Facilitar el descubrimiento y la reunión de conocimientos</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El descubrimiento y la re</w:t>
      </w:r>
      <w:r w:rsidR="001E47C9" w:rsidRPr="002647CE">
        <w:rPr>
          <w:rFonts w:eastAsia="Times New Roman"/>
          <w:kern w:val="22"/>
          <w:szCs w:val="24"/>
          <w:lang w:val="es-ES"/>
        </w:rPr>
        <w:t>un</w:t>
      </w:r>
      <w:r w:rsidRPr="002647CE">
        <w:rPr>
          <w:rFonts w:eastAsia="Times New Roman"/>
          <w:kern w:val="22"/>
          <w:szCs w:val="24"/>
          <w:lang w:val="es-ES"/>
        </w:rPr>
        <w:t>ión de conocimientos constituyen un elemento crítico de este componente</w:t>
      </w:r>
      <w:r w:rsidRPr="002647CE">
        <w:rPr>
          <w:rStyle w:val="FootnoteReference"/>
          <w:rFonts w:eastAsia="Times New Roman"/>
          <w:kern w:val="22"/>
          <w:szCs w:val="24"/>
          <w:lang w:val="es-ES"/>
        </w:rPr>
        <w:footnoteReference w:id="15"/>
      </w:r>
      <w:r w:rsidRPr="002647CE">
        <w:rPr>
          <w:rFonts w:eastAsia="Times New Roman"/>
          <w:kern w:val="22"/>
          <w:szCs w:val="24"/>
          <w:lang w:val="es-ES"/>
        </w:rPr>
        <w:t xml:space="preserve">. </w:t>
      </w:r>
      <w:r w:rsidR="001E47C9" w:rsidRPr="002647CE">
        <w:rPr>
          <w:rFonts w:eastAsia="Times New Roman"/>
          <w:kern w:val="22"/>
          <w:szCs w:val="24"/>
          <w:lang w:val="es-ES"/>
        </w:rPr>
        <w:t>A medida</w:t>
      </w:r>
      <w:r w:rsidRPr="002647CE">
        <w:rPr>
          <w:rFonts w:eastAsia="Times New Roman"/>
          <w:kern w:val="22"/>
          <w:szCs w:val="24"/>
          <w:lang w:val="es-ES"/>
        </w:rPr>
        <w:t xml:space="preserve"> que crece la generación de conocimientos y se almacenan volúmenes masivos de datos, información y conocimientos en bibliotecas y bases de datos digitales en distintas partes del mundo, se hace difícil </w:t>
      </w:r>
      <w:r w:rsidR="00C870F9">
        <w:rPr>
          <w:rFonts w:eastAsia="Times New Roman"/>
          <w:kern w:val="22"/>
          <w:szCs w:val="24"/>
          <w:lang w:val="es-ES"/>
        </w:rPr>
        <w:t>detect</w:t>
      </w:r>
      <w:r w:rsidRPr="002647CE">
        <w:rPr>
          <w:rFonts w:eastAsia="Times New Roman"/>
          <w:kern w:val="22"/>
          <w:szCs w:val="24"/>
          <w:lang w:val="es-ES"/>
        </w:rPr>
        <w:t xml:space="preserve">arlos y acceder a ellos. Es necesario entender la magnitud de lo que se está reuniendo en todo el espectro de fuentes y </w:t>
      </w:r>
      <w:r w:rsidR="001E47C9" w:rsidRPr="002647CE">
        <w:rPr>
          <w:rFonts w:eastAsia="Times New Roman"/>
          <w:kern w:val="22"/>
          <w:szCs w:val="24"/>
          <w:lang w:val="es-ES"/>
        </w:rPr>
        <w:t>llevar un registro de todas</w:t>
      </w:r>
      <w:r w:rsidRPr="002647CE">
        <w:rPr>
          <w:rFonts w:eastAsia="Times New Roman"/>
          <w:kern w:val="22"/>
          <w:szCs w:val="24"/>
          <w:lang w:val="es-ES"/>
        </w:rPr>
        <w:t xml:space="preserve"> las fuentes pertinentes. Algunas fuentes están disponibles al público, mientras que otras se mantienen como recursos pagos o privados. Hay</w:t>
      </w:r>
      <w:r w:rsidR="001E47C9" w:rsidRPr="002647CE">
        <w:rPr>
          <w:rFonts w:eastAsia="Times New Roman"/>
          <w:kern w:val="22"/>
          <w:szCs w:val="24"/>
          <w:lang w:val="es-ES"/>
        </w:rPr>
        <w:t xml:space="preserve"> una serie de</w:t>
      </w:r>
      <w:r w:rsidRPr="002647CE">
        <w:rPr>
          <w:rFonts w:eastAsia="Times New Roman"/>
          <w:kern w:val="22"/>
          <w:szCs w:val="24"/>
          <w:lang w:val="es-ES"/>
        </w:rPr>
        <w:t xml:space="preserve"> iniciativas en curso para dar cuenta de las fuentes existentes de datos, información y conocimientos sobre la diversidad biológica y recopilarlas, incluidas las </w:t>
      </w:r>
      <w:r w:rsidR="001E47C9" w:rsidRPr="002647CE">
        <w:rPr>
          <w:rFonts w:eastAsia="Times New Roman"/>
          <w:kern w:val="22"/>
          <w:szCs w:val="24"/>
          <w:lang w:val="es-ES"/>
        </w:rPr>
        <w:t>indicadas</w:t>
      </w:r>
      <w:r w:rsidRPr="002647CE">
        <w:rPr>
          <w:rFonts w:eastAsia="Times New Roman"/>
          <w:kern w:val="22"/>
          <w:szCs w:val="24"/>
          <w:lang w:val="es-ES"/>
        </w:rPr>
        <w:t xml:space="preserve"> en los compendios del CMVC-PNUMA antes mencionados. Es necesario ampliar y expandir esas iniciativas para apoyar al marco mundial de la diversidad biológica posterior a 2020.</w:t>
      </w:r>
    </w:p>
    <w:p w:rsidR="00680F35" w:rsidRPr="002647CE" w:rsidRDefault="00680F35">
      <w:pPr>
        <w:pStyle w:val="Heading2"/>
        <w:numPr>
          <w:ilvl w:val="0"/>
          <w:numId w:val="11"/>
        </w:numPr>
        <w:suppressLineNumbers/>
        <w:tabs>
          <w:tab w:val="clear" w:pos="720"/>
        </w:tabs>
        <w:suppressAutoHyphens/>
        <w:ind w:left="714" w:hanging="357"/>
        <w:rPr>
          <w:rFonts w:eastAsia="Times New Roman"/>
          <w:bCs w:val="0"/>
          <w:iCs w:val="0"/>
          <w:kern w:val="22"/>
          <w:lang w:val="es-ES"/>
        </w:rPr>
      </w:pPr>
      <w:r w:rsidRPr="002647CE">
        <w:rPr>
          <w:rFonts w:eastAsia="Times New Roman"/>
          <w:bCs w:val="0"/>
          <w:iCs w:val="0"/>
          <w:kern w:val="22"/>
          <w:lang w:val="es-ES"/>
        </w:rPr>
        <w:t>Mejorar la organización y el intercambio de conocimientos</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 xml:space="preserve">Los conocimientos generados o reunidos deben organizarse, catalogarse y </w:t>
      </w:r>
      <w:r w:rsidR="00F5136D" w:rsidRPr="002647CE">
        <w:rPr>
          <w:rFonts w:eastAsia="Times New Roman"/>
          <w:kern w:val="22"/>
          <w:szCs w:val="24"/>
          <w:lang w:val="es-ES"/>
        </w:rPr>
        <w:t>mapearse</w:t>
      </w:r>
      <w:r w:rsidRPr="002647CE">
        <w:rPr>
          <w:rFonts w:eastAsia="Times New Roman"/>
          <w:kern w:val="22"/>
          <w:szCs w:val="24"/>
          <w:lang w:val="es-ES"/>
        </w:rPr>
        <w:t xml:space="preserve"> empleando metadatos y descriptores apropiados para facilitar su búsqueda, accesibilidad y recuperación. Actores clave</w:t>
      </w:r>
      <w:r w:rsidR="00F5136D" w:rsidRPr="002647CE">
        <w:rPr>
          <w:rFonts w:eastAsia="Times New Roman"/>
          <w:kern w:val="22"/>
          <w:szCs w:val="24"/>
          <w:lang w:val="es-ES"/>
        </w:rPr>
        <w:t>,</w:t>
      </w:r>
      <w:r w:rsidRPr="002647CE">
        <w:rPr>
          <w:rFonts w:eastAsia="Times New Roman"/>
          <w:kern w:val="22"/>
          <w:szCs w:val="24"/>
          <w:lang w:val="es-ES"/>
        </w:rPr>
        <w:t xml:space="preserve"> como </w:t>
      </w:r>
      <w:r w:rsidR="00F5136D" w:rsidRPr="002647CE">
        <w:rPr>
          <w:rFonts w:eastAsia="Times New Roman"/>
          <w:kern w:val="22"/>
          <w:szCs w:val="24"/>
          <w:lang w:val="es-ES"/>
        </w:rPr>
        <w:t xml:space="preserve">la </w:t>
      </w:r>
      <w:r w:rsidRPr="002647CE">
        <w:rPr>
          <w:rFonts w:eastAsia="Times New Roman"/>
          <w:kern w:val="22"/>
          <w:szCs w:val="24"/>
          <w:lang w:val="es-ES"/>
        </w:rPr>
        <w:t>GBIF, GEO</w:t>
      </w:r>
      <w:r w:rsidR="00F5136D" w:rsidRPr="002647CE">
        <w:rPr>
          <w:rFonts w:eastAsia="Times New Roman"/>
          <w:kern w:val="22"/>
          <w:szCs w:val="24"/>
          <w:lang w:val="es-ES"/>
        </w:rPr>
        <w:t> </w:t>
      </w:r>
      <w:r w:rsidRPr="002647CE">
        <w:rPr>
          <w:rFonts w:eastAsia="Times New Roman"/>
          <w:kern w:val="22"/>
          <w:szCs w:val="24"/>
          <w:lang w:val="es-ES"/>
        </w:rPr>
        <w:t>BON, InforMEA y el CMVC-PNUMA</w:t>
      </w:r>
      <w:r w:rsidR="00F5136D" w:rsidRPr="002647CE">
        <w:rPr>
          <w:rFonts w:eastAsia="Times New Roman"/>
          <w:kern w:val="22"/>
          <w:szCs w:val="24"/>
          <w:lang w:val="es-ES"/>
        </w:rPr>
        <w:t>,</w:t>
      </w:r>
      <w:r w:rsidRPr="002647CE">
        <w:rPr>
          <w:rFonts w:eastAsia="Times New Roman"/>
          <w:kern w:val="22"/>
          <w:szCs w:val="24"/>
          <w:lang w:val="es-ES"/>
        </w:rPr>
        <w:t xml:space="preserve"> han </w:t>
      </w:r>
      <w:r w:rsidR="00D040BC">
        <w:rPr>
          <w:rFonts w:eastAsia="Times New Roman"/>
          <w:kern w:val="22"/>
          <w:szCs w:val="24"/>
          <w:lang w:val="es-ES"/>
        </w:rPr>
        <w:t>elaborado</w:t>
      </w:r>
      <w:r w:rsidRPr="002647CE">
        <w:rPr>
          <w:rFonts w:eastAsia="Times New Roman"/>
          <w:kern w:val="22"/>
          <w:szCs w:val="24"/>
          <w:lang w:val="es-ES"/>
        </w:rPr>
        <w:t xml:space="preserve"> estándares que pueden </w:t>
      </w:r>
      <w:r w:rsidR="00D040BC">
        <w:rPr>
          <w:rFonts w:eastAsia="Times New Roman"/>
          <w:kern w:val="22"/>
          <w:szCs w:val="24"/>
          <w:lang w:val="es-ES"/>
        </w:rPr>
        <w:t>desarrollarse más a fondo</w:t>
      </w:r>
      <w:r w:rsidRPr="002647CE">
        <w:rPr>
          <w:rFonts w:eastAsia="Times New Roman"/>
          <w:kern w:val="22"/>
          <w:szCs w:val="24"/>
          <w:lang w:val="es-ES"/>
        </w:rPr>
        <w:t xml:space="preserve"> y compartirse. Se puede impulsar un mayor acceso a la información asegurándose un </w:t>
      </w:r>
      <w:r w:rsidR="00D040BC">
        <w:rPr>
          <w:rFonts w:eastAsia="Times New Roman"/>
          <w:kern w:val="22"/>
          <w:szCs w:val="24"/>
          <w:lang w:val="es-ES"/>
        </w:rPr>
        <w:t>etiquetado</w:t>
      </w:r>
      <w:r w:rsidRPr="002647CE">
        <w:rPr>
          <w:rFonts w:eastAsia="Times New Roman"/>
          <w:kern w:val="22"/>
          <w:szCs w:val="24"/>
          <w:lang w:val="es-ES"/>
        </w:rPr>
        <w:t xml:space="preserve"> de metadatos completo y exhaustivo, incluido el </w:t>
      </w:r>
      <w:r w:rsidR="00D040BC">
        <w:rPr>
          <w:rFonts w:eastAsia="Times New Roman"/>
          <w:kern w:val="22"/>
          <w:szCs w:val="24"/>
          <w:lang w:val="es-ES"/>
        </w:rPr>
        <w:t>etiquet</w:t>
      </w:r>
      <w:r w:rsidRPr="002647CE">
        <w:rPr>
          <w:rFonts w:eastAsia="Times New Roman"/>
          <w:kern w:val="22"/>
          <w:szCs w:val="24"/>
          <w:lang w:val="es-ES"/>
        </w:rPr>
        <w:t xml:space="preserve">ado temático de objetos de conocimiento. Un uso </w:t>
      </w:r>
      <w:r w:rsidR="00654DCC" w:rsidRPr="002647CE">
        <w:rPr>
          <w:rFonts w:eastAsia="Times New Roman"/>
          <w:kern w:val="22"/>
          <w:szCs w:val="24"/>
          <w:lang w:val="es-ES"/>
        </w:rPr>
        <w:t>uniforme</w:t>
      </w:r>
      <w:r w:rsidRPr="002647CE">
        <w:rPr>
          <w:rFonts w:eastAsia="Times New Roman"/>
          <w:kern w:val="22"/>
          <w:szCs w:val="24"/>
          <w:lang w:val="es-ES"/>
        </w:rPr>
        <w:t xml:space="preserve"> de la terminología compartida aumenta la encontrabilidad, como también lo hace la </w:t>
      </w:r>
      <w:r w:rsidR="00F5136D" w:rsidRPr="002647CE">
        <w:rPr>
          <w:rFonts w:eastAsia="Times New Roman"/>
          <w:kern w:val="22"/>
          <w:szCs w:val="24"/>
          <w:lang w:val="es-ES"/>
        </w:rPr>
        <w:t>indexación</w:t>
      </w:r>
      <w:r w:rsidRPr="002647CE">
        <w:rPr>
          <w:rFonts w:eastAsia="Times New Roman"/>
          <w:kern w:val="22"/>
          <w:szCs w:val="24"/>
          <w:lang w:val="es-ES"/>
        </w:rPr>
        <w:t xml:space="preserve"> de texto completo. Aumentar la interoperabilidad de los sistemas de búsqueda y la estandarización y el empleo de descriptores comunes permitirá una mayor encontrabilidad de la información.</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Si bien hay muchas colecciones de datos, información y conocimientos</w:t>
      </w:r>
      <w:r w:rsidR="00654DCC" w:rsidRPr="002647CE">
        <w:rPr>
          <w:rFonts w:eastAsia="Times New Roman"/>
          <w:kern w:val="22"/>
          <w:szCs w:val="24"/>
          <w:lang w:val="es-ES"/>
        </w:rPr>
        <w:t xml:space="preserve"> existentes</w:t>
      </w:r>
      <w:r w:rsidRPr="002647CE">
        <w:rPr>
          <w:rFonts w:eastAsia="Times New Roman"/>
          <w:kern w:val="22"/>
          <w:szCs w:val="24"/>
          <w:lang w:val="es-ES"/>
        </w:rPr>
        <w:t xml:space="preserve">, encontrarlas y compartirlas sigue siendo difícil. Además, no toda la información está disponible </w:t>
      </w:r>
      <w:r w:rsidR="00654DCC" w:rsidRPr="002647CE">
        <w:rPr>
          <w:rFonts w:eastAsia="Times New Roman"/>
          <w:kern w:val="22"/>
          <w:szCs w:val="24"/>
          <w:lang w:val="es-ES"/>
        </w:rPr>
        <w:t>en modalidad de</w:t>
      </w:r>
      <w:r w:rsidRPr="002647CE">
        <w:rPr>
          <w:rFonts w:eastAsia="Times New Roman"/>
          <w:kern w:val="22"/>
          <w:szCs w:val="24"/>
          <w:lang w:val="es-ES"/>
        </w:rPr>
        <w:t xml:space="preserve"> acceso abierto, lo que dificulta su acceso y utilización por todos los interesados directos, pero muy especialmente por los interesados directos en los países en desarrollo. Es necesario seguir trabajando para </w:t>
      </w:r>
      <w:r w:rsidR="00654DCC" w:rsidRPr="002647CE">
        <w:rPr>
          <w:rFonts w:eastAsia="Times New Roman"/>
          <w:kern w:val="22"/>
          <w:szCs w:val="24"/>
          <w:lang w:val="es-ES"/>
        </w:rPr>
        <w:t>facilitarles a</w:t>
      </w:r>
      <w:r w:rsidRPr="002647CE">
        <w:rPr>
          <w:rFonts w:eastAsia="Times New Roman"/>
          <w:kern w:val="22"/>
          <w:szCs w:val="24"/>
          <w:lang w:val="es-ES"/>
        </w:rPr>
        <w:t xml:space="preserve"> los usuarios la búsqueda y el acceso a la información y los conocimientos disponibles en formatos comprensibles. Esto último podría lograrse </w:t>
      </w:r>
      <w:r w:rsidR="00654DCC" w:rsidRPr="002647CE">
        <w:rPr>
          <w:rFonts w:eastAsia="Times New Roman"/>
          <w:kern w:val="22"/>
          <w:szCs w:val="24"/>
          <w:lang w:val="es-ES"/>
        </w:rPr>
        <w:t>haciendo uso de</w:t>
      </w:r>
      <w:r w:rsidRPr="002647CE">
        <w:rPr>
          <w:rFonts w:eastAsia="Times New Roman"/>
          <w:kern w:val="22"/>
          <w:szCs w:val="24"/>
          <w:lang w:val="es-ES"/>
        </w:rPr>
        <w:t xml:space="preserve"> las tecnologías modernas para mejorar la integración de los datos, la información y los conocimientos y la visualización de los resultados de búsqueda. Siguiendo estándares y mejores prácticas internacionales, las secretarías de los convenios relacionados con la diversidad biológica han desarrollado una variedad de “formatos comunes” que se utilizan para describir información</w:t>
      </w:r>
      <w:r w:rsidR="00D040BC">
        <w:rPr>
          <w:rFonts w:eastAsia="Times New Roman"/>
          <w:kern w:val="22"/>
          <w:szCs w:val="24"/>
          <w:lang w:val="es-ES"/>
        </w:rPr>
        <w:t xml:space="preserve"> que se</w:t>
      </w:r>
      <w:r w:rsidRPr="002647CE">
        <w:rPr>
          <w:rFonts w:eastAsia="Times New Roman"/>
          <w:kern w:val="22"/>
          <w:szCs w:val="24"/>
          <w:lang w:val="es-ES"/>
        </w:rPr>
        <w:t xml:space="preserve"> </w:t>
      </w:r>
      <w:r w:rsidR="00654DCC" w:rsidRPr="002647CE">
        <w:rPr>
          <w:rFonts w:eastAsia="Times New Roman"/>
          <w:kern w:val="22"/>
          <w:szCs w:val="24"/>
          <w:lang w:val="es-ES"/>
        </w:rPr>
        <w:t>re</w:t>
      </w:r>
      <w:r w:rsidR="00D040BC">
        <w:rPr>
          <w:rFonts w:eastAsia="Times New Roman"/>
          <w:kern w:val="22"/>
          <w:szCs w:val="24"/>
          <w:lang w:val="es-ES"/>
        </w:rPr>
        <w:t>ú</w:t>
      </w:r>
      <w:r w:rsidR="00654DCC" w:rsidRPr="002647CE">
        <w:rPr>
          <w:rFonts w:eastAsia="Times New Roman"/>
          <w:kern w:val="22"/>
          <w:szCs w:val="24"/>
          <w:lang w:val="es-ES"/>
        </w:rPr>
        <w:t>n</w:t>
      </w:r>
      <w:r w:rsidR="00D040BC">
        <w:rPr>
          <w:rFonts w:eastAsia="Times New Roman"/>
          <w:kern w:val="22"/>
          <w:szCs w:val="24"/>
          <w:lang w:val="es-ES"/>
        </w:rPr>
        <w:t>e</w:t>
      </w:r>
      <w:r w:rsidR="00654DCC" w:rsidRPr="002647CE">
        <w:rPr>
          <w:rFonts w:eastAsia="Times New Roman"/>
          <w:kern w:val="22"/>
          <w:szCs w:val="24"/>
          <w:lang w:val="es-ES"/>
        </w:rPr>
        <w:t xml:space="preserve"> </w:t>
      </w:r>
      <w:r w:rsidR="00D040BC">
        <w:rPr>
          <w:rFonts w:eastAsia="Times New Roman"/>
          <w:kern w:val="22"/>
          <w:szCs w:val="24"/>
          <w:lang w:val="es-ES"/>
        </w:rPr>
        <w:t xml:space="preserve">con </w:t>
      </w:r>
      <w:r w:rsidR="00654DCC" w:rsidRPr="002647CE">
        <w:rPr>
          <w:rFonts w:eastAsia="Times New Roman"/>
          <w:kern w:val="22"/>
          <w:szCs w:val="24"/>
          <w:lang w:val="es-ES"/>
        </w:rPr>
        <w:t>frecuen</w:t>
      </w:r>
      <w:r w:rsidR="00D040BC">
        <w:rPr>
          <w:rFonts w:eastAsia="Times New Roman"/>
          <w:kern w:val="22"/>
          <w:szCs w:val="24"/>
          <w:lang w:val="es-ES"/>
        </w:rPr>
        <w:t>cia</w:t>
      </w:r>
      <w:r w:rsidRPr="002647CE">
        <w:rPr>
          <w:rFonts w:eastAsia="Times New Roman"/>
          <w:kern w:val="22"/>
          <w:szCs w:val="24"/>
          <w:lang w:val="es-ES"/>
        </w:rPr>
        <w:t>.</w:t>
      </w:r>
    </w:p>
    <w:p w:rsidR="00680F35" w:rsidRPr="002647CE" w:rsidRDefault="00680F35">
      <w:pPr>
        <w:pStyle w:val="Heading2"/>
        <w:numPr>
          <w:ilvl w:val="0"/>
          <w:numId w:val="11"/>
        </w:numPr>
        <w:suppressLineNumbers/>
        <w:tabs>
          <w:tab w:val="clear" w:pos="720"/>
        </w:tabs>
        <w:suppressAutoHyphens/>
        <w:spacing w:after="0"/>
        <w:ind w:left="714" w:hanging="357"/>
        <w:rPr>
          <w:rFonts w:eastAsia="Times New Roman"/>
          <w:bCs w:val="0"/>
          <w:iCs w:val="0"/>
          <w:kern w:val="22"/>
          <w:lang w:val="es-ES"/>
        </w:rPr>
      </w:pPr>
      <w:r w:rsidRPr="002647CE">
        <w:rPr>
          <w:rFonts w:eastAsia="Times New Roman"/>
          <w:bCs w:val="0"/>
          <w:iCs w:val="0"/>
          <w:kern w:val="22"/>
          <w:lang w:val="es-ES"/>
        </w:rPr>
        <w:t>Promover la utilización y la aplicación eficaces de los conocimientos</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Como ya se señaló, los Gobiernos, las organizaciones y otros interesados directos tienen, colectivamente, un gran cúmulo de datos, información y conocimientos sobre la diversidad biológica almacenados en bases de datos, bibliotecas y otros repositorios. Sin embargo, ese cúmulo de datos solo tiene valor si se comparte y se utiliza eficazmente para apoyar los procesos de planificación, formulación de políticas, toma de decisiones, implementación, seguimiento, revisión y presentación de informes en materia de diversidad biológica.</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 xml:space="preserve">Varias iniciativas, como la IPBES y </w:t>
      </w:r>
      <w:r w:rsidR="00D040BC">
        <w:rPr>
          <w:rFonts w:eastAsia="Times New Roman"/>
          <w:kern w:val="22"/>
          <w:szCs w:val="24"/>
          <w:lang w:val="es-ES"/>
        </w:rPr>
        <w:t xml:space="preserve">el </w:t>
      </w:r>
      <w:r w:rsidRPr="002647CE">
        <w:rPr>
          <w:rFonts w:eastAsia="Times New Roman"/>
          <w:kern w:val="22"/>
          <w:szCs w:val="24"/>
          <w:lang w:val="es-ES"/>
        </w:rPr>
        <w:t>Proyecto Connect</w:t>
      </w:r>
      <w:r w:rsidR="00654DCC" w:rsidRPr="002647CE">
        <w:rPr>
          <w:rFonts w:eastAsia="Times New Roman"/>
          <w:kern w:val="22"/>
          <w:szCs w:val="24"/>
          <w:lang w:val="es-ES"/>
        </w:rPr>
        <w:t>,</w:t>
      </w:r>
      <w:r w:rsidRPr="002647CE">
        <w:rPr>
          <w:rFonts w:eastAsia="Times New Roman"/>
          <w:kern w:val="22"/>
          <w:szCs w:val="24"/>
          <w:lang w:val="es-ES"/>
        </w:rPr>
        <w:t xml:space="preserve"> han logrado avances en la provisión de apoyo a los Gobiernos y los interesados directos para </w:t>
      </w:r>
      <w:r w:rsidR="00654DCC" w:rsidRPr="002647CE">
        <w:rPr>
          <w:rFonts w:eastAsia="Times New Roman"/>
          <w:kern w:val="22"/>
          <w:szCs w:val="24"/>
          <w:lang w:val="es-ES"/>
        </w:rPr>
        <w:t>la integración de</w:t>
      </w:r>
      <w:r w:rsidRPr="002647CE">
        <w:rPr>
          <w:rFonts w:eastAsia="Times New Roman"/>
          <w:kern w:val="22"/>
          <w:szCs w:val="24"/>
          <w:lang w:val="es-ES"/>
        </w:rPr>
        <w:t xml:space="preserve"> datos de diversidad biológica en la toma de decisiones. El objetivo del Proyecto Connect es asegurar que la diversidad biológica </w:t>
      </w:r>
      <w:r w:rsidR="00654DCC" w:rsidRPr="002647CE">
        <w:rPr>
          <w:rFonts w:eastAsia="Times New Roman"/>
          <w:kern w:val="22"/>
          <w:szCs w:val="24"/>
          <w:lang w:val="es-ES"/>
        </w:rPr>
        <w:t>sea tenida</w:t>
      </w:r>
      <w:r w:rsidRPr="002647CE">
        <w:rPr>
          <w:rFonts w:eastAsia="Times New Roman"/>
          <w:kern w:val="22"/>
          <w:szCs w:val="24"/>
          <w:lang w:val="es-ES"/>
        </w:rPr>
        <w:t xml:space="preserve"> en cuenta en la toma de decisiones en todos los sectores gubernamentales</w:t>
      </w:r>
      <w:r w:rsidR="00D040BC">
        <w:rPr>
          <w:rFonts w:eastAsia="Times New Roman"/>
          <w:kern w:val="22"/>
          <w:szCs w:val="24"/>
          <w:lang w:val="es-ES"/>
        </w:rPr>
        <w:t>,</w:t>
      </w:r>
      <w:r w:rsidRPr="002647CE">
        <w:rPr>
          <w:rFonts w:eastAsia="Times New Roman"/>
          <w:kern w:val="22"/>
          <w:szCs w:val="24"/>
          <w:lang w:val="es-ES"/>
        </w:rPr>
        <w:t xml:space="preserve"> mejorando el acceso a información sobre la diversidad biológica y su utilización por los encargados de la toma de decisiones en materia de desarrollo e integrando información sobre la diversidad biológica en los procesos nacionales de toma de decisiones en materia de desarrollo. Esas iniciativas </w:t>
      </w:r>
      <w:r w:rsidR="00654DCC" w:rsidRPr="002647CE">
        <w:rPr>
          <w:rFonts w:eastAsia="Times New Roman"/>
          <w:kern w:val="22"/>
          <w:szCs w:val="24"/>
          <w:lang w:val="es-ES"/>
        </w:rPr>
        <w:t>necesitan</w:t>
      </w:r>
      <w:r w:rsidRPr="002647CE">
        <w:rPr>
          <w:rFonts w:eastAsia="Times New Roman"/>
          <w:kern w:val="22"/>
          <w:szCs w:val="24"/>
          <w:lang w:val="es-ES"/>
        </w:rPr>
        <w:t xml:space="preserve"> promover la contextualización y la </w:t>
      </w:r>
      <w:r w:rsidRPr="002647CE">
        <w:rPr>
          <w:rFonts w:eastAsia="Times New Roman"/>
          <w:kern w:val="22"/>
          <w:szCs w:val="24"/>
          <w:lang w:val="es-ES"/>
        </w:rPr>
        <w:lastRenderedPageBreak/>
        <w:t>utilización de conocimientos e información existentes en apoyo a políticas, planificación, toma de decisiones, implementación, seguimiento y presentación de informes.</w:t>
      </w:r>
    </w:p>
    <w:p w:rsidR="00680F35" w:rsidRPr="002647CE" w:rsidRDefault="00680F35">
      <w:pPr>
        <w:pStyle w:val="Heading2"/>
        <w:numPr>
          <w:ilvl w:val="0"/>
          <w:numId w:val="11"/>
        </w:numPr>
        <w:suppressLineNumbers/>
        <w:tabs>
          <w:tab w:val="clear" w:pos="720"/>
        </w:tabs>
        <w:suppressAutoHyphens/>
        <w:ind w:left="714" w:hanging="357"/>
        <w:rPr>
          <w:rFonts w:eastAsia="Times New Roman"/>
          <w:bCs w:val="0"/>
          <w:iCs w:val="0"/>
          <w:kern w:val="22"/>
          <w:lang w:val="es-ES"/>
        </w:rPr>
      </w:pPr>
      <w:r w:rsidRPr="002647CE">
        <w:rPr>
          <w:rFonts w:eastAsia="Times New Roman"/>
          <w:bCs w:val="0"/>
          <w:iCs w:val="0"/>
          <w:kern w:val="22"/>
          <w:lang w:val="es-ES"/>
        </w:rPr>
        <w:t>Realizar auditorías y revisiones de los conocimientos</w:t>
      </w:r>
    </w:p>
    <w:p w:rsidR="00680F35" w:rsidRPr="002647CE" w:rsidRDefault="00680F35">
      <w:pPr>
        <w:pStyle w:val="Para1"/>
        <w:numPr>
          <w:ilvl w:val="0"/>
          <w:numId w:val="10"/>
        </w:numPr>
        <w:suppressLineNumbers/>
        <w:tabs>
          <w:tab w:val="clear" w:pos="360"/>
        </w:tabs>
        <w:suppressAutoHyphens/>
        <w:rPr>
          <w:rFonts w:eastAsia="Times New Roman"/>
          <w:szCs w:val="24"/>
          <w:lang w:val="es-ES"/>
        </w:rPr>
      </w:pPr>
      <w:r w:rsidRPr="002647CE">
        <w:rPr>
          <w:rFonts w:eastAsia="Times New Roman"/>
          <w:kern w:val="22"/>
          <w:szCs w:val="24"/>
          <w:lang w:val="es-ES"/>
        </w:rPr>
        <w:t xml:space="preserve">Periódicamente se realizarán auditorías y revisiones de los conocimientos para evaluar cómo está contribuyendo el componente de gestión de los conocimientos al logro de los objetivos y las metas del marco mundial de la diversidad biológica posterior a 2020, </w:t>
      </w:r>
      <w:r w:rsidR="007E74F4" w:rsidRPr="002647CE">
        <w:rPr>
          <w:rFonts w:eastAsia="Times New Roman"/>
          <w:kern w:val="22"/>
          <w:szCs w:val="24"/>
          <w:lang w:val="es-ES"/>
        </w:rPr>
        <w:t>a fin de</w:t>
      </w:r>
      <w:r w:rsidRPr="002647CE">
        <w:rPr>
          <w:rFonts w:eastAsia="Times New Roman"/>
          <w:kern w:val="22"/>
          <w:szCs w:val="24"/>
          <w:lang w:val="es-ES"/>
        </w:rPr>
        <w:t xml:space="preserve"> detectar carencias de conocimientos y mejorar la planificación y el establecimiento de prioridades nacionales, teniendo en cuenta al mismo tiempo las prioridades mundiales. Se emplearán distintos métodos, incluido el análisis de fortalezas, debilidades, oportunidades y amenazas (SWOT), según proceda.</w:t>
      </w:r>
    </w:p>
    <w:p w:rsidR="00680F35" w:rsidRPr="002647CE" w:rsidRDefault="00680F35">
      <w:pPr>
        <w:pStyle w:val="Heading1"/>
        <w:suppressLineNumbers/>
        <w:suppressAutoHyphens/>
        <w:spacing w:before="120"/>
        <w:rPr>
          <w:rFonts w:ascii="Times New Roman Bold" w:eastAsia="Times New Roman" w:hAnsi="Times New Roman Bold"/>
          <w:caps w:val="0"/>
          <w:kern w:val="22"/>
          <w:lang w:val="es-ES"/>
        </w:rPr>
      </w:pPr>
      <w:r w:rsidRPr="002647CE">
        <w:rPr>
          <w:rFonts w:eastAsia="Times New Roman"/>
          <w:kern w:val="22"/>
          <w:lang w:val="es-ES"/>
        </w:rPr>
        <w:t>IV.</w:t>
      </w:r>
      <w:r w:rsidRPr="002647CE">
        <w:rPr>
          <w:rFonts w:eastAsia="Times New Roman"/>
          <w:kern w:val="22"/>
          <w:lang w:val="es-ES"/>
        </w:rPr>
        <w:tab/>
      </w:r>
      <w:r w:rsidR="007E74F4" w:rsidRPr="002647CE">
        <w:rPr>
          <w:rFonts w:ascii="Times New Roman Bold" w:eastAsia="Times New Roman" w:hAnsi="Times New Roman Bold"/>
          <w:caps w:val="0"/>
          <w:kern w:val="22"/>
          <w:lang w:val="es-ES"/>
        </w:rPr>
        <w:t>IMPLEMENTACIÓN DEL</w:t>
      </w:r>
      <w:r w:rsidRPr="002647CE">
        <w:rPr>
          <w:rFonts w:ascii="Times New Roman Bold" w:eastAsia="Times New Roman" w:hAnsi="Times New Roman Bold"/>
          <w:caps w:val="0"/>
          <w:kern w:val="22"/>
          <w:lang w:val="es-ES"/>
        </w:rPr>
        <w:t xml:space="preserve"> COMPONENTE DE GESTIÓN DE LOS CONOCIMIENTOS</w:t>
      </w:r>
    </w:p>
    <w:p w:rsidR="00680F35" w:rsidRPr="002647CE" w:rsidRDefault="00680F35">
      <w:pPr>
        <w:pStyle w:val="Para1"/>
        <w:numPr>
          <w:ilvl w:val="0"/>
          <w:numId w:val="10"/>
        </w:numPr>
        <w:suppressLineNumbers/>
        <w:tabs>
          <w:tab w:val="clear" w:pos="360"/>
          <w:tab w:val="num" w:pos="720"/>
        </w:tabs>
        <w:suppressAutoHyphens/>
        <w:rPr>
          <w:rFonts w:eastAsia="Times New Roman"/>
          <w:szCs w:val="24"/>
          <w:lang w:val="es-ES"/>
        </w:rPr>
      </w:pPr>
      <w:r w:rsidRPr="002647CE">
        <w:rPr>
          <w:rFonts w:eastAsia="Times New Roman"/>
          <w:kern w:val="22"/>
          <w:szCs w:val="24"/>
          <w:lang w:val="es-ES"/>
        </w:rPr>
        <w:t xml:space="preserve">La puesta en funcionamiento del componente de gestión de los conocimientos estará a cargo de los Gobiernos y de interesados directos pertinentes de acuerdo con sus prioridades estratégicas para la implementación del marco mundial de la diversidad biológica posterior a 2020. En el anexo II se proponen posibles medidas para facilitar la implementación de este componente. </w:t>
      </w:r>
      <w:r w:rsidR="007E74F4" w:rsidRPr="002647CE">
        <w:rPr>
          <w:rFonts w:eastAsia="Times New Roman"/>
          <w:kern w:val="22"/>
          <w:szCs w:val="24"/>
          <w:lang w:val="es-ES"/>
        </w:rPr>
        <w:t>Es</w:t>
      </w:r>
      <w:r w:rsidRPr="002647CE">
        <w:rPr>
          <w:rFonts w:eastAsia="Times New Roman"/>
          <w:kern w:val="22"/>
          <w:szCs w:val="24"/>
          <w:lang w:val="es-ES"/>
        </w:rPr>
        <w:t xml:space="preserve">as </w:t>
      </w:r>
      <w:r w:rsidR="007E74F4" w:rsidRPr="002647CE">
        <w:rPr>
          <w:rFonts w:eastAsia="Times New Roman"/>
          <w:kern w:val="22"/>
          <w:szCs w:val="24"/>
          <w:lang w:val="es-ES"/>
        </w:rPr>
        <w:t xml:space="preserve">medidas </w:t>
      </w:r>
      <w:r w:rsidRPr="002647CE">
        <w:rPr>
          <w:rFonts w:eastAsia="Times New Roman"/>
          <w:kern w:val="22"/>
          <w:szCs w:val="24"/>
          <w:lang w:val="es-ES"/>
        </w:rPr>
        <w:t xml:space="preserve">se basan en las acciones clave para profundizar las sinergias y la cooperación entre convenios relacionados con la diversidad biológica y organizaciones internacionales en el área de gestión de información y conocimientos planteadas en la decisión </w:t>
      </w:r>
      <w:hyperlink r:id="rId14" w:history="1">
        <w:r w:rsidRPr="002647CE">
          <w:rPr>
            <w:rStyle w:val="Hyperlink"/>
            <w:rFonts w:eastAsia="Times New Roman"/>
            <w:kern w:val="22"/>
            <w:sz w:val="22"/>
            <w:szCs w:val="24"/>
            <w:lang w:val="es-ES"/>
          </w:rPr>
          <w:t>XIII/24</w:t>
        </w:r>
      </w:hyperlink>
      <w:r w:rsidRPr="002647CE">
        <w:rPr>
          <w:rFonts w:eastAsia="Times New Roman"/>
          <w:kern w:val="22"/>
          <w:szCs w:val="24"/>
          <w:lang w:val="es-ES"/>
        </w:rPr>
        <w:t xml:space="preserve">. Se implementarán en forma complementaria con el marco estratégico a largo plazo para la creación de capacidad, las propuestas para fortalecer la cooperación científica y técnica, el marco para una estrategia mundial de comunicaciones, la estrategia de datos para la Secretaría del Convenio sobre la Diversidad Biológica y el mecanismo para la mejora de la planificación, </w:t>
      </w:r>
      <w:r w:rsidR="007E74F4" w:rsidRPr="002647CE">
        <w:rPr>
          <w:rFonts w:eastAsia="Times New Roman"/>
          <w:kern w:val="22"/>
          <w:szCs w:val="24"/>
          <w:lang w:val="es-ES"/>
        </w:rPr>
        <w:t xml:space="preserve">la </w:t>
      </w:r>
      <w:r w:rsidRPr="002647CE">
        <w:rPr>
          <w:rFonts w:eastAsia="Times New Roman"/>
          <w:kern w:val="22"/>
          <w:szCs w:val="24"/>
          <w:lang w:val="es-ES"/>
        </w:rPr>
        <w:t xml:space="preserve">presentación de informes y </w:t>
      </w:r>
      <w:r w:rsidR="007E74F4" w:rsidRPr="002647CE">
        <w:rPr>
          <w:rFonts w:eastAsia="Times New Roman"/>
          <w:kern w:val="22"/>
          <w:szCs w:val="24"/>
          <w:lang w:val="es-ES"/>
        </w:rPr>
        <w:t xml:space="preserve">la </w:t>
      </w:r>
      <w:r w:rsidRPr="002647CE">
        <w:rPr>
          <w:rFonts w:eastAsia="Times New Roman"/>
          <w:kern w:val="22"/>
          <w:szCs w:val="24"/>
          <w:lang w:val="es-ES"/>
        </w:rPr>
        <w:t>revisión del marco mundial de la diversidad biológica posterior a 2020.</w:t>
      </w:r>
    </w:p>
    <w:p w:rsidR="00680F35" w:rsidRPr="002647CE" w:rsidRDefault="00680F35">
      <w:pPr>
        <w:pStyle w:val="Para1"/>
        <w:numPr>
          <w:ilvl w:val="0"/>
          <w:numId w:val="10"/>
        </w:numPr>
        <w:suppressLineNumbers/>
        <w:tabs>
          <w:tab w:val="clear" w:pos="360"/>
          <w:tab w:val="num" w:pos="720"/>
        </w:tabs>
        <w:suppressAutoHyphens/>
        <w:rPr>
          <w:rFonts w:eastAsia="Times New Roman"/>
          <w:szCs w:val="24"/>
          <w:lang w:val="es-ES"/>
        </w:rPr>
      </w:pPr>
      <w:r w:rsidRPr="002647CE">
        <w:rPr>
          <w:rFonts w:eastAsia="Times New Roman"/>
          <w:kern w:val="22"/>
          <w:szCs w:val="24"/>
          <w:lang w:val="es-ES"/>
        </w:rPr>
        <w:t xml:space="preserve">Una gestión mejorada de los conocimientos requerirá de colaboración, cooperación y coordinación eficaces entre los Gobiernos y organizaciones pertinentes en los procesos de datos, información y conocimientos sobre la diversidad biológica. También podría requerir que organismos y mecanismos institucionales pertinentes brinden insumos y apoyo a los Gobiernos y otros actores clave </w:t>
      </w:r>
      <w:r w:rsidR="00255D9B" w:rsidRPr="002647CE">
        <w:rPr>
          <w:rFonts w:eastAsia="Times New Roman"/>
          <w:kern w:val="22"/>
          <w:szCs w:val="24"/>
          <w:lang w:val="es-ES"/>
        </w:rPr>
        <w:t xml:space="preserve">que participan </w:t>
      </w:r>
      <w:r w:rsidRPr="002647CE">
        <w:rPr>
          <w:rFonts w:eastAsia="Times New Roman"/>
          <w:kern w:val="22"/>
          <w:szCs w:val="24"/>
          <w:lang w:val="es-ES"/>
        </w:rPr>
        <w:t>(incluidos creadores, administradores, agentes, profesionales y usuarios de conocimientos). Ese apoyo podría brindarse, según proceda, a través de:</w:t>
      </w:r>
    </w:p>
    <w:p w:rsidR="00680F35" w:rsidRPr="002647CE" w:rsidRDefault="00680F35">
      <w:pPr>
        <w:pStyle w:val="CBD-Para-a"/>
        <w:keepLines w:val="0"/>
        <w:numPr>
          <w:ilvl w:val="0"/>
          <w:numId w:val="17"/>
        </w:numPr>
        <w:ind w:left="0" w:firstLine="720"/>
        <w:rPr>
          <w:rFonts w:eastAsia="Times New Roman"/>
          <w:kern w:val="22"/>
          <w:szCs w:val="24"/>
          <w:lang w:val="es-ES"/>
        </w:rPr>
      </w:pPr>
      <w:r w:rsidRPr="002647CE">
        <w:rPr>
          <w:rFonts w:eastAsia="Times New Roman"/>
          <w:kern w:val="22"/>
          <w:szCs w:val="24"/>
          <w:lang w:val="es-ES"/>
        </w:rPr>
        <w:t xml:space="preserve">comités asesores existentes, como el Comité </w:t>
      </w:r>
      <w:r w:rsidR="00255D9B">
        <w:rPr>
          <w:rFonts w:eastAsia="Times New Roman"/>
          <w:kern w:val="22"/>
          <w:szCs w:val="24"/>
          <w:lang w:val="es-ES"/>
        </w:rPr>
        <w:t xml:space="preserve">de </w:t>
      </w:r>
      <w:r w:rsidRPr="002647CE">
        <w:rPr>
          <w:rFonts w:eastAsia="Times New Roman"/>
          <w:kern w:val="22"/>
          <w:szCs w:val="24"/>
          <w:lang w:val="es-ES"/>
        </w:rPr>
        <w:t>Direc</w:t>
      </w:r>
      <w:r w:rsidR="00255D9B">
        <w:rPr>
          <w:rFonts w:eastAsia="Times New Roman"/>
          <w:kern w:val="22"/>
          <w:szCs w:val="24"/>
          <w:lang w:val="es-ES"/>
        </w:rPr>
        <w:t>ción</w:t>
      </w:r>
      <w:r w:rsidRPr="002647CE">
        <w:rPr>
          <w:rFonts w:eastAsia="Times New Roman"/>
          <w:kern w:val="22"/>
          <w:szCs w:val="24"/>
          <w:lang w:val="es-ES"/>
        </w:rPr>
        <w:t xml:space="preserve"> de la Iniciativa para la Gestión de Información y Conocimientos </w:t>
      </w:r>
      <w:r w:rsidR="00255D9B">
        <w:rPr>
          <w:rFonts w:eastAsia="Times New Roman"/>
          <w:kern w:val="22"/>
          <w:szCs w:val="24"/>
          <w:lang w:val="es-ES"/>
        </w:rPr>
        <w:t>sobr</w:t>
      </w:r>
      <w:r w:rsidRPr="002647CE">
        <w:rPr>
          <w:rFonts w:eastAsia="Times New Roman"/>
          <w:kern w:val="22"/>
          <w:szCs w:val="24"/>
          <w:lang w:val="es-ES"/>
        </w:rPr>
        <w:t>e los Acuerdos Ambientales Multilaterales</w:t>
      </w:r>
      <w:r w:rsidR="00255D9B">
        <w:rPr>
          <w:rFonts w:eastAsia="Times New Roman"/>
          <w:kern w:val="22"/>
          <w:szCs w:val="24"/>
          <w:lang w:val="es-ES"/>
        </w:rPr>
        <w:t>,</w:t>
      </w:r>
      <w:r w:rsidRPr="002647CE">
        <w:rPr>
          <w:rFonts w:eastAsia="Times New Roman"/>
          <w:kern w:val="22"/>
          <w:szCs w:val="24"/>
          <w:lang w:val="es-ES"/>
        </w:rPr>
        <w:t xml:space="preserve"> </w:t>
      </w:r>
      <w:r w:rsidR="00255D9B">
        <w:rPr>
          <w:rFonts w:eastAsia="Times New Roman"/>
          <w:kern w:val="22"/>
          <w:szCs w:val="24"/>
          <w:lang w:val="es-ES"/>
        </w:rPr>
        <w:t>encabezada</w:t>
      </w:r>
      <w:r w:rsidRPr="002647CE">
        <w:rPr>
          <w:rFonts w:eastAsia="Times New Roman"/>
          <w:kern w:val="22"/>
          <w:szCs w:val="24"/>
          <w:lang w:val="es-ES"/>
        </w:rPr>
        <w:t xml:space="preserve"> por el PNUMA;</w:t>
      </w:r>
    </w:p>
    <w:p w:rsidR="00680F35" w:rsidRPr="002647CE" w:rsidRDefault="00680F35">
      <w:pPr>
        <w:pStyle w:val="CBD-Para-a"/>
        <w:keepLines w:val="0"/>
        <w:numPr>
          <w:ilvl w:val="0"/>
          <w:numId w:val="17"/>
        </w:numPr>
        <w:ind w:left="0" w:firstLine="720"/>
        <w:rPr>
          <w:rFonts w:eastAsia="Times New Roman"/>
          <w:kern w:val="22"/>
          <w:szCs w:val="24"/>
          <w:lang w:val="es-ES"/>
        </w:rPr>
      </w:pPr>
      <w:r w:rsidRPr="002647CE">
        <w:rPr>
          <w:rFonts w:eastAsia="Times New Roman"/>
          <w:kern w:val="22"/>
          <w:szCs w:val="24"/>
          <w:lang w:val="es-ES"/>
        </w:rPr>
        <w:t>grupos asesores, como el Comité Asesor Oficioso sobre Cooperación Científica y Técnica</w:t>
      </w:r>
      <w:r w:rsidRPr="002647CE">
        <w:rPr>
          <w:rStyle w:val="FootnoteReference"/>
          <w:rFonts w:eastAsia="Times New Roman"/>
          <w:kern w:val="22"/>
          <w:szCs w:val="24"/>
          <w:lang w:val="es-ES"/>
        </w:rPr>
        <w:footnoteReference w:id="16"/>
      </w:r>
      <w:r w:rsidRPr="002647CE">
        <w:rPr>
          <w:rFonts w:eastAsia="Times New Roman"/>
          <w:kern w:val="22"/>
          <w:szCs w:val="24"/>
          <w:lang w:val="es-ES"/>
        </w:rPr>
        <w:t xml:space="preserve"> que se establecerá conforme a</w:t>
      </w:r>
      <w:r w:rsidR="00B7494E" w:rsidRPr="002647CE">
        <w:rPr>
          <w:rFonts w:eastAsia="Times New Roman"/>
          <w:kern w:val="22"/>
          <w:szCs w:val="24"/>
          <w:lang w:val="es-ES"/>
        </w:rPr>
        <w:t>l párrafo 5 de</w:t>
      </w:r>
      <w:r w:rsidRPr="002647CE">
        <w:rPr>
          <w:rFonts w:eastAsia="Times New Roman"/>
          <w:kern w:val="22"/>
          <w:szCs w:val="24"/>
          <w:lang w:val="es-ES"/>
        </w:rPr>
        <w:t xml:space="preserve"> la decisión </w:t>
      </w:r>
      <w:hyperlink r:id="rId15" w:history="1">
        <w:r w:rsidRPr="002647CE">
          <w:rPr>
            <w:rStyle w:val="Hyperlink"/>
            <w:rFonts w:eastAsia="Times New Roman"/>
            <w:kern w:val="22"/>
            <w:sz w:val="22"/>
            <w:szCs w:val="24"/>
            <w:lang w:val="es-ES"/>
          </w:rPr>
          <w:t>14/24 B</w:t>
        </w:r>
      </w:hyperlink>
      <w:r w:rsidRPr="002647CE">
        <w:rPr>
          <w:rFonts w:eastAsia="Times New Roman"/>
          <w:kern w:val="22"/>
          <w:szCs w:val="24"/>
          <w:lang w:val="es-ES"/>
        </w:rPr>
        <w:t>;</w:t>
      </w:r>
    </w:p>
    <w:p w:rsidR="00680F35" w:rsidRPr="002647CE" w:rsidRDefault="00680F35">
      <w:pPr>
        <w:pStyle w:val="CBD-Para-a"/>
        <w:keepLines w:val="0"/>
        <w:numPr>
          <w:ilvl w:val="0"/>
          <w:numId w:val="17"/>
        </w:numPr>
        <w:ind w:left="0" w:firstLine="720"/>
        <w:rPr>
          <w:rFonts w:eastAsia="Times New Roman"/>
          <w:kern w:val="22"/>
          <w:szCs w:val="24"/>
          <w:lang w:val="es-ES"/>
        </w:rPr>
      </w:pPr>
      <w:r w:rsidRPr="002647CE">
        <w:rPr>
          <w:rFonts w:eastAsia="Times New Roman"/>
          <w:kern w:val="22"/>
          <w:szCs w:val="24"/>
          <w:lang w:val="es-ES"/>
        </w:rPr>
        <w:t>redes informales, como la Alianza para el Conocimiento de la Diversidad Biológica</w:t>
      </w:r>
      <w:r w:rsidRPr="002647CE">
        <w:rPr>
          <w:rStyle w:val="FootnoteReference"/>
          <w:rFonts w:eastAsia="Times New Roman"/>
          <w:kern w:val="22"/>
          <w:szCs w:val="24"/>
          <w:lang w:val="es-ES"/>
        </w:rPr>
        <w:footnoteReference w:id="17"/>
      </w:r>
      <w:r w:rsidRPr="002647CE">
        <w:rPr>
          <w:rFonts w:eastAsia="Times New Roman"/>
          <w:kern w:val="22"/>
          <w:szCs w:val="24"/>
          <w:lang w:val="es-ES"/>
        </w:rPr>
        <w:t xml:space="preserve">, que </w:t>
      </w:r>
      <w:r w:rsidR="00255D9B">
        <w:rPr>
          <w:rFonts w:eastAsia="Times New Roman"/>
          <w:kern w:val="22"/>
          <w:szCs w:val="24"/>
          <w:lang w:val="es-ES"/>
        </w:rPr>
        <w:t>congrega</w:t>
      </w:r>
      <w:r w:rsidRPr="002647CE">
        <w:rPr>
          <w:rFonts w:eastAsia="Times New Roman"/>
          <w:kern w:val="22"/>
          <w:szCs w:val="24"/>
          <w:lang w:val="es-ES"/>
        </w:rPr>
        <w:t xml:space="preserve"> a interesados directos que se dedican a </w:t>
      </w:r>
      <w:r w:rsidR="00B7494E" w:rsidRPr="002647CE">
        <w:rPr>
          <w:rFonts w:eastAsia="Times New Roman"/>
          <w:kern w:val="22"/>
          <w:szCs w:val="24"/>
          <w:lang w:val="es-ES"/>
        </w:rPr>
        <w:t>reunir</w:t>
      </w:r>
      <w:r w:rsidRPr="002647CE">
        <w:rPr>
          <w:rFonts w:eastAsia="Times New Roman"/>
          <w:kern w:val="22"/>
          <w:szCs w:val="24"/>
          <w:lang w:val="es-ES"/>
        </w:rPr>
        <w:t xml:space="preserve">, curar o </w:t>
      </w:r>
      <w:r w:rsidR="00B7494E" w:rsidRPr="002647CE">
        <w:rPr>
          <w:rFonts w:eastAsia="Times New Roman"/>
          <w:kern w:val="22"/>
          <w:szCs w:val="24"/>
          <w:lang w:val="es-ES"/>
        </w:rPr>
        <w:t>compartir</w:t>
      </w:r>
      <w:r w:rsidRPr="002647CE">
        <w:rPr>
          <w:rFonts w:eastAsia="Times New Roman"/>
          <w:kern w:val="22"/>
          <w:szCs w:val="24"/>
          <w:lang w:val="es-ES"/>
        </w:rPr>
        <w:t xml:space="preserve"> datos, información y conocimientos sobre la diversidad biológica;</w:t>
      </w:r>
    </w:p>
    <w:p w:rsidR="00680F35" w:rsidRPr="002647CE" w:rsidRDefault="00680F35">
      <w:pPr>
        <w:pStyle w:val="CBD-Para-a"/>
        <w:keepLines w:val="0"/>
        <w:numPr>
          <w:ilvl w:val="0"/>
          <w:numId w:val="17"/>
        </w:numPr>
        <w:ind w:left="0" w:firstLine="720"/>
        <w:rPr>
          <w:rFonts w:eastAsia="Times New Roman"/>
          <w:kern w:val="22"/>
          <w:szCs w:val="24"/>
          <w:lang w:val="es-ES"/>
        </w:rPr>
      </w:pPr>
      <w:r w:rsidRPr="002647CE">
        <w:rPr>
          <w:rFonts w:eastAsia="Times New Roman"/>
          <w:kern w:val="22"/>
          <w:szCs w:val="24"/>
          <w:lang w:val="es-ES"/>
        </w:rPr>
        <w:t>la Alianza sobre Indicadores de Biodiversidad (BIP) ampliada, que inc</w:t>
      </w:r>
      <w:r w:rsidR="00255D9B">
        <w:rPr>
          <w:rFonts w:eastAsia="Times New Roman"/>
          <w:kern w:val="22"/>
          <w:szCs w:val="24"/>
          <w:lang w:val="es-ES"/>
        </w:rPr>
        <w:t>o</w:t>
      </w:r>
      <w:r w:rsidRPr="002647CE">
        <w:rPr>
          <w:rFonts w:eastAsia="Times New Roman"/>
          <w:kern w:val="22"/>
          <w:szCs w:val="24"/>
          <w:lang w:val="es-ES"/>
        </w:rPr>
        <w:t>r</w:t>
      </w:r>
      <w:r w:rsidR="00255D9B">
        <w:rPr>
          <w:rFonts w:eastAsia="Times New Roman"/>
          <w:kern w:val="22"/>
          <w:szCs w:val="24"/>
          <w:lang w:val="es-ES"/>
        </w:rPr>
        <w:t>porar</w:t>
      </w:r>
      <w:r w:rsidRPr="002647CE">
        <w:rPr>
          <w:rFonts w:eastAsia="Times New Roman"/>
          <w:kern w:val="22"/>
          <w:szCs w:val="24"/>
          <w:lang w:val="es-ES"/>
        </w:rPr>
        <w:t>á a más usuarios y fomentará la colaboración con la Comisión de Estad</w:t>
      </w:r>
      <w:r w:rsidR="00255D9B">
        <w:rPr>
          <w:rFonts w:eastAsia="Times New Roman"/>
          <w:kern w:val="22"/>
          <w:szCs w:val="24"/>
          <w:lang w:val="es-ES"/>
        </w:rPr>
        <w:t>ística de las Naciones Unidas;</w:t>
      </w:r>
    </w:p>
    <w:p w:rsidR="00680F35" w:rsidRPr="002647CE" w:rsidRDefault="00680F35">
      <w:pPr>
        <w:pStyle w:val="CBD-Para-a"/>
        <w:keepLines w:val="0"/>
        <w:numPr>
          <w:ilvl w:val="0"/>
          <w:numId w:val="17"/>
        </w:numPr>
        <w:ind w:left="0" w:firstLine="720"/>
        <w:rPr>
          <w:rFonts w:eastAsia="Times New Roman"/>
          <w:kern w:val="22"/>
          <w:szCs w:val="24"/>
          <w:lang w:val="es-ES"/>
        </w:rPr>
      </w:pPr>
      <w:r w:rsidRPr="002647CE">
        <w:rPr>
          <w:rFonts w:eastAsia="Times New Roman"/>
          <w:kern w:val="22"/>
          <w:szCs w:val="24"/>
          <w:lang w:val="es-ES"/>
        </w:rPr>
        <w:t xml:space="preserve">una coalición o alianza oficiosa </w:t>
      </w:r>
      <w:r w:rsidR="00255D9B">
        <w:rPr>
          <w:rFonts w:eastAsia="Times New Roman"/>
          <w:kern w:val="22"/>
          <w:szCs w:val="24"/>
          <w:lang w:val="es-ES"/>
        </w:rPr>
        <w:t>en</w:t>
      </w:r>
      <w:r w:rsidRPr="002647CE">
        <w:rPr>
          <w:rFonts w:eastAsia="Times New Roman"/>
          <w:kern w:val="22"/>
          <w:szCs w:val="24"/>
          <w:lang w:val="es-ES"/>
        </w:rPr>
        <w:t xml:space="preserve"> la </w:t>
      </w:r>
      <w:r w:rsidR="00255D9B">
        <w:rPr>
          <w:rFonts w:eastAsia="Times New Roman"/>
          <w:kern w:val="22"/>
          <w:szCs w:val="24"/>
          <w:lang w:val="es-ES"/>
        </w:rPr>
        <w:t xml:space="preserve">que </w:t>
      </w:r>
      <w:r w:rsidRPr="002647CE">
        <w:rPr>
          <w:rFonts w:eastAsia="Times New Roman"/>
          <w:kern w:val="22"/>
          <w:szCs w:val="24"/>
          <w:lang w:val="es-ES"/>
        </w:rPr>
        <w:t>particip</w:t>
      </w:r>
      <w:r w:rsidR="00255D9B">
        <w:rPr>
          <w:rFonts w:eastAsia="Times New Roman"/>
          <w:kern w:val="22"/>
          <w:szCs w:val="24"/>
          <w:lang w:val="es-ES"/>
        </w:rPr>
        <w:t>e</w:t>
      </w:r>
      <w:r w:rsidRPr="002647CE">
        <w:rPr>
          <w:rFonts w:eastAsia="Times New Roman"/>
          <w:kern w:val="22"/>
          <w:szCs w:val="24"/>
          <w:lang w:val="es-ES"/>
        </w:rPr>
        <w:t>n organizaciones pertinentes, como el PNUMA, el Programa de las Naciones Unidas para el Desarrollo (PNUD), la Infraestructura Mundial de Información sobre Biodiversidad</w:t>
      </w:r>
      <w:r w:rsidR="008205B5" w:rsidRPr="002647CE">
        <w:rPr>
          <w:rFonts w:eastAsia="Times New Roman"/>
          <w:kern w:val="22"/>
          <w:szCs w:val="24"/>
          <w:lang w:val="es-ES"/>
        </w:rPr>
        <w:t xml:space="preserve"> (GBIF)</w:t>
      </w:r>
      <w:r w:rsidRPr="002647CE">
        <w:rPr>
          <w:rFonts w:eastAsia="Times New Roman"/>
          <w:kern w:val="22"/>
          <w:szCs w:val="24"/>
          <w:lang w:val="es-ES"/>
        </w:rPr>
        <w:t xml:space="preserve"> y GEO BON.</w:t>
      </w:r>
    </w:p>
    <w:p w:rsidR="00680F35" w:rsidRPr="002647CE" w:rsidRDefault="00255D9B">
      <w:pPr>
        <w:pStyle w:val="Para1"/>
        <w:numPr>
          <w:ilvl w:val="0"/>
          <w:numId w:val="10"/>
        </w:numPr>
        <w:suppressLineNumbers/>
        <w:tabs>
          <w:tab w:val="clear" w:pos="360"/>
          <w:tab w:val="num" w:pos="720"/>
        </w:tabs>
        <w:suppressAutoHyphens/>
        <w:rPr>
          <w:rFonts w:eastAsia="Times New Roman"/>
          <w:szCs w:val="24"/>
          <w:lang w:val="es-ES"/>
        </w:rPr>
      </w:pPr>
      <w:r>
        <w:rPr>
          <w:rFonts w:eastAsia="Times New Roman"/>
          <w:kern w:val="22"/>
          <w:szCs w:val="24"/>
          <w:lang w:val="es-ES"/>
        </w:rPr>
        <w:t>P</w:t>
      </w:r>
      <w:r w:rsidRPr="002647CE">
        <w:rPr>
          <w:rFonts w:eastAsia="Times New Roman"/>
          <w:kern w:val="22"/>
          <w:szCs w:val="24"/>
          <w:lang w:val="es-ES"/>
        </w:rPr>
        <w:t>ara apoyar la implementación eficaz del componente de gestión de los conocimientos del marco mundial de la diversidad biológica posterior a 2020</w:t>
      </w:r>
      <w:r>
        <w:rPr>
          <w:rFonts w:eastAsia="Times New Roman"/>
          <w:kern w:val="22"/>
          <w:szCs w:val="24"/>
          <w:lang w:val="es-ES"/>
        </w:rPr>
        <w:t xml:space="preserve"> s</w:t>
      </w:r>
      <w:r w:rsidR="00680F35" w:rsidRPr="002647CE">
        <w:rPr>
          <w:rFonts w:eastAsia="Times New Roman"/>
          <w:kern w:val="22"/>
          <w:szCs w:val="24"/>
          <w:lang w:val="es-ES"/>
        </w:rPr>
        <w:t xml:space="preserve">e aprovecharán organizaciones, iniciativas y procesos pertinentes de gestión de los conocimientos. Se establecerá una base de datos en línea </w:t>
      </w:r>
      <w:r w:rsidR="008205B5" w:rsidRPr="002647CE">
        <w:rPr>
          <w:rFonts w:eastAsia="Times New Roman"/>
          <w:kern w:val="22"/>
          <w:szCs w:val="24"/>
          <w:lang w:val="es-ES"/>
        </w:rPr>
        <w:t xml:space="preserve">interactiva </w:t>
      </w:r>
      <w:r w:rsidR="00680F35" w:rsidRPr="002647CE">
        <w:rPr>
          <w:rFonts w:eastAsia="Times New Roman"/>
          <w:kern w:val="22"/>
          <w:szCs w:val="24"/>
          <w:lang w:val="es-ES"/>
        </w:rPr>
        <w:t>de esas organizaciones, iniciativas y procesos para ayudar a fomentar la coordinación, la colaboración y la complementariedad en la generación, reunión, gestión, intercambio y utilización de datos, información y conocimientos relacionados con la diversidad biológica.</w:t>
      </w:r>
    </w:p>
    <w:p w:rsidR="00680F35" w:rsidRPr="002647CE" w:rsidRDefault="00680F35" w:rsidP="001819BD">
      <w:pPr>
        <w:pStyle w:val="Heading1"/>
        <w:suppressLineNumbers/>
        <w:tabs>
          <w:tab w:val="clear" w:pos="720"/>
          <w:tab w:val="left" w:pos="1134"/>
        </w:tabs>
        <w:suppressAutoHyphens/>
        <w:kinsoku w:val="0"/>
        <w:overflowPunct w:val="0"/>
        <w:autoSpaceDE w:val="0"/>
        <w:autoSpaceDN w:val="0"/>
        <w:spacing w:before="120"/>
        <w:ind w:left="720"/>
        <w:rPr>
          <w:rFonts w:eastAsia="Times New Roman"/>
          <w:lang w:val="es-ES"/>
        </w:rPr>
      </w:pPr>
      <w:r w:rsidRPr="002647CE">
        <w:rPr>
          <w:rFonts w:eastAsia="Times New Roman"/>
          <w:kern w:val="22"/>
          <w:lang w:val="es-ES"/>
        </w:rPr>
        <w:lastRenderedPageBreak/>
        <w:t>V.</w:t>
      </w:r>
      <w:r w:rsidRPr="002647CE">
        <w:rPr>
          <w:rFonts w:eastAsia="Times New Roman"/>
          <w:kern w:val="22"/>
          <w:lang w:val="es-ES"/>
        </w:rPr>
        <w:tab/>
        <w:t>SEGUIMIENTO Y REVISIÓN</w:t>
      </w:r>
    </w:p>
    <w:p w:rsidR="00680F35" w:rsidRPr="002647CE" w:rsidRDefault="00680F35">
      <w:pPr>
        <w:pStyle w:val="Para1"/>
        <w:numPr>
          <w:ilvl w:val="0"/>
          <w:numId w:val="10"/>
        </w:numPr>
        <w:suppressLineNumbers/>
        <w:tabs>
          <w:tab w:val="clear" w:pos="360"/>
          <w:tab w:val="num" w:pos="720"/>
        </w:tabs>
        <w:suppressAutoHyphens/>
        <w:rPr>
          <w:rFonts w:eastAsia="Times New Roman"/>
          <w:szCs w:val="24"/>
          <w:lang w:val="es-ES"/>
        </w:rPr>
      </w:pPr>
      <w:bookmarkStart w:id="6" w:name="_Hlk49788243"/>
      <w:bookmarkStart w:id="7" w:name="_Hlk50341369"/>
      <w:bookmarkStart w:id="8" w:name="_Hlk49788308"/>
      <w:r w:rsidRPr="002647CE">
        <w:rPr>
          <w:rFonts w:eastAsia="Times New Roman"/>
          <w:kern w:val="22"/>
          <w:szCs w:val="24"/>
          <w:lang w:val="es-ES"/>
        </w:rPr>
        <w:t xml:space="preserve">Se hará un seguimiento de la implementación del componente de gestión de los conocimientos </w:t>
      </w:r>
      <w:r w:rsidR="00CE6383" w:rsidRPr="002647CE">
        <w:rPr>
          <w:rFonts w:eastAsia="Times New Roman"/>
          <w:kern w:val="22"/>
          <w:szCs w:val="24"/>
          <w:lang w:val="es-ES"/>
        </w:rPr>
        <w:t>empleando</w:t>
      </w:r>
      <w:r w:rsidRPr="002647CE">
        <w:rPr>
          <w:rFonts w:eastAsia="Times New Roman"/>
          <w:kern w:val="22"/>
          <w:szCs w:val="24"/>
          <w:lang w:val="es-ES"/>
        </w:rPr>
        <w:t xml:space="preserve"> la información proporcionada por las Partes en sus informes nacionales presentados a los respectivos convenios relacionados con la diversidad biológica y por organizaciones a través de sus aportes voluntarios a las </w:t>
      </w:r>
      <w:r w:rsidR="00CE6383" w:rsidRPr="002647CE">
        <w:rPr>
          <w:rFonts w:eastAsia="Times New Roman"/>
          <w:kern w:val="22"/>
          <w:szCs w:val="24"/>
          <w:lang w:val="es-ES"/>
        </w:rPr>
        <w:t>s</w:t>
      </w:r>
      <w:r w:rsidRPr="002647CE">
        <w:rPr>
          <w:rFonts w:eastAsia="Times New Roman"/>
          <w:kern w:val="22"/>
          <w:szCs w:val="24"/>
          <w:lang w:val="es-ES"/>
        </w:rPr>
        <w:t>ecretarías de los convenios relacionados con la diversidad biológica. El marco de seguimiento del marco mundial de la diversidad biológica posterior a 2020 incluirá un indicador de cabecera para la gestión de los conocimientos</w:t>
      </w:r>
      <w:r w:rsidR="00C870F9">
        <w:rPr>
          <w:rFonts w:eastAsia="Times New Roman"/>
          <w:kern w:val="22"/>
          <w:szCs w:val="24"/>
          <w:lang w:val="es-ES"/>
        </w:rPr>
        <w:t>,</w:t>
      </w:r>
      <w:r w:rsidRPr="002647CE">
        <w:rPr>
          <w:rFonts w:eastAsia="Times New Roman"/>
          <w:kern w:val="22"/>
          <w:szCs w:val="24"/>
          <w:lang w:val="es-ES"/>
        </w:rPr>
        <w:t xml:space="preserve"> y la Secretaría, en colaboración con expertos y profesionales de las Partes y organizaciones pertinentes, elaborará un conjunto complementario de indicadores que los actores gubernamentales y no gubernamentales podrán también adaptar y utilizar para hacer un seguimiento, evaluar y comunicar los resultados y las repercusiones de sus esfuerzos de gestión de los conocimientos. La información generada en el proceso de seguimiento servirá de insumo </w:t>
      </w:r>
      <w:r w:rsidR="00C870F9" w:rsidRPr="002647CE">
        <w:rPr>
          <w:rFonts w:eastAsia="Times New Roman"/>
          <w:kern w:val="22"/>
          <w:szCs w:val="24"/>
          <w:lang w:val="es-ES"/>
        </w:rPr>
        <w:t>en 2030</w:t>
      </w:r>
      <w:r w:rsidR="00C870F9">
        <w:rPr>
          <w:rFonts w:eastAsia="Times New Roman"/>
          <w:kern w:val="22"/>
          <w:szCs w:val="24"/>
          <w:lang w:val="es-ES"/>
        </w:rPr>
        <w:t xml:space="preserve"> </w:t>
      </w:r>
      <w:r w:rsidRPr="002647CE">
        <w:rPr>
          <w:rFonts w:eastAsia="Times New Roman"/>
          <w:kern w:val="22"/>
          <w:szCs w:val="24"/>
          <w:lang w:val="es-ES"/>
        </w:rPr>
        <w:t>para la revisión y la actualización del componente de gestión de l</w:t>
      </w:r>
      <w:r w:rsidR="00C870F9">
        <w:rPr>
          <w:rFonts w:eastAsia="Times New Roman"/>
          <w:kern w:val="22"/>
          <w:szCs w:val="24"/>
          <w:lang w:val="es-ES"/>
        </w:rPr>
        <w:t>os conocimientos, según proceda</w:t>
      </w:r>
      <w:r w:rsidRPr="002647CE">
        <w:rPr>
          <w:rFonts w:eastAsia="Times New Roman"/>
          <w:kern w:val="22"/>
          <w:szCs w:val="24"/>
          <w:lang w:val="es-ES"/>
        </w:rPr>
        <w:t>.</w:t>
      </w:r>
    </w:p>
    <w:bookmarkEnd w:id="6"/>
    <w:bookmarkEnd w:id="7"/>
    <w:bookmarkEnd w:id="8"/>
    <w:p w:rsidR="00680F35" w:rsidRPr="002647CE" w:rsidRDefault="00680F35">
      <w:pPr>
        <w:pStyle w:val="Para1"/>
        <w:numPr>
          <w:ilvl w:val="0"/>
          <w:numId w:val="0"/>
        </w:numPr>
        <w:suppressLineNumbers/>
        <w:suppressAutoHyphens/>
        <w:rPr>
          <w:rFonts w:eastAsia="Times New Roman"/>
          <w:kern w:val="22"/>
          <w:szCs w:val="24"/>
          <w:lang w:val="es-ES"/>
        </w:rPr>
        <w:sectPr w:rsidR="00680F35" w:rsidRPr="002647CE">
          <w:headerReference w:type="even" r:id="rId16"/>
          <w:headerReference w:type="default" r:id="rId17"/>
          <w:pgSz w:w="12240" w:h="15840"/>
          <w:pgMar w:top="567" w:right="1389" w:bottom="1134" w:left="1389" w:header="565" w:footer="709" w:gutter="0"/>
          <w:cols w:space="708"/>
          <w:titlePg/>
          <w:docGrid w:linePitch="360"/>
        </w:sectPr>
      </w:pPr>
    </w:p>
    <w:p w:rsidR="00680F35" w:rsidRPr="002647CE" w:rsidRDefault="00680F35">
      <w:pPr>
        <w:keepNext/>
        <w:spacing w:after="120"/>
        <w:jc w:val="center"/>
        <w:rPr>
          <w:rFonts w:eastAsia="Times New Roman"/>
          <w:i/>
          <w:kern w:val="22"/>
          <w:lang w:val="es-ES"/>
        </w:rPr>
      </w:pPr>
      <w:r w:rsidRPr="002647CE">
        <w:rPr>
          <w:rFonts w:eastAsia="Times New Roman"/>
          <w:i/>
          <w:kern w:val="22"/>
          <w:lang w:val="es-ES"/>
        </w:rPr>
        <w:lastRenderedPageBreak/>
        <w:t>Anexo I</w:t>
      </w:r>
    </w:p>
    <w:p w:rsidR="00680F35" w:rsidRPr="002647CE" w:rsidRDefault="00680F35">
      <w:pPr>
        <w:keepNext/>
        <w:ind w:left="1440" w:right="1181"/>
        <w:jc w:val="center"/>
        <w:rPr>
          <w:rFonts w:eastAsia="Times New Roman"/>
          <w:b/>
          <w:kern w:val="22"/>
          <w:lang w:val="es-ES"/>
        </w:rPr>
      </w:pPr>
      <w:r w:rsidRPr="002647CE">
        <w:rPr>
          <w:rFonts w:eastAsia="Times New Roman"/>
          <w:b/>
          <w:kern w:val="22"/>
          <w:lang w:val="es-ES"/>
        </w:rPr>
        <w:t>MEDIDAS ESTRATÉGICAS PARA MEJORAR LA GESTIÓN DE LOS CONOCIMIENTOS PARA LA IMPLEMENTACIÓN EFICAZ DEL MARCO MUNDIAL DE LA DIVERSIDAD BIOLÓGICA POSTERIOR A 2020</w:t>
      </w:r>
    </w:p>
    <w:p w:rsidR="00680F35" w:rsidRPr="002647CE" w:rsidRDefault="00680F35">
      <w:pPr>
        <w:keepNext/>
        <w:rPr>
          <w:rFonts w:eastAsia="Times New Roman"/>
          <w:b/>
          <w:kern w:val="22"/>
          <w:lang w:val="es-ES"/>
        </w:rPr>
      </w:pPr>
    </w:p>
    <w:tbl>
      <w:tblPr>
        <w:tblpPr w:leftFromText="180" w:rightFromText="180" w:vertAnchor="text" w:tblpX="-460" w:tblpY="1"/>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9"/>
        <w:gridCol w:w="9633"/>
        <w:gridCol w:w="1277"/>
        <w:gridCol w:w="1811"/>
      </w:tblGrid>
      <w:tr w:rsidR="00680F35" w:rsidRPr="002647CE" w:rsidTr="008A64FB">
        <w:trPr>
          <w:cantSplit/>
          <w:tblHeader/>
        </w:trPr>
        <w:tc>
          <w:tcPr>
            <w:tcW w:w="708" w:type="pct"/>
            <w:tcBorders>
              <w:bottom w:val="nil"/>
            </w:tcBorders>
            <w:vAlign w:val="center"/>
          </w:tcPr>
          <w:p w:rsidR="00680F35" w:rsidRPr="002647CE" w:rsidRDefault="00680F35" w:rsidP="008A64FB">
            <w:pPr>
              <w:keepNext/>
              <w:spacing w:before="60" w:after="60"/>
              <w:jc w:val="center"/>
              <w:rPr>
                <w:rFonts w:eastAsia="Times New Roman"/>
                <w:lang w:val="es-ES"/>
              </w:rPr>
            </w:pPr>
            <w:r w:rsidRPr="002647CE">
              <w:rPr>
                <w:rFonts w:eastAsia="Times New Roman"/>
                <w:b/>
                <w:spacing w:val="-12"/>
                <w:kern w:val="22"/>
                <w:sz w:val="21"/>
                <w:lang w:val="es-ES"/>
              </w:rPr>
              <w:t>Área estratégica</w:t>
            </w:r>
          </w:p>
        </w:tc>
        <w:tc>
          <w:tcPr>
            <w:tcW w:w="3250" w:type="pct"/>
            <w:tcBorders>
              <w:bottom w:val="nil"/>
            </w:tcBorders>
            <w:vAlign w:val="center"/>
          </w:tcPr>
          <w:p w:rsidR="00680F35" w:rsidRPr="002647CE" w:rsidRDefault="00680F35" w:rsidP="008A64FB">
            <w:pPr>
              <w:keepNext/>
              <w:spacing w:before="60" w:after="60"/>
              <w:jc w:val="center"/>
              <w:rPr>
                <w:rFonts w:eastAsia="Times New Roman"/>
                <w:lang w:val="es-ES"/>
              </w:rPr>
            </w:pPr>
            <w:r w:rsidRPr="002647CE">
              <w:rPr>
                <w:rFonts w:eastAsia="Times New Roman"/>
                <w:b/>
                <w:kern w:val="22"/>
                <w:sz w:val="21"/>
                <w:lang w:val="es-ES"/>
              </w:rPr>
              <w:t>Medida estratégica</w:t>
            </w:r>
          </w:p>
        </w:tc>
        <w:tc>
          <w:tcPr>
            <w:tcW w:w="431" w:type="pct"/>
            <w:tcBorders>
              <w:bottom w:val="nil"/>
            </w:tcBorders>
            <w:vAlign w:val="center"/>
          </w:tcPr>
          <w:p w:rsidR="00680F35" w:rsidRPr="002647CE" w:rsidRDefault="00680F35" w:rsidP="00CE6383">
            <w:pPr>
              <w:keepNext/>
              <w:spacing w:before="60" w:after="60"/>
              <w:jc w:val="center"/>
              <w:rPr>
                <w:rFonts w:eastAsia="Times New Roman"/>
                <w:b/>
                <w:kern w:val="22"/>
                <w:sz w:val="21"/>
                <w:lang w:val="es-ES"/>
              </w:rPr>
            </w:pPr>
            <w:r w:rsidRPr="002647CE">
              <w:rPr>
                <w:rFonts w:eastAsia="Times New Roman"/>
                <w:b/>
                <w:kern w:val="22"/>
                <w:sz w:val="21"/>
                <w:lang w:val="es-ES"/>
              </w:rPr>
              <w:t>Plazos</w:t>
            </w:r>
            <w:r w:rsidRPr="002647CE">
              <w:rPr>
                <w:rStyle w:val="FootnoteReference"/>
                <w:rFonts w:eastAsia="Times New Roman"/>
                <w:b/>
                <w:kern w:val="22"/>
                <w:sz w:val="21"/>
                <w:lang w:val="es-ES"/>
              </w:rPr>
              <w:footnoteReference w:id="18"/>
            </w:r>
          </w:p>
        </w:tc>
        <w:tc>
          <w:tcPr>
            <w:tcW w:w="611" w:type="pct"/>
            <w:tcBorders>
              <w:bottom w:val="nil"/>
            </w:tcBorders>
            <w:vAlign w:val="center"/>
          </w:tcPr>
          <w:p w:rsidR="00680F35" w:rsidRPr="002647CE" w:rsidRDefault="00680F35" w:rsidP="00CE6383">
            <w:pPr>
              <w:keepNext/>
              <w:spacing w:before="60" w:after="60"/>
              <w:jc w:val="center"/>
              <w:rPr>
                <w:rFonts w:eastAsia="Times New Roman"/>
                <w:b/>
                <w:kern w:val="22"/>
                <w:sz w:val="21"/>
                <w:lang w:val="es-ES"/>
              </w:rPr>
            </w:pPr>
            <w:r w:rsidRPr="002647CE">
              <w:rPr>
                <w:rFonts w:eastAsia="Times New Roman"/>
                <w:b/>
                <w:kern w:val="22"/>
                <w:sz w:val="21"/>
                <w:lang w:val="es-ES"/>
              </w:rPr>
              <w:t>Posibles contribuidores</w:t>
            </w:r>
            <w:r w:rsidRPr="002647CE">
              <w:rPr>
                <w:rStyle w:val="FootnoteReference"/>
                <w:rFonts w:eastAsia="Times New Roman"/>
                <w:b/>
                <w:kern w:val="22"/>
                <w:sz w:val="21"/>
                <w:lang w:val="es-ES"/>
              </w:rPr>
              <w:footnoteReference w:id="19"/>
            </w:r>
          </w:p>
        </w:tc>
      </w:tr>
      <w:tr w:rsidR="00680F35" w:rsidRPr="002647CE" w:rsidTr="008A64FB">
        <w:trPr>
          <w:cantSplit/>
        </w:trPr>
        <w:tc>
          <w:tcPr>
            <w:tcW w:w="708" w:type="pct"/>
            <w:vMerge w:val="restart"/>
          </w:tcPr>
          <w:p w:rsidR="00680F35" w:rsidRPr="002647CE" w:rsidRDefault="00680F35">
            <w:pPr>
              <w:pStyle w:val="ListParagraph"/>
              <w:keepNext/>
              <w:numPr>
                <w:ilvl w:val="0"/>
                <w:numId w:val="13"/>
              </w:numPr>
              <w:ind w:left="430" w:hanging="430"/>
              <w:jc w:val="left"/>
              <w:rPr>
                <w:rFonts w:eastAsia="Times New Roman"/>
                <w:lang w:val="es-ES"/>
              </w:rPr>
            </w:pPr>
            <w:r w:rsidRPr="002647CE">
              <w:rPr>
                <w:rFonts w:eastAsia="Times New Roman"/>
                <w:kern w:val="22"/>
                <w:sz w:val="21"/>
                <w:lang w:val="es-ES"/>
              </w:rPr>
              <w:t>Promoción de la generación y</w:t>
            </w:r>
            <w:r w:rsidR="00C870F9">
              <w:rPr>
                <w:rFonts w:eastAsia="Times New Roman"/>
                <w:kern w:val="22"/>
                <w:sz w:val="21"/>
                <w:lang w:val="es-ES"/>
              </w:rPr>
              <w:t xml:space="preserve"> la</w:t>
            </w:r>
            <w:r w:rsidRPr="002647CE">
              <w:rPr>
                <w:rFonts w:eastAsia="Times New Roman"/>
                <w:kern w:val="22"/>
                <w:sz w:val="21"/>
                <w:lang w:val="es-ES"/>
              </w:rPr>
              <w:t xml:space="preserve"> síntesis de conocimientos</w:t>
            </w:r>
          </w:p>
        </w:tc>
        <w:tc>
          <w:tcPr>
            <w:tcW w:w="3250" w:type="pct"/>
            <w:tcBorders>
              <w:bottom w:val="nil"/>
            </w:tcBorders>
          </w:tcPr>
          <w:p w:rsidR="00680F35" w:rsidRPr="002647CE" w:rsidRDefault="00680F35">
            <w:pPr>
              <w:pStyle w:val="ListParagraph"/>
              <w:keepNext/>
              <w:numPr>
                <w:ilvl w:val="0"/>
                <w:numId w:val="18"/>
              </w:numPr>
              <w:tabs>
                <w:tab w:val="clear" w:pos="1080"/>
              </w:tabs>
              <w:spacing w:after="60"/>
              <w:ind w:left="360"/>
              <w:jc w:val="left"/>
              <w:rPr>
                <w:rFonts w:eastAsia="Times New Roman"/>
                <w:lang w:val="es-ES"/>
              </w:rPr>
            </w:pPr>
            <w:r w:rsidRPr="002647CE">
              <w:rPr>
                <w:rFonts w:eastAsia="Times New Roman"/>
                <w:kern w:val="22"/>
                <w:sz w:val="21"/>
                <w:lang w:val="es-ES"/>
              </w:rPr>
              <w:t>Determinar carencias en los conocimientos sobre la diversidad biológica y opciones para subsanarlas</w:t>
            </w:r>
          </w:p>
        </w:tc>
        <w:tc>
          <w:tcPr>
            <w:tcW w:w="431" w:type="pct"/>
            <w:tcBorders>
              <w:bottom w:val="nil"/>
            </w:tcBorders>
          </w:tcPr>
          <w:p w:rsidR="00680F35" w:rsidRPr="002647CE" w:rsidRDefault="00680F35">
            <w:pPr>
              <w:keepNext/>
              <w:jc w:val="center"/>
              <w:rPr>
                <w:rFonts w:eastAsia="Times New Roman"/>
                <w:b/>
                <w:kern w:val="22"/>
                <w:sz w:val="21"/>
                <w:lang w:val="es-ES"/>
              </w:rPr>
            </w:pPr>
          </w:p>
        </w:tc>
        <w:tc>
          <w:tcPr>
            <w:tcW w:w="611" w:type="pct"/>
            <w:tcBorders>
              <w:bottom w:val="nil"/>
            </w:tcBorders>
          </w:tcPr>
          <w:p w:rsidR="00680F35" w:rsidRPr="002647CE" w:rsidRDefault="00680F35">
            <w:pPr>
              <w:keepNext/>
              <w:jc w:val="left"/>
              <w:rPr>
                <w:rFonts w:eastAsia="Times New Roman"/>
                <w:b/>
                <w:kern w:val="22"/>
                <w:sz w:val="21"/>
                <w:lang w:val="es-ES"/>
              </w:rPr>
            </w:pPr>
          </w:p>
        </w:tc>
      </w:tr>
      <w:tr w:rsidR="00680F35" w:rsidRPr="002647CE" w:rsidTr="008A64FB">
        <w:trPr>
          <w:cantSplit/>
        </w:trPr>
        <w:tc>
          <w:tcPr>
            <w:tcW w:w="708" w:type="pct"/>
            <w:vMerge/>
          </w:tcPr>
          <w:p w:rsidR="00680F35" w:rsidRPr="002647CE" w:rsidRDefault="00680F35">
            <w:pPr>
              <w:keepNext/>
              <w:jc w:val="center"/>
              <w:rPr>
                <w:rFonts w:ascii="Times New Roman Bold" w:eastAsia="Times New Roman" w:hAnsi="Times New Roman Bold"/>
                <w:b/>
                <w:spacing w:val="-12"/>
                <w:kern w:val="22"/>
                <w:sz w:val="21"/>
                <w:lang w:val="es-ES"/>
              </w:rPr>
            </w:pPr>
          </w:p>
        </w:tc>
        <w:tc>
          <w:tcPr>
            <w:tcW w:w="3250" w:type="pct"/>
            <w:tcBorders>
              <w:bottom w:val="nil"/>
            </w:tcBorders>
          </w:tcPr>
          <w:p w:rsidR="00680F35" w:rsidRPr="002647CE" w:rsidRDefault="00680F35">
            <w:pPr>
              <w:pStyle w:val="ListParagraph"/>
              <w:keepNext/>
              <w:numPr>
                <w:ilvl w:val="0"/>
                <w:numId w:val="18"/>
              </w:numPr>
              <w:tabs>
                <w:tab w:val="clear" w:pos="1080"/>
              </w:tabs>
              <w:spacing w:after="60"/>
              <w:ind w:left="360"/>
              <w:jc w:val="left"/>
              <w:rPr>
                <w:rFonts w:eastAsia="Times New Roman"/>
                <w:lang w:val="es-ES"/>
              </w:rPr>
            </w:pPr>
            <w:r w:rsidRPr="002647CE">
              <w:rPr>
                <w:rFonts w:eastAsia="Times New Roman"/>
                <w:kern w:val="22"/>
                <w:sz w:val="21"/>
                <w:lang w:val="es-ES"/>
              </w:rPr>
              <w:t>Ampliar la colaboración entre organizaciones e instituciones para promover la generación de conocimientos</w:t>
            </w:r>
          </w:p>
        </w:tc>
        <w:tc>
          <w:tcPr>
            <w:tcW w:w="431" w:type="pct"/>
            <w:tcBorders>
              <w:bottom w:val="nil"/>
            </w:tcBorders>
          </w:tcPr>
          <w:p w:rsidR="00680F35" w:rsidRPr="002647CE" w:rsidRDefault="00680F35">
            <w:pPr>
              <w:keepNext/>
              <w:jc w:val="center"/>
              <w:rPr>
                <w:rFonts w:eastAsia="Times New Roman"/>
                <w:b/>
                <w:kern w:val="22"/>
                <w:sz w:val="21"/>
                <w:lang w:val="es-ES"/>
              </w:rPr>
            </w:pPr>
          </w:p>
        </w:tc>
        <w:tc>
          <w:tcPr>
            <w:tcW w:w="611" w:type="pct"/>
            <w:tcBorders>
              <w:bottom w:val="nil"/>
            </w:tcBorders>
          </w:tcPr>
          <w:p w:rsidR="00680F35" w:rsidRPr="002647CE" w:rsidRDefault="00680F35">
            <w:pPr>
              <w:keepNext/>
              <w:jc w:val="left"/>
              <w:rPr>
                <w:rFonts w:eastAsia="Times New Roman"/>
                <w:b/>
                <w:kern w:val="22"/>
                <w:sz w:val="21"/>
                <w:lang w:val="es-ES"/>
              </w:rPr>
            </w:pPr>
          </w:p>
        </w:tc>
      </w:tr>
      <w:tr w:rsidR="00680F35" w:rsidRPr="002647CE" w:rsidTr="008A64FB">
        <w:trPr>
          <w:cantSplit/>
        </w:trPr>
        <w:tc>
          <w:tcPr>
            <w:tcW w:w="708" w:type="pct"/>
            <w:vMerge/>
          </w:tcPr>
          <w:p w:rsidR="00680F35" w:rsidRPr="002647CE" w:rsidRDefault="00680F35">
            <w:pPr>
              <w:keepNext/>
              <w:jc w:val="center"/>
              <w:rPr>
                <w:rFonts w:ascii="Times New Roman Bold" w:eastAsia="Times New Roman" w:hAnsi="Times New Roman Bold"/>
                <w:b/>
                <w:spacing w:val="-12"/>
                <w:kern w:val="22"/>
                <w:sz w:val="21"/>
                <w:lang w:val="es-ES"/>
              </w:rPr>
            </w:pPr>
          </w:p>
        </w:tc>
        <w:tc>
          <w:tcPr>
            <w:tcW w:w="3250" w:type="pct"/>
            <w:tcBorders>
              <w:bottom w:val="nil"/>
            </w:tcBorders>
          </w:tcPr>
          <w:p w:rsidR="00680F35" w:rsidRPr="002647CE" w:rsidRDefault="00CE6383" w:rsidP="00C870F9">
            <w:pPr>
              <w:pStyle w:val="ListParagraph"/>
              <w:keepNext/>
              <w:numPr>
                <w:ilvl w:val="0"/>
                <w:numId w:val="18"/>
              </w:numPr>
              <w:tabs>
                <w:tab w:val="clear" w:pos="1080"/>
              </w:tabs>
              <w:spacing w:after="60"/>
              <w:ind w:left="360"/>
              <w:jc w:val="left"/>
              <w:rPr>
                <w:rFonts w:eastAsia="Times New Roman"/>
                <w:lang w:val="es-ES"/>
              </w:rPr>
            </w:pPr>
            <w:r w:rsidRPr="002647CE">
              <w:rPr>
                <w:rFonts w:eastAsia="Times New Roman"/>
                <w:kern w:val="22"/>
                <w:sz w:val="21"/>
                <w:lang w:val="es-ES"/>
              </w:rPr>
              <w:t xml:space="preserve">Profundizar </w:t>
            </w:r>
            <w:r w:rsidR="00680F35" w:rsidRPr="002647CE">
              <w:rPr>
                <w:rFonts w:eastAsia="Times New Roman"/>
                <w:kern w:val="22"/>
                <w:sz w:val="21"/>
                <w:lang w:val="es-ES"/>
              </w:rPr>
              <w:t>l</w:t>
            </w:r>
            <w:r w:rsidRPr="002647CE">
              <w:rPr>
                <w:rFonts w:eastAsia="Times New Roman"/>
                <w:kern w:val="22"/>
                <w:sz w:val="21"/>
                <w:lang w:val="es-ES"/>
              </w:rPr>
              <w:t>os</w:t>
            </w:r>
            <w:r w:rsidR="00680F35" w:rsidRPr="002647CE">
              <w:rPr>
                <w:rFonts w:eastAsia="Times New Roman"/>
                <w:kern w:val="22"/>
                <w:sz w:val="21"/>
                <w:lang w:val="es-ES"/>
              </w:rPr>
              <w:t xml:space="preserve"> contacto</w:t>
            </w:r>
            <w:r w:rsidRPr="002647CE">
              <w:rPr>
                <w:rFonts w:eastAsia="Times New Roman"/>
                <w:kern w:val="22"/>
                <w:sz w:val="21"/>
                <w:lang w:val="es-ES"/>
              </w:rPr>
              <w:t>s</w:t>
            </w:r>
            <w:r w:rsidR="00680F35" w:rsidRPr="002647CE">
              <w:rPr>
                <w:rFonts w:eastAsia="Times New Roman"/>
                <w:kern w:val="22"/>
                <w:sz w:val="21"/>
                <w:lang w:val="es-ES"/>
              </w:rPr>
              <w:t xml:space="preserve"> con comunidades y otras instituciones académicas y de investigación pertinentes para alentarlas a que compartan dat</w:t>
            </w:r>
            <w:r w:rsidR="00C870F9">
              <w:rPr>
                <w:rFonts w:eastAsia="Times New Roman"/>
                <w:kern w:val="22"/>
                <w:sz w:val="21"/>
                <w:lang w:val="es-ES"/>
              </w:rPr>
              <w:t>os, información y conocimientos</w:t>
            </w:r>
            <w:r w:rsidR="00C870F9" w:rsidRPr="002647CE">
              <w:rPr>
                <w:rFonts w:eastAsia="Times New Roman"/>
                <w:kern w:val="22"/>
                <w:sz w:val="21"/>
                <w:lang w:val="es-ES"/>
              </w:rPr>
              <w:t xml:space="preserve"> pertinentes </w:t>
            </w:r>
            <w:r w:rsidR="00680F35" w:rsidRPr="002647CE">
              <w:rPr>
                <w:rFonts w:eastAsia="Times New Roman"/>
                <w:kern w:val="22"/>
                <w:sz w:val="21"/>
                <w:lang w:val="es-ES"/>
              </w:rPr>
              <w:t xml:space="preserve">de </w:t>
            </w:r>
            <w:r w:rsidR="00C870F9">
              <w:rPr>
                <w:rFonts w:eastAsia="Times New Roman"/>
                <w:kern w:val="22"/>
                <w:sz w:val="21"/>
                <w:lang w:val="es-ES"/>
              </w:rPr>
              <w:t xml:space="preserve">sus </w:t>
            </w:r>
            <w:r w:rsidR="00680F35" w:rsidRPr="002647CE">
              <w:rPr>
                <w:rFonts w:eastAsia="Times New Roman"/>
                <w:kern w:val="22"/>
                <w:sz w:val="21"/>
                <w:lang w:val="es-ES"/>
              </w:rPr>
              <w:t>investigaci</w:t>
            </w:r>
            <w:r w:rsidR="00C870F9">
              <w:rPr>
                <w:rFonts w:eastAsia="Times New Roman"/>
                <w:kern w:val="22"/>
                <w:sz w:val="21"/>
                <w:lang w:val="es-ES"/>
              </w:rPr>
              <w:t>o</w:t>
            </w:r>
            <w:r w:rsidR="00680F35" w:rsidRPr="002647CE">
              <w:rPr>
                <w:rFonts w:eastAsia="Times New Roman"/>
                <w:kern w:val="22"/>
                <w:sz w:val="21"/>
                <w:lang w:val="es-ES"/>
              </w:rPr>
              <w:t>n</w:t>
            </w:r>
            <w:r w:rsidR="00C870F9">
              <w:rPr>
                <w:rFonts w:eastAsia="Times New Roman"/>
                <w:kern w:val="22"/>
                <w:sz w:val="21"/>
                <w:lang w:val="es-ES"/>
              </w:rPr>
              <w:t>es</w:t>
            </w:r>
          </w:p>
        </w:tc>
        <w:tc>
          <w:tcPr>
            <w:tcW w:w="431" w:type="pct"/>
            <w:tcBorders>
              <w:bottom w:val="nil"/>
            </w:tcBorders>
          </w:tcPr>
          <w:p w:rsidR="00680F35" w:rsidRPr="002647CE" w:rsidRDefault="00680F35">
            <w:pPr>
              <w:keepNext/>
              <w:jc w:val="center"/>
              <w:rPr>
                <w:rFonts w:eastAsia="Times New Roman"/>
                <w:b/>
                <w:kern w:val="22"/>
                <w:sz w:val="21"/>
                <w:lang w:val="es-ES"/>
              </w:rPr>
            </w:pPr>
          </w:p>
        </w:tc>
        <w:tc>
          <w:tcPr>
            <w:tcW w:w="611" w:type="pct"/>
            <w:tcBorders>
              <w:bottom w:val="nil"/>
            </w:tcBorders>
          </w:tcPr>
          <w:p w:rsidR="00680F35" w:rsidRPr="002647CE" w:rsidRDefault="00680F35">
            <w:pPr>
              <w:keepNext/>
              <w:jc w:val="left"/>
              <w:rPr>
                <w:rFonts w:eastAsia="Times New Roman"/>
                <w:b/>
                <w:kern w:val="22"/>
                <w:sz w:val="21"/>
                <w:lang w:val="es-ES"/>
              </w:rPr>
            </w:pPr>
          </w:p>
        </w:tc>
      </w:tr>
      <w:tr w:rsidR="00680F35" w:rsidRPr="002647CE" w:rsidTr="008A64FB">
        <w:trPr>
          <w:cantSplit/>
        </w:trPr>
        <w:tc>
          <w:tcPr>
            <w:tcW w:w="708" w:type="pct"/>
            <w:vMerge/>
          </w:tcPr>
          <w:p w:rsidR="00680F35" w:rsidRPr="002647CE" w:rsidRDefault="00680F35">
            <w:pPr>
              <w:keepNext/>
              <w:jc w:val="center"/>
              <w:rPr>
                <w:rFonts w:ascii="Times New Roman Bold" w:eastAsia="Times New Roman" w:hAnsi="Times New Roman Bold"/>
                <w:b/>
                <w:spacing w:val="-12"/>
                <w:kern w:val="22"/>
                <w:sz w:val="21"/>
                <w:lang w:val="es-ES"/>
              </w:rPr>
            </w:pPr>
          </w:p>
        </w:tc>
        <w:tc>
          <w:tcPr>
            <w:tcW w:w="3250" w:type="pct"/>
            <w:tcBorders>
              <w:bottom w:val="nil"/>
            </w:tcBorders>
          </w:tcPr>
          <w:p w:rsidR="00680F35" w:rsidRPr="002647CE" w:rsidRDefault="00680F35" w:rsidP="00CE6383">
            <w:pPr>
              <w:pStyle w:val="ListParagraph"/>
              <w:keepNext/>
              <w:numPr>
                <w:ilvl w:val="0"/>
                <w:numId w:val="18"/>
              </w:numPr>
              <w:tabs>
                <w:tab w:val="clear" w:pos="1080"/>
              </w:tabs>
              <w:spacing w:after="60"/>
              <w:ind w:left="360"/>
              <w:jc w:val="left"/>
              <w:rPr>
                <w:rFonts w:eastAsia="Times New Roman"/>
                <w:lang w:val="es-ES"/>
              </w:rPr>
            </w:pPr>
            <w:r w:rsidRPr="002647CE">
              <w:rPr>
                <w:rFonts w:eastAsia="Times New Roman"/>
                <w:kern w:val="22"/>
                <w:sz w:val="21"/>
                <w:lang w:val="es-ES"/>
              </w:rPr>
              <w:t xml:space="preserve">Desarrollar la capacidad local y nacional </w:t>
            </w:r>
            <w:r w:rsidR="00CE6383" w:rsidRPr="002647CE">
              <w:rPr>
                <w:rFonts w:eastAsia="Times New Roman"/>
                <w:kern w:val="22"/>
                <w:sz w:val="21"/>
                <w:lang w:val="es-ES"/>
              </w:rPr>
              <w:t>para la</w:t>
            </w:r>
            <w:r w:rsidRPr="002647CE">
              <w:rPr>
                <w:rFonts w:eastAsia="Times New Roman"/>
                <w:kern w:val="22"/>
                <w:sz w:val="21"/>
                <w:lang w:val="es-ES"/>
              </w:rPr>
              <w:t xml:space="preserve"> generación de conocimientos a través de la ciencia ciudadana</w:t>
            </w:r>
            <w:r w:rsidR="00C870F9">
              <w:rPr>
                <w:rFonts w:eastAsia="Times New Roman"/>
                <w:kern w:val="22"/>
                <w:sz w:val="21"/>
                <w:lang w:val="es-ES"/>
              </w:rPr>
              <w:t>,</w:t>
            </w:r>
            <w:r w:rsidRPr="002647CE">
              <w:rPr>
                <w:rFonts w:eastAsia="Times New Roman"/>
                <w:kern w:val="22"/>
                <w:sz w:val="21"/>
                <w:lang w:val="es-ES"/>
              </w:rPr>
              <w:t xml:space="preserve"> incentivando la re</w:t>
            </w:r>
            <w:r w:rsidR="00CE6383" w:rsidRPr="002647CE">
              <w:rPr>
                <w:rFonts w:eastAsia="Times New Roman"/>
                <w:kern w:val="22"/>
                <w:sz w:val="21"/>
                <w:lang w:val="es-ES"/>
              </w:rPr>
              <w:t>un</w:t>
            </w:r>
            <w:r w:rsidRPr="002647CE">
              <w:rPr>
                <w:rFonts w:eastAsia="Times New Roman"/>
                <w:kern w:val="22"/>
                <w:sz w:val="21"/>
                <w:lang w:val="es-ES"/>
              </w:rPr>
              <w:t>ión de datos, información y conocimientos a nivel local</w:t>
            </w:r>
          </w:p>
        </w:tc>
        <w:tc>
          <w:tcPr>
            <w:tcW w:w="431" w:type="pct"/>
            <w:tcBorders>
              <w:bottom w:val="nil"/>
            </w:tcBorders>
          </w:tcPr>
          <w:p w:rsidR="00680F35" w:rsidRPr="002647CE" w:rsidRDefault="00680F35">
            <w:pPr>
              <w:keepNext/>
              <w:jc w:val="center"/>
              <w:rPr>
                <w:rFonts w:eastAsia="Times New Roman"/>
                <w:b/>
                <w:kern w:val="22"/>
                <w:sz w:val="21"/>
                <w:lang w:val="es-ES"/>
              </w:rPr>
            </w:pPr>
          </w:p>
        </w:tc>
        <w:tc>
          <w:tcPr>
            <w:tcW w:w="611" w:type="pct"/>
            <w:tcBorders>
              <w:bottom w:val="nil"/>
            </w:tcBorders>
          </w:tcPr>
          <w:p w:rsidR="00680F35" w:rsidRPr="002647CE" w:rsidRDefault="00680F35">
            <w:pPr>
              <w:keepNext/>
              <w:jc w:val="left"/>
              <w:rPr>
                <w:rFonts w:eastAsia="Times New Roman"/>
                <w:b/>
                <w:kern w:val="22"/>
                <w:sz w:val="21"/>
                <w:lang w:val="es-ES"/>
              </w:rPr>
            </w:pPr>
          </w:p>
        </w:tc>
      </w:tr>
      <w:tr w:rsidR="00680F35" w:rsidRPr="002647CE" w:rsidTr="008A64FB">
        <w:trPr>
          <w:cantSplit/>
        </w:trPr>
        <w:tc>
          <w:tcPr>
            <w:tcW w:w="708" w:type="pct"/>
            <w:vMerge/>
          </w:tcPr>
          <w:p w:rsidR="00680F35" w:rsidRPr="002647CE" w:rsidRDefault="00680F35">
            <w:pPr>
              <w:keepNext/>
              <w:jc w:val="center"/>
              <w:rPr>
                <w:rFonts w:ascii="Times New Roman Bold" w:eastAsia="Times New Roman" w:hAnsi="Times New Roman Bold"/>
                <w:b/>
                <w:spacing w:val="-12"/>
                <w:kern w:val="22"/>
                <w:sz w:val="21"/>
                <w:lang w:val="es-ES"/>
              </w:rPr>
            </w:pPr>
          </w:p>
        </w:tc>
        <w:tc>
          <w:tcPr>
            <w:tcW w:w="3250" w:type="pct"/>
            <w:tcBorders>
              <w:bottom w:val="nil"/>
            </w:tcBorders>
          </w:tcPr>
          <w:p w:rsidR="00680F35" w:rsidRPr="002647CE" w:rsidRDefault="00680F35" w:rsidP="00CE6383">
            <w:pPr>
              <w:pStyle w:val="ListParagraph"/>
              <w:keepNext/>
              <w:numPr>
                <w:ilvl w:val="0"/>
                <w:numId w:val="18"/>
              </w:numPr>
              <w:tabs>
                <w:tab w:val="clear" w:pos="1080"/>
              </w:tabs>
              <w:spacing w:after="60"/>
              <w:ind w:left="360"/>
              <w:jc w:val="left"/>
              <w:rPr>
                <w:rFonts w:eastAsia="Times New Roman"/>
                <w:lang w:val="es-ES"/>
              </w:rPr>
            </w:pPr>
            <w:r w:rsidRPr="002647CE">
              <w:rPr>
                <w:rFonts w:eastAsia="Times New Roman"/>
                <w:kern w:val="22"/>
                <w:sz w:val="21"/>
                <w:lang w:val="es-ES"/>
              </w:rPr>
              <w:t xml:space="preserve">Intensificar el empleo de todo tipo de macrodatos, incluidos datos de </w:t>
            </w:r>
            <w:r w:rsidR="00CE6383" w:rsidRPr="002647CE">
              <w:rPr>
                <w:rFonts w:eastAsia="Times New Roman"/>
                <w:kern w:val="22"/>
                <w:sz w:val="21"/>
                <w:lang w:val="es-ES"/>
              </w:rPr>
              <w:t>teledetección</w:t>
            </w:r>
            <w:r w:rsidRPr="002647CE">
              <w:rPr>
                <w:rFonts w:eastAsia="Times New Roman"/>
                <w:kern w:val="22"/>
                <w:sz w:val="21"/>
                <w:lang w:val="es-ES"/>
              </w:rPr>
              <w:t xml:space="preserve"> y el Internet de las cosas, así como asegurar el intercambio y los estándares de datos</w:t>
            </w:r>
          </w:p>
        </w:tc>
        <w:tc>
          <w:tcPr>
            <w:tcW w:w="431" w:type="pct"/>
            <w:tcBorders>
              <w:bottom w:val="nil"/>
            </w:tcBorders>
          </w:tcPr>
          <w:p w:rsidR="00680F35" w:rsidRPr="002647CE" w:rsidRDefault="00680F35">
            <w:pPr>
              <w:keepNext/>
              <w:jc w:val="center"/>
              <w:rPr>
                <w:rFonts w:eastAsia="Times New Roman"/>
                <w:b/>
                <w:kern w:val="22"/>
                <w:sz w:val="21"/>
                <w:lang w:val="es-ES"/>
              </w:rPr>
            </w:pPr>
          </w:p>
        </w:tc>
        <w:tc>
          <w:tcPr>
            <w:tcW w:w="611" w:type="pct"/>
            <w:tcBorders>
              <w:bottom w:val="nil"/>
            </w:tcBorders>
          </w:tcPr>
          <w:p w:rsidR="00680F35" w:rsidRPr="002647CE" w:rsidRDefault="00680F35">
            <w:pPr>
              <w:keepNext/>
              <w:jc w:val="left"/>
              <w:rPr>
                <w:rFonts w:eastAsia="Times New Roman"/>
                <w:b/>
                <w:kern w:val="22"/>
                <w:sz w:val="21"/>
                <w:lang w:val="es-ES"/>
              </w:rPr>
            </w:pPr>
          </w:p>
        </w:tc>
      </w:tr>
      <w:tr w:rsidR="00680F35" w:rsidRPr="002647CE" w:rsidTr="008A64FB">
        <w:trPr>
          <w:cantSplit/>
        </w:trPr>
        <w:tc>
          <w:tcPr>
            <w:tcW w:w="708" w:type="pct"/>
            <w:vMerge w:val="restart"/>
          </w:tcPr>
          <w:p w:rsidR="00680F35" w:rsidRPr="002647CE" w:rsidRDefault="00680F35" w:rsidP="00C870F9">
            <w:pPr>
              <w:pStyle w:val="ListParagraph"/>
              <w:keepNext/>
              <w:numPr>
                <w:ilvl w:val="0"/>
                <w:numId w:val="13"/>
              </w:numPr>
              <w:ind w:left="430" w:hanging="430"/>
              <w:jc w:val="left"/>
              <w:rPr>
                <w:rFonts w:eastAsia="Times New Roman"/>
                <w:lang w:val="es-ES"/>
              </w:rPr>
            </w:pPr>
            <w:r w:rsidRPr="002647CE">
              <w:rPr>
                <w:rFonts w:eastAsia="Times New Roman"/>
                <w:kern w:val="22"/>
                <w:sz w:val="21"/>
                <w:lang w:val="es-ES"/>
              </w:rPr>
              <w:t>Facilita</w:t>
            </w:r>
            <w:r w:rsidR="00C870F9">
              <w:rPr>
                <w:rFonts w:eastAsia="Times New Roman"/>
                <w:kern w:val="22"/>
                <w:sz w:val="21"/>
                <w:lang w:val="es-ES"/>
              </w:rPr>
              <w:t>ción</w:t>
            </w:r>
            <w:r w:rsidRPr="002647CE">
              <w:rPr>
                <w:rFonts w:eastAsia="Times New Roman"/>
                <w:kern w:val="22"/>
                <w:sz w:val="21"/>
                <w:lang w:val="es-ES"/>
              </w:rPr>
              <w:t xml:space="preserve"> </w:t>
            </w:r>
            <w:r w:rsidR="00C870F9">
              <w:rPr>
                <w:rFonts w:eastAsia="Times New Roman"/>
                <w:kern w:val="22"/>
                <w:sz w:val="21"/>
                <w:lang w:val="es-ES"/>
              </w:rPr>
              <w:t>d</w:t>
            </w:r>
            <w:r w:rsidRPr="002647CE">
              <w:rPr>
                <w:rFonts w:eastAsia="Times New Roman"/>
                <w:kern w:val="22"/>
                <w:sz w:val="21"/>
                <w:lang w:val="es-ES"/>
              </w:rPr>
              <w:t>el descubrimiento y la reunión de conocimientos</w:t>
            </w:r>
          </w:p>
        </w:tc>
        <w:tc>
          <w:tcPr>
            <w:tcW w:w="3250" w:type="pct"/>
            <w:tcBorders>
              <w:bottom w:val="nil"/>
            </w:tcBorders>
          </w:tcPr>
          <w:p w:rsidR="00680F35" w:rsidRPr="002647CE" w:rsidRDefault="00680F35" w:rsidP="00317D96">
            <w:pPr>
              <w:pStyle w:val="ListParagraph"/>
              <w:keepNext/>
              <w:numPr>
                <w:ilvl w:val="0"/>
                <w:numId w:val="19"/>
              </w:numPr>
              <w:tabs>
                <w:tab w:val="clear" w:pos="1080"/>
              </w:tabs>
              <w:ind w:left="360"/>
              <w:jc w:val="left"/>
              <w:rPr>
                <w:rFonts w:eastAsia="Times New Roman"/>
                <w:lang w:val="es-ES"/>
              </w:rPr>
            </w:pPr>
            <w:r w:rsidRPr="002647CE">
              <w:rPr>
                <w:rFonts w:eastAsia="Times New Roman"/>
                <w:kern w:val="22"/>
                <w:sz w:val="21"/>
                <w:lang w:val="es-ES"/>
              </w:rPr>
              <w:t xml:space="preserve">Desarrollar o mejorar herramientas web para detectar y reunir información y conocimientos de diversas fuentes </w:t>
            </w:r>
            <w:r w:rsidR="00317D96" w:rsidRPr="002647CE">
              <w:rPr>
                <w:rFonts w:eastAsia="Times New Roman"/>
                <w:kern w:val="22"/>
                <w:sz w:val="21"/>
                <w:lang w:val="es-ES"/>
              </w:rPr>
              <w:t xml:space="preserve">en forma </w:t>
            </w:r>
            <w:r w:rsidRPr="002647CE">
              <w:rPr>
                <w:rFonts w:eastAsia="Times New Roman"/>
                <w:kern w:val="22"/>
                <w:sz w:val="21"/>
                <w:lang w:val="es-ES"/>
              </w:rPr>
              <w:t xml:space="preserve">interactiva, en tiempo real y </w:t>
            </w:r>
            <w:r w:rsidR="00317D96" w:rsidRPr="002647CE">
              <w:rPr>
                <w:rFonts w:eastAsia="Times New Roman"/>
                <w:kern w:val="22"/>
                <w:sz w:val="21"/>
                <w:lang w:val="es-ES"/>
              </w:rPr>
              <w:t xml:space="preserve">de manera </w:t>
            </w:r>
            <w:r w:rsidRPr="002647CE">
              <w:rPr>
                <w:rFonts w:eastAsia="Times New Roman"/>
                <w:kern w:val="22"/>
                <w:sz w:val="21"/>
                <w:lang w:val="es-ES"/>
              </w:rPr>
              <w:t>fácil de usar</w:t>
            </w:r>
            <w:r w:rsidRPr="002647CE">
              <w:rPr>
                <w:rStyle w:val="FootnoteReference"/>
                <w:rFonts w:eastAsia="Times New Roman"/>
                <w:kern w:val="22"/>
                <w:sz w:val="21"/>
                <w:lang w:val="es-ES"/>
              </w:rPr>
              <w:footnoteReference w:id="20"/>
            </w:r>
          </w:p>
        </w:tc>
        <w:tc>
          <w:tcPr>
            <w:tcW w:w="431" w:type="pct"/>
            <w:tcBorders>
              <w:bottom w:val="nil"/>
            </w:tcBorders>
          </w:tcPr>
          <w:p w:rsidR="00680F35" w:rsidRPr="002647CE" w:rsidRDefault="00680F35">
            <w:pPr>
              <w:keepNext/>
              <w:jc w:val="center"/>
              <w:rPr>
                <w:rFonts w:eastAsia="Times New Roman"/>
                <w:b/>
                <w:kern w:val="22"/>
                <w:sz w:val="21"/>
                <w:lang w:val="es-ES"/>
              </w:rPr>
            </w:pPr>
          </w:p>
        </w:tc>
        <w:tc>
          <w:tcPr>
            <w:tcW w:w="611" w:type="pct"/>
            <w:tcBorders>
              <w:bottom w:val="nil"/>
            </w:tcBorders>
          </w:tcPr>
          <w:p w:rsidR="00680F35" w:rsidRPr="002647CE" w:rsidRDefault="00680F35">
            <w:pPr>
              <w:keepNext/>
              <w:jc w:val="left"/>
              <w:rPr>
                <w:rFonts w:eastAsia="Times New Roman"/>
                <w:b/>
                <w:kern w:val="22"/>
                <w:sz w:val="21"/>
                <w:lang w:val="es-ES"/>
              </w:rPr>
            </w:pPr>
          </w:p>
        </w:tc>
      </w:tr>
      <w:tr w:rsidR="00680F35" w:rsidRPr="002647CE" w:rsidTr="008A64FB">
        <w:trPr>
          <w:cantSplit/>
        </w:trPr>
        <w:tc>
          <w:tcPr>
            <w:tcW w:w="708" w:type="pct"/>
            <w:vMerge/>
          </w:tcPr>
          <w:p w:rsidR="00680F35" w:rsidRPr="002647CE" w:rsidRDefault="00680F35">
            <w:pPr>
              <w:keepNext/>
              <w:jc w:val="center"/>
              <w:rPr>
                <w:rFonts w:ascii="Times New Roman Bold" w:eastAsia="Times New Roman" w:hAnsi="Times New Roman Bold"/>
                <w:b/>
                <w:spacing w:val="-12"/>
                <w:kern w:val="22"/>
                <w:sz w:val="21"/>
                <w:lang w:val="es-ES"/>
              </w:rPr>
            </w:pPr>
          </w:p>
        </w:tc>
        <w:tc>
          <w:tcPr>
            <w:tcW w:w="3250" w:type="pct"/>
            <w:tcBorders>
              <w:bottom w:val="nil"/>
            </w:tcBorders>
          </w:tcPr>
          <w:p w:rsidR="00680F35" w:rsidRPr="002647CE" w:rsidRDefault="00680F35">
            <w:pPr>
              <w:pStyle w:val="ListParagraph"/>
              <w:keepNext/>
              <w:numPr>
                <w:ilvl w:val="0"/>
                <w:numId w:val="19"/>
              </w:numPr>
              <w:tabs>
                <w:tab w:val="clear" w:pos="1080"/>
              </w:tabs>
              <w:spacing w:after="60"/>
              <w:ind w:left="360"/>
              <w:jc w:val="left"/>
              <w:rPr>
                <w:rFonts w:eastAsia="Times New Roman"/>
                <w:lang w:val="es-ES"/>
              </w:rPr>
            </w:pPr>
            <w:r w:rsidRPr="002647CE">
              <w:rPr>
                <w:rFonts w:eastAsia="Times New Roman"/>
                <w:kern w:val="22"/>
                <w:sz w:val="21"/>
                <w:lang w:val="es-ES"/>
              </w:rPr>
              <w:t>Promover herramientas y técnicas de descubrimiento de conocimientos, incluidas herramientas de minería de datos y aprendizaje automático, según proceda</w:t>
            </w:r>
          </w:p>
        </w:tc>
        <w:tc>
          <w:tcPr>
            <w:tcW w:w="431" w:type="pct"/>
            <w:tcBorders>
              <w:bottom w:val="nil"/>
            </w:tcBorders>
          </w:tcPr>
          <w:p w:rsidR="00680F35" w:rsidRPr="002647CE" w:rsidRDefault="00680F35">
            <w:pPr>
              <w:keepNext/>
              <w:jc w:val="center"/>
              <w:rPr>
                <w:rFonts w:eastAsia="Times New Roman"/>
                <w:b/>
                <w:kern w:val="22"/>
                <w:sz w:val="21"/>
                <w:lang w:val="es-ES"/>
              </w:rPr>
            </w:pPr>
          </w:p>
        </w:tc>
        <w:tc>
          <w:tcPr>
            <w:tcW w:w="611" w:type="pct"/>
            <w:tcBorders>
              <w:bottom w:val="nil"/>
            </w:tcBorders>
          </w:tcPr>
          <w:p w:rsidR="00680F35" w:rsidRPr="002647CE" w:rsidRDefault="00680F35">
            <w:pPr>
              <w:keepNext/>
              <w:jc w:val="left"/>
              <w:rPr>
                <w:rFonts w:eastAsia="Times New Roman"/>
                <w:b/>
                <w:kern w:val="22"/>
                <w:sz w:val="21"/>
                <w:lang w:val="es-ES"/>
              </w:rPr>
            </w:pPr>
          </w:p>
        </w:tc>
      </w:tr>
      <w:tr w:rsidR="00680F35" w:rsidRPr="002647CE" w:rsidTr="008A64FB">
        <w:trPr>
          <w:cantSplit/>
        </w:trPr>
        <w:tc>
          <w:tcPr>
            <w:tcW w:w="708" w:type="pct"/>
            <w:vMerge/>
          </w:tcPr>
          <w:p w:rsidR="00680F35" w:rsidRPr="002647CE" w:rsidRDefault="00680F35">
            <w:pPr>
              <w:keepNext/>
              <w:jc w:val="center"/>
              <w:rPr>
                <w:rFonts w:ascii="Times New Roman Bold" w:eastAsia="Times New Roman" w:hAnsi="Times New Roman Bold"/>
                <w:b/>
                <w:spacing w:val="-12"/>
                <w:kern w:val="22"/>
                <w:sz w:val="21"/>
                <w:lang w:val="es-ES"/>
              </w:rPr>
            </w:pPr>
          </w:p>
        </w:tc>
        <w:tc>
          <w:tcPr>
            <w:tcW w:w="3250" w:type="pct"/>
            <w:tcBorders>
              <w:bottom w:val="nil"/>
            </w:tcBorders>
          </w:tcPr>
          <w:p w:rsidR="00680F35" w:rsidRPr="002647CE" w:rsidRDefault="00680F35">
            <w:pPr>
              <w:pStyle w:val="ListParagraph"/>
              <w:keepNext/>
              <w:numPr>
                <w:ilvl w:val="0"/>
                <w:numId w:val="19"/>
              </w:numPr>
              <w:tabs>
                <w:tab w:val="clear" w:pos="1080"/>
              </w:tabs>
              <w:spacing w:after="60"/>
              <w:ind w:left="360"/>
              <w:jc w:val="left"/>
              <w:rPr>
                <w:rFonts w:eastAsia="Times New Roman"/>
                <w:lang w:val="es-ES"/>
              </w:rPr>
            </w:pPr>
            <w:r w:rsidRPr="002647CE">
              <w:rPr>
                <w:rFonts w:eastAsia="Times New Roman"/>
                <w:kern w:val="22"/>
                <w:sz w:val="21"/>
                <w:lang w:val="es-ES"/>
              </w:rPr>
              <w:t>Dar participación en la creación y el cotejo de conocimientos a interesados directos pertinentes, incluidos creadores, agentes y usuarios de conocimientos en organismos de ejecución, organizaciones de conservación, instituciones académicas y otras entidades a nivel nacional y subnacional</w:t>
            </w:r>
          </w:p>
        </w:tc>
        <w:tc>
          <w:tcPr>
            <w:tcW w:w="431" w:type="pct"/>
            <w:tcBorders>
              <w:bottom w:val="nil"/>
            </w:tcBorders>
          </w:tcPr>
          <w:p w:rsidR="00680F35" w:rsidRPr="002647CE" w:rsidRDefault="00680F35">
            <w:pPr>
              <w:keepNext/>
              <w:jc w:val="center"/>
              <w:rPr>
                <w:rFonts w:eastAsia="Times New Roman"/>
                <w:b/>
                <w:kern w:val="22"/>
                <w:sz w:val="21"/>
                <w:lang w:val="es-ES"/>
              </w:rPr>
            </w:pPr>
          </w:p>
        </w:tc>
        <w:tc>
          <w:tcPr>
            <w:tcW w:w="611" w:type="pct"/>
            <w:tcBorders>
              <w:bottom w:val="nil"/>
            </w:tcBorders>
          </w:tcPr>
          <w:p w:rsidR="00680F35" w:rsidRPr="002647CE" w:rsidRDefault="00680F35">
            <w:pPr>
              <w:keepNext/>
              <w:jc w:val="left"/>
              <w:rPr>
                <w:rFonts w:eastAsia="Times New Roman"/>
                <w:b/>
                <w:kern w:val="22"/>
                <w:sz w:val="21"/>
                <w:lang w:val="es-ES"/>
              </w:rPr>
            </w:pPr>
          </w:p>
        </w:tc>
      </w:tr>
      <w:tr w:rsidR="00680F35" w:rsidRPr="002647CE" w:rsidTr="008A64FB">
        <w:trPr>
          <w:cantSplit/>
        </w:trPr>
        <w:tc>
          <w:tcPr>
            <w:tcW w:w="708" w:type="pct"/>
            <w:vMerge/>
            <w:tcBorders>
              <w:bottom w:val="single" w:sz="4" w:space="0" w:color="auto"/>
            </w:tcBorders>
          </w:tcPr>
          <w:p w:rsidR="00680F35" w:rsidRPr="002647CE" w:rsidRDefault="00680F35">
            <w:pPr>
              <w:widowControl w:val="0"/>
              <w:jc w:val="center"/>
              <w:rPr>
                <w:rFonts w:ascii="Times New Roman Bold" w:eastAsia="Times New Roman" w:hAnsi="Times New Roman Bold"/>
                <w:b/>
                <w:spacing w:val="-12"/>
                <w:kern w:val="22"/>
                <w:sz w:val="21"/>
                <w:lang w:val="es-ES"/>
              </w:rPr>
            </w:pPr>
          </w:p>
        </w:tc>
        <w:tc>
          <w:tcPr>
            <w:tcW w:w="3250" w:type="pct"/>
            <w:tcBorders>
              <w:bottom w:val="single" w:sz="4" w:space="0" w:color="auto"/>
            </w:tcBorders>
          </w:tcPr>
          <w:p w:rsidR="00680F35" w:rsidRPr="002647CE" w:rsidRDefault="00680F35" w:rsidP="008A64FB">
            <w:pPr>
              <w:pStyle w:val="ListParagraph"/>
              <w:widowControl w:val="0"/>
              <w:numPr>
                <w:ilvl w:val="0"/>
                <w:numId w:val="19"/>
              </w:numPr>
              <w:tabs>
                <w:tab w:val="clear" w:pos="1080"/>
              </w:tabs>
              <w:spacing w:after="60"/>
              <w:ind w:left="360"/>
              <w:jc w:val="left"/>
              <w:rPr>
                <w:rFonts w:eastAsia="Times New Roman"/>
                <w:lang w:val="es-ES"/>
              </w:rPr>
            </w:pPr>
            <w:r w:rsidRPr="002647CE">
              <w:rPr>
                <w:rFonts w:eastAsia="Times New Roman"/>
                <w:kern w:val="22"/>
                <w:sz w:val="21"/>
                <w:lang w:val="es-ES"/>
              </w:rPr>
              <w:t>Detectar, reunir y compartir, siempre que se autorice, los conocimientos tradicionales de los pueblos indígenas y las comunidades locales, así como los conocimientos de las mujeres, de manera apropiada e indicando claramente la fuente</w:t>
            </w:r>
            <w:r w:rsidRPr="002647CE">
              <w:rPr>
                <w:rStyle w:val="FootnoteReference"/>
                <w:rFonts w:eastAsia="Times New Roman"/>
                <w:kern w:val="22"/>
                <w:sz w:val="21"/>
                <w:lang w:val="es-ES"/>
              </w:rPr>
              <w:footnoteReference w:id="21"/>
            </w:r>
          </w:p>
        </w:tc>
        <w:tc>
          <w:tcPr>
            <w:tcW w:w="431" w:type="pct"/>
            <w:tcBorders>
              <w:bottom w:val="single" w:sz="4" w:space="0" w:color="auto"/>
            </w:tcBorders>
          </w:tcPr>
          <w:p w:rsidR="00680F35" w:rsidRPr="002647CE" w:rsidRDefault="00680F35">
            <w:pPr>
              <w:widowControl w:val="0"/>
              <w:jc w:val="center"/>
              <w:rPr>
                <w:rFonts w:eastAsia="Times New Roman"/>
                <w:b/>
                <w:kern w:val="22"/>
                <w:sz w:val="21"/>
                <w:lang w:val="es-ES"/>
              </w:rPr>
            </w:pPr>
          </w:p>
        </w:tc>
        <w:tc>
          <w:tcPr>
            <w:tcW w:w="611" w:type="pct"/>
            <w:tcBorders>
              <w:bottom w:val="single" w:sz="4" w:space="0" w:color="auto"/>
            </w:tcBorders>
          </w:tcPr>
          <w:p w:rsidR="00680F35" w:rsidRPr="002647CE" w:rsidRDefault="00680F35">
            <w:pPr>
              <w:widowControl w:val="0"/>
              <w:jc w:val="left"/>
              <w:rPr>
                <w:rFonts w:eastAsia="Times New Roman"/>
                <w:b/>
                <w:kern w:val="22"/>
                <w:sz w:val="21"/>
                <w:lang w:val="es-ES"/>
              </w:rPr>
            </w:pPr>
          </w:p>
        </w:tc>
      </w:tr>
      <w:tr w:rsidR="00680F35" w:rsidRPr="002647CE" w:rsidTr="008A64FB">
        <w:trPr>
          <w:cantSplit/>
        </w:trPr>
        <w:tc>
          <w:tcPr>
            <w:tcW w:w="708" w:type="pct"/>
            <w:vMerge w:val="restart"/>
            <w:tcBorders>
              <w:top w:val="single" w:sz="4" w:space="0" w:color="auto"/>
            </w:tcBorders>
          </w:tcPr>
          <w:p w:rsidR="00680F35" w:rsidRPr="002647CE" w:rsidRDefault="00C870F9">
            <w:pPr>
              <w:pStyle w:val="ListParagraph"/>
              <w:widowControl w:val="0"/>
              <w:numPr>
                <w:ilvl w:val="0"/>
                <w:numId w:val="13"/>
              </w:numPr>
              <w:ind w:left="430" w:hanging="430"/>
              <w:jc w:val="left"/>
              <w:rPr>
                <w:rFonts w:eastAsia="Times New Roman"/>
                <w:lang w:val="es-ES"/>
              </w:rPr>
            </w:pPr>
            <w:r>
              <w:rPr>
                <w:rFonts w:eastAsia="Times New Roman"/>
                <w:kern w:val="22"/>
                <w:sz w:val="21"/>
                <w:lang w:val="es-ES"/>
              </w:rPr>
              <w:lastRenderedPageBreak/>
              <w:t>Mejora de</w:t>
            </w:r>
            <w:r w:rsidR="00680F35" w:rsidRPr="002647CE">
              <w:rPr>
                <w:rFonts w:eastAsia="Times New Roman"/>
                <w:kern w:val="22"/>
                <w:sz w:val="21"/>
                <w:lang w:val="es-ES"/>
              </w:rPr>
              <w:t xml:space="preserve"> la organización y el intercambio de conocimientos</w:t>
            </w:r>
          </w:p>
        </w:tc>
        <w:tc>
          <w:tcPr>
            <w:tcW w:w="3250" w:type="pct"/>
            <w:tcBorders>
              <w:top w:val="single" w:sz="4" w:space="0" w:color="auto"/>
            </w:tcBorders>
          </w:tcPr>
          <w:p w:rsidR="00680F35" w:rsidRPr="002647CE" w:rsidRDefault="00680F35" w:rsidP="00B968ED">
            <w:pPr>
              <w:pStyle w:val="ListParagraph"/>
              <w:widowControl w:val="0"/>
              <w:numPr>
                <w:ilvl w:val="0"/>
                <w:numId w:val="20"/>
              </w:numPr>
              <w:tabs>
                <w:tab w:val="clear" w:pos="1080"/>
              </w:tabs>
              <w:spacing w:after="60"/>
              <w:ind w:left="360"/>
              <w:jc w:val="left"/>
              <w:rPr>
                <w:rFonts w:eastAsia="Times New Roman"/>
                <w:lang w:val="es-ES"/>
              </w:rPr>
            </w:pPr>
            <w:r w:rsidRPr="002647CE">
              <w:rPr>
                <w:rFonts w:eastAsia="Times New Roman"/>
                <w:kern w:val="22"/>
                <w:sz w:val="21"/>
                <w:lang w:val="es-ES"/>
              </w:rPr>
              <w:t xml:space="preserve">Mejorar continuamente la calidad de los metadatos, el </w:t>
            </w:r>
            <w:r w:rsidR="00B968ED">
              <w:rPr>
                <w:rFonts w:eastAsia="Times New Roman"/>
                <w:kern w:val="22"/>
                <w:sz w:val="21"/>
                <w:lang w:val="es-ES"/>
              </w:rPr>
              <w:t>etiquetado</w:t>
            </w:r>
            <w:r w:rsidRPr="002647CE">
              <w:rPr>
                <w:rFonts w:eastAsia="Times New Roman"/>
                <w:kern w:val="22"/>
                <w:sz w:val="21"/>
                <w:lang w:val="es-ES"/>
              </w:rPr>
              <w:t xml:space="preserve"> y </w:t>
            </w:r>
            <w:r w:rsidR="00317D96" w:rsidRPr="002647CE">
              <w:rPr>
                <w:rFonts w:eastAsia="Times New Roman"/>
                <w:kern w:val="22"/>
                <w:sz w:val="21"/>
                <w:lang w:val="es-ES"/>
              </w:rPr>
              <w:t>el mapeo</w:t>
            </w:r>
            <w:r w:rsidRPr="002647CE">
              <w:rPr>
                <w:rFonts w:eastAsia="Times New Roman"/>
                <w:kern w:val="22"/>
                <w:sz w:val="21"/>
                <w:lang w:val="es-ES"/>
              </w:rPr>
              <w:t xml:space="preserve"> de objetos de conocimientos de convenios relacionados con la diversidad biológica a través de InforMEA y otras fuentes para permitir una mayor encontrabilidad</w:t>
            </w:r>
          </w:p>
        </w:tc>
        <w:tc>
          <w:tcPr>
            <w:tcW w:w="431" w:type="pct"/>
            <w:tcBorders>
              <w:top w:val="single" w:sz="4" w:space="0" w:color="auto"/>
            </w:tcBorders>
          </w:tcPr>
          <w:p w:rsidR="00680F35" w:rsidRPr="002647CE" w:rsidRDefault="00680F35">
            <w:pPr>
              <w:widowControl w:val="0"/>
              <w:jc w:val="center"/>
              <w:rPr>
                <w:rFonts w:eastAsia="Times New Roman"/>
                <w:b/>
                <w:kern w:val="22"/>
                <w:sz w:val="21"/>
                <w:lang w:val="es-ES"/>
              </w:rPr>
            </w:pPr>
          </w:p>
        </w:tc>
        <w:tc>
          <w:tcPr>
            <w:tcW w:w="611" w:type="pct"/>
            <w:tcBorders>
              <w:top w:val="single" w:sz="4" w:space="0" w:color="auto"/>
            </w:tcBorders>
          </w:tcPr>
          <w:p w:rsidR="00680F35" w:rsidRPr="002647CE" w:rsidRDefault="00680F35">
            <w:pPr>
              <w:widowControl w:val="0"/>
              <w:jc w:val="left"/>
              <w:rPr>
                <w:rFonts w:eastAsia="Times New Roman"/>
                <w:b/>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680F35" w:rsidP="00B968ED">
            <w:pPr>
              <w:pStyle w:val="ListParagraph"/>
              <w:widowControl w:val="0"/>
              <w:numPr>
                <w:ilvl w:val="0"/>
                <w:numId w:val="20"/>
              </w:numPr>
              <w:tabs>
                <w:tab w:val="clear" w:pos="1080"/>
              </w:tabs>
              <w:spacing w:after="60"/>
              <w:ind w:left="360"/>
              <w:jc w:val="left"/>
              <w:rPr>
                <w:rFonts w:eastAsia="Times New Roman"/>
                <w:lang w:val="es-ES"/>
              </w:rPr>
            </w:pPr>
            <w:r w:rsidRPr="002647CE">
              <w:rPr>
                <w:rFonts w:eastAsia="Times New Roman"/>
                <w:kern w:val="22"/>
                <w:sz w:val="21"/>
                <w:lang w:val="es-ES"/>
              </w:rPr>
              <w:t xml:space="preserve">Elaborar, difundir y promover estándares de calidad de metadatos y de </w:t>
            </w:r>
            <w:r w:rsidR="00B968ED">
              <w:rPr>
                <w:rFonts w:eastAsia="Times New Roman"/>
                <w:kern w:val="22"/>
                <w:sz w:val="21"/>
                <w:lang w:val="es-ES"/>
              </w:rPr>
              <w:t>etiquetado</w:t>
            </w:r>
            <w:r w:rsidRPr="002647CE">
              <w:rPr>
                <w:rFonts w:eastAsia="Times New Roman"/>
                <w:kern w:val="22"/>
                <w:sz w:val="21"/>
                <w:lang w:val="es-ES"/>
              </w:rPr>
              <w:t xml:space="preserve"> de </w:t>
            </w:r>
            <w:r w:rsidR="00317D96" w:rsidRPr="002647CE">
              <w:rPr>
                <w:rFonts w:eastAsia="Times New Roman"/>
                <w:kern w:val="22"/>
                <w:sz w:val="21"/>
                <w:lang w:val="es-ES"/>
              </w:rPr>
              <w:t xml:space="preserve">recursos de </w:t>
            </w:r>
            <w:r w:rsidRPr="002647CE">
              <w:rPr>
                <w:rFonts w:eastAsia="Times New Roman"/>
                <w:kern w:val="22"/>
                <w:sz w:val="21"/>
                <w:lang w:val="es-ES"/>
              </w:rPr>
              <w:t>información y conocimientos sobre la diversidad biológica para garantizar la calidad y la compatibilidad</w:t>
            </w:r>
          </w:p>
        </w:tc>
        <w:tc>
          <w:tcPr>
            <w:tcW w:w="431" w:type="pct"/>
          </w:tcPr>
          <w:p w:rsidR="00680F35" w:rsidRPr="002647CE" w:rsidRDefault="00680F35">
            <w:pPr>
              <w:widowControl w:val="0"/>
              <w:jc w:val="center"/>
              <w:rPr>
                <w:rFonts w:eastAsia="Times New Roman"/>
                <w:b/>
                <w:kern w:val="22"/>
                <w:sz w:val="21"/>
                <w:lang w:val="es-ES"/>
              </w:rPr>
            </w:pPr>
          </w:p>
        </w:tc>
        <w:tc>
          <w:tcPr>
            <w:tcW w:w="611" w:type="pct"/>
          </w:tcPr>
          <w:p w:rsidR="00680F35" w:rsidRPr="002647CE" w:rsidRDefault="00680F35">
            <w:pPr>
              <w:widowControl w:val="0"/>
              <w:jc w:val="left"/>
              <w:rPr>
                <w:rFonts w:eastAsia="Times New Roman"/>
                <w:b/>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680F35">
            <w:pPr>
              <w:pStyle w:val="ListParagraph"/>
              <w:widowControl w:val="0"/>
              <w:numPr>
                <w:ilvl w:val="0"/>
                <w:numId w:val="20"/>
              </w:numPr>
              <w:tabs>
                <w:tab w:val="clear" w:pos="1080"/>
              </w:tabs>
              <w:spacing w:after="60"/>
              <w:ind w:left="360"/>
              <w:jc w:val="left"/>
              <w:rPr>
                <w:rFonts w:eastAsia="Times New Roman"/>
                <w:lang w:val="es-ES"/>
              </w:rPr>
            </w:pPr>
            <w:r w:rsidRPr="002647CE">
              <w:rPr>
                <w:rFonts w:eastAsia="Times New Roman"/>
                <w:kern w:val="22"/>
                <w:sz w:val="21"/>
                <w:lang w:val="es-ES"/>
              </w:rPr>
              <w:t>Mejorar la interoperabilidad de los sistemas de información y conocimientos de los convenios relacionados con la diversidad biológica y otros proveedores de información en toda la comunidad de la diversidad biológica</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b/>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680F35" w:rsidP="00317D96">
            <w:pPr>
              <w:pStyle w:val="ListParagraph"/>
              <w:widowControl w:val="0"/>
              <w:numPr>
                <w:ilvl w:val="0"/>
                <w:numId w:val="20"/>
              </w:numPr>
              <w:tabs>
                <w:tab w:val="clear" w:pos="1080"/>
              </w:tabs>
              <w:spacing w:after="60"/>
              <w:ind w:left="360"/>
              <w:jc w:val="left"/>
              <w:rPr>
                <w:rFonts w:eastAsia="Times New Roman"/>
                <w:lang w:val="es-ES"/>
              </w:rPr>
            </w:pPr>
            <w:r w:rsidRPr="002647CE">
              <w:rPr>
                <w:rFonts w:eastAsia="Times New Roman"/>
                <w:kern w:val="22"/>
                <w:sz w:val="21"/>
                <w:lang w:val="es-ES"/>
              </w:rPr>
              <w:t>Promover la labor de extensión y elaboración de módulos de capacitación en bioinformática y metadatos descriptivos, en conjunto con proyectos y planes de creación de capacidad existentes y planes a nivel intern</w:t>
            </w:r>
            <w:r w:rsidR="00B968ED">
              <w:rPr>
                <w:rFonts w:eastAsia="Times New Roman"/>
                <w:kern w:val="22"/>
                <w:sz w:val="21"/>
                <w:lang w:val="es-ES"/>
              </w:rPr>
              <w:t>acional, nacional y subnacional</w:t>
            </w:r>
            <w:r w:rsidRPr="002647CE">
              <w:rPr>
                <w:rFonts w:eastAsia="Times New Roman"/>
                <w:kern w:val="22"/>
                <w:sz w:val="21"/>
                <w:lang w:val="es-ES"/>
              </w:rPr>
              <w:t xml:space="preserve"> </w:t>
            </w:r>
            <w:r w:rsidR="00317D96" w:rsidRPr="002647CE">
              <w:rPr>
                <w:rFonts w:eastAsia="Times New Roman"/>
                <w:kern w:val="22"/>
                <w:sz w:val="21"/>
                <w:lang w:val="es-ES"/>
              </w:rPr>
              <w:t>dirigidos a</w:t>
            </w:r>
            <w:r w:rsidRPr="002647CE">
              <w:rPr>
                <w:rFonts w:eastAsia="Times New Roman"/>
                <w:kern w:val="22"/>
                <w:sz w:val="21"/>
                <w:lang w:val="es-ES"/>
              </w:rPr>
              <w:t xml:space="preserve"> desarrollar competencias relacionadas</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680F35" w:rsidP="00317D96">
            <w:pPr>
              <w:pStyle w:val="ListParagraph"/>
              <w:widowControl w:val="0"/>
              <w:numPr>
                <w:ilvl w:val="0"/>
                <w:numId w:val="20"/>
              </w:numPr>
              <w:tabs>
                <w:tab w:val="clear" w:pos="1080"/>
              </w:tabs>
              <w:spacing w:after="60"/>
              <w:ind w:left="360"/>
              <w:jc w:val="left"/>
              <w:rPr>
                <w:rFonts w:eastAsia="Times New Roman"/>
                <w:lang w:val="es-ES"/>
              </w:rPr>
            </w:pPr>
            <w:r w:rsidRPr="002647CE">
              <w:rPr>
                <w:rFonts w:eastAsia="Times New Roman"/>
                <w:kern w:val="22"/>
                <w:sz w:val="21"/>
                <w:lang w:val="es-ES"/>
              </w:rPr>
              <w:t>Promover orientaci</w:t>
            </w:r>
            <w:r w:rsidR="00317D96" w:rsidRPr="002647CE">
              <w:rPr>
                <w:rFonts w:eastAsia="Times New Roman"/>
                <w:kern w:val="22"/>
                <w:sz w:val="21"/>
                <w:lang w:val="es-ES"/>
              </w:rPr>
              <w:t>ó</w:t>
            </w:r>
            <w:r w:rsidRPr="002647CE">
              <w:rPr>
                <w:rFonts w:eastAsia="Times New Roman"/>
                <w:kern w:val="22"/>
                <w:sz w:val="21"/>
                <w:lang w:val="es-ES"/>
              </w:rPr>
              <w:t>n de carácter voluntario para mejorar la accesibilidad de los datos, la información y los conocimientos sobre la diversidad biológica</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680F35" w:rsidP="00B968ED">
            <w:pPr>
              <w:pStyle w:val="ListParagraph"/>
              <w:widowControl w:val="0"/>
              <w:numPr>
                <w:ilvl w:val="0"/>
                <w:numId w:val="20"/>
              </w:numPr>
              <w:tabs>
                <w:tab w:val="clear" w:pos="1080"/>
              </w:tabs>
              <w:spacing w:after="60"/>
              <w:ind w:left="360"/>
              <w:jc w:val="left"/>
              <w:rPr>
                <w:rFonts w:eastAsia="Times New Roman"/>
                <w:lang w:val="es-ES"/>
              </w:rPr>
            </w:pPr>
            <w:r w:rsidRPr="002647CE">
              <w:rPr>
                <w:rFonts w:eastAsia="Times New Roman"/>
                <w:kern w:val="22"/>
                <w:sz w:val="21"/>
                <w:lang w:val="es-ES"/>
              </w:rPr>
              <w:t xml:space="preserve">Fortalecer la capacidad de los Gobiernos </w:t>
            </w:r>
            <w:r w:rsidR="00317D96" w:rsidRPr="002647CE">
              <w:rPr>
                <w:rFonts w:eastAsia="Times New Roman"/>
                <w:kern w:val="22"/>
                <w:sz w:val="21"/>
                <w:lang w:val="es-ES"/>
              </w:rPr>
              <w:t>para</w:t>
            </w:r>
            <w:r w:rsidRPr="002647CE">
              <w:rPr>
                <w:rFonts w:eastAsia="Times New Roman"/>
                <w:kern w:val="22"/>
                <w:sz w:val="21"/>
                <w:lang w:val="es-ES"/>
              </w:rPr>
              <w:t xml:space="preserve"> </w:t>
            </w:r>
            <w:r w:rsidR="00317D96" w:rsidRPr="002647CE">
              <w:rPr>
                <w:rFonts w:eastAsia="Times New Roman"/>
                <w:kern w:val="22"/>
                <w:sz w:val="21"/>
                <w:lang w:val="es-ES"/>
              </w:rPr>
              <w:t>gestionar</w:t>
            </w:r>
            <w:r w:rsidRPr="002647CE">
              <w:rPr>
                <w:rFonts w:eastAsia="Times New Roman"/>
                <w:kern w:val="22"/>
                <w:sz w:val="21"/>
                <w:lang w:val="es-ES"/>
              </w:rPr>
              <w:t xml:space="preserve"> e intercambi</w:t>
            </w:r>
            <w:r w:rsidR="00317D96" w:rsidRPr="002647CE">
              <w:rPr>
                <w:rFonts w:eastAsia="Times New Roman"/>
                <w:kern w:val="22"/>
                <w:sz w:val="21"/>
                <w:lang w:val="es-ES"/>
              </w:rPr>
              <w:t>ar</w:t>
            </w:r>
            <w:r w:rsidRPr="002647CE">
              <w:rPr>
                <w:rFonts w:eastAsia="Times New Roman"/>
                <w:kern w:val="22"/>
                <w:sz w:val="21"/>
                <w:lang w:val="es-ES"/>
              </w:rPr>
              <w:t xml:space="preserve"> información y conocimientos </w:t>
            </w:r>
            <w:r w:rsidR="00317D96" w:rsidRPr="002647CE">
              <w:rPr>
                <w:rFonts w:eastAsia="Times New Roman"/>
                <w:kern w:val="22"/>
                <w:sz w:val="21"/>
                <w:lang w:val="es-ES"/>
              </w:rPr>
              <w:t xml:space="preserve">de manera eficiente </w:t>
            </w:r>
            <w:r w:rsidRPr="002647CE">
              <w:rPr>
                <w:rFonts w:eastAsia="Times New Roman"/>
                <w:kern w:val="22"/>
                <w:sz w:val="21"/>
                <w:lang w:val="es-ES"/>
              </w:rPr>
              <w:t xml:space="preserve">entre todos los convenios, </w:t>
            </w:r>
            <w:r w:rsidR="008A64FB" w:rsidRPr="002647CE">
              <w:rPr>
                <w:rFonts w:eastAsia="Times New Roman"/>
                <w:kern w:val="22"/>
                <w:sz w:val="21"/>
                <w:lang w:val="es-ES"/>
              </w:rPr>
              <w:t>incluido</w:t>
            </w:r>
            <w:r w:rsidRPr="002647CE">
              <w:rPr>
                <w:rFonts w:eastAsia="Times New Roman"/>
                <w:kern w:val="22"/>
                <w:sz w:val="21"/>
                <w:lang w:val="es-ES"/>
              </w:rPr>
              <w:t xml:space="preserve"> haciendo uso de herramientas</w:t>
            </w:r>
            <w:r w:rsidR="00317D96" w:rsidRPr="002647CE">
              <w:rPr>
                <w:rFonts w:eastAsia="Times New Roman"/>
                <w:kern w:val="22"/>
                <w:sz w:val="21"/>
                <w:lang w:val="es-ES"/>
              </w:rPr>
              <w:t>,</w:t>
            </w:r>
            <w:r w:rsidRPr="002647CE">
              <w:rPr>
                <w:rFonts w:eastAsia="Times New Roman"/>
                <w:kern w:val="22"/>
                <w:sz w:val="21"/>
                <w:lang w:val="es-ES"/>
              </w:rPr>
              <w:t xml:space="preserve"> como la Herramienta de Datos y Presentación de Informes (DaRT)</w:t>
            </w:r>
            <w:r w:rsidR="00B968ED">
              <w:rPr>
                <w:rFonts w:eastAsia="Times New Roman"/>
                <w:kern w:val="22"/>
                <w:sz w:val="21"/>
                <w:lang w:val="es-ES"/>
              </w:rPr>
              <w:t>,</w:t>
            </w:r>
            <w:r w:rsidRPr="002647CE">
              <w:rPr>
                <w:rFonts w:eastAsia="Times New Roman"/>
                <w:kern w:val="22"/>
                <w:sz w:val="21"/>
                <w:lang w:val="es-ES"/>
              </w:rPr>
              <w:t xml:space="preserve"> y </w:t>
            </w:r>
            <w:r w:rsidR="00B968ED">
              <w:rPr>
                <w:rFonts w:eastAsia="Times New Roman"/>
                <w:kern w:val="22"/>
                <w:sz w:val="21"/>
                <w:lang w:val="es-ES"/>
              </w:rPr>
              <w:t>adoptando</w:t>
            </w:r>
            <w:r w:rsidRPr="002647CE">
              <w:rPr>
                <w:rFonts w:eastAsia="Times New Roman"/>
                <w:kern w:val="22"/>
                <w:sz w:val="21"/>
                <w:lang w:val="es-ES"/>
              </w:rPr>
              <w:t xml:space="preserve"> enfoques coherentes y sinérgicos</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680F35" w:rsidP="00293E66">
            <w:pPr>
              <w:pStyle w:val="ListParagraph"/>
              <w:widowControl w:val="0"/>
              <w:numPr>
                <w:ilvl w:val="0"/>
                <w:numId w:val="20"/>
              </w:numPr>
              <w:tabs>
                <w:tab w:val="clear" w:pos="1080"/>
              </w:tabs>
              <w:spacing w:after="60"/>
              <w:ind w:left="360"/>
              <w:jc w:val="left"/>
              <w:rPr>
                <w:rFonts w:eastAsia="Times New Roman"/>
                <w:lang w:val="es-ES"/>
              </w:rPr>
            </w:pPr>
            <w:r w:rsidRPr="002647CE">
              <w:rPr>
                <w:rFonts w:eastAsia="Times New Roman"/>
                <w:kern w:val="22"/>
                <w:sz w:val="21"/>
                <w:lang w:val="es-ES"/>
              </w:rPr>
              <w:t xml:space="preserve">Elaborar datos de observación de la diversidad biológica más </w:t>
            </w:r>
            <w:r w:rsidR="00293E66" w:rsidRPr="002647CE">
              <w:rPr>
                <w:rFonts w:eastAsia="Times New Roman"/>
                <w:kern w:val="22"/>
                <w:sz w:val="21"/>
                <w:lang w:val="es-ES"/>
              </w:rPr>
              <w:t xml:space="preserve">adaptables a distintas </w:t>
            </w:r>
            <w:r w:rsidRPr="002647CE">
              <w:rPr>
                <w:rFonts w:eastAsia="Times New Roman"/>
                <w:kern w:val="22"/>
                <w:sz w:val="21"/>
                <w:lang w:val="es-ES"/>
              </w:rPr>
              <w:t>escala</w:t>
            </w:r>
            <w:r w:rsidR="008A64FB" w:rsidRPr="002647CE">
              <w:rPr>
                <w:rFonts w:eastAsia="Times New Roman"/>
                <w:kern w:val="22"/>
                <w:sz w:val="21"/>
                <w:lang w:val="es-ES"/>
              </w:rPr>
              <w:t>s</w:t>
            </w:r>
            <w:r w:rsidR="00293E66" w:rsidRPr="002647CE">
              <w:rPr>
                <w:rFonts w:eastAsia="Times New Roman"/>
                <w:kern w:val="22"/>
                <w:sz w:val="21"/>
                <w:lang w:val="es-ES"/>
              </w:rPr>
              <w:t>,</w:t>
            </w:r>
            <w:r w:rsidRPr="002647CE">
              <w:rPr>
                <w:rFonts w:eastAsia="Times New Roman"/>
                <w:kern w:val="22"/>
                <w:sz w:val="21"/>
                <w:lang w:val="es-ES"/>
              </w:rPr>
              <w:t xml:space="preserve"> que permitan tanto la agregación no sesgada de datos nacionales como la desagregación de datos mundiales empleando estándares comunes</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680F35" w:rsidP="00293E66">
            <w:pPr>
              <w:pStyle w:val="ListParagraph"/>
              <w:widowControl w:val="0"/>
              <w:numPr>
                <w:ilvl w:val="0"/>
                <w:numId w:val="20"/>
              </w:numPr>
              <w:tabs>
                <w:tab w:val="clear" w:pos="1080"/>
              </w:tabs>
              <w:spacing w:after="60"/>
              <w:ind w:left="360"/>
              <w:jc w:val="left"/>
              <w:rPr>
                <w:rFonts w:eastAsia="Times New Roman"/>
                <w:lang w:val="es-ES"/>
              </w:rPr>
            </w:pPr>
            <w:r w:rsidRPr="002647CE">
              <w:rPr>
                <w:rFonts w:eastAsia="Times New Roman"/>
                <w:kern w:val="22"/>
                <w:sz w:val="21"/>
                <w:lang w:val="es-ES"/>
              </w:rPr>
              <w:t xml:space="preserve">Brindar </w:t>
            </w:r>
            <w:r w:rsidR="00293E66" w:rsidRPr="002647CE">
              <w:rPr>
                <w:rFonts w:eastAsia="Times New Roman"/>
                <w:kern w:val="22"/>
                <w:sz w:val="21"/>
                <w:lang w:val="es-ES"/>
              </w:rPr>
              <w:t>orientación</w:t>
            </w:r>
            <w:r w:rsidRPr="002647CE">
              <w:rPr>
                <w:rFonts w:eastAsia="Times New Roman"/>
                <w:kern w:val="22"/>
                <w:sz w:val="21"/>
                <w:lang w:val="es-ES"/>
              </w:rPr>
              <w:t xml:space="preserve"> a actores gubernamentales y no gubernamentales sobre cómo incentivar la participación de diversos actores en la gestión de los conocimientos, en particular para desarrollar una mejor cultura de intercambio y aplicación de los conocimientos</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kern w:val="22"/>
                <w:sz w:val="21"/>
                <w:lang w:val="es-ES"/>
              </w:rPr>
            </w:pPr>
          </w:p>
        </w:tc>
      </w:tr>
      <w:tr w:rsidR="00680F35" w:rsidRPr="002647CE" w:rsidTr="008A64FB">
        <w:trPr>
          <w:cantSplit/>
        </w:trPr>
        <w:tc>
          <w:tcPr>
            <w:tcW w:w="708" w:type="pct"/>
            <w:vMerge w:val="restart"/>
          </w:tcPr>
          <w:p w:rsidR="00680F35" w:rsidRPr="002647CE" w:rsidRDefault="00680F35" w:rsidP="00C870F9">
            <w:pPr>
              <w:pStyle w:val="ListParagraph"/>
              <w:widowControl w:val="0"/>
              <w:numPr>
                <w:ilvl w:val="0"/>
                <w:numId w:val="13"/>
              </w:numPr>
              <w:ind w:left="430" w:hanging="430"/>
              <w:jc w:val="left"/>
              <w:rPr>
                <w:rFonts w:eastAsia="Times New Roman"/>
                <w:lang w:val="es-ES"/>
              </w:rPr>
            </w:pPr>
            <w:r w:rsidRPr="002647CE">
              <w:rPr>
                <w:rFonts w:eastAsia="Times New Roman"/>
                <w:kern w:val="22"/>
                <w:sz w:val="21"/>
                <w:lang w:val="es-ES"/>
              </w:rPr>
              <w:t>Promo</w:t>
            </w:r>
            <w:r w:rsidR="00C870F9">
              <w:rPr>
                <w:rFonts w:eastAsia="Times New Roman"/>
                <w:kern w:val="22"/>
                <w:sz w:val="21"/>
                <w:lang w:val="es-ES"/>
              </w:rPr>
              <w:t>ción</w:t>
            </w:r>
            <w:r w:rsidRPr="002647CE">
              <w:rPr>
                <w:rFonts w:eastAsia="Times New Roman"/>
                <w:kern w:val="22"/>
                <w:sz w:val="21"/>
                <w:lang w:val="es-ES"/>
              </w:rPr>
              <w:t xml:space="preserve"> </w:t>
            </w:r>
            <w:r w:rsidR="00C870F9">
              <w:rPr>
                <w:rFonts w:eastAsia="Times New Roman"/>
                <w:kern w:val="22"/>
                <w:sz w:val="21"/>
                <w:lang w:val="es-ES"/>
              </w:rPr>
              <w:t>d</w:t>
            </w:r>
            <w:r w:rsidRPr="002647CE">
              <w:rPr>
                <w:rFonts w:eastAsia="Times New Roman"/>
                <w:kern w:val="22"/>
                <w:sz w:val="21"/>
                <w:lang w:val="es-ES"/>
              </w:rPr>
              <w:t>el uso eficaz de los conocimientos</w:t>
            </w:r>
          </w:p>
        </w:tc>
        <w:tc>
          <w:tcPr>
            <w:tcW w:w="3250" w:type="pct"/>
          </w:tcPr>
          <w:p w:rsidR="00680F35" w:rsidRPr="002647CE" w:rsidRDefault="00680F35" w:rsidP="00293E66">
            <w:pPr>
              <w:pStyle w:val="ListParagraph"/>
              <w:widowControl w:val="0"/>
              <w:numPr>
                <w:ilvl w:val="0"/>
                <w:numId w:val="21"/>
              </w:numPr>
              <w:tabs>
                <w:tab w:val="clear" w:pos="1080"/>
              </w:tabs>
              <w:spacing w:after="60"/>
              <w:ind w:left="360"/>
              <w:jc w:val="left"/>
              <w:rPr>
                <w:rFonts w:eastAsia="Times New Roman"/>
                <w:lang w:val="es-ES"/>
              </w:rPr>
            </w:pPr>
            <w:r w:rsidRPr="002647CE">
              <w:rPr>
                <w:rFonts w:eastAsia="Times New Roman"/>
                <w:kern w:val="22"/>
                <w:sz w:val="21"/>
                <w:lang w:val="es-ES"/>
              </w:rPr>
              <w:t xml:space="preserve">Elaborar una estrategia de gestión del cambio, que abarque la comunicación y el marketing, para aumentar el </w:t>
            </w:r>
            <w:r w:rsidR="00293E66" w:rsidRPr="002647CE">
              <w:rPr>
                <w:rFonts w:eastAsia="Times New Roman"/>
                <w:kern w:val="22"/>
                <w:sz w:val="21"/>
                <w:lang w:val="es-ES"/>
              </w:rPr>
              <w:t>grado</w:t>
            </w:r>
            <w:r w:rsidRPr="002647CE">
              <w:rPr>
                <w:rFonts w:eastAsia="Times New Roman"/>
                <w:kern w:val="22"/>
                <w:sz w:val="21"/>
                <w:lang w:val="es-ES"/>
              </w:rPr>
              <w:t xml:space="preserve"> de adopción, utilización y aplicación de los datos, la información y los conocimientos sobre la diversidad biológica</w:t>
            </w:r>
            <w:r w:rsidR="00293E66" w:rsidRPr="002647CE">
              <w:rPr>
                <w:rFonts w:eastAsia="Times New Roman"/>
                <w:kern w:val="22"/>
                <w:sz w:val="21"/>
                <w:lang w:val="es-ES"/>
              </w:rPr>
              <w:t xml:space="preserve"> existentes</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680F35">
            <w:pPr>
              <w:pStyle w:val="ListParagraph"/>
              <w:widowControl w:val="0"/>
              <w:numPr>
                <w:ilvl w:val="0"/>
                <w:numId w:val="21"/>
              </w:numPr>
              <w:tabs>
                <w:tab w:val="clear" w:pos="1080"/>
              </w:tabs>
              <w:spacing w:after="60"/>
              <w:ind w:left="360"/>
              <w:jc w:val="left"/>
              <w:rPr>
                <w:rFonts w:eastAsia="Times New Roman"/>
                <w:lang w:val="es-ES"/>
              </w:rPr>
            </w:pPr>
            <w:r w:rsidRPr="002647CE">
              <w:rPr>
                <w:rFonts w:eastAsia="Times New Roman"/>
                <w:kern w:val="22"/>
                <w:sz w:val="21"/>
                <w:lang w:val="es-ES"/>
              </w:rPr>
              <w:t>Promover y facilitar el intercambio de experiencias en la utilización de la información y los conocimientos, incluido a través de comunidades de práctica</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293E66" w:rsidP="00293E66">
            <w:pPr>
              <w:pStyle w:val="ListParagraph"/>
              <w:widowControl w:val="0"/>
              <w:numPr>
                <w:ilvl w:val="0"/>
                <w:numId w:val="21"/>
              </w:numPr>
              <w:tabs>
                <w:tab w:val="clear" w:pos="1080"/>
              </w:tabs>
              <w:spacing w:after="60"/>
              <w:ind w:left="360"/>
              <w:jc w:val="left"/>
              <w:rPr>
                <w:rFonts w:eastAsia="Times New Roman"/>
                <w:lang w:val="es-ES"/>
              </w:rPr>
            </w:pPr>
            <w:r w:rsidRPr="002647CE">
              <w:rPr>
                <w:rFonts w:eastAsia="Times New Roman"/>
                <w:kern w:val="22"/>
                <w:sz w:val="21"/>
                <w:lang w:val="es-ES"/>
              </w:rPr>
              <w:t>Lograr que</w:t>
            </w:r>
            <w:r w:rsidR="00680F35" w:rsidRPr="002647CE">
              <w:rPr>
                <w:rFonts w:eastAsia="Times New Roman"/>
                <w:kern w:val="22"/>
                <w:sz w:val="21"/>
                <w:lang w:val="es-ES"/>
              </w:rPr>
              <w:t xml:space="preserve"> una gama más amplia de interesados directos </w:t>
            </w:r>
            <w:r w:rsidRPr="002647CE">
              <w:rPr>
                <w:rFonts w:eastAsia="Times New Roman"/>
                <w:kern w:val="22"/>
                <w:sz w:val="21"/>
                <w:lang w:val="es-ES"/>
              </w:rPr>
              <w:t>empleen n</w:t>
            </w:r>
            <w:r w:rsidR="00680F35" w:rsidRPr="002647CE">
              <w:rPr>
                <w:rFonts w:eastAsia="Times New Roman"/>
                <w:kern w:val="22"/>
                <w:sz w:val="21"/>
                <w:lang w:val="es-ES"/>
              </w:rPr>
              <w:t>uevas herramientas de intercambio de conocimientos, incluidas las redes sociales</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680F35">
            <w:pPr>
              <w:pStyle w:val="ListParagraph"/>
              <w:widowControl w:val="0"/>
              <w:numPr>
                <w:ilvl w:val="0"/>
                <w:numId w:val="21"/>
              </w:numPr>
              <w:tabs>
                <w:tab w:val="clear" w:pos="1080"/>
              </w:tabs>
              <w:spacing w:after="60"/>
              <w:ind w:left="360"/>
              <w:jc w:val="left"/>
              <w:rPr>
                <w:rFonts w:eastAsia="Times New Roman"/>
                <w:lang w:val="es-ES"/>
              </w:rPr>
            </w:pPr>
            <w:r w:rsidRPr="002647CE">
              <w:rPr>
                <w:rFonts w:eastAsia="Times New Roman"/>
                <w:kern w:val="22"/>
                <w:sz w:val="21"/>
                <w:lang w:val="es-ES"/>
              </w:rPr>
              <w:t>Crear mecanismos e iniciativas para facilitar el diálogo continuo entre la comunidad de investigadores y los encargados de la formulación de políticas, los encargados de la toma de decisiones y los profesionales</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F22621" w:rsidRPr="002647CE" w:rsidRDefault="00680F35" w:rsidP="00F22621">
            <w:pPr>
              <w:pStyle w:val="ListParagraph"/>
              <w:widowControl w:val="0"/>
              <w:numPr>
                <w:ilvl w:val="0"/>
                <w:numId w:val="21"/>
              </w:numPr>
              <w:tabs>
                <w:tab w:val="clear" w:pos="1080"/>
              </w:tabs>
              <w:spacing w:after="60"/>
              <w:ind w:left="360"/>
              <w:jc w:val="left"/>
              <w:rPr>
                <w:rFonts w:eastAsia="Times New Roman"/>
                <w:lang w:val="es-ES"/>
              </w:rPr>
            </w:pPr>
            <w:r w:rsidRPr="002647CE">
              <w:rPr>
                <w:rFonts w:eastAsia="Times New Roman"/>
                <w:kern w:val="22"/>
                <w:sz w:val="21"/>
                <w:lang w:val="es-ES"/>
              </w:rPr>
              <w:t>Establecer vínculos entre redes científicas y ciudadanas y expertos en comunicación para permitir la traducción de los resultados de la ciencia en productos de conocimiento</w:t>
            </w:r>
          </w:p>
        </w:tc>
        <w:tc>
          <w:tcPr>
            <w:tcW w:w="431" w:type="pct"/>
          </w:tcPr>
          <w:p w:rsidR="00680F35" w:rsidRPr="002647CE" w:rsidRDefault="00680F35">
            <w:pPr>
              <w:widowControl w:val="0"/>
              <w:jc w:val="center"/>
              <w:rPr>
                <w:rFonts w:eastAsia="Times New Roman"/>
                <w:kern w:val="22"/>
                <w:sz w:val="21"/>
                <w:lang w:val="es-ES"/>
              </w:rPr>
            </w:pPr>
          </w:p>
        </w:tc>
        <w:tc>
          <w:tcPr>
            <w:tcW w:w="611" w:type="pct"/>
          </w:tcPr>
          <w:p w:rsidR="00680F35" w:rsidRPr="002647CE" w:rsidRDefault="00680F35">
            <w:pPr>
              <w:widowControl w:val="0"/>
              <w:jc w:val="left"/>
              <w:rPr>
                <w:rFonts w:eastAsia="Times New Roman"/>
                <w:b/>
                <w:kern w:val="22"/>
                <w:sz w:val="21"/>
                <w:lang w:val="es-ES"/>
              </w:rPr>
            </w:pPr>
          </w:p>
        </w:tc>
      </w:tr>
      <w:tr w:rsidR="007420FD" w:rsidRPr="002647CE" w:rsidTr="008A64FB">
        <w:trPr>
          <w:cantSplit/>
          <w:trHeight w:val="470"/>
        </w:trPr>
        <w:tc>
          <w:tcPr>
            <w:tcW w:w="708" w:type="pct"/>
          </w:tcPr>
          <w:p w:rsidR="007420FD" w:rsidRPr="002647CE" w:rsidRDefault="007420FD" w:rsidP="007420FD">
            <w:pPr>
              <w:widowControl w:val="0"/>
              <w:jc w:val="left"/>
              <w:rPr>
                <w:rFonts w:eastAsia="Times New Roman"/>
                <w:kern w:val="22"/>
                <w:sz w:val="21"/>
                <w:lang w:val="es-ES"/>
              </w:rPr>
            </w:pPr>
          </w:p>
        </w:tc>
        <w:tc>
          <w:tcPr>
            <w:tcW w:w="3250" w:type="pct"/>
          </w:tcPr>
          <w:p w:rsidR="007420FD" w:rsidRPr="002647CE" w:rsidRDefault="00F22621" w:rsidP="00B968ED">
            <w:pPr>
              <w:pStyle w:val="ListParagraph"/>
              <w:widowControl w:val="0"/>
              <w:numPr>
                <w:ilvl w:val="0"/>
                <w:numId w:val="21"/>
              </w:numPr>
              <w:tabs>
                <w:tab w:val="clear" w:pos="1080"/>
              </w:tabs>
              <w:spacing w:after="60"/>
              <w:ind w:left="311" w:hanging="283"/>
              <w:jc w:val="left"/>
              <w:rPr>
                <w:rFonts w:eastAsia="Times New Roman"/>
                <w:kern w:val="22"/>
                <w:sz w:val="21"/>
                <w:lang w:val="es-ES"/>
              </w:rPr>
            </w:pPr>
            <w:r w:rsidRPr="002647CE">
              <w:rPr>
                <w:rFonts w:eastAsia="Times New Roman"/>
                <w:kern w:val="22"/>
                <w:sz w:val="21"/>
                <w:lang w:val="es-ES"/>
              </w:rPr>
              <w:t>Promover y facilitar el uso de datos, información y conocimientos sobre la diversidad biológica en los procesos de planificación de otros sectores y de forma interdepartamental dentro de los gobiernos</w:t>
            </w:r>
          </w:p>
        </w:tc>
        <w:tc>
          <w:tcPr>
            <w:tcW w:w="431" w:type="pct"/>
          </w:tcPr>
          <w:p w:rsidR="007420FD" w:rsidRPr="002647CE" w:rsidRDefault="007420FD">
            <w:pPr>
              <w:widowControl w:val="0"/>
              <w:jc w:val="center"/>
              <w:rPr>
                <w:rFonts w:eastAsia="Times New Roman"/>
                <w:b/>
                <w:kern w:val="22"/>
                <w:sz w:val="21"/>
                <w:lang w:val="es-ES"/>
              </w:rPr>
            </w:pPr>
          </w:p>
        </w:tc>
        <w:tc>
          <w:tcPr>
            <w:tcW w:w="611" w:type="pct"/>
          </w:tcPr>
          <w:p w:rsidR="007420FD" w:rsidRPr="002647CE" w:rsidRDefault="007420FD">
            <w:pPr>
              <w:widowControl w:val="0"/>
              <w:jc w:val="left"/>
              <w:rPr>
                <w:rFonts w:eastAsia="Times New Roman"/>
                <w:b/>
                <w:kern w:val="22"/>
                <w:sz w:val="21"/>
                <w:lang w:val="es-ES"/>
              </w:rPr>
            </w:pPr>
          </w:p>
        </w:tc>
      </w:tr>
      <w:tr w:rsidR="00680F35" w:rsidRPr="002647CE" w:rsidTr="008A64FB">
        <w:trPr>
          <w:cantSplit/>
          <w:trHeight w:val="470"/>
        </w:trPr>
        <w:tc>
          <w:tcPr>
            <w:tcW w:w="708" w:type="pct"/>
            <w:vMerge w:val="restart"/>
          </w:tcPr>
          <w:p w:rsidR="00680F35" w:rsidRPr="002647CE" w:rsidRDefault="00680F35" w:rsidP="00C870F9">
            <w:pPr>
              <w:pStyle w:val="ListParagraph"/>
              <w:widowControl w:val="0"/>
              <w:numPr>
                <w:ilvl w:val="0"/>
                <w:numId w:val="13"/>
              </w:numPr>
              <w:ind w:left="430" w:hanging="430"/>
              <w:jc w:val="left"/>
              <w:rPr>
                <w:rFonts w:eastAsia="Times New Roman"/>
                <w:lang w:val="es-ES"/>
              </w:rPr>
            </w:pPr>
            <w:r w:rsidRPr="002647CE">
              <w:rPr>
                <w:rFonts w:eastAsia="Times New Roman"/>
                <w:kern w:val="22"/>
                <w:sz w:val="21"/>
                <w:lang w:val="es-ES"/>
              </w:rPr>
              <w:t>Realiza</w:t>
            </w:r>
            <w:r w:rsidR="00C870F9">
              <w:rPr>
                <w:rFonts w:eastAsia="Times New Roman"/>
                <w:kern w:val="22"/>
                <w:sz w:val="21"/>
                <w:lang w:val="es-ES"/>
              </w:rPr>
              <w:t>ción de</w:t>
            </w:r>
            <w:r w:rsidRPr="002647CE">
              <w:rPr>
                <w:rFonts w:eastAsia="Times New Roman"/>
                <w:kern w:val="22"/>
                <w:sz w:val="21"/>
                <w:lang w:val="es-ES"/>
              </w:rPr>
              <w:t xml:space="preserve"> auditorías y revisiones de los conocimientos</w:t>
            </w:r>
          </w:p>
        </w:tc>
        <w:tc>
          <w:tcPr>
            <w:tcW w:w="3250" w:type="pct"/>
          </w:tcPr>
          <w:p w:rsidR="00680F35" w:rsidRPr="002647CE" w:rsidRDefault="00680F35" w:rsidP="00293E66">
            <w:pPr>
              <w:pStyle w:val="ListParagraph"/>
              <w:widowControl w:val="0"/>
              <w:numPr>
                <w:ilvl w:val="0"/>
                <w:numId w:val="22"/>
              </w:numPr>
              <w:tabs>
                <w:tab w:val="clear" w:pos="1080"/>
              </w:tabs>
              <w:spacing w:after="60"/>
              <w:ind w:left="360"/>
              <w:jc w:val="left"/>
              <w:rPr>
                <w:rFonts w:eastAsia="Times New Roman"/>
                <w:lang w:val="es-ES"/>
              </w:rPr>
            </w:pPr>
            <w:r w:rsidRPr="002647CE">
              <w:rPr>
                <w:rFonts w:eastAsia="Times New Roman"/>
                <w:kern w:val="22"/>
                <w:sz w:val="21"/>
                <w:lang w:val="es-ES"/>
              </w:rPr>
              <w:t xml:space="preserve">Realizar </w:t>
            </w:r>
            <w:r w:rsidR="00293E66" w:rsidRPr="002647CE">
              <w:rPr>
                <w:rFonts w:eastAsia="Times New Roman"/>
                <w:kern w:val="22"/>
                <w:sz w:val="21"/>
                <w:lang w:val="es-ES"/>
              </w:rPr>
              <w:t>evaluaciones</w:t>
            </w:r>
            <w:r w:rsidRPr="002647CE">
              <w:rPr>
                <w:rFonts w:eastAsia="Times New Roman"/>
                <w:kern w:val="22"/>
                <w:sz w:val="21"/>
                <w:lang w:val="es-ES"/>
              </w:rPr>
              <w:t xml:space="preserve"> periódic</w:t>
            </w:r>
            <w:r w:rsidR="00293E66" w:rsidRPr="002647CE">
              <w:rPr>
                <w:rFonts w:eastAsia="Times New Roman"/>
                <w:kern w:val="22"/>
                <w:sz w:val="21"/>
                <w:lang w:val="es-ES"/>
              </w:rPr>
              <w:t>a</w:t>
            </w:r>
            <w:r w:rsidRPr="002647CE">
              <w:rPr>
                <w:rFonts w:eastAsia="Times New Roman"/>
                <w:kern w:val="22"/>
                <w:sz w:val="21"/>
                <w:lang w:val="es-ES"/>
              </w:rPr>
              <w:t>s de la gestión de los conocimientos para evaluar, entre otras cosas, los tipos de información y conocimientos que más se buscan, la facilidad de acceso a la información que se requiere, las carencias existentes de conocimientos, el grado de intercambio de conocimientos y los canales que se prefieren</w:t>
            </w:r>
          </w:p>
        </w:tc>
        <w:tc>
          <w:tcPr>
            <w:tcW w:w="431" w:type="pct"/>
          </w:tcPr>
          <w:p w:rsidR="00680F35" w:rsidRPr="002647CE" w:rsidRDefault="00680F35">
            <w:pPr>
              <w:widowControl w:val="0"/>
              <w:jc w:val="center"/>
              <w:rPr>
                <w:rFonts w:eastAsia="Times New Roman"/>
                <w:b/>
                <w:kern w:val="22"/>
                <w:sz w:val="21"/>
                <w:lang w:val="es-ES"/>
              </w:rPr>
            </w:pPr>
          </w:p>
        </w:tc>
        <w:tc>
          <w:tcPr>
            <w:tcW w:w="611" w:type="pct"/>
          </w:tcPr>
          <w:p w:rsidR="00680F35" w:rsidRPr="002647CE" w:rsidRDefault="00680F35">
            <w:pPr>
              <w:widowControl w:val="0"/>
              <w:jc w:val="left"/>
              <w:rPr>
                <w:rFonts w:eastAsia="Times New Roman"/>
                <w:b/>
                <w:kern w:val="22"/>
                <w:sz w:val="21"/>
                <w:lang w:val="es-ES"/>
              </w:rPr>
            </w:pPr>
          </w:p>
        </w:tc>
      </w:tr>
      <w:tr w:rsidR="00680F35" w:rsidRPr="002647CE" w:rsidTr="008A64FB">
        <w:trPr>
          <w:cantSplit/>
          <w:trHeight w:val="296"/>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680F35">
            <w:pPr>
              <w:pStyle w:val="ListParagraph"/>
              <w:widowControl w:val="0"/>
              <w:numPr>
                <w:ilvl w:val="0"/>
                <w:numId w:val="22"/>
              </w:numPr>
              <w:tabs>
                <w:tab w:val="clear" w:pos="1080"/>
              </w:tabs>
              <w:spacing w:after="60"/>
              <w:ind w:left="360"/>
              <w:jc w:val="left"/>
              <w:rPr>
                <w:rFonts w:eastAsia="Times New Roman"/>
                <w:lang w:val="es-ES"/>
              </w:rPr>
            </w:pPr>
            <w:r w:rsidRPr="002647CE">
              <w:rPr>
                <w:rFonts w:eastAsia="Times New Roman"/>
                <w:kern w:val="22"/>
                <w:sz w:val="21"/>
                <w:lang w:val="es-ES"/>
              </w:rPr>
              <w:t>Analizar las principales carencias de conocimientos y encontrar opciones para subsanarlas</w:t>
            </w:r>
          </w:p>
        </w:tc>
        <w:tc>
          <w:tcPr>
            <w:tcW w:w="431" w:type="pct"/>
          </w:tcPr>
          <w:p w:rsidR="00680F35" w:rsidRPr="002647CE" w:rsidRDefault="00680F35">
            <w:pPr>
              <w:widowControl w:val="0"/>
              <w:jc w:val="center"/>
              <w:rPr>
                <w:rFonts w:eastAsia="Times New Roman"/>
                <w:b/>
                <w:kern w:val="22"/>
                <w:sz w:val="21"/>
                <w:lang w:val="es-ES"/>
              </w:rPr>
            </w:pPr>
          </w:p>
        </w:tc>
        <w:tc>
          <w:tcPr>
            <w:tcW w:w="611" w:type="pct"/>
          </w:tcPr>
          <w:p w:rsidR="00680F35" w:rsidRPr="002647CE" w:rsidRDefault="00680F35">
            <w:pPr>
              <w:widowControl w:val="0"/>
              <w:jc w:val="left"/>
              <w:rPr>
                <w:rFonts w:eastAsia="Times New Roman"/>
                <w:b/>
                <w:kern w:val="22"/>
                <w:sz w:val="21"/>
                <w:lang w:val="es-ES"/>
              </w:rPr>
            </w:pPr>
          </w:p>
        </w:tc>
      </w:tr>
      <w:tr w:rsidR="00680F35" w:rsidRPr="002647CE" w:rsidTr="008A64FB">
        <w:trPr>
          <w:cantSplit/>
        </w:trPr>
        <w:tc>
          <w:tcPr>
            <w:tcW w:w="708" w:type="pct"/>
            <w:vMerge/>
          </w:tcPr>
          <w:p w:rsidR="00680F35" w:rsidRPr="002647CE" w:rsidRDefault="00680F35">
            <w:pPr>
              <w:widowControl w:val="0"/>
              <w:rPr>
                <w:rFonts w:eastAsia="Times New Roman"/>
                <w:b/>
                <w:kern w:val="22"/>
                <w:sz w:val="21"/>
                <w:lang w:val="es-ES"/>
              </w:rPr>
            </w:pPr>
          </w:p>
        </w:tc>
        <w:tc>
          <w:tcPr>
            <w:tcW w:w="3250" w:type="pct"/>
          </w:tcPr>
          <w:p w:rsidR="00680F35" w:rsidRPr="002647CE" w:rsidRDefault="00293E66">
            <w:pPr>
              <w:pStyle w:val="ListParagraph"/>
              <w:widowControl w:val="0"/>
              <w:numPr>
                <w:ilvl w:val="0"/>
                <w:numId w:val="22"/>
              </w:numPr>
              <w:tabs>
                <w:tab w:val="clear" w:pos="1080"/>
              </w:tabs>
              <w:ind w:left="360"/>
              <w:jc w:val="left"/>
              <w:rPr>
                <w:rFonts w:eastAsia="Times New Roman"/>
                <w:lang w:val="es-ES"/>
              </w:rPr>
            </w:pPr>
            <w:r w:rsidRPr="002647CE">
              <w:rPr>
                <w:rFonts w:eastAsia="Times New Roman"/>
                <w:kern w:val="22"/>
                <w:sz w:val="21"/>
                <w:lang w:val="es-ES"/>
              </w:rPr>
              <w:t xml:space="preserve">Revisar exhaustivamente </w:t>
            </w:r>
            <w:r w:rsidR="00680F35" w:rsidRPr="002647CE">
              <w:rPr>
                <w:rFonts w:eastAsia="Times New Roman"/>
                <w:kern w:val="22"/>
                <w:sz w:val="21"/>
                <w:lang w:val="es-ES"/>
              </w:rPr>
              <w:t>el componente de gestión de los conocimientos</w:t>
            </w:r>
          </w:p>
        </w:tc>
        <w:tc>
          <w:tcPr>
            <w:tcW w:w="431" w:type="pct"/>
          </w:tcPr>
          <w:p w:rsidR="00680F35" w:rsidRPr="002647CE" w:rsidRDefault="00680F35">
            <w:pPr>
              <w:widowControl w:val="0"/>
              <w:jc w:val="center"/>
              <w:rPr>
                <w:rFonts w:eastAsia="Times New Roman"/>
                <w:b/>
                <w:kern w:val="22"/>
                <w:sz w:val="21"/>
                <w:lang w:val="es-ES"/>
              </w:rPr>
            </w:pPr>
          </w:p>
        </w:tc>
        <w:tc>
          <w:tcPr>
            <w:tcW w:w="611" w:type="pct"/>
          </w:tcPr>
          <w:p w:rsidR="00680F35" w:rsidRPr="002647CE" w:rsidRDefault="00680F35">
            <w:pPr>
              <w:widowControl w:val="0"/>
              <w:jc w:val="left"/>
              <w:rPr>
                <w:rFonts w:eastAsia="Times New Roman"/>
                <w:b/>
                <w:kern w:val="22"/>
                <w:sz w:val="21"/>
                <w:lang w:val="es-ES"/>
              </w:rPr>
            </w:pPr>
          </w:p>
        </w:tc>
      </w:tr>
    </w:tbl>
    <w:p w:rsidR="008A64FB" w:rsidRPr="002647CE" w:rsidRDefault="008A64FB">
      <w:pPr>
        <w:keepNext/>
        <w:widowControl w:val="0"/>
        <w:tabs>
          <w:tab w:val="left" w:pos="6500"/>
          <w:tab w:val="center" w:pos="7069"/>
        </w:tabs>
        <w:spacing w:before="120" w:after="120"/>
        <w:jc w:val="center"/>
        <w:rPr>
          <w:rFonts w:eastAsia="Times New Roman"/>
          <w:i/>
          <w:kern w:val="22"/>
          <w:lang w:val="es-ES"/>
        </w:rPr>
      </w:pPr>
    </w:p>
    <w:p w:rsidR="00680F35" w:rsidRPr="002647CE" w:rsidRDefault="00680F35">
      <w:pPr>
        <w:keepNext/>
        <w:widowControl w:val="0"/>
        <w:tabs>
          <w:tab w:val="left" w:pos="6500"/>
          <w:tab w:val="center" w:pos="7069"/>
        </w:tabs>
        <w:spacing w:before="120" w:after="120"/>
        <w:jc w:val="center"/>
        <w:rPr>
          <w:rFonts w:eastAsia="Times New Roman"/>
          <w:i/>
          <w:kern w:val="22"/>
          <w:lang w:val="es-ES"/>
        </w:rPr>
      </w:pPr>
      <w:r w:rsidRPr="002647CE">
        <w:rPr>
          <w:rFonts w:eastAsia="Times New Roman"/>
          <w:i/>
          <w:kern w:val="22"/>
          <w:lang w:val="es-ES"/>
        </w:rPr>
        <w:t>Anexo II</w:t>
      </w:r>
    </w:p>
    <w:p w:rsidR="00680F35" w:rsidRPr="002647CE" w:rsidRDefault="00680F35">
      <w:pPr>
        <w:keepNext/>
        <w:widowControl w:val="0"/>
        <w:spacing w:before="120" w:after="120"/>
        <w:jc w:val="center"/>
        <w:rPr>
          <w:rFonts w:eastAsia="Times New Roman"/>
          <w:b/>
          <w:kern w:val="22"/>
          <w:lang w:val="es-ES"/>
        </w:rPr>
      </w:pPr>
      <w:r w:rsidRPr="002647CE">
        <w:rPr>
          <w:rFonts w:eastAsia="Times New Roman"/>
          <w:b/>
          <w:kern w:val="22"/>
          <w:lang w:val="es-ES"/>
        </w:rPr>
        <w:t>MEDIDAS ESTRATÉGICAS PARA FACILITAR LA IMPLEMENTACIÓN DEL COMPONENTE DE GESTIÓN DE LOS CONOCIMIENTOS</w:t>
      </w:r>
    </w:p>
    <w:tbl>
      <w:tblPr>
        <w:tblpPr w:leftFromText="180" w:rightFromText="180" w:vertAnchor="text" w:tblpX="-550" w:tblpY="1"/>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2"/>
        <w:gridCol w:w="9164"/>
        <w:gridCol w:w="1647"/>
        <w:gridCol w:w="1662"/>
      </w:tblGrid>
      <w:tr w:rsidR="00680F35" w:rsidRPr="002647CE">
        <w:tc>
          <w:tcPr>
            <w:tcW w:w="819" w:type="pct"/>
            <w:tcBorders>
              <w:bottom w:val="nil"/>
            </w:tcBorders>
            <w:vAlign w:val="center"/>
          </w:tcPr>
          <w:p w:rsidR="00680F35" w:rsidRPr="002647CE" w:rsidRDefault="00680F35">
            <w:pPr>
              <w:widowControl w:val="0"/>
              <w:spacing w:before="60" w:after="60"/>
              <w:jc w:val="center"/>
              <w:rPr>
                <w:rFonts w:eastAsia="Times New Roman"/>
                <w:lang w:val="es-ES"/>
              </w:rPr>
            </w:pPr>
            <w:r w:rsidRPr="002647CE">
              <w:rPr>
                <w:rFonts w:eastAsia="Times New Roman"/>
                <w:b/>
                <w:spacing w:val="-12"/>
                <w:kern w:val="22"/>
                <w:sz w:val="21"/>
                <w:lang w:val="es-ES"/>
              </w:rPr>
              <w:t>Área estratégica</w:t>
            </w:r>
          </w:p>
        </w:tc>
        <w:tc>
          <w:tcPr>
            <w:tcW w:w="3072" w:type="pct"/>
            <w:tcBorders>
              <w:bottom w:val="nil"/>
            </w:tcBorders>
            <w:vAlign w:val="center"/>
          </w:tcPr>
          <w:p w:rsidR="00680F35" w:rsidRPr="002647CE" w:rsidRDefault="00680F35">
            <w:pPr>
              <w:widowControl w:val="0"/>
              <w:spacing w:before="60" w:after="60"/>
              <w:jc w:val="center"/>
              <w:rPr>
                <w:rFonts w:eastAsia="Times New Roman"/>
                <w:lang w:val="es-ES"/>
              </w:rPr>
            </w:pPr>
            <w:r w:rsidRPr="002647CE">
              <w:rPr>
                <w:rFonts w:eastAsia="Times New Roman"/>
                <w:b/>
                <w:kern w:val="22"/>
                <w:sz w:val="21"/>
                <w:lang w:val="es-ES"/>
              </w:rPr>
              <w:t>Medida estratégica</w:t>
            </w:r>
          </w:p>
        </w:tc>
        <w:tc>
          <w:tcPr>
            <w:tcW w:w="552" w:type="pct"/>
            <w:tcBorders>
              <w:bottom w:val="nil"/>
            </w:tcBorders>
          </w:tcPr>
          <w:p w:rsidR="00680F35" w:rsidRPr="002647CE" w:rsidRDefault="00680F35">
            <w:pPr>
              <w:widowControl w:val="0"/>
              <w:spacing w:before="60" w:after="60"/>
              <w:jc w:val="center"/>
              <w:rPr>
                <w:rFonts w:eastAsia="Times New Roman"/>
                <w:lang w:val="es-ES"/>
              </w:rPr>
            </w:pPr>
            <w:r w:rsidRPr="002647CE">
              <w:rPr>
                <w:rFonts w:eastAsia="Times New Roman"/>
                <w:b/>
                <w:kern w:val="22"/>
                <w:sz w:val="21"/>
                <w:lang w:val="es-ES"/>
              </w:rPr>
              <w:t>Plazos</w:t>
            </w:r>
          </w:p>
        </w:tc>
        <w:tc>
          <w:tcPr>
            <w:tcW w:w="557" w:type="pct"/>
            <w:tcBorders>
              <w:bottom w:val="nil"/>
            </w:tcBorders>
            <w:vAlign w:val="center"/>
          </w:tcPr>
          <w:p w:rsidR="00680F35" w:rsidRPr="002647CE" w:rsidRDefault="00680F35">
            <w:pPr>
              <w:widowControl w:val="0"/>
              <w:spacing w:before="60" w:after="60"/>
              <w:jc w:val="center"/>
              <w:rPr>
                <w:rFonts w:eastAsia="Times New Roman"/>
                <w:lang w:val="es-ES"/>
              </w:rPr>
            </w:pPr>
            <w:r w:rsidRPr="002647CE">
              <w:rPr>
                <w:rFonts w:eastAsia="Times New Roman"/>
                <w:b/>
                <w:kern w:val="22"/>
                <w:sz w:val="21"/>
                <w:lang w:val="es-ES"/>
              </w:rPr>
              <w:t>Contribuidores</w:t>
            </w:r>
          </w:p>
        </w:tc>
      </w:tr>
      <w:tr w:rsidR="00680F35" w:rsidRPr="002647CE">
        <w:tc>
          <w:tcPr>
            <w:tcW w:w="819" w:type="pct"/>
            <w:vMerge w:val="restart"/>
          </w:tcPr>
          <w:p w:rsidR="00680F35" w:rsidRPr="002647CE" w:rsidRDefault="00680F35">
            <w:pPr>
              <w:pStyle w:val="ListParagraph"/>
              <w:widowControl w:val="0"/>
              <w:numPr>
                <w:ilvl w:val="0"/>
                <w:numId w:val="14"/>
              </w:numPr>
              <w:ind w:left="250" w:hanging="270"/>
              <w:jc w:val="left"/>
              <w:rPr>
                <w:rFonts w:eastAsia="Times New Roman"/>
                <w:lang w:val="es-ES"/>
              </w:rPr>
            </w:pPr>
            <w:r w:rsidRPr="002647CE">
              <w:rPr>
                <w:rFonts w:eastAsia="Times New Roman"/>
                <w:kern w:val="22"/>
                <w:sz w:val="21"/>
                <w:lang w:val="es-ES"/>
              </w:rPr>
              <w:t>Creación de capacidad en gestión de datos, información y conocimientos</w:t>
            </w:r>
          </w:p>
        </w:tc>
        <w:tc>
          <w:tcPr>
            <w:tcW w:w="3072" w:type="pct"/>
            <w:tcBorders>
              <w:bottom w:val="nil"/>
            </w:tcBorders>
          </w:tcPr>
          <w:p w:rsidR="00680F35" w:rsidRPr="002647CE" w:rsidRDefault="00680F35">
            <w:pPr>
              <w:pStyle w:val="ListParagraph"/>
              <w:widowControl w:val="0"/>
              <w:numPr>
                <w:ilvl w:val="0"/>
                <w:numId w:val="23"/>
              </w:numPr>
              <w:tabs>
                <w:tab w:val="clear" w:pos="1080"/>
              </w:tabs>
              <w:spacing w:after="60"/>
              <w:ind w:left="360"/>
              <w:jc w:val="left"/>
              <w:rPr>
                <w:rFonts w:eastAsia="Times New Roman"/>
                <w:lang w:val="es-ES"/>
              </w:rPr>
            </w:pPr>
            <w:r w:rsidRPr="002647CE">
              <w:rPr>
                <w:rFonts w:eastAsia="Times New Roman"/>
                <w:kern w:val="22"/>
                <w:sz w:val="21"/>
                <w:lang w:val="es-ES"/>
              </w:rPr>
              <w:t>Fortalecer las capacidades de instituciones pertinentes en materia de bioinformática y gestión de la información y los conocimientos, entre otras cosas a través de la educación, la formación y la mentoría de expertos y científicos jóvenes</w:t>
            </w:r>
          </w:p>
        </w:tc>
        <w:tc>
          <w:tcPr>
            <w:tcW w:w="552" w:type="pct"/>
            <w:tcBorders>
              <w:bottom w:val="nil"/>
            </w:tcBorders>
          </w:tcPr>
          <w:p w:rsidR="00680F35" w:rsidRPr="002647CE" w:rsidRDefault="00680F35">
            <w:pPr>
              <w:widowControl w:val="0"/>
              <w:rPr>
                <w:rFonts w:eastAsia="Times New Roman"/>
                <w:b/>
                <w:kern w:val="22"/>
                <w:sz w:val="21"/>
                <w:lang w:val="es-ES"/>
              </w:rPr>
            </w:pPr>
          </w:p>
        </w:tc>
        <w:tc>
          <w:tcPr>
            <w:tcW w:w="557" w:type="pct"/>
            <w:tcBorders>
              <w:bottom w:val="nil"/>
            </w:tcBorders>
          </w:tcPr>
          <w:p w:rsidR="00680F35" w:rsidRPr="002647CE" w:rsidRDefault="00680F35">
            <w:pPr>
              <w:widowControl w:val="0"/>
              <w:jc w:val="left"/>
              <w:rPr>
                <w:rFonts w:eastAsia="Times New Roman"/>
                <w:b/>
                <w:kern w:val="22"/>
                <w:sz w:val="21"/>
                <w:lang w:val="es-ES"/>
              </w:rPr>
            </w:pPr>
          </w:p>
        </w:tc>
      </w:tr>
      <w:tr w:rsidR="00680F35" w:rsidRPr="002647CE">
        <w:tc>
          <w:tcPr>
            <w:tcW w:w="819" w:type="pct"/>
            <w:vMerge/>
          </w:tcPr>
          <w:p w:rsidR="00680F35" w:rsidRPr="002647CE" w:rsidRDefault="00680F35">
            <w:pPr>
              <w:widowControl w:val="0"/>
              <w:jc w:val="center"/>
              <w:rPr>
                <w:rFonts w:ascii="Times New Roman Bold" w:eastAsia="Times New Roman" w:hAnsi="Times New Roman Bold"/>
                <w:b/>
                <w:spacing w:val="-12"/>
                <w:kern w:val="22"/>
                <w:sz w:val="21"/>
                <w:lang w:val="es-ES"/>
              </w:rPr>
            </w:pPr>
          </w:p>
        </w:tc>
        <w:tc>
          <w:tcPr>
            <w:tcW w:w="3072" w:type="pct"/>
            <w:tcBorders>
              <w:bottom w:val="nil"/>
            </w:tcBorders>
          </w:tcPr>
          <w:p w:rsidR="00680F35" w:rsidRPr="002647CE" w:rsidRDefault="00680F35">
            <w:pPr>
              <w:pStyle w:val="ListParagraph"/>
              <w:widowControl w:val="0"/>
              <w:numPr>
                <w:ilvl w:val="0"/>
                <w:numId w:val="23"/>
              </w:numPr>
              <w:tabs>
                <w:tab w:val="clear" w:pos="1080"/>
              </w:tabs>
              <w:spacing w:after="60"/>
              <w:ind w:left="360"/>
              <w:jc w:val="left"/>
              <w:rPr>
                <w:rFonts w:eastAsia="Times New Roman"/>
                <w:lang w:val="es-ES"/>
              </w:rPr>
            </w:pPr>
            <w:r w:rsidRPr="002647CE">
              <w:rPr>
                <w:rFonts w:eastAsia="Times New Roman"/>
                <w:kern w:val="22"/>
                <w:sz w:val="21"/>
                <w:lang w:val="es-ES"/>
              </w:rPr>
              <w:t>Apoyar a los Gobiernos para que adopten políticas y leyes, arreglos institucionales e incentivos propicios para la gestión de los conocimientos</w:t>
            </w:r>
          </w:p>
        </w:tc>
        <w:tc>
          <w:tcPr>
            <w:tcW w:w="552" w:type="pct"/>
            <w:tcBorders>
              <w:bottom w:val="nil"/>
            </w:tcBorders>
          </w:tcPr>
          <w:p w:rsidR="00680F35" w:rsidRPr="002647CE" w:rsidRDefault="00680F35">
            <w:pPr>
              <w:widowControl w:val="0"/>
              <w:rPr>
                <w:rFonts w:eastAsia="Times New Roman"/>
                <w:b/>
                <w:kern w:val="22"/>
                <w:sz w:val="21"/>
                <w:lang w:val="es-ES"/>
              </w:rPr>
            </w:pPr>
          </w:p>
        </w:tc>
        <w:tc>
          <w:tcPr>
            <w:tcW w:w="557" w:type="pct"/>
            <w:tcBorders>
              <w:bottom w:val="nil"/>
            </w:tcBorders>
          </w:tcPr>
          <w:p w:rsidR="00680F35" w:rsidRPr="002647CE" w:rsidRDefault="00680F35">
            <w:pPr>
              <w:widowControl w:val="0"/>
              <w:jc w:val="left"/>
              <w:rPr>
                <w:rFonts w:eastAsia="Times New Roman"/>
                <w:b/>
                <w:kern w:val="22"/>
                <w:sz w:val="21"/>
                <w:lang w:val="es-ES"/>
              </w:rPr>
            </w:pPr>
          </w:p>
        </w:tc>
      </w:tr>
      <w:tr w:rsidR="00680F35" w:rsidRPr="002647CE">
        <w:tc>
          <w:tcPr>
            <w:tcW w:w="819" w:type="pct"/>
            <w:vMerge/>
          </w:tcPr>
          <w:p w:rsidR="00680F35" w:rsidRPr="002647CE" w:rsidRDefault="00680F35">
            <w:pPr>
              <w:widowControl w:val="0"/>
              <w:jc w:val="center"/>
              <w:rPr>
                <w:rFonts w:ascii="Times New Roman Bold" w:eastAsia="Times New Roman" w:hAnsi="Times New Roman Bold"/>
                <w:b/>
                <w:spacing w:val="-12"/>
                <w:kern w:val="22"/>
                <w:sz w:val="21"/>
                <w:lang w:val="es-ES"/>
              </w:rPr>
            </w:pPr>
          </w:p>
        </w:tc>
        <w:tc>
          <w:tcPr>
            <w:tcW w:w="3072" w:type="pct"/>
            <w:tcBorders>
              <w:bottom w:val="nil"/>
            </w:tcBorders>
          </w:tcPr>
          <w:p w:rsidR="00680F35" w:rsidRPr="002647CE" w:rsidRDefault="00680F35">
            <w:pPr>
              <w:pStyle w:val="ListParagraph"/>
              <w:widowControl w:val="0"/>
              <w:numPr>
                <w:ilvl w:val="0"/>
                <w:numId w:val="23"/>
              </w:numPr>
              <w:tabs>
                <w:tab w:val="clear" w:pos="1080"/>
              </w:tabs>
              <w:spacing w:after="60"/>
              <w:ind w:left="360"/>
              <w:jc w:val="left"/>
              <w:rPr>
                <w:rFonts w:eastAsia="Times New Roman"/>
                <w:lang w:val="es-ES"/>
              </w:rPr>
            </w:pPr>
            <w:r w:rsidRPr="002647CE">
              <w:rPr>
                <w:rFonts w:eastAsia="Times New Roman"/>
                <w:kern w:val="22"/>
                <w:sz w:val="21"/>
                <w:lang w:val="es-ES"/>
              </w:rPr>
              <w:t xml:space="preserve">Brindar información y orientación en materia de gestión de los conocimientos y desarrollo de bases de datos nacionales e intercambiar experiencias en el acceso y la utilización de datos </w:t>
            </w:r>
          </w:p>
        </w:tc>
        <w:tc>
          <w:tcPr>
            <w:tcW w:w="552" w:type="pct"/>
            <w:tcBorders>
              <w:bottom w:val="nil"/>
            </w:tcBorders>
          </w:tcPr>
          <w:p w:rsidR="00680F35" w:rsidRPr="002647CE" w:rsidRDefault="00680F35">
            <w:pPr>
              <w:widowControl w:val="0"/>
              <w:rPr>
                <w:rFonts w:eastAsia="Times New Roman"/>
                <w:b/>
                <w:kern w:val="22"/>
                <w:sz w:val="21"/>
                <w:lang w:val="es-ES"/>
              </w:rPr>
            </w:pPr>
          </w:p>
        </w:tc>
        <w:tc>
          <w:tcPr>
            <w:tcW w:w="557" w:type="pct"/>
            <w:tcBorders>
              <w:bottom w:val="nil"/>
            </w:tcBorders>
          </w:tcPr>
          <w:p w:rsidR="00680F35" w:rsidRPr="002647CE" w:rsidRDefault="00680F35">
            <w:pPr>
              <w:widowControl w:val="0"/>
              <w:jc w:val="left"/>
              <w:rPr>
                <w:rFonts w:eastAsia="Times New Roman"/>
                <w:b/>
                <w:kern w:val="22"/>
                <w:sz w:val="21"/>
                <w:lang w:val="es-ES"/>
              </w:rPr>
            </w:pPr>
          </w:p>
        </w:tc>
      </w:tr>
      <w:tr w:rsidR="00680F35" w:rsidRPr="002647CE">
        <w:tc>
          <w:tcPr>
            <w:tcW w:w="819" w:type="pct"/>
            <w:vMerge/>
          </w:tcPr>
          <w:p w:rsidR="00680F35" w:rsidRPr="002647CE" w:rsidRDefault="00680F35">
            <w:pPr>
              <w:widowControl w:val="0"/>
              <w:jc w:val="center"/>
              <w:rPr>
                <w:rFonts w:ascii="Times New Roman Bold" w:eastAsia="Times New Roman" w:hAnsi="Times New Roman Bold"/>
                <w:b/>
                <w:spacing w:val="-12"/>
                <w:kern w:val="22"/>
                <w:sz w:val="21"/>
                <w:lang w:val="es-ES"/>
              </w:rPr>
            </w:pPr>
          </w:p>
        </w:tc>
        <w:tc>
          <w:tcPr>
            <w:tcW w:w="3072" w:type="pct"/>
            <w:tcBorders>
              <w:bottom w:val="nil"/>
            </w:tcBorders>
          </w:tcPr>
          <w:p w:rsidR="00680F35" w:rsidRPr="002647CE" w:rsidRDefault="00680F35" w:rsidP="007420FD">
            <w:pPr>
              <w:pStyle w:val="ListParagraph"/>
              <w:widowControl w:val="0"/>
              <w:numPr>
                <w:ilvl w:val="0"/>
                <w:numId w:val="23"/>
              </w:numPr>
              <w:tabs>
                <w:tab w:val="clear" w:pos="1080"/>
              </w:tabs>
              <w:spacing w:after="60"/>
              <w:ind w:left="360"/>
              <w:jc w:val="left"/>
              <w:rPr>
                <w:rFonts w:eastAsia="Times New Roman"/>
                <w:lang w:val="es-ES"/>
              </w:rPr>
            </w:pPr>
            <w:r w:rsidRPr="002647CE">
              <w:rPr>
                <w:rFonts w:eastAsia="Times New Roman"/>
                <w:kern w:val="22"/>
                <w:sz w:val="21"/>
                <w:lang w:val="es-ES"/>
              </w:rPr>
              <w:t xml:space="preserve">Apoyar a los Gobiernos y, de conformidad con la legislación nacional, a interesados directos pertinentes </w:t>
            </w:r>
            <w:r w:rsidR="007420FD" w:rsidRPr="002647CE">
              <w:rPr>
                <w:rFonts w:eastAsia="Times New Roman"/>
                <w:kern w:val="22"/>
                <w:sz w:val="21"/>
                <w:lang w:val="es-ES"/>
              </w:rPr>
              <w:t>en el acceso</w:t>
            </w:r>
            <w:r w:rsidRPr="002647CE">
              <w:rPr>
                <w:rFonts w:eastAsia="Times New Roman"/>
                <w:kern w:val="22"/>
                <w:sz w:val="21"/>
                <w:lang w:val="es-ES"/>
              </w:rPr>
              <w:t xml:space="preserve"> a fuentes existentes de conocimientos</w:t>
            </w:r>
          </w:p>
        </w:tc>
        <w:tc>
          <w:tcPr>
            <w:tcW w:w="552" w:type="pct"/>
            <w:tcBorders>
              <w:bottom w:val="nil"/>
            </w:tcBorders>
          </w:tcPr>
          <w:p w:rsidR="00680F35" w:rsidRPr="002647CE" w:rsidRDefault="00680F35">
            <w:pPr>
              <w:widowControl w:val="0"/>
              <w:rPr>
                <w:rFonts w:eastAsia="Times New Roman"/>
                <w:b/>
                <w:kern w:val="22"/>
                <w:sz w:val="21"/>
                <w:lang w:val="es-ES"/>
              </w:rPr>
            </w:pPr>
          </w:p>
        </w:tc>
        <w:tc>
          <w:tcPr>
            <w:tcW w:w="557" w:type="pct"/>
            <w:tcBorders>
              <w:bottom w:val="nil"/>
            </w:tcBorders>
          </w:tcPr>
          <w:p w:rsidR="00680F35" w:rsidRPr="002647CE" w:rsidRDefault="00680F35">
            <w:pPr>
              <w:widowControl w:val="0"/>
              <w:jc w:val="left"/>
              <w:rPr>
                <w:rFonts w:eastAsia="Times New Roman"/>
                <w:b/>
                <w:kern w:val="22"/>
                <w:sz w:val="21"/>
                <w:lang w:val="es-ES"/>
              </w:rPr>
            </w:pPr>
          </w:p>
        </w:tc>
      </w:tr>
      <w:tr w:rsidR="007420FD" w:rsidRPr="002647CE">
        <w:tc>
          <w:tcPr>
            <w:tcW w:w="819" w:type="pct"/>
            <w:vMerge/>
          </w:tcPr>
          <w:p w:rsidR="007420FD" w:rsidRPr="002647CE" w:rsidRDefault="007420FD">
            <w:pPr>
              <w:widowControl w:val="0"/>
              <w:jc w:val="center"/>
              <w:rPr>
                <w:rFonts w:ascii="Times New Roman Bold" w:eastAsia="Times New Roman" w:hAnsi="Times New Roman Bold"/>
                <w:b/>
                <w:spacing w:val="-12"/>
                <w:kern w:val="22"/>
                <w:sz w:val="21"/>
                <w:lang w:val="es-ES"/>
              </w:rPr>
            </w:pPr>
          </w:p>
        </w:tc>
        <w:tc>
          <w:tcPr>
            <w:tcW w:w="3072" w:type="pct"/>
            <w:tcBorders>
              <w:bottom w:val="nil"/>
            </w:tcBorders>
          </w:tcPr>
          <w:p w:rsidR="007420FD" w:rsidRPr="002647CE" w:rsidRDefault="007420FD" w:rsidP="007420FD">
            <w:pPr>
              <w:pStyle w:val="ListParagraph"/>
              <w:widowControl w:val="0"/>
              <w:numPr>
                <w:ilvl w:val="0"/>
                <w:numId w:val="23"/>
              </w:numPr>
              <w:tabs>
                <w:tab w:val="clear" w:pos="1080"/>
              </w:tabs>
              <w:spacing w:after="60"/>
              <w:ind w:left="360"/>
              <w:jc w:val="left"/>
              <w:rPr>
                <w:rFonts w:eastAsia="Times New Roman"/>
                <w:kern w:val="22"/>
                <w:sz w:val="21"/>
                <w:lang w:val="es-ES"/>
              </w:rPr>
            </w:pPr>
            <w:r w:rsidRPr="002647CE">
              <w:rPr>
                <w:rFonts w:eastAsia="Times New Roman"/>
                <w:kern w:val="22"/>
                <w:sz w:val="21"/>
                <w:lang w:val="es-ES"/>
              </w:rPr>
              <w:t>Realizar un análisis de carencias en materia de herramientas y enfoques existentes de gestión de la información y los conocimientos en apoyo a la labor de gestión de la diversidad biológica</w:t>
            </w:r>
          </w:p>
        </w:tc>
        <w:tc>
          <w:tcPr>
            <w:tcW w:w="552" w:type="pct"/>
            <w:tcBorders>
              <w:bottom w:val="nil"/>
            </w:tcBorders>
          </w:tcPr>
          <w:p w:rsidR="007420FD" w:rsidRPr="002647CE" w:rsidRDefault="007420FD">
            <w:pPr>
              <w:widowControl w:val="0"/>
              <w:rPr>
                <w:rFonts w:eastAsia="Times New Roman"/>
                <w:b/>
                <w:kern w:val="22"/>
                <w:sz w:val="21"/>
                <w:lang w:val="es-ES"/>
              </w:rPr>
            </w:pPr>
          </w:p>
        </w:tc>
        <w:tc>
          <w:tcPr>
            <w:tcW w:w="557" w:type="pct"/>
            <w:tcBorders>
              <w:bottom w:val="nil"/>
            </w:tcBorders>
          </w:tcPr>
          <w:p w:rsidR="007420FD" w:rsidRPr="002647CE" w:rsidRDefault="007420FD">
            <w:pPr>
              <w:widowControl w:val="0"/>
              <w:jc w:val="left"/>
              <w:rPr>
                <w:rFonts w:eastAsia="Times New Roman"/>
                <w:b/>
                <w:kern w:val="22"/>
                <w:sz w:val="21"/>
                <w:lang w:val="es-ES"/>
              </w:rPr>
            </w:pPr>
          </w:p>
        </w:tc>
      </w:tr>
      <w:tr w:rsidR="00680F35" w:rsidRPr="002647CE">
        <w:tc>
          <w:tcPr>
            <w:tcW w:w="819" w:type="pct"/>
            <w:vMerge/>
          </w:tcPr>
          <w:p w:rsidR="00680F35" w:rsidRPr="002647CE" w:rsidRDefault="00680F35">
            <w:pPr>
              <w:widowControl w:val="0"/>
              <w:jc w:val="center"/>
              <w:rPr>
                <w:rFonts w:ascii="Times New Roman Bold" w:eastAsia="Times New Roman" w:hAnsi="Times New Roman Bold"/>
                <w:b/>
                <w:spacing w:val="-12"/>
                <w:kern w:val="22"/>
                <w:sz w:val="21"/>
                <w:lang w:val="es-ES"/>
              </w:rPr>
            </w:pPr>
          </w:p>
        </w:tc>
        <w:tc>
          <w:tcPr>
            <w:tcW w:w="3072" w:type="pct"/>
            <w:tcBorders>
              <w:bottom w:val="nil"/>
            </w:tcBorders>
          </w:tcPr>
          <w:p w:rsidR="00680F35" w:rsidRPr="002647CE" w:rsidRDefault="007420FD" w:rsidP="007420FD">
            <w:pPr>
              <w:pStyle w:val="ListParagraph"/>
              <w:widowControl w:val="0"/>
              <w:numPr>
                <w:ilvl w:val="0"/>
                <w:numId w:val="23"/>
              </w:numPr>
              <w:tabs>
                <w:tab w:val="clear" w:pos="1080"/>
              </w:tabs>
              <w:spacing w:after="60"/>
              <w:ind w:left="360"/>
              <w:jc w:val="left"/>
              <w:rPr>
                <w:rFonts w:eastAsia="Times New Roman"/>
                <w:lang w:val="es-ES"/>
              </w:rPr>
            </w:pPr>
            <w:r w:rsidRPr="002647CE">
              <w:rPr>
                <w:rFonts w:eastAsia="Times New Roman"/>
                <w:kern w:val="22"/>
                <w:sz w:val="21"/>
                <w:lang w:val="es-ES"/>
              </w:rPr>
              <w:t>Realizar un análisis de carencias de competencias especializadas y necesidades nacionales en materia de gestión de los conocimientos, que incluya la creación de capacidad en gestión de los conocimientos en la implementación de estrategias y planes de acción nacionales en materia de biodiversidad, según proceda</w:t>
            </w:r>
          </w:p>
        </w:tc>
        <w:tc>
          <w:tcPr>
            <w:tcW w:w="552" w:type="pct"/>
            <w:tcBorders>
              <w:bottom w:val="nil"/>
            </w:tcBorders>
          </w:tcPr>
          <w:p w:rsidR="00680F35" w:rsidRPr="002647CE" w:rsidRDefault="00680F35">
            <w:pPr>
              <w:widowControl w:val="0"/>
              <w:rPr>
                <w:rFonts w:eastAsia="Times New Roman"/>
                <w:b/>
                <w:kern w:val="22"/>
                <w:sz w:val="21"/>
                <w:lang w:val="es-ES"/>
              </w:rPr>
            </w:pPr>
          </w:p>
        </w:tc>
        <w:tc>
          <w:tcPr>
            <w:tcW w:w="557" w:type="pct"/>
            <w:tcBorders>
              <w:bottom w:val="nil"/>
            </w:tcBorders>
          </w:tcPr>
          <w:p w:rsidR="00680F35" w:rsidRPr="002647CE" w:rsidRDefault="00680F35">
            <w:pPr>
              <w:widowControl w:val="0"/>
              <w:jc w:val="left"/>
              <w:rPr>
                <w:rFonts w:eastAsia="Times New Roman"/>
                <w:b/>
                <w:kern w:val="22"/>
                <w:sz w:val="21"/>
                <w:lang w:val="es-ES"/>
              </w:rPr>
            </w:pPr>
          </w:p>
        </w:tc>
      </w:tr>
      <w:tr w:rsidR="00680F35" w:rsidRPr="002647CE">
        <w:tc>
          <w:tcPr>
            <w:tcW w:w="819" w:type="pct"/>
            <w:vMerge w:val="restart"/>
          </w:tcPr>
          <w:p w:rsidR="00680F35" w:rsidRPr="002647CE" w:rsidRDefault="00680F35">
            <w:pPr>
              <w:pStyle w:val="ListParagraph"/>
              <w:widowControl w:val="0"/>
              <w:numPr>
                <w:ilvl w:val="0"/>
                <w:numId w:val="14"/>
              </w:numPr>
              <w:ind w:left="250" w:hanging="270"/>
              <w:jc w:val="left"/>
              <w:rPr>
                <w:rFonts w:eastAsia="Times New Roman"/>
                <w:lang w:val="es-ES"/>
              </w:rPr>
            </w:pPr>
            <w:r w:rsidRPr="002647CE">
              <w:rPr>
                <w:rFonts w:eastAsia="Times New Roman"/>
                <w:kern w:val="22"/>
                <w:sz w:val="21"/>
                <w:lang w:val="es-ES"/>
              </w:rPr>
              <w:t>Creación de redes y alianzas</w:t>
            </w:r>
          </w:p>
        </w:tc>
        <w:tc>
          <w:tcPr>
            <w:tcW w:w="3072" w:type="pct"/>
          </w:tcPr>
          <w:p w:rsidR="00680F35" w:rsidRPr="002647CE" w:rsidRDefault="00680F35">
            <w:pPr>
              <w:pStyle w:val="ListParagraph"/>
              <w:widowControl w:val="0"/>
              <w:numPr>
                <w:ilvl w:val="0"/>
                <w:numId w:val="24"/>
              </w:numPr>
              <w:tabs>
                <w:tab w:val="clear" w:pos="1080"/>
              </w:tabs>
              <w:spacing w:after="60"/>
              <w:ind w:left="360"/>
              <w:jc w:val="left"/>
              <w:rPr>
                <w:rFonts w:eastAsia="Times New Roman"/>
                <w:lang w:val="es-ES"/>
              </w:rPr>
            </w:pPr>
            <w:r w:rsidRPr="002647CE">
              <w:rPr>
                <w:rFonts w:eastAsia="Times New Roman"/>
                <w:kern w:val="22"/>
                <w:sz w:val="21"/>
                <w:lang w:val="es-ES"/>
              </w:rPr>
              <w:t>Catalizar y fortalecer las redes internacionales y regionales sobre gestión de datos, información y conocimientos relacionados con la diversidad biológica.</w:t>
            </w:r>
          </w:p>
        </w:tc>
        <w:tc>
          <w:tcPr>
            <w:tcW w:w="552" w:type="pct"/>
          </w:tcPr>
          <w:p w:rsidR="00680F35" w:rsidRPr="002647CE" w:rsidRDefault="00680F35">
            <w:pPr>
              <w:widowControl w:val="0"/>
              <w:rPr>
                <w:rFonts w:eastAsia="Times New Roman"/>
                <w:b/>
                <w:kern w:val="22"/>
                <w:sz w:val="21"/>
                <w:lang w:val="es-ES"/>
              </w:rPr>
            </w:pPr>
          </w:p>
        </w:tc>
        <w:tc>
          <w:tcPr>
            <w:tcW w:w="557" w:type="pct"/>
          </w:tcPr>
          <w:p w:rsidR="00680F35" w:rsidRPr="002647CE" w:rsidRDefault="00680F35">
            <w:pPr>
              <w:widowControl w:val="0"/>
              <w:jc w:val="left"/>
              <w:rPr>
                <w:rFonts w:eastAsia="Times New Roman"/>
                <w:b/>
                <w:kern w:val="22"/>
                <w:sz w:val="21"/>
                <w:lang w:val="es-ES"/>
              </w:rPr>
            </w:pPr>
          </w:p>
        </w:tc>
      </w:tr>
      <w:tr w:rsidR="00680F35" w:rsidRPr="002647CE">
        <w:tc>
          <w:tcPr>
            <w:tcW w:w="819" w:type="pct"/>
            <w:vMerge/>
          </w:tcPr>
          <w:p w:rsidR="00680F35" w:rsidRPr="002647CE" w:rsidRDefault="00680F35">
            <w:pPr>
              <w:widowControl w:val="0"/>
              <w:rPr>
                <w:rFonts w:eastAsia="Times New Roman"/>
                <w:b/>
                <w:kern w:val="22"/>
                <w:sz w:val="21"/>
                <w:lang w:val="es-ES"/>
              </w:rPr>
            </w:pPr>
          </w:p>
        </w:tc>
        <w:tc>
          <w:tcPr>
            <w:tcW w:w="3072" w:type="pct"/>
          </w:tcPr>
          <w:p w:rsidR="00680F35" w:rsidRPr="002647CE" w:rsidRDefault="00680F35">
            <w:pPr>
              <w:pStyle w:val="ListParagraph"/>
              <w:widowControl w:val="0"/>
              <w:numPr>
                <w:ilvl w:val="0"/>
                <w:numId w:val="24"/>
              </w:numPr>
              <w:tabs>
                <w:tab w:val="clear" w:pos="1080"/>
              </w:tabs>
              <w:spacing w:after="60"/>
              <w:ind w:left="360"/>
              <w:jc w:val="left"/>
              <w:rPr>
                <w:rFonts w:eastAsia="Times New Roman"/>
                <w:lang w:val="es-ES"/>
              </w:rPr>
            </w:pPr>
            <w:r w:rsidRPr="002647CE">
              <w:rPr>
                <w:rFonts w:eastAsia="Times New Roman"/>
                <w:kern w:val="22"/>
                <w:sz w:val="21"/>
                <w:lang w:val="es-ES"/>
              </w:rPr>
              <w:t>Promover la colaboración en materia de intercambio de datos, información y conocimientos sobre la diversidad biológica, entre otras cosas</w:t>
            </w:r>
            <w:r w:rsidR="00B968ED">
              <w:rPr>
                <w:rFonts w:eastAsia="Times New Roman"/>
                <w:kern w:val="22"/>
                <w:sz w:val="21"/>
                <w:lang w:val="es-ES"/>
              </w:rPr>
              <w:t>,</w:t>
            </w:r>
            <w:r w:rsidRPr="002647CE">
              <w:rPr>
                <w:rFonts w:eastAsia="Times New Roman"/>
                <w:kern w:val="22"/>
                <w:sz w:val="21"/>
                <w:lang w:val="es-ES"/>
              </w:rPr>
              <w:t xml:space="preserve"> aumentando la armonización e interoperabilidad entre iniciativas de sistemas de información pertinentes</w:t>
            </w:r>
          </w:p>
        </w:tc>
        <w:tc>
          <w:tcPr>
            <w:tcW w:w="552" w:type="pct"/>
          </w:tcPr>
          <w:p w:rsidR="00680F35" w:rsidRPr="002647CE" w:rsidRDefault="00680F35">
            <w:pPr>
              <w:widowControl w:val="0"/>
              <w:rPr>
                <w:rFonts w:eastAsia="Times New Roman"/>
                <w:b/>
                <w:kern w:val="22"/>
                <w:sz w:val="21"/>
                <w:lang w:val="es-ES"/>
              </w:rPr>
            </w:pPr>
          </w:p>
        </w:tc>
        <w:tc>
          <w:tcPr>
            <w:tcW w:w="557" w:type="pct"/>
          </w:tcPr>
          <w:p w:rsidR="00680F35" w:rsidRPr="002647CE" w:rsidRDefault="00680F35">
            <w:pPr>
              <w:widowControl w:val="0"/>
              <w:jc w:val="left"/>
              <w:rPr>
                <w:rFonts w:eastAsia="Times New Roman"/>
                <w:b/>
                <w:kern w:val="22"/>
                <w:sz w:val="21"/>
                <w:lang w:val="es-ES"/>
              </w:rPr>
            </w:pPr>
          </w:p>
        </w:tc>
      </w:tr>
      <w:tr w:rsidR="00F22621" w:rsidRPr="002647CE">
        <w:tc>
          <w:tcPr>
            <w:tcW w:w="819" w:type="pct"/>
            <w:vMerge w:val="restart"/>
          </w:tcPr>
          <w:p w:rsidR="00F22621" w:rsidRPr="002647CE" w:rsidRDefault="00F22621" w:rsidP="00F22621">
            <w:pPr>
              <w:widowControl w:val="0"/>
              <w:ind w:left="-20"/>
              <w:jc w:val="left"/>
              <w:rPr>
                <w:rFonts w:eastAsia="Times New Roman"/>
                <w:kern w:val="22"/>
                <w:sz w:val="21"/>
                <w:lang w:val="es-ES"/>
              </w:rPr>
            </w:pPr>
          </w:p>
        </w:tc>
        <w:tc>
          <w:tcPr>
            <w:tcW w:w="3072" w:type="pct"/>
          </w:tcPr>
          <w:p w:rsidR="00F22621" w:rsidRPr="002647CE" w:rsidRDefault="00F22621" w:rsidP="00980FC2">
            <w:pPr>
              <w:pStyle w:val="ListParagraph"/>
              <w:widowControl w:val="0"/>
              <w:numPr>
                <w:ilvl w:val="0"/>
                <w:numId w:val="24"/>
              </w:numPr>
              <w:tabs>
                <w:tab w:val="clear" w:pos="1080"/>
              </w:tabs>
              <w:spacing w:after="60"/>
              <w:ind w:left="393"/>
              <w:jc w:val="left"/>
              <w:rPr>
                <w:rFonts w:eastAsia="Times New Roman"/>
                <w:kern w:val="22"/>
                <w:sz w:val="21"/>
                <w:lang w:val="es-ES"/>
              </w:rPr>
            </w:pPr>
            <w:r w:rsidRPr="002647CE">
              <w:rPr>
                <w:rFonts w:eastAsia="Times New Roman"/>
                <w:kern w:val="22"/>
                <w:sz w:val="21"/>
                <w:lang w:val="es-ES"/>
              </w:rPr>
              <w:t xml:space="preserve">Aumentar el seguimiento de la diversidad biológica </w:t>
            </w:r>
            <w:r w:rsidR="00980FC2">
              <w:rPr>
                <w:rFonts w:eastAsia="Times New Roman"/>
                <w:kern w:val="22"/>
                <w:sz w:val="21"/>
                <w:lang w:val="es-ES"/>
              </w:rPr>
              <w:t>a través de</w:t>
            </w:r>
            <w:r w:rsidRPr="002647CE">
              <w:rPr>
                <w:rFonts w:eastAsia="Times New Roman"/>
                <w:kern w:val="22"/>
                <w:sz w:val="21"/>
                <w:lang w:val="es-ES"/>
              </w:rPr>
              <w:t xml:space="preserve"> la cooperación</w:t>
            </w:r>
            <w:r w:rsidR="00980FC2">
              <w:rPr>
                <w:rFonts w:eastAsia="Times New Roman"/>
                <w:kern w:val="22"/>
                <w:sz w:val="21"/>
                <w:lang w:val="es-ES"/>
              </w:rPr>
              <w:t>,</w:t>
            </w:r>
            <w:r w:rsidRPr="002647CE">
              <w:rPr>
                <w:rFonts w:eastAsia="Times New Roman"/>
                <w:kern w:val="22"/>
                <w:sz w:val="21"/>
                <w:lang w:val="es-ES"/>
              </w:rPr>
              <w:t xml:space="preserve"> para mejorar la adquisición, provisión y utilización de datos de observación terrestre y servicios relacionados</w:t>
            </w:r>
          </w:p>
        </w:tc>
        <w:tc>
          <w:tcPr>
            <w:tcW w:w="552" w:type="pct"/>
          </w:tcPr>
          <w:p w:rsidR="00F22621" w:rsidRPr="002647CE" w:rsidRDefault="00F22621">
            <w:pPr>
              <w:widowControl w:val="0"/>
              <w:rPr>
                <w:rFonts w:eastAsia="Times New Roman"/>
                <w:b/>
                <w:kern w:val="22"/>
                <w:sz w:val="21"/>
                <w:lang w:val="es-ES"/>
              </w:rPr>
            </w:pPr>
          </w:p>
        </w:tc>
        <w:tc>
          <w:tcPr>
            <w:tcW w:w="557" w:type="pct"/>
          </w:tcPr>
          <w:p w:rsidR="00F22621" w:rsidRPr="002647CE" w:rsidRDefault="00F22621">
            <w:pPr>
              <w:widowControl w:val="0"/>
              <w:jc w:val="left"/>
              <w:rPr>
                <w:rFonts w:eastAsia="Times New Roman"/>
                <w:b/>
                <w:kern w:val="22"/>
                <w:sz w:val="21"/>
                <w:lang w:val="es-ES"/>
              </w:rPr>
            </w:pPr>
          </w:p>
        </w:tc>
      </w:tr>
      <w:tr w:rsidR="00F22621" w:rsidRPr="002647CE">
        <w:tc>
          <w:tcPr>
            <w:tcW w:w="819" w:type="pct"/>
            <w:vMerge/>
          </w:tcPr>
          <w:p w:rsidR="00F22621" w:rsidRPr="002647CE" w:rsidRDefault="00F22621" w:rsidP="00F22621">
            <w:pPr>
              <w:widowControl w:val="0"/>
              <w:ind w:left="-20"/>
              <w:jc w:val="left"/>
              <w:rPr>
                <w:rFonts w:eastAsia="Times New Roman"/>
                <w:kern w:val="22"/>
                <w:sz w:val="21"/>
                <w:lang w:val="es-ES"/>
              </w:rPr>
            </w:pPr>
          </w:p>
        </w:tc>
        <w:tc>
          <w:tcPr>
            <w:tcW w:w="3072" w:type="pct"/>
          </w:tcPr>
          <w:p w:rsidR="00F22621" w:rsidRPr="002647CE" w:rsidRDefault="00F22621" w:rsidP="00F22621">
            <w:pPr>
              <w:pStyle w:val="ListParagraph"/>
              <w:widowControl w:val="0"/>
              <w:numPr>
                <w:ilvl w:val="0"/>
                <w:numId w:val="24"/>
              </w:numPr>
              <w:tabs>
                <w:tab w:val="clear" w:pos="1080"/>
              </w:tabs>
              <w:spacing w:after="60"/>
              <w:ind w:left="393"/>
              <w:jc w:val="left"/>
              <w:rPr>
                <w:rFonts w:eastAsia="Times New Roman"/>
                <w:kern w:val="22"/>
                <w:sz w:val="21"/>
                <w:lang w:val="es-ES"/>
              </w:rPr>
            </w:pPr>
            <w:r w:rsidRPr="002647CE">
              <w:rPr>
                <w:rFonts w:eastAsia="Times New Roman"/>
                <w:kern w:val="22"/>
                <w:sz w:val="21"/>
                <w:lang w:val="es-ES"/>
              </w:rPr>
              <w:t>Detectar, dar a conocer, vincular entre sí y fortalecer los centros de competencias especializadas, las comunidades de práctica y otras fuentes de conocimientos</w:t>
            </w:r>
          </w:p>
        </w:tc>
        <w:tc>
          <w:tcPr>
            <w:tcW w:w="552" w:type="pct"/>
          </w:tcPr>
          <w:p w:rsidR="00F22621" w:rsidRPr="002647CE" w:rsidRDefault="00F22621">
            <w:pPr>
              <w:widowControl w:val="0"/>
              <w:rPr>
                <w:rFonts w:eastAsia="Times New Roman"/>
                <w:b/>
                <w:kern w:val="22"/>
                <w:sz w:val="21"/>
                <w:lang w:val="es-ES"/>
              </w:rPr>
            </w:pPr>
          </w:p>
        </w:tc>
        <w:tc>
          <w:tcPr>
            <w:tcW w:w="557" w:type="pct"/>
          </w:tcPr>
          <w:p w:rsidR="00F22621" w:rsidRPr="002647CE" w:rsidRDefault="00F22621">
            <w:pPr>
              <w:widowControl w:val="0"/>
              <w:jc w:val="left"/>
              <w:rPr>
                <w:rFonts w:eastAsia="Times New Roman"/>
                <w:b/>
                <w:kern w:val="22"/>
                <w:sz w:val="21"/>
                <w:lang w:val="es-ES"/>
              </w:rPr>
            </w:pPr>
          </w:p>
        </w:tc>
      </w:tr>
      <w:tr w:rsidR="00F22621" w:rsidRPr="002647CE">
        <w:tc>
          <w:tcPr>
            <w:tcW w:w="819" w:type="pct"/>
            <w:vMerge/>
          </w:tcPr>
          <w:p w:rsidR="00F22621" w:rsidRPr="002647CE" w:rsidRDefault="00F22621" w:rsidP="00F22621">
            <w:pPr>
              <w:widowControl w:val="0"/>
              <w:ind w:left="-20"/>
              <w:jc w:val="left"/>
              <w:rPr>
                <w:rFonts w:eastAsia="Times New Roman"/>
                <w:kern w:val="22"/>
                <w:sz w:val="21"/>
                <w:lang w:val="es-ES"/>
              </w:rPr>
            </w:pPr>
          </w:p>
        </w:tc>
        <w:tc>
          <w:tcPr>
            <w:tcW w:w="3072" w:type="pct"/>
          </w:tcPr>
          <w:p w:rsidR="00F22621" w:rsidRPr="002647CE" w:rsidRDefault="00F22621" w:rsidP="00F22621">
            <w:pPr>
              <w:pStyle w:val="ListParagraph"/>
              <w:widowControl w:val="0"/>
              <w:numPr>
                <w:ilvl w:val="0"/>
                <w:numId w:val="24"/>
              </w:numPr>
              <w:tabs>
                <w:tab w:val="clear" w:pos="1080"/>
              </w:tabs>
              <w:spacing w:after="60"/>
              <w:ind w:left="393"/>
              <w:jc w:val="left"/>
              <w:rPr>
                <w:rFonts w:eastAsia="Times New Roman"/>
                <w:kern w:val="22"/>
                <w:sz w:val="21"/>
                <w:lang w:val="es-ES"/>
              </w:rPr>
            </w:pPr>
            <w:r w:rsidRPr="002647CE">
              <w:rPr>
                <w:rFonts w:eastAsia="Times New Roman"/>
                <w:kern w:val="22"/>
                <w:sz w:val="21"/>
                <w:lang w:val="es-ES"/>
              </w:rPr>
              <w:t>Aumentar los contactos y la colaboración entre interesados directos clave – la academia, los pueblos indígenas y las comunidades locales, los gobiernos subnacionales y las instituciones de los Gobiernos nacionales</w:t>
            </w:r>
          </w:p>
        </w:tc>
        <w:tc>
          <w:tcPr>
            <w:tcW w:w="552" w:type="pct"/>
          </w:tcPr>
          <w:p w:rsidR="00F22621" w:rsidRPr="002647CE" w:rsidRDefault="00F22621">
            <w:pPr>
              <w:widowControl w:val="0"/>
              <w:rPr>
                <w:rFonts w:eastAsia="Times New Roman"/>
                <w:b/>
                <w:kern w:val="22"/>
                <w:sz w:val="21"/>
                <w:lang w:val="es-ES"/>
              </w:rPr>
            </w:pPr>
          </w:p>
        </w:tc>
        <w:tc>
          <w:tcPr>
            <w:tcW w:w="557" w:type="pct"/>
          </w:tcPr>
          <w:p w:rsidR="00F22621" w:rsidRPr="002647CE" w:rsidRDefault="00F22621">
            <w:pPr>
              <w:widowControl w:val="0"/>
              <w:jc w:val="left"/>
              <w:rPr>
                <w:rFonts w:eastAsia="Times New Roman"/>
                <w:b/>
                <w:kern w:val="22"/>
                <w:sz w:val="21"/>
                <w:lang w:val="es-ES"/>
              </w:rPr>
            </w:pPr>
          </w:p>
        </w:tc>
      </w:tr>
      <w:tr w:rsidR="00680F35" w:rsidRPr="002647CE">
        <w:tc>
          <w:tcPr>
            <w:tcW w:w="819" w:type="pct"/>
            <w:vMerge w:val="restart"/>
          </w:tcPr>
          <w:p w:rsidR="00680F35" w:rsidRPr="002647CE" w:rsidRDefault="00680F35">
            <w:pPr>
              <w:pStyle w:val="ListParagraph"/>
              <w:widowControl w:val="0"/>
              <w:numPr>
                <w:ilvl w:val="0"/>
                <w:numId w:val="14"/>
              </w:numPr>
              <w:ind w:left="250" w:hanging="270"/>
              <w:jc w:val="left"/>
              <w:rPr>
                <w:rFonts w:eastAsia="Times New Roman"/>
                <w:lang w:val="es-ES"/>
              </w:rPr>
            </w:pPr>
            <w:r w:rsidRPr="002647CE">
              <w:rPr>
                <w:rFonts w:eastAsia="Times New Roman"/>
                <w:kern w:val="22"/>
                <w:sz w:val="21"/>
                <w:lang w:val="es-ES"/>
              </w:rPr>
              <w:t>Determinación y promoción de mejores prácticas y recursos</w:t>
            </w:r>
          </w:p>
        </w:tc>
        <w:tc>
          <w:tcPr>
            <w:tcW w:w="3072" w:type="pct"/>
          </w:tcPr>
          <w:p w:rsidR="00680F35" w:rsidRPr="002647CE" w:rsidRDefault="00680F35">
            <w:pPr>
              <w:pStyle w:val="ListParagraph"/>
              <w:widowControl w:val="0"/>
              <w:numPr>
                <w:ilvl w:val="0"/>
                <w:numId w:val="25"/>
              </w:numPr>
              <w:tabs>
                <w:tab w:val="clear" w:pos="1080"/>
              </w:tabs>
              <w:spacing w:after="60"/>
              <w:ind w:left="360"/>
              <w:jc w:val="left"/>
              <w:rPr>
                <w:rFonts w:eastAsia="Times New Roman"/>
                <w:lang w:val="es-ES"/>
              </w:rPr>
            </w:pPr>
            <w:r w:rsidRPr="002647CE">
              <w:rPr>
                <w:rFonts w:eastAsia="Times New Roman"/>
                <w:kern w:val="22"/>
                <w:sz w:val="21"/>
                <w:lang w:val="es-ES"/>
              </w:rPr>
              <w:t>Facilitar el intercambio de información, casos exitosos y mejores prácticas pertinentes en materia de gestión de la información y los conocimientos</w:t>
            </w:r>
          </w:p>
        </w:tc>
        <w:tc>
          <w:tcPr>
            <w:tcW w:w="552" w:type="pct"/>
          </w:tcPr>
          <w:p w:rsidR="00680F35" w:rsidRPr="002647CE" w:rsidRDefault="00680F35">
            <w:pPr>
              <w:widowControl w:val="0"/>
              <w:rPr>
                <w:rFonts w:eastAsia="Times New Roman"/>
                <w:b/>
                <w:kern w:val="22"/>
                <w:sz w:val="21"/>
                <w:lang w:val="es-ES"/>
              </w:rPr>
            </w:pPr>
          </w:p>
        </w:tc>
        <w:tc>
          <w:tcPr>
            <w:tcW w:w="557" w:type="pct"/>
          </w:tcPr>
          <w:p w:rsidR="00680F35" w:rsidRPr="002647CE" w:rsidRDefault="00680F35">
            <w:pPr>
              <w:widowControl w:val="0"/>
              <w:jc w:val="left"/>
              <w:rPr>
                <w:rFonts w:eastAsia="Times New Roman"/>
                <w:b/>
                <w:kern w:val="22"/>
                <w:sz w:val="21"/>
                <w:lang w:val="es-ES"/>
              </w:rPr>
            </w:pPr>
          </w:p>
        </w:tc>
      </w:tr>
      <w:tr w:rsidR="00680F35" w:rsidRPr="002647CE">
        <w:tc>
          <w:tcPr>
            <w:tcW w:w="819" w:type="pct"/>
            <w:vMerge/>
            <w:tcBorders>
              <w:bottom w:val="nil"/>
            </w:tcBorders>
          </w:tcPr>
          <w:p w:rsidR="00680F35" w:rsidRPr="002647CE" w:rsidRDefault="00680F35">
            <w:pPr>
              <w:widowControl w:val="0"/>
              <w:rPr>
                <w:rFonts w:eastAsia="Times New Roman"/>
                <w:b/>
                <w:kern w:val="22"/>
                <w:sz w:val="21"/>
                <w:lang w:val="es-ES"/>
              </w:rPr>
            </w:pPr>
          </w:p>
        </w:tc>
        <w:tc>
          <w:tcPr>
            <w:tcW w:w="3072" w:type="pct"/>
          </w:tcPr>
          <w:p w:rsidR="00680F35" w:rsidRPr="002647CE" w:rsidRDefault="00680F35" w:rsidP="007420FD">
            <w:pPr>
              <w:pStyle w:val="ListParagraph"/>
              <w:widowControl w:val="0"/>
              <w:numPr>
                <w:ilvl w:val="0"/>
                <w:numId w:val="25"/>
              </w:numPr>
              <w:tabs>
                <w:tab w:val="clear" w:pos="1080"/>
              </w:tabs>
              <w:spacing w:after="60"/>
              <w:ind w:left="360"/>
              <w:jc w:val="left"/>
              <w:rPr>
                <w:rFonts w:eastAsia="Times New Roman"/>
                <w:lang w:val="es-ES"/>
              </w:rPr>
            </w:pPr>
            <w:r w:rsidRPr="002647CE">
              <w:rPr>
                <w:rFonts w:eastAsia="Times New Roman"/>
                <w:kern w:val="22"/>
                <w:sz w:val="21"/>
                <w:lang w:val="es-ES"/>
              </w:rPr>
              <w:t xml:space="preserve">Determinar cuáles son las fuentes existentes de información y conocimientos sobre la diversidad biológica pertinentes, trazar un mapa de esas fuentes y </w:t>
            </w:r>
            <w:r w:rsidR="007420FD" w:rsidRPr="002647CE">
              <w:rPr>
                <w:rFonts w:eastAsia="Times New Roman"/>
                <w:kern w:val="22"/>
                <w:sz w:val="21"/>
                <w:lang w:val="es-ES"/>
              </w:rPr>
              <w:t>difundirlas</w:t>
            </w:r>
          </w:p>
        </w:tc>
        <w:tc>
          <w:tcPr>
            <w:tcW w:w="552" w:type="pct"/>
          </w:tcPr>
          <w:p w:rsidR="00680F35" w:rsidRPr="002647CE" w:rsidRDefault="00680F35">
            <w:pPr>
              <w:widowControl w:val="0"/>
              <w:rPr>
                <w:rFonts w:eastAsia="Times New Roman"/>
                <w:b/>
                <w:kern w:val="22"/>
                <w:sz w:val="21"/>
                <w:lang w:val="es-ES"/>
              </w:rPr>
            </w:pPr>
          </w:p>
        </w:tc>
        <w:tc>
          <w:tcPr>
            <w:tcW w:w="557" w:type="pct"/>
          </w:tcPr>
          <w:p w:rsidR="00680F35" w:rsidRPr="002647CE" w:rsidRDefault="00680F35">
            <w:pPr>
              <w:widowControl w:val="0"/>
              <w:jc w:val="left"/>
              <w:rPr>
                <w:rFonts w:eastAsia="Times New Roman"/>
                <w:b/>
                <w:kern w:val="22"/>
                <w:sz w:val="21"/>
                <w:lang w:val="es-ES"/>
              </w:rPr>
            </w:pPr>
          </w:p>
        </w:tc>
      </w:tr>
      <w:tr w:rsidR="00680F35" w:rsidRPr="002647CE">
        <w:tc>
          <w:tcPr>
            <w:tcW w:w="819" w:type="pct"/>
            <w:tcBorders>
              <w:top w:val="nil"/>
              <w:bottom w:val="nil"/>
            </w:tcBorders>
          </w:tcPr>
          <w:p w:rsidR="00680F35" w:rsidRPr="002647CE" w:rsidRDefault="00680F35">
            <w:pPr>
              <w:widowControl w:val="0"/>
              <w:rPr>
                <w:rFonts w:eastAsia="Times New Roman"/>
                <w:b/>
                <w:kern w:val="22"/>
                <w:sz w:val="21"/>
                <w:lang w:val="es-ES"/>
              </w:rPr>
            </w:pPr>
          </w:p>
        </w:tc>
        <w:tc>
          <w:tcPr>
            <w:tcW w:w="3072" w:type="pct"/>
          </w:tcPr>
          <w:p w:rsidR="00680F35" w:rsidRPr="002647CE" w:rsidRDefault="00680F35">
            <w:pPr>
              <w:pStyle w:val="ListParagraph"/>
              <w:widowControl w:val="0"/>
              <w:numPr>
                <w:ilvl w:val="0"/>
                <w:numId w:val="25"/>
              </w:numPr>
              <w:tabs>
                <w:tab w:val="clear" w:pos="1080"/>
              </w:tabs>
              <w:ind w:left="360"/>
              <w:jc w:val="left"/>
              <w:rPr>
                <w:rFonts w:eastAsia="Times New Roman"/>
                <w:lang w:val="es-ES"/>
              </w:rPr>
            </w:pPr>
            <w:r w:rsidRPr="002647CE">
              <w:rPr>
                <w:rFonts w:eastAsia="Times New Roman"/>
                <w:kern w:val="22"/>
                <w:sz w:val="21"/>
                <w:lang w:val="es-ES"/>
              </w:rPr>
              <w:t>Determinar qué herramientas innovadoras de gestión de los conocimientos existen, promoverlas y facilitar su implementación y ampliación a escala</w:t>
            </w:r>
          </w:p>
        </w:tc>
        <w:tc>
          <w:tcPr>
            <w:tcW w:w="552" w:type="pct"/>
          </w:tcPr>
          <w:p w:rsidR="00680F35" w:rsidRPr="002647CE" w:rsidRDefault="00680F35">
            <w:pPr>
              <w:widowControl w:val="0"/>
              <w:rPr>
                <w:rFonts w:eastAsia="Times New Roman"/>
                <w:b/>
                <w:kern w:val="22"/>
                <w:sz w:val="21"/>
                <w:lang w:val="es-ES"/>
              </w:rPr>
            </w:pPr>
          </w:p>
        </w:tc>
        <w:tc>
          <w:tcPr>
            <w:tcW w:w="557" w:type="pct"/>
          </w:tcPr>
          <w:p w:rsidR="00680F35" w:rsidRPr="002647CE" w:rsidRDefault="00680F35">
            <w:pPr>
              <w:widowControl w:val="0"/>
              <w:jc w:val="left"/>
              <w:rPr>
                <w:rFonts w:eastAsia="Times New Roman"/>
                <w:b/>
                <w:kern w:val="22"/>
                <w:sz w:val="21"/>
                <w:lang w:val="es-ES"/>
              </w:rPr>
            </w:pPr>
          </w:p>
        </w:tc>
      </w:tr>
      <w:tr w:rsidR="00680F35" w:rsidRPr="002647CE">
        <w:tc>
          <w:tcPr>
            <w:tcW w:w="819" w:type="pct"/>
            <w:tcBorders>
              <w:top w:val="nil"/>
            </w:tcBorders>
          </w:tcPr>
          <w:p w:rsidR="00680F35" w:rsidRPr="002647CE" w:rsidRDefault="00680F35">
            <w:pPr>
              <w:widowControl w:val="0"/>
              <w:rPr>
                <w:rFonts w:eastAsia="Times New Roman"/>
                <w:b/>
                <w:kern w:val="22"/>
                <w:sz w:val="21"/>
                <w:lang w:val="es-ES"/>
              </w:rPr>
            </w:pPr>
          </w:p>
        </w:tc>
        <w:tc>
          <w:tcPr>
            <w:tcW w:w="3072" w:type="pct"/>
          </w:tcPr>
          <w:p w:rsidR="00680F35" w:rsidRPr="002647CE" w:rsidRDefault="00680F35">
            <w:pPr>
              <w:pStyle w:val="ListParagraph"/>
              <w:widowControl w:val="0"/>
              <w:numPr>
                <w:ilvl w:val="0"/>
                <w:numId w:val="25"/>
              </w:numPr>
              <w:tabs>
                <w:tab w:val="clear" w:pos="1080"/>
              </w:tabs>
              <w:ind w:left="360"/>
              <w:jc w:val="left"/>
              <w:rPr>
                <w:rFonts w:eastAsia="Times New Roman"/>
                <w:lang w:val="es-ES"/>
              </w:rPr>
            </w:pPr>
            <w:r w:rsidRPr="002647CE">
              <w:rPr>
                <w:rFonts w:eastAsia="Times New Roman"/>
                <w:kern w:val="22"/>
                <w:sz w:val="21"/>
                <w:lang w:val="es-ES"/>
              </w:rPr>
              <w:t>Promover el uso de estudios de caso pertinentes sobre gestión de la información</w:t>
            </w:r>
          </w:p>
        </w:tc>
        <w:tc>
          <w:tcPr>
            <w:tcW w:w="552" w:type="pct"/>
          </w:tcPr>
          <w:p w:rsidR="00680F35" w:rsidRPr="002647CE" w:rsidRDefault="00680F35">
            <w:pPr>
              <w:widowControl w:val="0"/>
              <w:rPr>
                <w:rFonts w:eastAsia="Times New Roman"/>
                <w:b/>
                <w:kern w:val="22"/>
                <w:sz w:val="21"/>
                <w:lang w:val="es-ES"/>
              </w:rPr>
            </w:pPr>
          </w:p>
        </w:tc>
        <w:tc>
          <w:tcPr>
            <w:tcW w:w="557" w:type="pct"/>
          </w:tcPr>
          <w:p w:rsidR="00680F35" w:rsidRPr="002647CE" w:rsidRDefault="00680F35">
            <w:pPr>
              <w:widowControl w:val="0"/>
              <w:jc w:val="left"/>
              <w:rPr>
                <w:rFonts w:eastAsia="Times New Roman"/>
                <w:b/>
                <w:kern w:val="22"/>
                <w:sz w:val="21"/>
                <w:lang w:val="es-ES"/>
              </w:rPr>
            </w:pPr>
          </w:p>
        </w:tc>
      </w:tr>
    </w:tbl>
    <w:p w:rsidR="00680F35" w:rsidRPr="002647CE" w:rsidRDefault="00680F35">
      <w:pPr>
        <w:pStyle w:val="CBD-Para"/>
        <w:keepLines w:val="0"/>
        <w:numPr>
          <w:ilvl w:val="0"/>
          <w:numId w:val="0"/>
        </w:numPr>
        <w:spacing w:before="0" w:after="0"/>
        <w:jc w:val="center"/>
        <w:rPr>
          <w:rFonts w:eastAsia="Times New Roman"/>
          <w:kern w:val="22"/>
          <w:szCs w:val="24"/>
          <w:lang w:val="es-ES"/>
        </w:rPr>
      </w:pPr>
      <w:r w:rsidRPr="002647CE">
        <w:rPr>
          <w:rFonts w:eastAsia="Times New Roman"/>
          <w:kern w:val="22"/>
          <w:szCs w:val="24"/>
          <w:lang w:val="es-ES"/>
        </w:rPr>
        <w:t>______</w:t>
      </w:r>
    </w:p>
    <w:sectPr w:rsidR="00680F35" w:rsidRPr="002647CE" w:rsidSect="004333F4">
      <w:pgSz w:w="15840" w:h="12240" w:orient="landscape"/>
      <w:pgMar w:top="1389" w:right="567" w:bottom="1389" w:left="1134" w:header="56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A3" w:rsidRDefault="00691FA3">
      <w:pPr>
        <w:rPr>
          <w:rFonts w:eastAsia="Times New Roman"/>
        </w:rPr>
      </w:pPr>
      <w:r>
        <w:rPr>
          <w:rFonts w:eastAsia="Times New Roman"/>
        </w:rPr>
        <w:separator/>
      </w:r>
    </w:p>
  </w:endnote>
  <w:endnote w:type="continuationSeparator" w:id="0">
    <w:p w:rsidR="00691FA3" w:rsidRDefault="00691FA3">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A3" w:rsidRDefault="00691FA3">
      <w:pPr>
        <w:rPr>
          <w:rFonts w:eastAsia="Times New Roman"/>
        </w:rPr>
      </w:pPr>
      <w:r>
        <w:rPr>
          <w:rFonts w:eastAsia="Times New Roman"/>
        </w:rPr>
        <w:separator/>
      </w:r>
    </w:p>
  </w:footnote>
  <w:footnote w:type="continuationSeparator" w:id="0">
    <w:p w:rsidR="00691FA3" w:rsidRDefault="00691FA3">
      <w:pPr>
        <w:rPr>
          <w:rFonts w:eastAsia="Times New Roman"/>
        </w:rPr>
      </w:pPr>
      <w:r>
        <w:rPr>
          <w:rFonts w:eastAsia="Times New Roman"/>
        </w:rPr>
        <w:continuationSeparator/>
      </w:r>
    </w:p>
  </w:footnote>
  <w:footnote w:id="1">
    <w:p w:rsidR="00680F35" w:rsidRPr="00036FFB" w:rsidRDefault="00680F35">
      <w:pPr>
        <w:pStyle w:val="FootnoteText"/>
        <w:suppressLineNumbers/>
        <w:suppressAutoHyphens/>
        <w:ind w:firstLine="0"/>
        <w:jc w:val="left"/>
        <w:rPr>
          <w:rFonts w:eastAsia="Times New Roman"/>
          <w:kern w:val="18"/>
          <w:lang w:val="es-ES"/>
        </w:rPr>
      </w:pPr>
      <w:r w:rsidRPr="00036FFB">
        <w:rPr>
          <w:rStyle w:val="FootnoteReference"/>
          <w:rFonts w:eastAsia="Times New Roman"/>
          <w:kern w:val="18"/>
          <w:sz w:val="18"/>
          <w:vertAlign w:val="baseline"/>
          <w:lang w:val="es-ES"/>
        </w:rPr>
        <w:t>*</w:t>
      </w:r>
      <w:r w:rsidRPr="00036FFB">
        <w:rPr>
          <w:rFonts w:eastAsia="Times New Roman"/>
          <w:kern w:val="18"/>
          <w:lang w:val="es-ES"/>
        </w:rPr>
        <w:t xml:space="preserve"> CBD/SBI/3/1.</w:t>
      </w:r>
    </w:p>
  </w:footnote>
  <w:footnote w:id="2">
    <w:p w:rsidR="00680F35" w:rsidRPr="00036FFB" w:rsidRDefault="00680F35">
      <w:pPr>
        <w:pStyle w:val="FootnoteText"/>
        <w:ind w:firstLine="0"/>
        <w:rPr>
          <w:rFonts w:eastAsia="Times New Roman"/>
          <w:lang w:val="es-ES"/>
        </w:rPr>
      </w:pPr>
      <w:r w:rsidRPr="00036FFB">
        <w:rPr>
          <w:rStyle w:val="FootnoteReference"/>
          <w:rFonts w:eastAsia="Times New Roman"/>
          <w:kern w:val="18"/>
          <w:lang w:val="es-ES"/>
        </w:rPr>
        <w:footnoteRef/>
      </w:r>
      <w:r w:rsidR="002647CE">
        <w:rPr>
          <w:rFonts w:eastAsia="Times New Roman"/>
          <w:kern w:val="18"/>
          <w:lang w:val="es-ES"/>
        </w:rPr>
        <w:t> </w:t>
      </w:r>
      <w:r w:rsidRPr="00036FFB">
        <w:rPr>
          <w:rFonts w:eastAsia="Times New Roman"/>
          <w:kern w:val="18"/>
          <w:lang w:val="es-ES"/>
        </w:rPr>
        <w:t>Por ejemplo, los artículos 17 y 18 del Convenio sobre la Diversidad Biológica, el artículo 20 del Protocolo de Cartagena sobre Seguridad de la Biotecnología, el artículo 14 del Protocolo de</w:t>
      </w:r>
      <w:r w:rsidR="00980FC2">
        <w:rPr>
          <w:rFonts w:eastAsia="Times New Roman"/>
          <w:kern w:val="18"/>
          <w:lang w:val="es-ES"/>
        </w:rPr>
        <w:t xml:space="preserve"> </w:t>
      </w:r>
      <w:r w:rsidRPr="00036FFB">
        <w:rPr>
          <w:rFonts w:eastAsia="Times New Roman"/>
          <w:kern w:val="18"/>
          <w:lang w:val="es-ES"/>
        </w:rPr>
        <w:t>Nagoya, los artículos VI y VIII de la Convención sobre el Comercio Internacional de Especies Amenazadas de Fauna y Flora Silvestres, los artículos 3 y 6 de la Convención de Ramsar y el artículo V de la Convención sobre las Especies Migratorias, entre otr</w:t>
      </w:r>
      <w:r w:rsidR="008F2DD1" w:rsidRPr="00036FFB">
        <w:rPr>
          <w:rFonts w:eastAsia="Times New Roman"/>
          <w:kern w:val="18"/>
          <w:lang w:val="es-ES"/>
        </w:rPr>
        <w:t>a</w:t>
      </w:r>
      <w:r w:rsidRPr="00036FFB">
        <w:rPr>
          <w:rFonts w:eastAsia="Times New Roman"/>
          <w:kern w:val="18"/>
          <w:lang w:val="es-ES"/>
        </w:rPr>
        <w:t>s</w:t>
      </w:r>
      <w:r w:rsidR="002647CE">
        <w:rPr>
          <w:rFonts w:eastAsia="Times New Roman"/>
          <w:kern w:val="18"/>
          <w:lang w:val="es-ES"/>
        </w:rPr>
        <w:t xml:space="preserve"> disposiciones</w:t>
      </w:r>
      <w:r w:rsidRPr="00036FFB">
        <w:rPr>
          <w:rFonts w:eastAsia="Times New Roman"/>
          <w:kern w:val="18"/>
          <w:lang w:val="es-ES"/>
        </w:rPr>
        <w:t>.</w:t>
      </w:r>
    </w:p>
  </w:footnote>
  <w:footnote w:id="3">
    <w:p w:rsidR="00680F35" w:rsidRPr="00036FFB" w:rsidRDefault="00680F35">
      <w:pPr>
        <w:pStyle w:val="FootnoteText"/>
        <w:ind w:firstLine="0"/>
        <w:rPr>
          <w:rFonts w:eastAsia="Times New Roman"/>
          <w:lang w:val="es-ES"/>
        </w:rPr>
      </w:pPr>
      <w:r w:rsidRPr="00036FFB">
        <w:rPr>
          <w:rStyle w:val="FootnoteReference"/>
          <w:rFonts w:eastAsia="Times New Roman"/>
          <w:kern w:val="18"/>
          <w:lang w:val="es-ES"/>
        </w:rPr>
        <w:footnoteRef/>
      </w:r>
      <w:r w:rsidRPr="00036FFB">
        <w:rPr>
          <w:rFonts w:eastAsia="Times New Roman"/>
          <w:kern w:val="18"/>
          <w:lang w:val="es-ES"/>
        </w:rPr>
        <w:t xml:space="preserve"> Decisión X/2.</w:t>
      </w:r>
    </w:p>
  </w:footnote>
  <w:footnote w:id="4">
    <w:p w:rsidR="00680F35" w:rsidRPr="00036FFB" w:rsidRDefault="00680F35">
      <w:pPr>
        <w:pStyle w:val="FootnoteText"/>
        <w:ind w:firstLine="0"/>
        <w:rPr>
          <w:rFonts w:eastAsia="Times New Roman"/>
          <w:lang w:val="es-ES"/>
        </w:rPr>
      </w:pPr>
      <w:r w:rsidRPr="00036FFB">
        <w:rPr>
          <w:rStyle w:val="FootnoteReference"/>
          <w:rFonts w:eastAsia="Times New Roman"/>
          <w:kern w:val="18"/>
          <w:lang w:val="es-ES"/>
        </w:rPr>
        <w:footnoteRef/>
      </w:r>
      <w:r w:rsidRPr="00036FFB">
        <w:rPr>
          <w:rFonts w:eastAsia="Times New Roman"/>
          <w:kern w:val="18"/>
          <w:lang w:val="es-ES"/>
        </w:rPr>
        <w:t xml:space="preserve"> </w:t>
      </w:r>
      <w:hyperlink r:id="rId1" w:history="1">
        <w:r w:rsidRPr="00036FFB">
          <w:rPr>
            <w:rStyle w:val="Hyperlink"/>
            <w:rFonts w:eastAsia="Times New Roman"/>
            <w:kern w:val="18"/>
            <w:lang w:val="es-ES"/>
          </w:rPr>
          <w:t>http://www.cbd.int/gbo/</w:t>
        </w:r>
      </w:hyperlink>
    </w:p>
  </w:footnote>
  <w:footnote w:id="5">
    <w:p w:rsidR="00680F35" w:rsidRPr="00036FFB" w:rsidRDefault="00680F35">
      <w:pPr>
        <w:pStyle w:val="FootnoteText"/>
        <w:ind w:firstLine="0"/>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w:t>
      </w:r>
      <w:r w:rsidR="00036FFB" w:rsidRPr="00036FFB">
        <w:rPr>
          <w:rFonts w:eastAsia="Times New Roman"/>
          <w:lang w:val="es-ES"/>
        </w:rPr>
        <w:t>V</w:t>
      </w:r>
      <w:r w:rsidR="00036FFB">
        <w:rPr>
          <w:rFonts w:eastAsia="Times New Roman"/>
          <w:lang w:val="es-ES"/>
        </w:rPr>
        <w:t>é</w:t>
      </w:r>
      <w:r w:rsidR="00036FFB" w:rsidRPr="00036FFB">
        <w:rPr>
          <w:rFonts w:eastAsia="Times New Roman"/>
          <w:lang w:val="es-ES"/>
        </w:rPr>
        <w:t>ase el documento</w:t>
      </w:r>
      <w:r w:rsidR="00036FFB">
        <w:rPr>
          <w:rFonts w:eastAsia="Times New Roman"/>
          <w:lang w:val="es-ES"/>
        </w:rPr>
        <w:t xml:space="preserve"> de información</w:t>
      </w:r>
      <w:r w:rsidR="00036FFB" w:rsidRPr="00036FFB">
        <w:rPr>
          <w:rFonts w:eastAsia="Times New Roman"/>
          <w:lang w:val="es-ES"/>
        </w:rPr>
        <w:t xml:space="preserve"> sobre</w:t>
      </w:r>
      <w:r w:rsidR="00036FFB">
        <w:rPr>
          <w:rFonts w:eastAsia="Times New Roman"/>
          <w:lang w:val="es-ES"/>
        </w:rPr>
        <w:t xml:space="preserve"> “Uso eficaz de los conocimientos en la elaboración del marco mundial de la diversidad biológica posterior a 2020” (</w:t>
      </w:r>
      <w:r w:rsidRPr="00036FFB">
        <w:rPr>
          <w:rFonts w:eastAsia="Times New Roman"/>
          <w:lang w:val="es-ES"/>
        </w:rPr>
        <w:t>CBD/SBI/2/INF/33</w:t>
      </w:r>
      <w:r w:rsidR="00036FFB">
        <w:rPr>
          <w:rFonts w:eastAsia="Times New Roman"/>
          <w:lang w:val="es-ES"/>
        </w:rPr>
        <w:t>).</w:t>
      </w:r>
    </w:p>
  </w:footnote>
  <w:footnote w:id="6">
    <w:p w:rsidR="00680F35" w:rsidRPr="004214C7" w:rsidRDefault="00680F35">
      <w:pPr>
        <w:pStyle w:val="FootnoteText"/>
        <w:ind w:firstLine="0"/>
        <w:jc w:val="left"/>
        <w:rPr>
          <w:rFonts w:eastAsia="Times New Roman"/>
          <w:lang w:val="en-US"/>
        </w:rPr>
      </w:pPr>
      <w:r w:rsidRPr="00036FFB">
        <w:rPr>
          <w:rStyle w:val="FootnoteReference"/>
          <w:rFonts w:eastAsia="Times New Roman"/>
          <w:lang w:val="es-ES"/>
        </w:rPr>
        <w:footnoteRef/>
      </w:r>
      <w:r w:rsidRPr="00036FFB">
        <w:rPr>
          <w:rFonts w:eastAsia="Times New Roman"/>
          <w:lang w:val="es-ES"/>
        </w:rPr>
        <w:t xml:space="preserve"> Fuente:</w:t>
      </w:r>
      <w:r w:rsidR="004214C7">
        <w:rPr>
          <w:rFonts w:eastAsia="Times New Roman"/>
          <w:lang w:val="es-ES"/>
        </w:rPr>
        <w:t xml:space="preserve"> </w:t>
      </w:r>
      <w:r w:rsidRPr="00036FFB">
        <w:rPr>
          <w:rFonts w:eastAsia="Times New Roman"/>
          <w:lang w:val="es-ES"/>
        </w:rPr>
        <w:t>Rowley, J. 2007. “</w:t>
      </w:r>
      <w:hyperlink r:id="rId2" w:history="1">
        <w:r w:rsidRPr="004214C7">
          <w:rPr>
            <w:rStyle w:val="Hyperlink"/>
            <w:rFonts w:eastAsia="Times New Roman"/>
            <w:lang w:val="en-US"/>
          </w:rPr>
          <w:t>The Wisdom Hierarchy: Representations of the DIKW Hierarchy</w:t>
        </w:r>
      </w:hyperlink>
      <w:r w:rsidRPr="004214C7">
        <w:rPr>
          <w:rFonts w:eastAsia="Times New Roman"/>
          <w:lang w:val="en-US"/>
        </w:rPr>
        <w:t>”.</w:t>
      </w:r>
    </w:p>
  </w:footnote>
  <w:footnote w:id="7">
    <w:p w:rsidR="00680F35" w:rsidRPr="00036FFB" w:rsidRDefault="00680F35">
      <w:pPr>
        <w:pStyle w:val="FootnoteText"/>
        <w:spacing w:after="0"/>
        <w:ind w:firstLine="0"/>
        <w:jc w:val="left"/>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w:t>
      </w:r>
      <w:hyperlink r:id="rId3" w:history="1">
        <w:r w:rsidRPr="00036FFB">
          <w:rPr>
            <w:rStyle w:val="Hyperlink"/>
            <w:rFonts w:eastAsia="Times New Roman"/>
            <w:lang w:val="es-ES"/>
          </w:rPr>
          <w:t>https://www.cbd.int/chm/</w:t>
        </w:r>
      </w:hyperlink>
      <w:r w:rsidRPr="00036FFB">
        <w:rPr>
          <w:rFonts w:eastAsia="Times New Roman"/>
          <w:lang w:val="es-ES"/>
        </w:rPr>
        <w:t xml:space="preserve">; </w:t>
      </w:r>
      <w:hyperlink r:id="rId4" w:history="1">
        <w:r w:rsidRPr="00036FFB">
          <w:rPr>
            <w:rStyle w:val="Hyperlink"/>
            <w:rFonts w:eastAsia="Times New Roman"/>
            <w:lang w:val="es-ES"/>
          </w:rPr>
          <w:t>http://bch.cbd.int/</w:t>
        </w:r>
      </w:hyperlink>
      <w:r w:rsidRPr="00036FFB">
        <w:rPr>
          <w:rFonts w:eastAsia="Times New Roman"/>
          <w:lang w:val="es-ES"/>
        </w:rPr>
        <w:t xml:space="preserve">; </w:t>
      </w:r>
      <w:hyperlink r:id="rId5" w:history="1">
        <w:r w:rsidRPr="00036FFB">
          <w:rPr>
            <w:rStyle w:val="Hyperlink"/>
            <w:rFonts w:eastAsia="Times New Roman"/>
            <w:lang w:val="es-ES"/>
          </w:rPr>
          <w:t>https://absch.cbd.int/es/</w:t>
        </w:r>
      </w:hyperlink>
      <w:r w:rsidRPr="00036FFB">
        <w:rPr>
          <w:rFonts w:eastAsia="Times New Roman"/>
          <w:lang w:val="es-ES"/>
        </w:rPr>
        <w:t xml:space="preserve">; </w:t>
      </w:r>
      <w:hyperlink r:id="rId6" w:history="1">
        <w:r w:rsidRPr="00036FFB">
          <w:rPr>
            <w:rStyle w:val="Hyperlink"/>
            <w:rFonts w:eastAsia="Times New Roman"/>
            <w:lang w:val="es-ES"/>
          </w:rPr>
          <w:t>https://rsis.ramsar.org/es?language=es</w:t>
        </w:r>
      </w:hyperlink>
      <w:r w:rsidRPr="00036FFB">
        <w:rPr>
          <w:rFonts w:eastAsia="Times New Roman"/>
          <w:lang w:val="es-ES"/>
        </w:rPr>
        <w:t xml:space="preserve">; y </w:t>
      </w:r>
      <w:hyperlink r:id="rId7" w:history="1">
        <w:r w:rsidRPr="00036FFB">
          <w:rPr>
            <w:rStyle w:val="Hyperlink"/>
            <w:rFonts w:eastAsia="Times New Roman"/>
            <w:lang w:val="es-ES"/>
          </w:rPr>
          <w:t>https://trade.cites.org/es/cites_trade</w:t>
        </w:r>
      </w:hyperlink>
    </w:p>
  </w:footnote>
  <w:footnote w:id="8">
    <w:p w:rsidR="00680F35" w:rsidRPr="00036FFB" w:rsidRDefault="00680F35">
      <w:pPr>
        <w:pStyle w:val="FootnoteText"/>
        <w:spacing w:after="0"/>
        <w:ind w:firstLine="0"/>
        <w:jc w:val="left"/>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w:t>
      </w:r>
      <w:hyperlink r:id="rId8" w:history="1">
        <w:r w:rsidRPr="00036FFB">
          <w:rPr>
            <w:rStyle w:val="Hyperlink"/>
            <w:rFonts w:eastAsia="Times New Roman"/>
            <w:lang w:val="es-ES"/>
          </w:rPr>
          <w:t>https://www.informea.org/es</w:t>
        </w:r>
      </w:hyperlink>
    </w:p>
  </w:footnote>
  <w:footnote w:id="9">
    <w:p w:rsidR="00680F35" w:rsidRPr="00036FFB" w:rsidRDefault="00680F35">
      <w:pPr>
        <w:pStyle w:val="FootnoteText"/>
        <w:spacing w:after="0"/>
        <w:ind w:firstLine="0"/>
        <w:jc w:val="left"/>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w:t>
      </w:r>
      <w:hyperlink r:id="rId9" w:history="1">
        <w:r w:rsidRPr="00036FFB">
          <w:rPr>
            <w:rStyle w:val="Hyperlink"/>
            <w:rFonts w:eastAsia="Times New Roman"/>
            <w:lang w:val="es-ES"/>
          </w:rPr>
          <w:t>https://www.iucnredlist.org/es/assessment/sis</w:t>
        </w:r>
      </w:hyperlink>
    </w:p>
  </w:footnote>
  <w:footnote w:id="10">
    <w:p w:rsidR="00680F35" w:rsidRPr="00036FFB" w:rsidRDefault="00680F35">
      <w:pPr>
        <w:pStyle w:val="FootnoteText"/>
        <w:spacing w:after="0"/>
        <w:ind w:firstLine="0"/>
        <w:jc w:val="left"/>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w:t>
      </w:r>
      <w:hyperlink r:id="rId10" w:history="1">
        <w:r w:rsidRPr="00036FFB">
          <w:rPr>
            <w:rStyle w:val="Hyperlink"/>
            <w:rFonts w:eastAsia="Times New Roman"/>
            <w:lang w:val="es-ES"/>
          </w:rPr>
          <w:t>https://www.unbiodiversitylab.org/</w:t>
        </w:r>
      </w:hyperlink>
    </w:p>
  </w:footnote>
  <w:footnote w:id="11">
    <w:p w:rsidR="00680F35" w:rsidRPr="00036FFB" w:rsidRDefault="00680F35">
      <w:pPr>
        <w:pStyle w:val="FootnoteText"/>
        <w:spacing w:after="0"/>
        <w:ind w:firstLine="0"/>
        <w:jc w:val="left"/>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Véase: </w:t>
      </w:r>
      <w:hyperlink r:id="rId11" w:history="1">
        <w:r w:rsidRPr="00036FFB">
          <w:rPr>
            <w:rStyle w:val="Hyperlink"/>
            <w:rFonts w:eastAsia="Times New Roman"/>
            <w:lang w:val="es-ES"/>
          </w:rPr>
          <w:t>https://www.protectedplanet.net/</w:t>
        </w:r>
      </w:hyperlink>
      <w:r w:rsidRPr="00036FFB">
        <w:rPr>
          <w:rFonts w:eastAsia="Times New Roman"/>
          <w:lang w:val="es-ES"/>
        </w:rPr>
        <w:t xml:space="preserve">; </w:t>
      </w:r>
      <w:hyperlink r:id="rId12" w:history="1">
        <w:r w:rsidRPr="00036FFB">
          <w:rPr>
            <w:rStyle w:val="Hyperlink"/>
            <w:rFonts w:eastAsia="Times New Roman"/>
            <w:lang w:val="es-ES"/>
          </w:rPr>
          <w:t>https://pame.protectedplanet.net</w:t>
        </w:r>
      </w:hyperlink>
      <w:r w:rsidRPr="00036FFB">
        <w:rPr>
          <w:rFonts w:eastAsia="Times New Roman"/>
          <w:lang w:val="es-ES"/>
        </w:rPr>
        <w:t xml:space="preserve"> y </w:t>
      </w:r>
      <w:hyperlink r:id="rId13" w:history="1">
        <w:r w:rsidRPr="00036FFB">
          <w:rPr>
            <w:rStyle w:val="Hyperlink"/>
            <w:rFonts w:eastAsia="Times New Roman"/>
            <w:lang w:val="es-ES"/>
          </w:rPr>
          <w:t>https://www.iccaregistry.org/?locale=es</w:t>
        </w:r>
      </w:hyperlink>
    </w:p>
  </w:footnote>
  <w:footnote w:id="12">
    <w:p w:rsidR="00680F35" w:rsidRPr="00036FFB" w:rsidRDefault="00680F35">
      <w:pPr>
        <w:pStyle w:val="FootnoteText"/>
        <w:spacing w:after="0"/>
        <w:ind w:firstLine="0"/>
        <w:jc w:val="left"/>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Estas y otras fuentes están detalladas en el “Compendio de orientaciones sobre las bases de datos mundiales clave vinculadas con los convenios relacionados con la biodiversidad” elaborado por el CMVC-PNUMA, disponible en </w:t>
      </w:r>
      <w:hyperlink r:id="rId14" w:history="1">
        <w:r w:rsidRPr="00036FFB">
          <w:rPr>
            <w:rStyle w:val="Hyperlink"/>
            <w:rFonts w:eastAsia="Times New Roman"/>
            <w:lang w:val="es-ES"/>
          </w:rPr>
          <w:t>https://www.unep-wcmc.org/system/comfy/cms/files/files/000/001/739/original/Output_3_-_Guidance_on_databases_final_ES.pdf</w:t>
        </w:r>
      </w:hyperlink>
      <w:r w:rsidRPr="00036FFB">
        <w:rPr>
          <w:rFonts w:eastAsia="Times New Roman"/>
          <w:lang w:val="es-ES"/>
        </w:rPr>
        <w:t xml:space="preserve">. </w:t>
      </w:r>
    </w:p>
  </w:footnote>
  <w:footnote w:id="13">
    <w:p w:rsidR="00996A41" w:rsidRPr="00036FFB" w:rsidRDefault="00996A41" w:rsidP="00996A41">
      <w:pPr>
        <w:pStyle w:val="FootnoteText"/>
        <w:spacing w:after="0"/>
        <w:ind w:firstLine="0"/>
        <w:rPr>
          <w:rFonts w:eastAsia="Times New Roman"/>
          <w:lang w:val="es-ES"/>
        </w:rPr>
      </w:pPr>
      <w:r w:rsidRPr="00036FFB">
        <w:rPr>
          <w:rStyle w:val="FootnoteReference"/>
          <w:rFonts w:eastAsia="Times New Roman"/>
          <w:lang w:val="es-ES"/>
        </w:rPr>
        <w:footnoteRef/>
      </w:r>
      <w:r>
        <w:rPr>
          <w:rFonts w:eastAsia="Times New Roman"/>
          <w:lang w:val="es-ES"/>
        </w:rPr>
        <w:t> </w:t>
      </w:r>
      <w:r w:rsidRPr="00036FFB">
        <w:rPr>
          <w:rFonts w:eastAsia="Times New Roman"/>
          <w:lang w:val="es-ES"/>
        </w:rPr>
        <w:t xml:space="preserve">Estas tecnologías podrían incluir sistemas de gestión de contenidos web, sistemas de gestión de registros y documentos electrónicos, herramientas de colaboración, motores de búsqueda, herramientas de clasificación y portales, así como bibliotecas y centros de información. </w:t>
      </w:r>
    </w:p>
  </w:footnote>
  <w:footnote w:id="14">
    <w:p w:rsidR="00680F35" w:rsidRPr="00036FFB" w:rsidRDefault="00680F35">
      <w:pPr>
        <w:pStyle w:val="NormalWeb"/>
        <w:spacing w:before="0" w:beforeAutospacing="0" w:after="0" w:afterAutospacing="0"/>
        <w:rPr>
          <w:rFonts w:eastAsia="Times New Roman"/>
          <w:sz w:val="18"/>
          <w:szCs w:val="24"/>
          <w:lang w:val="es-ES"/>
        </w:rPr>
      </w:pPr>
      <w:r w:rsidRPr="00036FFB">
        <w:rPr>
          <w:rStyle w:val="FootnoteReference"/>
          <w:rFonts w:eastAsia="Times New Roman"/>
          <w:sz w:val="18"/>
          <w:szCs w:val="24"/>
          <w:lang w:val="es-ES"/>
        </w:rPr>
        <w:footnoteRef/>
      </w:r>
      <w:r w:rsidRPr="00036FFB">
        <w:rPr>
          <w:rFonts w:eastAsia="Times New Roman"/>
          <w:sz w:val="18"/>
          <w:szCs w:val="24"/>
          <w:lang w:val="es-ES"/>
        </w:rPr>
        <w:t xml:space="preserve"> Algun</w:t>
      </w:r>
      <w:r w:rsidR="001E47C9">
        <w:rPr>
          <w:rFonts w:eastAsia="Times New Roman"/>
          <w:sz w:val="18"/>
          <w:szCs w:val="24"/>
          <w:lang w:val="es-ES"/>
        </w:rPr>
        <w:t>o</w:t>
      </w:r>
      <w:r w:rsidRPr="00036FFB">
        <w:rPr>
          <w:rFonts w:eastAsia="Times New Roman"/>
          <w:sz w:val="18"/>
          <w:szCs w:val="24"/>
          <w:lang w:val="es-ES"/>
        </w:rPr>
        <w:t xml:space="preserve">s de </w:t>
      </w:r>
      <w:r w:rsidR="001E47C9">
        <w:rPr>
          <w:rFonts w:eastAsia="Times New Roman"/>
          <w:sz w:val="18"/>
          <w:szCs w:val="24"/>
          <w:lang w:val="es-ES"/>
        </w:rPr>
        <w:t>su</w:t>
      </w:r>
      <w:r w:rsidRPr="00036FFB">
        <w:rPr>
          <w:rFonts w:eastAsia="Times New Roman"/>
          <w:sz w:val="18"/>
          <w:szCs w:val="24"/>
          <w:lang w:val="es-ES"/>
        </w:rPr>
        <w:t xml:space="preserve">s </w:t>
      </w:r>
      <w:r w:rsidR="001E47C9">
        <w:rPr>
          <w:rFonts w:eastAsia="Times New Roman"/>
          <w:sz w:val="18"/>
          <w:szCs w:val="24"/>
          <w:lang w:val="es-ES"/>
        </w:rPr>
        <w:t>esfuerzos en este sentido</w:t>
      </w:r>
      <w:r w:rsidRPr="00036FFB">
        <w:rPr>
          <w:rFonts w:eastAsia="Times New Roman"/>
          <w:sz w:val="18"/>
          <w:szCs w:val="24"/>
          <w:lang w:val="es-ES"/>
        </w:rPr>
        <w:t xml:space="preserve"> se describen en la decisión IPBES-7/1.</w:t>
      </w:r>
    </w:p>
  </w:footnote>
  <w:footnote w:id="15">
    <w:p w:rsidR="00680F35" w:rsidRPr="00036FFB" w:rsidRDefault="00680F35">
      <w:pPr>
        <w:pStyle w:val="FootnoteText"/>
        <w:spacing w:after="0"/>
        <w:ind w:firstLine="0"/>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El descubrimiento y la reunión de conocimientos comprenden la búsqueda, localización, identificación y adquisición de datos, información y conocimientos.</w:t>
      </w:r>
    </w:p>
  </w:footnote>
  <w:footnote w:id="16">
    <w:p w:rsidR="00680F35" w:rsidRPr="00036FFB" w:rsidRDefault="00680F35">
      <w:pPr>
        <w:pStyle w:val="FootnoteText"/>
        <w:spacing w:after="0"/>
        <w:ind w:firstLine="0"/>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w:t>
      </w:r>
      <w:r w:rsidR="008205B5">
        <w:rPr>
          <w:rFonts w:eastAsia="Times New Roman"/>
          <w:lang w:val="es-ES"/>
        </w:rPr>
        <w:t>Véase el documento</w:t>
      </w:r>
      <w:r w:rsidRPr="00036FFB">
        <w:rPr>
          <w:rFonts w:eastAsia="Times New Roman"/>
          <w:lang w:val="es-ES"/>
        </w:rPr>
        <w:t xml:space="preserve"> CBD/SBI/3/7/Add.2</w:t>
      </w:r>
      <w:r w:rsidR="008205B5">
        <w:rPr>
          <w:rFonts w:eastAsia="Times New Roman"/>
          <w:lang w:val="es-ES"/>
        </w:rPr>
        <w:t>, anexo II</w:t>
      </w:r>
      <w:r w:rsidRPr="00036FFB">
        <w:rPr>
          <w:rFonts w:eastAsia="Times New Roman"/>
          <w:lang w:val="es-ES"/>
        </w:rPr>
        <w:t>.</w:t>
      </w:r>
    </w:p>
  </w:footnote>
  <w:footnote w:id="17">
    <w:p w:rsidR="00680F35" w:rsidRPr="00036FFB" w:rsidRDefault="00680F35">
      <w:pPr>
        <w:pStyle w:val="FootnoteText"/>
        <w:spacing w:after="0"/>
        <w:ind w:firstLine="0"/>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w:t>
      </w:r>
      <w:hyperlink r:id="rId15" w:history="1">
        <w:r w:rsidRPr="00036FFB">
          <w:rPr>
            <w:rStyle w:val="Hyperlink"/>
            <w:rFonts w:eastAsia="Times New Roman"/>
            <w:lang w:val="es-ES"/>
          </w:rPr>
          <w:t>https://es.allianceforbio.org/</w:t>
        </w:r>
      </w:hyperlink>
      <w:r w:rsidRPr="00036FFB">
        <w:rPr>
          <w:rFonts w:eastAsia="Times New Roman"/>
          <w:lang w:val="es-ES"/>
        </w:rPr>
        <w:t xml:space="preserve"> </w:t>
      </w:r>
    </w:p>
  </w:footnote>
  <w:footnote w:id="18">
    <w:p w:rsidR="00680F35" w:rsidRPr="00036FFB" w:rsidRDefault="00680F35">
      <w:pPr>
        <w:pStyle w:val="FootnoteText"/>
        <w:ind w:firstLine="0"/>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Los plazos para las distintas medidas estratégicas se </w:t>
      </w:r>
      <w:r w:rsidR="00317D96">
        <w:rPr>
          <w:rFonts w:eastAsia="Times New Roman"/>
          <w:lang w:val="es-ES"/>
        </w:rPr>
        <w:t>definirán</w:t>
      </w:r>
      <w:r w:rsidRPr="00036FFB">
        <w:rPr>
          <w:rFonts w:eastAsia="Times New Roman"/>
          <w:lang w:val="es-ES"/>
        </w:rPr>
        <w:t xml:space="preserve"> luego de las deliberaciones de la tercera reunión del Órgano Subsidiario </w:t>
      </w:r>
      <w:r w:rsidR="00C870F9">
        <w:rPr>
          <w:rFonts w:eastAsia="Times New Roman"/>
          <w:lang w:val="es-ES"/>
        </w:rPr>
        <w:t>sobre</w:t>
      </w:r>
      <w:r w:rsidRPr="00036FFB">
        <w:rPr>
          <w:rFonts w:eastAsia="Times New Roman"/>
          <w:lang w:val="es-ES"/>
        </w:rPr>
        <w:t xml:space="preserve"> la Aplicación.</w:t>
      </w:r>
    </w:p>
  </w:footnote>
  <w:footnote w:id="19">
    <w:p w:rsidR="00680F35" w:rsidRPr="00036FFB" w:rsidRDefault="00680F35">
      <w:pPr>
        <w:pStyle w:val="FootnoteText"/>
        <w:ind w:firstLine="0"/>
        <w:rPr>
          <w:rFonts w:eastAsia="Times New Roman"/>
          <w:lang w:val="es-ES"/>
        </w:rPr>
      </w:pPr>
      <w:r w:rsidRPr="00036FFB">
        <w:rPr>
          <w:rStyle w:val="FootnoteReference"/>
          <w:rFonts w:eastAsia="Times New Roman"/>
          <w:lang w:val="es-ES"/>
        </w:rPr>
        <w:footnoteRef/>
      </w:r>
      <w:r w:rsidRPr="00036FFB">
        <w:rPr>
          <w:rFonts w:eastAsia="Times New Roman"/>
          <w:lang w:val="es-ES"/>
        </w:rPr>
        <w:t xml:space="preserve"> Esta columna se completará luego de la tercera reunión del Órgano Subsidiario sobre la Aplicación y tras las expresiones voluntarias de interés en contribuir a las medidas estratégicas acordadas que se reciban de organizaciones asociadas pertinentes.</w:t>
      </w:r>
    </w:p>
  </w:footnote>
  <w:footnote w:id="20">
    <w:p w:rsidR="00680F35" w:rsidRPr="00036FFB" w:rsidRDefault="00680F35">
      <w:pPr>
        <w:pStyle w:val="NormalWeb"/>
        <w:spacing w:before="0" w:beforeAutospacing="0" w:after="0" w:afterAutospacing="0"/>
        <w:rPr>
          <w:rFonts w:eastAsia="Times New Roman"/>
          <w:szCs w:val="24"/>
          <w:lang w:val="es-ES"/>
        </w:rPr>
      </w:pPr>
      <w:r w:rsidRPr="00036FFB">
        <w:rPr>
          <w:rStyle w:val="FootnoteReference"/>
          <w:rFonts w:eastAsia="Times New Roman"/>
          <w:sz w:val="18"/>
          <w:szCs w:val="24"/>
          <w:lang w:val="es-ES"/>
        </w:rPr>
        <w:footnoteRef/>
      </w:r>
      <w:r w:rsidRPr="00036FFB">
        <w:rPr>
          <w:rFonts w:eastAsia="Times New Roman"/>
          <w:sz w:val="18"/>
          <w:szCs w:val="24"/>
          <w:lang w:val="es-ES"/>
        </w:rPr>
        <w:t xml:space="preserve"> Estas podrían incluir las herramientas detalladas en los </w:t>
      </w:r>
      <w:hyperlink r:id="rId16" w:history="1">
        <w:r w:rsidRPr="00036FFB">
          <w:rPr>
            <w:rStyle w:val="Hyperlink"/>
            <w:rFonts w:eastAsia="Times New Roman"/>
            <w:szCs w:val="24"/>
            <w:lang w:val="es-ES"/>
          </w:rPr>
          <w:t>compendios del CMVC-PNUMA</w:t>
        </w:r>
      </w:hyperlink>
      <w:r w:rsidRPr="00036FFB">
        <w:rPr>
          <w:rFonts w:eastAsia="Times New Roman"/>
          <w:sz w:val="18"/>
          <w:szCs w:val="24"/>
          <w:lang w:val="es-ES"/>
        </w:rPr>
        <w:t>.</w:t>
      </w:r>
      <w:r w:rsidRPr="00036FFB">
        <w:rPr>
          <w:rFonts w:eastAsia="Times New Roman"/>
          <w:color w:val="0000FF"/>
          <w:sz w:val="18"/>
          <w:szCs w:val="24"/>
          <w:lang w:val="es-ES"/>
        </w:rPr>
        <w:t xml:space="preserve"> </w:t>
      </w:r>
    </w:p>
  </w:footnote>
  <w:footnote w:id="21">
    <w:p w:rsidR="00680F35" w:rsidRPr="00036FFB" w:rsidRDefault="00680F35">
      <w:pPr>
        <w:pStyle w:val="FootnoteText"/>
        <w:ind w:firstLine="0"/>
        <w:rPr>
          <w:rFonts w:eastAsia="Times New Roman"/>
          <w:lang w:val="es-ES"/>
        </w:rPr>
      </w:pPr>
      <w:r w:rsidRPr="00036FFB">
        <w:rPr>
          <w:rStyle w:val="FootnoteReference"/>
          <w:rFonts w:eastAsia="Times New Roman"/>
          <w:lang w:val="es-ES"/>
        </w:rPr>
        <w:footnoteRef/>
      </w:r>
      <w:r w:rsidR="00C870F9">
        <w:rPr>
          <w:rFonts w:eastAsia="Times New Roman"/>
          <w:lang w:val="es-ES"/>
        </w:rPr>
        <w:t> </w:t>
      </w:r>
      <w:r w:rsidRPr="00036FFB">
        <w:rPr>
          <w:rFonts w:eastAsia="Times New Roman"/>
          <w:lang w:val="es-ES"/>
        </w:rPr>
        <w:t>El Grupo de Trabajo Especial de Composición Abierta sobre el Artículo 8</w:t>
      </w:r>
      <w:r w:rsidR="00C870F9">
        <w:rPr>
          <w:rFonts w:eastAsia="Times New Roman"/>
          <w:lang w:val="es-ES"/>
        </w:rPr>
        <w:t> </w:t>
      </w:r>
      <w:r w:rsidRPr="00036FFB">
        <w:rPr>
          <w:rFonts w:eastAsia="Times New Roman"/>
          <w:lang w:val="es-ES"/>
        </w:rPr>
        <w:t xml:space="preserve">j) y Disposiciones Conexas y el grupo de trabajo de la IPBES sobre conocimientos indígenas y locales podrían desempeñar un </w:t>
      </w:r>
      <w:r w:rsidR="00317D96">
        <w:rPr>
          <w:rFonts w:eastAsia="Times New Roman"/>
          <w:lang w:val="es-ES"/>
        </w:rPr>
        <w:t>papel</w:t>
      </w:r>
      <w:r w:rsidRPr="00036FFB">
        <w:rPr>
          <w:rFonts w:eastAsia="Times New Roman"/>
          <w:lang w:val="es-ES"/>
        </w:rPr>
        <w:t xml:space="preserve"> en este sentido.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35" w:rsidRDefault="00680F35">
    <w:pPr>
      <w:pStyle w:val="Header"/>
      <w:keepLines/>
      <w:suppressLineNumbers/>
      <w:suppressAutoHyphens/>
      <w:jc w:val="left"/>
      <w:rPr>
        <w:rFonts w:eastAsia="Times New Roman"/>
        <w:kern w:val="22"/>
        <w:lang w:val="es-ES"/>
      </w:rPr>
    </w:pPr>
    <w:r>
      <w:rPr>
        <w:rFonts w:eastAsia="Times New Roman"/>
        <w:kern w:val="22"/>
        <w:lang w:val="es-ES"/>
      </w:rPr>
      <w:t>CBD/SBI/3/8/Add.1</w:t>
    </w:r>
  </w:p>
  <w:p w:rsidR="00680F35" w:rsidRDefault="00680F35">
    <w:pPr>
      <w:pStyle w:val="Header"/>
      <w:keepLines/>
      <w:suppressLineNumbers/>
      <w:suppressAutoHyphens/>
      <w:spacing w:after="240"/>
      <w:jc w:val="left"/>
      <w:rPr>
        <w:rFonts w:eastAsia="Times New Roman"/>
        <w:lang w:val="es-ES"/>
      </w:rPr>
    </w:pPr>
    <w:r>
      <w:rPr>
        <w:rFonts w:eastAsia="Times New Roman"/>
        <w:kern w:val="22"/>
        <w:lang w:val="es-ES"/>
      </w:rPr>
      <w:t xml:space="preserve">Página </w:t>
    </w:r>
    <w:r w:rsidR="004333F4">
      <w:rPr>
        <w:rFonts w:eastAsia="Times New Roman"/>
        <w:kern w:val="22"/>
        <w:lang w:val="es-ES"/>
      </w:rPr>
      <w:fldChar w:fldCharType="begin"/>
    </w:r>
    <w:r>
      <w:rPr>
        <w:rFonts w:eastAsia="Times New Roman"/>
        <w:kern w:val="22"/>
        <w:lang w:val="es-ES"/>
      </w:rPr>
      <w:instrText xml:space="preserve"> PAGE   \* MERGEFORMAT </w:instrText>
    </w:r>
    <w:r w:rsidR="004333F4">
      <w:rPr>
        <w:rFonts w:eastAsia="Times New Roman"/>
        <w:kern w:val="22"/>
        <w:lang w:val="es-ES"/>
      </w:rPr>
      <w:fldChar w:fldCharType="separate"/>
    </w:r>
    <w:r w:rsidR="00980FC2" w:rsidRPr="00980FC2">
      <w:rPr>
        <w:rFonts w:eastAsia="Times New Roman"/>
        <w:noProof/>
        <w:kern w:val="22"/>
      </w:rPr>
      <w:t>2</w:t>
    </w:r>
    <w:r w:rsidR="004333F4">
      <w:rPr>
        <w:rFonts w:eastAsia="Times New Roman"/>
        <w:kern w:val="22"/>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35" w:rsidRDefault="00680F35">
    <w:pPr>
      <w:pStyle w:val="Header"/>
      <w:keepLines/>
      <w:suppressLineNumbers/>
      <w:tabs>
        <w:tab w:val="clear" w:pos="4320"/>
        <w:tab w:val="clear" w:pos="8640"/>
      </w:tabs>
      <w:suppressAutoHyphens/>
      <w:jc w:val="right"/>
      <w:rPr>
        <w:rFonts w:eastAsia="Times New Roman"/>
        <w:lang w:val="es-ES"/>
      </w:rPr>
    </w:pPr>
    <w:r>
      <w:rPr>
        <w:rFonts w:eastAsia="Times New Roman"/>
        <w:lang w:val="es-ES"/>
      </w:rPr>
      <w:t>CBD/SBI/3/8/Add.1</w:t>
    </w:r>
  </w:p>
  <w:p w:rsidR="00680F35" w:rsidRDefault="00680F35">
    <w:pPr>
      <w:pStyle w:val="Header"/>
      <w:keepLines/>
      <w:suppressLineNumbers/>
      <w:tabs>
        <w:tab w:val="clear" w:pos="4320"/>
        <w:tab w:val="clear" w:pos="8640"/>
      </w:tabs>
      <w:suppressAutoHyphens/>
      <w:spacing w:after="240"/>
      <w:jc w:val="right"/>
      <w:rPr>
        <w:rFonts w:eastAsia="Times New Roman"/>
        <w:lang w:val="es-ES"/>
      </w:rPr>
    </w:pPr>
    <w:r>
      <w:rPr>
        <w:rFonts w:eastAsia="Times New Roman"/>
        <w:lang w:val="es-ES"/>
      </w:rPr>
      <w:t xml:space="preserve">Página </w:t>
    </w:r>
    <w:r w:rsidR="004333F4">
      <w:rPr>
        <w:rFonts w:eastAsia="Times New Roman"/>
        <w:lang w:val="es-ES"/>
      </w:rPr>
      <w:fldChar w:fldCharType="begin"/>
    </w:r>
    <w:r>
      <w:rPr>
        <w:rFonts w:eastAsia="Times New Roman"/>
        <w:lang w:val="es-ES"/>
      </w:rPr>
      <w:instrText xml:space="preserve"> PAGE   \* MERGEFORMAT </w:instrText>
    </w:r>
    <w:r w:rsidR="004333F4">
      <w:rPr>
        <w:rFonts w:eastAsia="Times New Roman"/>
        <w:lang w:val="es-ES"/>
      </w:rPr>
      <w:fldChar w:fldCharType="separate"/>
    </w:r>
    <w:r w:rsidR="00980FC2" w:rsidRPr="00980FC2">
      <w:rPr>
        <w:rFonts w:eastAsia="Times New Roman"/>
        <w:noProof/>
      </w:rPr>
      <w:t>9</w:t>
    </w:r>
    <w:r w:rsidR="004333F4">
      <w:rPr>
        <w:rFonts w:eastAsia="Times New Roman"/>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CA6"/>
    <w:multiLevelType w:val="hybridMultilevel"/>
    <w:tmpl w:val="391C73C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F364BF"/>
    <w:multiLevelType w:val="multilevel"/>
    <w:tmpl w:val="9C68E1E2"/>
    <w:numStyleLink w:val="AnnexLettering"/>
  </w:abstractNum>
  <w:abstractNum w:abstractNumId="2">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78B00DB"/>
    <w:multiLevelType w:val="hybridMultilevel"/>
    <w:tmpl w:val="F5CC3B5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A37200D"/>
    <w:multiLevelType w:val="hybridMultilevel"/>
    <w:tmpl w:val="2EA60BFA"/>
    <w:lvl w:ilvl="0" w:tplc="F900FDF2">
      <w:start w:val="1"/>
      <w:numFmt w:val="lowerLetter"/>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7A83158"/>
    <w:multiLevelType w:val="hybridMultilevel"/>
    <w:tmpl w:val="6F8A59CA"/>
    <w:lvl w:ilvl="0" w:tplc="0409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DA15C5F"/>
    <w:multiLevelType w:val="hybridMultilevel"/>
    <w:tmpl w:val="D5A0E1BC"/>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38561CA"/>
    <w:multiLevelType w:val="hybridMultilevel"/>
    <w:tmpl w:val="C00875D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9416BB8"/>
    <w:multiLevelType w:val="hybridMultilevel"/>
    <w:tmpl w:val="22C2F7D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1">
    <w:nsid w:val="316C4811"/>
    <w:multiLevelType w:val="hybridMultilevel"/>
    <w:tmpl w:val="04C0AFAE"/>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5DF7BC5"/>
    <w:multiLevelType w:val="hybridMultilevel"/>
    <w:tmpl w:val="C4B62834"/>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BA30C9F"/>
    <w:multiLevelType w:val="hybridMultilevel"/>
    <w:tmpl w:val="E5A467B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CA410CD"/>
    <w:multiLevelType w:val="hybridMultilevel"/>
    <w:tmpl w:val="C8DE6C3A"/>
    <w:lvl w:ilvl="0" w:tplc="E0FCDF18">
      <w:start w:val="1"/>
      <w:numFmt w:val="decimal"/>
      <w:pStyle w:val="CBD-Para"/>
      <w:lvlText w:val="%1."/>
      <w:lvlJc w:val="left"/>
      <w:pPr>
        <w:tabs>
          <w:tab w:val="num" w:pos="720"/>
        </w:tabs>
      </w:pPr>
      <w:rPr>
        <w:rFonts w:cs="Times New Roman" w:hint="default"/>
        <w:b w:val="0"/>
        <w:bCs w:val="0"/>
        <w:i w:val="0"/>
      </w:rPr>
    </w:lvl>
    <w:lvl w:ilvl="1" w:tplc="04090017">
      <w:start w:val="1"/>
      <w:numFmt w:val="lowerLetter"/>
      <w:lvlText w:val="%2)"/>
      <w:lvlJc w:val="left"/>
      <w:pPr>
        <w:tabs>
          <w:tab w:val="num" w:pos="1080"/>
        </w:tabs>
        <w:ind w:left="1080" w:hanging="360"/>
      </w:pPr>
      <w:rPr>
        <w:rFonts w:cs="Times New Roman" w:hint="default"/>
        <w:b w:val="0"/>
        <w:bCs w:val="0"/>
        <w:i w:val="0"/>
      </w:rPr>
    </w:lvl>
    <w:lvl w:ilvl="2" w:tplc="07B06256">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6">
    <w:nsid w:val="488F4AF0"/>
    <w:multiLevelType w:val="hybridMultilevel"/>
    <w:tmpl w:val="202CA7B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4D94015"/>
    <w:multiLevelType w:val="hybridMultilevel"/>
    <w:tmpl w:val="3AFEAD3A"/>
    <w:lvl w:ilvl="0" w:tplc="88884B2A">
      <w:start w:val="1"/>
      <w:numFmt w:val="lowerLetter"/>
      <w:lvlText w:val="%1)"/>
      <w:lvlJc w:val="left"/>
      <w:pPr>
        <w:ind w:left="720" w:hanging="360"/>
      </w:pPr>
      <w:rPr>
        <w:rFonts w:ascii="Times New Roman" w:hAnsi="Times New Roman" w:cs="Comic Sans MS"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56245FA1"/>
    <w:multiLevelType w:val="multilevel"/>
    <w:tmpl w:val="9D5417C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080"/>
        </w:tabs>
        <w:ind w:left="1080" w:hanging="360"/>
      </w:pPr>
      <w:rPr>
        <w:rFonts w:cs="Times New Roman" w:hint="default"/>
        <w:b w:val="0"/>
        <w:i w:val="0"/>
        <w:sz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3">
    <w:nsid w:val="71F34D29"/>
    <w:multiLevelType w:val="hybridMultilevel"/>
    <w:tmpl w:val="12C68366"/>
    <w:lvl w:ilvl="0" w:tplc="6B6C6A22">
      <w:start w:val="1"/>
      <w:numFmt w:val="upperLetter"/>
      <w:lvlText w:val="%1."/>
      <w:lvlJc w:val="left"/>
      <w:pPr>
        <w:ind w:left="180" w:hanging="360"/>
      </w:pPr>
      <w:rPr>
        <w:rFonts w:ascii="Times New Roman" w:hAnsi="Times New Roman" w:cs="Times New Roman" w:hint="default"/>
        <w:b w:val="0"/>
        <w:bCs/>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4">
    <w:nsid w:val="7D3B2528"/>
    <w:multiLevelType w:val="hybridMultilevel"/>
    <w:tmpl w:val="61661C3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8"/>
  </w:num>
  <w:num w:numId="3">
    <w:abstractNumId w:val="17"/>
  </w:num>
  <w:num w:numId="4">
    <w:abstractNumId w:val="22"/>
  </w:num>
  <w:num w:numId="5">
    <w:abstractNumId w:val="21"/>
  </w:num>
  <w:num w:numId="6">
    <w:abstractNumId w:val="10"/>
  </w:num>
  <w:num w:numId="7">
    <w:abstractNumId w:val="10"/>
    <w:lvlOverride w:ilvl="0">
      <w:startOverride w:val="1"/>
    </w:lvlOverride>
  </w:num>
  <w:num w:numId="8">
    <w:abstractNumId w:val="2"/>
  </w:num>
  <w:num w:numId="9">
    <w:abstractNumId w:val="1"/>
  </w:num>
  <w:num w:numId="10">
    <w:abstractNumId w:val="20"/>
  </w:num>
  <w:num w:numId="11">
    <w:abstractNumId w:val="15"/>
  </w:num>
  <w:num w:numId="12">
    <w:abstractNumId w:val="14"/>
  </w:num>
  <w:num w:numId="13">
    <w:abstractNumId w:val="25"/>
  </w:num>
  <w:num w:numId="14">
    <w:abstractNumId w:val="23"/>
  </w:num>
  <w:num w:numId="15">
    <w:abstractNumId w:val="16"/>
  </w:num>
  <w:num w:numId="16">
    <w:abstractNumId w:val="6"/>
  </w:num>
  <w:num w:numId="17">
    <w:abstractNumId w:val="13"/>
  </w:num>
  <w:num w:numId="18">
    <w:abstractNumId w:val="7"/>
  </w:num>
  <w:num w:numId="19">
    <w:abstractNumId w:val="0"/>
  </w:num>
  <w:num w:numId="20">
    <w:abstractNumId w:val="24"/>
  </w:num>
  <w:num w:numId="21">
    <w:abstractNumId w:val="8"/>
  </w:num>
  <w:num w:numId="22">
    <w:abstractNumId w:val="3"/>
  </w:num>
  <w:num w:numId="23">
    <w:abstractNumId w:val="4"/>
  </w:num>
  <w:num w:numId="24">
    <w:abstractNumId w:val="12"/>
  </w:num>
  <w:num w:numId="25">
    <w:abstractNumId w:val="11"/>
  </w:num>
  <w:num w:numId="26">
    <w:abstractNumId w:val="19"/>
  </w:num>
  <w:num w:numId="27">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rsids>
    <w:rsidRoot w:val="00C9161D"/>
    <w:rsid w:val="000004B5"/>
    <w:rsid w:val="00000EE3"/>
    <w:rsid w:val="0000214E"/>
    <w:rsid w:val="00005467"/>
    <w:rsid w:val="00006218"/>
    <w:rsid w:val="0000649A"/>
    <w:rsid w:val="00006E65"/>
    <w:rsid w:val="00007B48"/>
    <w:rsid w:val="00010EA3"/>
    <w:rsid w:val="0001224D"/>
    <w:rsid w:val="00012F20"/>
    <w:rsid w:val="00016583"/>
    <w:rsid w:val="000167F4"/>
    <w:rsid w:val="000203D5"/>
    <w:rsid w:val="000228DB"/>
    <w:rsid w:val="00025557"/>
    <w:rsid w:val="00026F7B"/>
    <w:rsid w:val="00035A5A"/>
    <w:rsid w:val="0003641E"/>
    <w:rsid w:val="00036635"/>
    <w:rsid w:val="0003695D"/>
    <w:rsid w:val="00036FFB"/>
    <w:rsid w:val="0003720B"/>
    <w:rsid w:val="00041B66"/>
    <w:rsid w:val="00042ED1"/>
    <w:rsid w:val="00043418"/>
    <w:rsid w:val="00043C53"/>
    <w:rsid w:val="000444EB"/>
    <w:rsid w:val="00051E42"/>
    <w:rsid w:val="000520B7"/>
    <w:rsid w:val="00052FF0"/>
    <w:rsid w:val="00053DBE"/>
    <w:rsid w:val="000546B2"/>
    <w:rsid w:val="000605E9"/>
    <w:rsid w:val="0006514A"/>
    <w:rsid w:val="000715AB"/>
    <w:rsid w:val="00072DF2"/>
    <w:rsid w:val="00072F4E"/>
    <w:rsid w:val="000739DE"/>
    <w:rsid w:val="0007735E"/>
    <w:rsid w:val="000819EF"/>
    <w:rsid w:val="00081BF5"/>
    <w:rsid w:val="000829DD"/>
    <w:rsid w:val="00085AB4"/>
    <w:rsid w:val="00085E07"/>
    <w:rsid w:val="000862A2"/>
    <w:rsid w:val="000871B5"/>
    <w:rsid w:val="000871C0"/>
    <w:rsid w:val="0009044A"/>
    <w:rsid w:val="00091456"/>
    <w:rsid w:val="00092C1F"/>
    <w:rsid w:val="00092E7D"/>
    <w:rsid w:val="00094939"/>
    <w:rsid w:val="00095274"/>
    <w:rsid w:val="000959C9"/>
    <w:rsid w:val="00095B9D"/>
    <w:rsid w:val="000A02F7"/>
    <w:rsid w:val="000A0B78"/>
    <w:rsid w:val="000A195F"/>
    <w:rsid w:val="000A1E61"/>
    <w:rsid w:val="000A27F4"/>
    <w:rsid w:val="000A35A2"/>
    <w:rsid w:val="000A72C7"/>
    <w:rsid w:val="000B2DF5"/>
    <w:rsid w:val="000B398E"/>
    <w:rsid w:val="000B6F92"/>
    <w:rsid w:val="000B71C5"/>
    <w:rsid w:val="000B7BAD"/>
    <w:rsid w:val="000C2181"/>
    <w:rsid w:val="000C24CF"/>
    <w:rsid w:val="000C2855"/>
    <w:rsid w:val="000C4BD2"/>
    <w:rsid w:val="000C4FF7"/>
    <w:rsid w:val="000C56EF"/>
    <w:rsid w:val="000C5BCA"/>
    <w:rsid w:val="000C5C4A"/>
    <w:rsid w:val="000C6B94"/>
    <w:rsid w:val="000C7649"/>
    <w:rsid w:val="000D006F"/>
    <w:rsid w:val="000D1127"/>
    <w:rsid w:val="000D30B7"/>
    <w:rsid w:val="000D4E4C"/>
    <w:rsid w:val="000D4E77"/>
    <w:rsid w:val="000D58D5"/>
    <w:rsid w:val="000D62B5"/>
    <w:rsid w:val="000E07E0"/>
    <w:rsid w:val="000E673A"/>
    <w:rsid w:val="000F0939"/>
    <w:rsid w:val="000F0F7F"/>
    <w:rsid w:val="000F4B88"/>
    <w:rsid w:val="000F5204"/>
    <w:rsid w:val="000F65D5"/>
    <w:rsid w:val="000F74F5"/>
    <w:rsid w:val="000F7749"/>
    <w:rsid w:val="0010052F"/>
    <w:rsid w:val="00101A1A"/>
    <w:rsid w:val="001022DD"/>
    <w:rsid w:val="001024D6"/>
    <w:rsid w:val="00102DBF"/>
    <w:rsid w:val="00105372"/>
    <w:rsid w:val="001058D1"/>
    <w:rsid w:val="00107E3C"/>
    <w:rsid w:val="00110F2C"/>
    <w:rsid w:val="0011321E"/>
    <w:rsid w:val="00114BB7"/>
    <w:rsid w:val="00122E04"/>
    <w:rsid w:val="0012470B"/>
    <w:rsid w:val="00126717"/>
    <w:rsid w:val="001275D4"/>
    <w:rsid w:val="00127931"/>
    <w:rsid w:val="0013060B"/>
    <w:rsid w:val="00130771"/>
    <w:rsid w:val="00130DDA"/>
    <w:rsid w:val="00130EA2"/>
    <w:rsid w:val="00131C30"/>
    <w:rsid w:val="00131E7A"/>
    <w:rsid w:val="00132445"/>
    <w:rsid w:val="0013396D"/>
    <w:rsid w:val="00136C7B"/>
    <w:rsid w:val="00140180"/>
    <w:rsid w:val="001403D9"/>
    <w:rsid w:val="001425DE"/>
    <w:rsid w:val="001429B7"/>
    <w:rsid w:val="00142C49"/>
    <w:rsid w:val="00143725"/>
    <w:rsid w:val="0014587B"/>
    <w:rsid w:val="00147769"/>
    <w:rsid w:val="00147D4B"/>
    <w:rsid w:val="00150E38"/>
    <w:rsid w:val="001516FC"/>
    <w:rsid w:val="00152F57"/>
    <w:rsid w:val="00153BBB"/>
    <w:rsid w:val="001565F0"/>
    <w:rsid w:val="00156B1C"/>
    <w:rsid w:val="00157CD5"/>
    <w:rsid w:val="00160925"/>
    <w:rsid w:val="00161355"/>
    <w:rsid w:val="00164CDA"/>
    <w:rsid w:val="0017265E"/>
    <w:rsid w:val="00172AF6"/>
    <w:rsid w:val="0017511C"/>
    <w:rsid w:val="00175A6D"/>
    <w:rsid w:val="0017684D"/>
    <w:rsid w:val="00176CEE"/>
    <w:rsid w:val="001819BD"/>
    <w:rsid w:val="001855DE"/>
    <w:rsid w:val="00191ECF"/>
    <w:rsid w:val="00192FFF"/>
    <w:rsid w:val="00195B55"/>
    <w:rsid w:val="001A2EE9"/>
    <w:rsid w:val="001A5071"/>
    <w:rsid w:val="001A7966"/>
    <w:rsid w:val="001A7B4D"/>
    <w:rsid w:val="001B01E5"/>
    <w:rsid w:val="001B370C"/>
    <w:rsid w:val="001B54A3"/>
    <w:rsid w:val="001C017A"/>
    <w:rsid w:val="001C3FF3"/>
    <w:rsid w:val="001C5448"/>
    <w:rsid w:val="001C5AD6"/>
    <w:rsid w:val="001C7F0C"/>
    <w:rsid w:val="001D0309"/>
    <w:rsid w:val="001D0954"/>
    <w:rsid w:val="001D464B"/>
    <w:rsid w:val="001E2411"/>
    <w:rsid w:val="001E31FB"/>
    <w:rsid w:val="001E3221"/>
    <w:rsid w:val="001E3483"/>
    <w:rsid w:val="001E3DC5"/>
    <w:rsid w:val="001E47C9"/>
    <w:rsid w:val="001E52DE"/>
    <w:rsid w:val="001F1A2C"/>
    <w:rsid w:val="001F4589"/>
    <w:rsid w:val="00200A18"/>
    <w:rsid w:val="00200E29"/>
    <w:rsid w:val="002031A8"/>
    <w:rsid w:val="00203AD0"/>
    <w:rsid w:val="00207CA8"/>
    <w:rsid w:val="002104CF"/>
    <w:rsid w:val="00210A56"/>
    <w:rsid w:val="00210F27"/>
    <w:rsid w:val="00213DF3"/>
    <w:rsid w:val="0021415C"/>
    <w:rsid w:val="002160DC"/>
    <w:rsid w:val="002172B1"/>
    <w:rsid w:val="002206E9"/>
    <w:rsid w:val="0022142E"/>
    <w:rsid w:val="00221459"/>
    <w:rsid w:val="0022157D"/>
    <w:rsid w:val="0022217D"/>
    <w:rsid w:val="002232DD"/>
    <w:rsid w:val="002236CC"/>
    <w:rsid w:val="002243DF"/>
    <w:rsid w:val="002252D3"/>
    <w:rsid w:val="00225D2C"/>
    <w:rsid w:val="002270F4"/>
    <w:rsid w:val="00235171"/>
    <w:rsid w:val="002408D2"/>
    <w:rsid w:val="00242B3C"/>
    <w:rsid w:val="00243D69"/>
    <w:rsid w:val="002501B3"/>
    <w:rsid w:val="00252F9D"/>
    <w:rsid w:val="00254A53"/>
    <w:rsid w:val="00255D9B"/>
    <w:rsid w:val="002563A8"/>
    <w:rsid w:val="00262C6F"/>
    <w:rsid w:val="0026403C"/>
    <w:rsid w:val="002647CE"/>
    <w:rsid w:val="0026788B"/>
    <w:rsid w:val="00274AF0"/>
    <w:rsid w:val="002754FF"/>
    <w:rsid w:val="00280067"/>
    <w:rsid w:val="00291C4F"/>
    <w:rsid w:val="00292964"/>
    <w:rsid w:val="00293E66"/>
    <w:rsid w:val="00294E35"/>
    <w:rsid w:val="002970F0"/>
    <w:rsid w:val="00297E8D"/>
    <w:rsid w:val="002A0FE6"/>
    <w:rsid w:val="002A2096"/>
    <w:rsid w:val="002A2550"/>
    <w:rsid w:val="002A41E8"/>
    <w:rsid w:val="002A4B31"/>
    <w:rsid w:val="002A6C3C"/>
    <w:rsid w:val="002A7EDC"/>
    <w:rsid w:val="002B4802"/>
    <w:rsid w:val="002B4909"/>
    <w:rsid w:val="002B61E7"/>
    <w:rsid w:val="002B6870"/>
    <w:rsid w:val="002C33A8"/>
    <w:rsid w:val="002C6686"/>
    <w:rsid w:val="002D13E5"/>
    <w:rsid w:val="002D216E"/>
    <w:rsid w:val="002D58E2"/>
    <w:rsid w:val="002D64CF"/>
    <w:rsid w:val="002D6A99"/>
    <w:rsid w:val="002D7092"/>
    <w:rsid w:val="002D755D"/>
    <w:rsid w:val="002E091F"/>
    <w:rsid w:val="002E0EF6"/>
    <w:rsid w:val="002E44EF"/>
    <w:rsid w:val="002E45F0"/>
    <w:rsid w:val="002E61E9"/>
    <w:rsid w:val="002E6A5F"/>
    <w:rsid w:val="002F3827"/>
    <w:rsid w:val="002F4A2A"/>
    <w:rsid w:val="002F56F7"/>
    <w:rsid w:val="002F5C4B"/>
    <w:rsid w:val="002F6923"/>
    <w:rsid w:val="00300490"/>
    <w:rsid w:val="003026AE"/>
    <w:rsid w:val="003067B7"/>
    <w:rsid w:val="00306ED1"/>
    <w:rsid w:val="003102B2"/>
    <w:rsid w:val="00311425"/>
    <w:rsid w:val="003121B6"/>
    <w:rsid w:val="00313CBF"/>
    <w:rsid w:val="00314EF6"/>
    <w:rsid w:val="00317363"/>
    <w:rsid w:val="00317D96"/>
    <w:rsid w:val="00324E56"/>
    <w:rsid w:val="00325089"/>
    <w:rsid w:val="00327580"/>
    <w:rsid w:val="00330D13"/>
    <w:rsid w:val="00332298"/>
    <w:rsid w:val="0033234D"/>
    <w:rsid w:val="003345D3"/>
    <w:rsid w:val="0033470C"/>
    <w:rsid w:val="00335258"/>
    <w:rsid w:val="00337DE4"/>
    <w:rsid w:val="00341457"/>
    <w:rsid w:val="00344A87"/>
    <w:rsid w:val="00352E41"/>
    <w:rsid w:val="00353BBD"/>
    <w:rsid w:val="00354102"/>
    <w:rsid w:val="00355703"/>
    <w:rsid w:val="003600F4"/>
    <w:rsid w:val="003605B3"/>
    <w:rsid w:val="00362840"/>
    <w:rsid w:val="00362909"/>
    <w:rsid w:val="00362E93"/>
    <w:rsid w:val="00366916"/>
    <w:rsid w:val="00370F8E"/>
    <w:rsid w:val="00372F74"/>
    <w:rsid w:val="00373E70"/>
    <w:rsid w:val="00375343"/>
    <w:rsid w:val="003755DA"/>
    <w:rsid w:val="00383BE1"/>
    <w:rsid w:val="003850F1"/>
    <w:rsid w:val="00386096"/>
    <w:rsid w:val="00386832"/>
    <w:rsid w:val="00391766"/>
    <w:rsid w:val="003A319E"/>
    <w:rsid w:val="003A6A9B"/>
    <w:rsid w:val="003B1507"/>
    <w:rsid w:val="003B153A"/>
    <w:rsid w:val="003B1F6D"/>
    <w:rsid w:val="003B49A0"/>
    <w:rsid w:val="003B515E"/>
    <w:rsid w:val="003B68F4"/>
    <w:rsid w:val="003C02D3"/>
    <w:rsid w:val="003C4322"/>
    <w:rsid w:val="003C67F7"/>
    <w:rsid w:val="003C72C7"/>
    <w:rsid w:val="003D12C7"/>
    <w:rsid w:val="003D1E80"/>
    <w:rsid w:val="003D2913"/>
    <w:rsid w:val="003D3241"/>
    <w:rsid w:val="003D3A51"/>
    <w:rsid w:val="003D5240"/>
    <w:rsid w:val="003D5B4F"/>
    <w:rsid w:val="003D6680"/>
    <w:rsid w:val="003E0962"/>
    <w:rsid w:val="003E2DBE"/>
    <w:rsid w:val="003E6223"/>
    <w:rsid w:val="003E6CD8"/>
    <w:rsid w:val="003E79C4"/>
    <w:rsid w:val="003F400E"/>
    <w:rsid w:val="003F46AE"/>
    <w:rsid w:val="003F7224"/>
    <w:rsid w:val="0040036B"/>
    <w:rsid w:val="004009B1"/>
    <w:rsid w:val="0040362B"/>
    <w:rsid w:val="00406AC0"/>
    <w:rsid w:val="0040743A"/>
    <w:rsid w:val="00413D40"/>
    <w:rsid w:val="004178A9"/>
    <w:rsid w:val="004214C7"/>
    <w:rsid w:val="00422499"/>
    <w:rsid w:val="00422EC0"/>
    <w:rsid w:val="00423AA3"/>
    <w:rsid w:val="004244B4"/>
    <w:rsid w:val="00424837"/>
    <w:rsid w:val="00426A01"/>
    <w:rsid w:val="00427D21"/>
    <w:rsid w:val="004320EF"/>
    <w:rsid w:val="004333F4"/>
    <w:rsid w:val="004336B7"/>
    <w:rsid w:val="00433843"/>
    <w:rsid w:val="00437E85"/>
    <w:rsid w:val="00440EA0"/>
    <w:rsid w:val="00441020"/>
    <w:rsid w:val="00441E81"/>
    <w:rsid w:val="0044210B"/>
    <w:rsid w:val="0044280C"/>
    <w:rsid w:val="00444488"/>
    <w:rsid w:val="0044522A"/>
    <w:rsid w:val="004466F8"/>
    <w:rsid w:val="00447CE4"/>
    <w:rsid w:val="00451283"/>
    <w:rsid w:val="00453909"/>
    <w:rsid w:val="00453FB8"/>
    <w:rsid w:val="004541D6"/>
    <w:rsid w:val="00456269"/>
    <w:rsid w:val="0045676B"/>
    <w:rsid w:val="004571B8"/>
    <w:rsid w:val="0046106A"/>
    <w:rsid w:val="00462858"/>
    <w:rsid w:val="00462B75"/>
    <w:rsid w:val="00463687"/>
    <w:rsid w:val="004644C2"/>
    <w:rsid w:val="004669BA"/>
    <w:rsid w:val="00467F9C"/>
    <w:rsid w:val="00471765"/>
    <w:rsid w:val="004725D4"/>
    <w:rsid w:val="00475FA3"/>
    <w:rsid w:val="00476DCA"/>
    <w:rsid w:val="00480D5D"/>
    <w:rsid w:val="00482485"/>
    <w:rsid w:val="0048590B"/>
    <w:rsid w:val="00490FF6"/>
    <w:rsid w:val="0049112E"/>
    <w:rsid w:val="0049449A"/>
    <w:rsid w:val="0049490B"/>
    <w:rsid w:val="004952A1"/>
    <w:rsid w:val="004957EF"/>
    <w:rsid w:val="0049602C"/>
    <w:rsid w:val="004976FB"/>
    <w:rsid w:val="004977DF"/>
    <w:rsid w:val="004A02FA"/>
    <w:rsid w:val="004A1266"/>
    <w:rsid w:val="004A4814"/>
    <w:rsid w:val="004A4AC5"/>
    <w:rsid w:val="004A4D7A"/>
    <w:rsid w:val="004A664B"/>
    <w:rsid w:val="004A72DA"/>
    <w:rsid w:val="004B2797"/>
    <w:rsid w:val="004B35C3"/>
    <w:rsid w:val="004B4679"/>
    <w:rsid w:val="004C171C"/>
    <w:rsid w:val="004C42FD"/>
    <w:rsid w:val="004C52EC"/>
    <w:rsid w:val="004C58E1"/>
    <w:rsid w:val="004C660D"/>
    <w:rsid w:val="004D04F9"/>
    <w:rsid w:val="004D13FC"/>
    <w:rsid w:val="004D4EA1"/>
    <w:rsid w:val="004D5C5A"/>
    <w:rsid w:val="004E2D66"/>
    <w:rsid w:val="004E4AFB"/>
    <w:rsid w:val="004E5083"/>
    <w:rsid w:val="004E772F"/>
    <w:rsid w:val="004F18CC"/>
    <w:rsid w:val="004F4425"/>
    <w:rsid w:val="004F6845"/>
    <w:rsid w:val="00500A87"/>
    <w:rsid w:val="0050177F"/>
    <w:rsid w:val="005021FE"/>
    <w:rsid w:val="00502656"/>
    <w:rsid w:val="00502988"/>
    <w:rsid w:val="005036BF"/>
    <w:rsid w:val="005077E0"/>
    <w:rsid w:val="005146D4"/>
    <w:rsid w:val="00515BBE"/>
    <w:rsid w:val="00515C8D"/>
    <w:rsid w:val="00520A72"/>
    <w:rsid w:val="00523D69"/>
    <w:rsid w:val="00524EF3"/>
    <w:rsid w:val="00530D16"/>
    <w:rsid w:val="00532EC0"/>
    <w:rsid w:val="005337DF"/>
    <w:rsid w:val="005343D0"/>
    <w:rsid w:val="00534681"/>
    <w:rsid w:val="00534747"/>
    <w:rsid w:val="00534DD9"/>
    <w:rsid w:val="00535924"/>
    <w:rsid w:val="005360BA"/>
    <w:rsid w:val="00537445"/>
    <w:rsid w:val="005375A4"/>
    <w:rsid w:val="00537F21"/>
    <w:rsid w:val="00540E1A"/>
    <w:rsid w:val="00543E67"/>
    <w:rsid w:val="00547457"/>
    <w:rsid w:val="0055252D"/>
    <w:rsid w:val="00552ABB"/>
    <w:rsid w:val="00554565"/>
    <w:rsid w:val="0055555C"/>
    <w:rsid w:val="00556072"/>
    <w:rsid w:val="00560199"/>
    <w:rsid w:val="00560906"/>
    <w:rsid w:val="00560E58"/>
    <w:rsid w:val="005617AF"/>
    <w:rsid w:val="00563A98"/>
    <w:rsid w:val="00564042"/>
    <w:rsid w:val="00566CE3"/>
    <w:rsid w:val="00570E55"/>
    <w:rsid w:val="00571DAF"/>
    <w:rsid w:val="00572C1F"/>
    <w:rsid w:val="005779E3"/>
    <w:rsid w:val="0058074E"/>
    <w:rsid w:val="0058170D"/>
    <w:rsid w:val="005819DB"/>
    <w:rsid w:val="00585F8E"/>
    <w:rsid w:val="00587F5D"/>
    <w:rsid w:val="00595D55"/>
    <w:rsid w:val="00595DA4"/>
    <w:rsid w:val="00596031"/>
    <w:rsid w:val="005A0310"/>
    <w:rsid w:val="005A097F"/>
    <w:rsid w:val="005A3534"/>
    <w:rsid w:val="005B2105"/>
    <w:rsid w:val="005B2A5B"/>
    <w:rsid w:val="005B7036"/>
    <w:rsid w:val="005B753C"/>
    <w:rsid w:val="005C1C28"/>
    <w:rsid w:val="005C49AC"/>
    <w:rsid w:val="005C64E8"/>
    <w:rsid w:val="005C7022"/>
    <w:rsid w:val="005C7693"/>
    <w:rsid w:val="005D1439"/>
    <w:rsid w:val="005D2FCF"/>
    <w:rsid w:val="005D46F2"/>
    <w:rsid w:val="005E0106"/>
    <w:rsid w:val="005E1139"/>
    <w:rsid w:val="005E1574"/>
    <w:rsid w:val="005E15FB"/>
    <w:rsid w:val="005E20BD"/>
    <w:rsid w:val="005E356C"/>
    <w:rsid w:val="005E55C2"/>
    <w:rsid w:val="005E63F1"/>
    <w:rsid w:val="005E7A71"/>
    <w:rsid w:val="005E7A82"/>
    <w:rsid w:val="005F157A"/>
    <w:rsid w:val="005F18A1"/>
    <w:rsid w:val="005F19B9"/>
    <w:rsid w:val="005F2238"/>
    <w:rsid w:val="005F2A31"/>
    <w:rsid w:val="00603152"/>
    <w:rsid w:val="0060330F"/>
    <w:rsid w:val="00603E45"/>
    <w:rsid w:val="00604DC6"/>
    <w:rsid w:val="00606CF7"/>
    <w:rsid w:val="00606FB1"/>
    <w:rsid w:val="0060727C"/>
    <w:rsid w:val="00607368"/>
    <w:rsid w:val="006122BA"/>
    <w:rsid w:val="006164D8"/>
    <w:rsid w:val="006173AA"/>
    <w:rsid w:val="00617998"/>
    <w:rsid w:val="00617C66"/>
    <w:rsid w:val="00620669"/>
    <w:rsid w:val="00620A77"/>
    <w:rsid w:val="00621167"/>
    <w:rsid w:val="00621976"/>
    <w:rsid w:val="00621AD3"/>
    <w:rsid w:val="006268FE"/>
    <w:rsid w:val="00626DFC"/>
    <w:rsid w:val="00631ECE"/>
    <w:rsid w:val="00632431"/>
    <w:rsid w:val="00634F45"/>
    <w:rsid w:val="006361A3"/>
    <w:rsid w:val="00636E9B"/>
    <w:rsid w:val="00637294"/>
    <w:rsid w:val="006374C7"/>
    <w:rsid w:val="0064018B"/>
    <w:rsid w:val="00640376"/>
    <w:rsid w:val="00641A4F"/>
    <w:rsid w:val="0064270B"/>
    <w:rsid w:val="00642D2A"/>
    <w:rsid w:val="006435AA"/>
    <w:rsid w:val="006470A1"/>
    <w:rsid w:val="0064793F"/>
    <w:rsid w:val="00650954"/>
    <w:rsid w:val="006524AA"/>
    <w:rsid w:val="00653751"/>
    <w:rsid w:val="006543B0"/>
    <w:rsid w:val="006547B7"/>
    <w:rsid w:val="00654DCC"/>
    <w:rsid w:val="00655934"/>
    <w:rsid w:val="00656250"/>
    <w:rsid w:val="00656BB7"/>
    <w:rsid w:val="00661EB3"/>
    <w:rsid w:val="00661EE8"/>
    <w:rsid w:val="00662783"/>
    <w:rsid w:val="00663634"/>
    <w:rsid w:val="00663AD9"/>
    <w:rsid w:val="006649E1"/>
    <w:rsid w:val="0066698A"/>
    <w:rsid w:val="00667204"/>
    <w:rsid w:val="0067287C"/>
    <w:rsid w:val="006742E9"/>
    <w:rsid w:val="00674444"/>
    <w:rsid w:val="006748B1"/>
    <w:rsid w:val="00674F2D"/>
    <w:rsid w:val="00675881"/>
    <w:rsid w:val="00676E32"/>
    <w:rsid w:val="00677024"/>
    <w:rsid w:val="00677219"/>
    <w:rsid w:val="00680F35"/>
    <w:rsid w:val="00682573"/>
    <w:rsid w:val="00687B66"/>
    <w:rsid w:val="0069012E"/>
    <w:rsid w:val="00691FA3"/>
    <w:rsid w:val="00692503"/>
    <w:rsid w:val="006930D8"/>
    <w:rsid w:val="006942D6"/>
    <w:rsid w:val="006947E5"/>
    <w:rsid w:val="00694CD2"/>
    <w:rsid w:val="006A1D78"/>
    <w:rsid w:val="006A3F9C"/>
    <w:rsid w:val="006A432B"/>
    <w:rsid w:val="006A6E0A"/>
    <w:rsid w:val="006A7231"/>
    <w:rsid w:val="006B112D"/>
    <w:rsid w:val="006B1732"/>
    <w:rsid w:val="006B2290"/>
    <w:rsid w:val="006B343B"/>
    <w:rsid w:val="006B3E31"/>
    <w:rsid w:val="006B59D8"/>
    <w:rsid w:val="006B63DC"/>
    <w:rsid w:val="006B7F67"/>
    <w:rsid w:val="006C0B63"/>
    <w:rsid w:val="006C2074"/>
    <w:rsid w:val="006C295E"/>
    <w:rsid w:val="006C3139"/>
    <w:rsid w:val="006C4B6F"/>
    <w:rsid w:val="006C6278"/>
    <w:rsid w:val="006C7689"/>
    <w:rsid w:val="006D0106"/>
    <w:rsid w:val="006D2724"/>
    <w:rsid w:val="006D45FE"/>
    <w:rsid w:val="006D7AB1"/>
    <w:rsid w:val="006E0957"/>
    <w:rsid w:val="006E460A"/>
    <w:rsid w:val="006E48AD"/>
    <w:rsid w:val="006E5912"/>
    <w:rsid w:val="006E5E85"/>
    <w:rsid w:val="006F42AC"/>
    <w:rsid w:val="006F5FF3"/>
    <w:rsid w:val="006F6E30"/>
    <w:rsid w:val="00702231"/>
    <w:rsid w:val="00703DF8"/>
    <w:rsid w:val="007047A8"/>
    <w:rsid w:val="007056E3"/>
    <w:rsid w:val="0070584A"/>
    <w:rsid w:val="007061C3"/>
    <w:rsid w:val="0070716E"/>
    <w:rsid w:val="00710798"/>
    <w:rsid w:val="0071442E"/>
    <w:rsid w:val="00716E19"/>
    <w:rsid w:val="00717D88"/>
    <w:rsid w:val="00721CFB"/>
    <w:rsid w:val="00724E6E"/>
    <w:rsid w:val="00725091"/>
    <w:rsid w:val="007256EA"/>
    <w:rsid w:val="00725AD9"/>
    <w:rsid w:val="00726FC2"/>
    <w:rsid w:val="00733FE3"/>
    <w:rsid w:val="0073556D"/>
    <w:rsid w:val="0074066B"/>
    <w:rsid w:val="00740DC1"/>
    <w:rsid w:val="007420FD"/>
    <w:rsid w:val="0074468A"/>
    <w:rsid w:val="007451A2"/>
    <w:rsid w:val="00745470"/>
    <w:rsid w:val="007461FF"/>
    <w:rsid w:val="0074760E"/>
    <w:rsid w:val="00751025"/>
    <w:rsid w:val="007514A0"/>
    <w:rsid w:val="0075490E"/>
    <w:rsid w:val="00754FEF"/>
    <w:rsid w:val="00755C62"/>
    <w:rsid w:val="007623FF"/>
    <w:rsid w:val="007651B6"/>
    <w:rsid w:val="00770661"/>
    <w:rsid w:val="00773AF4"/>
    <w:rsid w:val="00781E97"/>
    <w:rsid w:val="007825C0"/>
    <w:rsid w:val="00783F02"/>
    <w:rsid w:val="007841E0"/>
    <w:rsid w:val="00787E4B"/>
    <w:rsid w:val="007918CB"/>
    <w:rsid w:val="00791F44"/>
    <w:rsid w:val="007937A6"/>
    <w:rsid w:val="0079419D"/>
    <w:rsid w:val="007942D3"/>
    <w:rsid w:val="00797AA5"/>
    <w:rsid w:val="00797F05"/>
    <w:rsid w:val="007A262B"/>
    <w:rsid w:val="007A26ED"/>
    <w:rsid w:val="007A2DAB"/>
    <w:rsid w:val="007A2F98"/>
    <w:rsid w:val="007A311C"/>
    <w:rsid w:val="007A767B"/>
    <w:rsid w:val="007A7F17"/>
    <w:rsid w:val="007A7F2E"/>
    <w:rsid w:val="007A7F67"/>
    <w:rsid w:val="007B1542"/>
    <w:rsid w:val="007B1B69"/>
    <w:rsid w:val="007B36E0"/>
    <w:rsid w:val="007B3E7A"/>
    <w:rsid w:val="007B5621"/>
    <w:rsid w:val="007B6699"/>
    <w:rsid w:val="007B6C09"/>
    <w:rsid w:val="007B7B56"/>
    <w:rsid w:val="007C0966"/>
    <w:rsid w:val="007C0B2A"/>
    <w:rsid w:val="007C0DD6"/>
    <w:rsid w:val="007C5B1A"/>
    <w:rsid w:val="007C6FBE"/>
    <w:rsid w:val="007C76CE"/>
    <w:rsid w:val="007D4781"/>
    <w:rsid w:val="007D4E59"/>
    <w:rsid w:val="007D5491"/>
    <w:rsid w:val="007D6932"/>
    <w:rsid w:val="007D6F0B"/>
    <w:rsid w:val="007E066F"/>
    <w:rsid w:val="007E09DA"/>
    <w:rsid w:val="007E19AD"/>
    <w:rsid w:val="007E25BC"/>
    <w:rsid w:val="007E6400"/>
    <w:rsid w:val="007E6BDA"/>
    <w:rsid w:val="007E74F4"/>
    <w:rsid w:val="007F0A07"/>
    <w:rsid w:val="007F1B0D"/>
    <w:rsid w:val="007F238A"/>
    <w:rsid w:val="007F2B09"/>
    <w:rsid w:val="007F43A1"/>
    <w:rsid w:val="00801B64"/>
    <w:rsid w:val="00803459"/>
    <w:rsid w:val="008045D0"/>
    <w:rsid w:val="0080630F"/>
    <w:rsid w:val="00810906"/>
    <w:rsid w:val="00812A02"/>
    <w:rsid w:val="00812CD2"/>
    <w:rsid w:val="008157E2"/>
    <w:rsid w:val="008178B6"/>
    <w:rsid w:val="008202C1"/>
    <w:rsid w:val="008205B5"/>
    <w:rsid w:val="00821C11"/>
    <w:rsid w:val="00821D3B"/>
    <w:rsid w:val="00823AD8"/>
    <w:rsid w:val="00825AAC"/>
    <w:rsid w:val="00825B57"/>
    <w:rsid w:val="00825E63"/>
    <w:rsid w:val="00827A8E"/>
    <w:rsid w:val="00827E09"/>
    <w:rsid w:val="00830BD3"/>
    <w:rsid w:val="00830EBA"/>
    <w:rsid w:val="00850655"/>
    <w:rsid w:val="00851585"/>
    <w:rsid w:val="008538DA"/>
    <w:rsid w:val="008574B8"/>
    <w:rsid w:val="0086068F"/>
    <w:rsid w:val="00861CB6"/>
    <w:rsid w:val="00863662"/>
    <w:rsid w:val="00865B74"/>
    <w:rsid w:val="0086678D"/>
    <w:rsid w:val="00866DF3"/>
    <w:rsid w:val="00870225"/>
    <w:rsid w:val="00870BAA"/>
    <w:rsid w:val="00874B20"/>
    <w:rsid w:val="0087659D"/>
    <w:rsid w:val="0087730F"/>
    <w:rsid w:val="0088088D"/>
    <w:rsid w:val="00883B80"/>
    <w:rsid w:val="00883EB5"/>
    <w:rsid w:val="00884E5D"/>
    <w:rsid w:val="008863A5"/>
    <w:rsid w:val="00887122"/>
    <w:rsid w:val="0089183B"/>
    <w:rsid w:val="008930CF"/>
    <w:rsid w:val="008932C0"/>
    <w:rsid w:val="008A1F0C"/>
    <w:rsid w:val="008A64FB"/>
    <w:rsid w:val="008A6E5A"/>
    <w:rsid w:val="008A6EEC"/>
    <w:rsid w:val="008A7080"/>
    <w:rsid w:val="008B14CF"/>
    <w:rsid w:val="008B3654"/>
    <w:rsid w:val="008B5806"/>
    <w:rsid w:val="008B7AA5"/>
    <w:rsid w:val="008B7C21"/>
    <w:rsid w:val="008C005D"/>
    <w:rsid w:val="008C1E17"/>
    <w:rsid w:val="008C451E"/>
    <w:rsid w:val="008C715B"/>
    <w:rsid w:val="008C7FF5"/>
    <w:rsid w:val="008D28EC"/>
    <w:rsid w:val="008D419B"/>
    <w:rsid w:val="008D544C"/>
    <w:rsid w:val="008E45A4"/>
    <w:rsid w:val="008E69F7"/>
    <w:rsid w:val="008F066C"/>
    <w:rsid w:val="008F07B1"/>
    <w:rsid w:val="008F112F"/>
    <w:rsid w:val="008F2DD1"/>
    <w:rsid w:val="008F33E9"/>
    <w:rsid w:val="008F4690"/>
    <w:rsid w:val="008F603D"/>
    <w:rsid w:val="009025E5"/>
    <w:rsid w:val="009033BD"/>
    <w:rsid w:val="00904AD1"/>
    <w:rsid w:val="00904D5E"/>
    <w:rsid w:val="00905BF9"/>
    <w:rsid w:val="00906B7C"/>
    <w:rsid w:val="00912620"/>
    <w:rsid w:val="009126A5"/>
    <w:rsid w:val="009141D4"/>
    <w:rsid w:val="0091433E"/>
    <w:rsid w:val="009161B3"/>
    <w:rsid w:val="00920FDC"/>
    <w:rsid w:val="00921BC8"/>
    <w:rsid w:val="00921F9D"/>
    <w:rsid w:val="0092357E"/>
    <w:rsid w:val="0092424F"/>
    <w:rsid w:val="009247DC"/>
    <w:rsid w:val="00926285"/>
    <w:rsid w:val="00927D8F"/>
    <w:rsid w:val="00930BA1"/>
    <w:rsid w:val="0093169E"/>
    <w:rsid w:val="00932BA7"/>
    <w:rsid w:val="009331E9"/>
    <w:rsid w:val="00934540"/>
    <w:rsid w:val="0093553A"/>
    <w:rsid w:val="0094053F"/>
    <w:rsid w:val="00940ECE"/>
    <w:rsid w:val="009422F9"/>
    <w:rsid w:val="009425CE"/>
    <w:rsid w:val="00943701"/>
    <w:rsid w:val="009440E3"/>
    <w:rsid w:val="009458DA"/>
    <w:rsid w:val="009505C9"/>
    <w:rsid w:val="009519D0"/>
    <w:rsid w:val="0095476D"/>
    <w:rsid w:val="009557ED"/>
    <w:rsid w:val="00960B56"/>
    <w:rsid w:val="00960FF4"/>
    <w:rsid w:val="00964A8F"/>
    <w:rsid w:val="009712AB"/>
    <w:rsid w:val="00971DA8"/>
    <w:rsid w:val="009735A3"/>
    <w:rsid w:val="00973EAF"/>
    <w:rsid w:val="00974512"/>
    <w:rsid w:val="00976B58"/>
    <w:rsid w:val="00977A4D"/>
    <w:rsid w:val="00980639"/>
    <w:rsid w:val="00980FC2"/>
    <w:rsid w:val="00982B78"/>
    <w:rsid w:val="00984A66"/>
    <w:rsid w:val="00984BA4"/>
    <w:rsid w:val="0098571D"/>
    <w:rsid w:val="00991895"/>
    <w:rsid w:val="00996A41"/>
    <w:rsid w:val="009A1A8F"/>
    <w:rsid w:val="009A2A94"/>
    <w:rsid w:val="009A3047"/>
    <w:rsid w:val="009A4E27"/>
    <w:rsid w:val="009A6964"/>
    <w:rsid w:val="009A6FAF"/>
    <w:rsid w:val="009B0E51"/>
    <w:rsid w:val="009B3C3E"/>
    <w:rsid w:val="009B44A4"/>
    <w:rsid w:val="009B4624"/>
    <w:rsid w:val="009B7751"/>
    <w:rsid w:val="009D0252"/>
    <w:rsid w:val="009D04A3"/>
    <w:rsid w:val="009D0D15"/>
    <w:rsid w:val="009D118A"/>
    <w:rsid w:val="009D49B2"/>
    <w:rsid w:val="009D6B5A"/>
    <w:rsid w:val="009E0C2A"/>
    <w:rsid w:val="009E54A6"/>
    <w:rsid w:val="009E6306"/>
    <w:rsid w:val="009E719A"/>
    <w:rsid w:val="009E7593"/>
    <w:rsid w:val="009F0179"/>
    <w:rsid w:val="009F34BA"/>
    <w:rsid w:val="009F372E"/>
    <w:rsid w:val="009F4A24"/>
    <w:rsid w:val="009F4C79"/>
    <w:rsid w:val="009F5178"/>
    <w:rsid w:val="00A007C6"/>
    <w:rsid w:val="00A02836"/>
    <w:rsid w:val="00A06092"/>
    <w:rsid w:val="00A06B62"/>
    <w:rsid w:val="00A0752C"/>
    <w:rsid w:val="00A103E9"/>
    <w:rsid w:val="00A110D6"/>
    <w:rsid w:val="00A11AC7"/>
    <w:rsid w:val="00A12B71"/>
    <w:rsid w:val="00A15DD2"/>
    <w:rsid w:val="00A22545"/>
    <w:rsid w:val="00A22787"/>
    <w:rsid w:val="00A23C82"/>
    <w:rsid w:val="00A24516"/>
    <w:rsid w:val="00A25045"/>
    <w:rsid w:val="00A264A3"/>
    <w:rsid w:val="00A2673D"/>
    <w:rsid w:val="00A300B5"/>
    <w:rsid w:val="00A32906"/>
    <w:rsid w:val="00A33E09"/>
    <w:rsid w:val="00A34197"/>
    <w:rsid w:val="00A35CF3"/>
    <w:rsid w:val="00A36FB1"/>
    <w:rsid w:val="00A43465"/>
    <w:rsid w:val="00A44A33"/>
    <w:rsid w:val="00A47AD2"/>
    <w:rsid w:val="00A518DA"/>
    <w:rsid w:val="00A5448F"/>
    <w:rsid w:val="00A560B5"/>
    <w:rsid w:val="00A56BD6"/>
    <w:rsid w:val="00A62116"/>
    <w:rsid w:val="00A63FF6"/>
    <w:rsid w:val="00A65127"/>
    <w:rsid w:val="00A66461"/>
    <w:rsid w:val="00A6754D"/>
    <w:rsid w:val="00A67B8D"/>
    <w:rsid w:val="00A67E62"/>
    <w:rsid w:val="00A717EB"/>
    <w:rsid w:val="00A73A28"/>
    <w:rsid w:val="00A74153"/>
    <w:rsid w:val="00A7418D"/>
    <w:rsid w:val="00A74888"/>
    <w:rsid w:val="00A76617"/>
    <w:rsid w:val="00A8150F"/>
    <w:rsid w:val="00A82793"/>
    <w:rsid w:val="00A83B8E"/>
    <w:rsid w:val="00A8608A"/>
    <w:rsid w:val="00A87995"/>
    <w:rsid w:val="00A94D5D"/>
    <w:rsid w:val="00A976E4"/>
    <w:rsid w:val="00A97FE6"/>
    <w:rsid w:val="00AA39AA"/>
    <w:rsid w:val="00AA4996"/>
    <w:rsid w:val="00AA58F4"/>
    <w:rsid w:val="00AB085D"/>
    <w:rsid w:val="00AB25E8"/>
    <w:rsid w:val="00AC3904"/>
    <w:rsid w:val="00AC401C"/>
    <w:rsid w:val="00AC421F"/>
    <w:rsid w:val="00AC4770"/>
    <w:rsid w:val="00AD2B7E"/>
    <w:rsid w:val="00AD42EB"/>
    <w:rsid w:val="00AE0697"/>
    <w:rsid w:val="00AE1110"/>
    <w:rsid w:val="00AE29E4"/>
    <w:rsid w:val="00AE45F5"/>
    <w:rsid w:val="00AE5359"/>
    <w:rsid w:val="00AE5580"/>
    <w:rsid w:val="00AF12EF"/>
    <w:rsid w:val="00AF2AE6"/>
    <w:rsid w:val="00AF3211"/>
    <w:rsid w:val="00AF7EEF"/>
    <w:rsid w:val="00B006CC"/>
    <w:rsid w:val="00B04293"/>
    <w:rsid w:val="00B04FB5"/>
    <w:rsid w:val="00B0520C"/>
    <w:rsid w:val="00B057BD"/>
    <w:rsid w:val="00B05E83"/>
    <w:rsid w:val="00B0632C"/>
    <w:rsid w:val="00B11917"/>
    <w:rsid w:val="00B13028"/>
    <w:rsid w:val="00B1347B"/>
    <w:rsid w:val="00B13D66"/>
    <w:rsid w:val="00B141B0"/>
    <w:rsid w:val="00B15DC4"/>
    <w:rsid w:val="00B220C5"/>
    <w:rsid w:val="00B22509"/>
    <w:rsid w:val="00B240FE"/>
    <w:rsid w:val="00B30DB9"/>
    <w:rsid w:val="00B32D0B"/>
    <w:rsid w:val="00B3369F"/>
    <w:rsid w:val="00B349DD"/>
    <w:rsid w:val="00B36F4D"/>
    <w:rsid w:val="00B407D4"/>
    <w:rsid w:val="00B41355"/>
    <w:rsid w:val="00B41877"/>
    <w:rsid w:val="00B422F5"/>
    <w:rsid w:val="00B4300B"/>
    <w:rsid w:val="00B431A2"/>
    <w:rsid w:val="00B52D51"/>
    <w:rsid w:val="00B53945"/>
    <w:rsid w:val="00B550BF"/>
    <w:rsid w:val="00B57931"/>
    <w:rsid w:val="00B57A25"/>
    <w:rsid w:val="00B617ED"/>
    <w:rsid w:val="00B63CC7"/>
    <w:rsid w:val="00B709D7"/>
    <w:rsid w:val="00B70AE7"/>
    <w:rsid w:val="00B71D5E"/>
    <w:rsid w:val="00B7317B"/>
    <w:rsid w:val="00B7494E"/>
    <w:rsid w:val="00B75CD0"/>
    <w:rsid w:val="00B75DE8"/>
    <w:rsid w:val="00B77710"/>
    <w:rsid w:val="00B817B3"/>
    <w:rsid w:val="00B81CB7"/>
    <w:rsid w:val="00B81D6C"/>
    <w:rsid w:val="00B82054"/>
    <w:rsid w:val="00B852E4"/>
    <w:rsid w:val="00B86D46"/>
    <w:rsid w:val="00B87AD2"/>
    <w:rsid w:val="00B91A58"/>
    <w:rsid w:val="00B9399F"/>
    <w:rsid w:val="00B9598F"/>
    <w:rsid w:val="00B9613F"/>
    <w:rsid w:val="00B968ED"/>
    <w:rsid w:val="00BA22DD"/>
    <w:rsid w:val="00BA2D0B"/>
    <w:rsid w:val="00BA4FAC"/>
    <w:rsid w:val="00BA5A0B"/>
    <w:rsid w:val="00BA769C"/>
    <w:rsid w:val="00BB0192"/>
    <w:rsid w:val="00BB0D75"/>
    <w:rsid w:val="00BB1044"/>
    <w:rsid w:val="00BB609C"/>
    <w:rsid w:val="00BB6FB3"/>
    <w:rsid w:val="00BC22A4"/>
    <w:rsid w:val="00BC2404"/>
    <w:rsid w:val="00BC3074"/>
    <w:rsid w:val="00BC3BCF"/>
    <w:rsid w:val="00BC42CA"/>
    <w:rsid w:val="00BC4BCC"/>
    <w:rsid w:val="00BC4EF5"/>
    <w:rsid w:val="00BC7EA3"/>
    <w:rsid w:val="00BD1C91"/>
    <w:rsid w:val="00BD3613"/>
    <w:rsid w:val="00BD4E6F"/>
    <w:rsid w:val="00BD4EC2"/>
    <w:rsid w:val="00BD5FC5"/>
    <w:rsid w:val="00BD70F5"/>
    <w:rsid w:val="00BD744D"/>
    <w:rsid w:val="00BD7F4F"/>
    <w:rsid w:val="00BE1FE4"/>
    <w:rsid w:val="00BE29D1"/>
    <w:rsid w:val="00BE5763"/>
    <w:rsid w:val="00BE6852"/>
    <w:rsid w:val="00BF2685"/>
    <w:rsid w:val="00BF5309"/>
    <w:rsid w:val="00BF64A6"/>
    <w:rsid w:val="00BF6A40"/>
    <w:rsid w:val="00BF7E62"/>
    <w:rsid w:val="00C00C5A"/>
    <w:rsid w:val="00C076F0"/>
    <w:rsid w:val="00C07F5E"/>
    <w:rsid w:val="00C10040"/>
    <w:rsid w:val="00C11AA8"/>
    <w:rsid w:val="00C12425"/>
    <w:rsid w:val="00C14E54"/>
    <w:rsid w:val="00C2059B"/>
    <w:rsid w:val="00C20FE3"/>
    <w:rsid w:val="00C22511"/>
    <w:rsid w:val="00C229BA"/>
    <w:rsid w:val="00C2552A"/>
    <w:rsid w:val="00C276A8"/>
    <w:rsid w:val="00C314EE"/>
    <w:rsid w:val="00C339D3"/>
    <w:rsid w:val="00C34BA4"/>
    <w:rsid w:val="00C35B99"/>
    <w:rsid w:val="00C40265"/>
    <w:rsid w:val="00C42A48"/>
    <w:rsid w:val="00C442FB"/>
    <w:rsid w:val="00C52B4C"/>
    <w:rsid w:val="00C546E7"/>
    <w:rsid w:val="00C556E9"/>
    <w:rsid w:val="00C57F77"/>
    <w:rsid w:val="00C6250D"/>
    <w:rsid w:val="00C6350E"/>
    <w:rsid w:val="00C63C4F"/>
    <w:rsid w:val="00C63D4E"/>
    <w:rsid w:val="00C6476D"/>
    <w:rsid w:val="00C654E8"/>
    <w:rsid w:val="00C658C9"/>
    <w:rsid w:val="00C72489"/>
    <w:rsid w:val="00C7340D"/>
    <w:rsid w:val="00C73871"/>
    <w:rsid w:val="00C74173"/>
    <w:rsid w:val="00C74A70"/>
    <w:rsid w:val="00C751CC"/>
    <w:rsid w:val="00C7545A"/>
    <w:rsid w:val="00C76A25"/>
    <w:rsid w:val="00C812D6"/>
    <w:rsid w:val="00C8209C"/>
    <w:rsid w:val="00C8468B"/>
    <w:rsid w:val="00C8519F"/>
    <w:rsid w:val="00C86BFB"/>
    <w:rsid w:val="00C870F9"/>
    <w:rsid w:val="00C9161D"/>
    <w:rsid w:val="00C919C1"/>
    <w:rsid w:val="00C94683"/>
    <w:rsid w:val="00C94B5C"/>
    <w:rsid w:val="00C94E5C"/>
    <w:rsid w:val="00C97423"/>
    <w:rsid w:val="00CA048E"/>
    <w:rsid w:val="00CA295A"/>
    <w:rsid w:val="00CA345B"/>
    <w:rsid w:val="00CA55CD"/>
    <w:rsid w:val="00CB3576"/>
    <w:rsid w:val="00CB4CB9"/>
    <w:rsid w:val="00CB5D7A"/>
    <w:rsid w:val="00CB7F5A"/>
    <w:rsid w:val="00CC05D0"/>
    <w:rsid w:val="00CC19ED"/>
    <w:rsid w:val="00CC2E75"/>
    <w:rsid w:val="00CC534C"/>
    <w:rsid w:val="00CC64F7"/>
    <w:rsid w:val="00CD0435"/>
    <w:rsid w:val="00CD06A8"/>
    <w:rsid w:val="00CD1ADB"/>
    <w:rsid w:val="00CD7CF9"/>
    <w:rsid w:val="00CE1EDF"/>
    <w:rsid w:val="00CE2FE9"/>
    <w:rsid w:val="00CE3457"/>
    <w:rsid w:val="00CE6383"/>
    <w:rsid w:val="00CF0ADE"/>
    <w:rsid w:val="00CF0B8F"/>
    <w:rsid w:val="00CF1848"/>
    <w:rsid w:val="00CF3687"/>
    <w:rsid w:val="00CF4C1E"/>
    <w:rsid w:val="00CF4EDE"/>
    <w:rsid w:val="00CF576E"/>
    <w:rsid w:val="00CF5A9D"/>
    <w:rsid w:val="00CF5C45"/>
    <w:rsid w:val="00CF603A"/>
    <w:rsid w:val="00CF6296"/>
    <w:rsid w:val="00CF782F"/>
    <w:rsid w:val="00D00C0E"/>
    <w:rsid w:val="00D03ACD"/>
    <w:rsid w:val="00D040BC"/>
    <w:rsid w:val="00D064B3"/>
    <w:rsid w:val="00D101F3"/>
    <w:rsid w:val="00D10C43"/>
    <w:rsid w:val="00D12044"/>
    <w:rsid w:val="00D13FCF"/>
    <w:rsid w:val="00D14A54"/>
    <w:rsid w:val="00D16C0D"/>
    <w:rsid w:val="00D275D6"/>
    <w:rsid w:val="00D3094B"/>
    <w:rsid w:val="00D30A53"/>
    <w:rsid w:val="00D33FB5"/>
    <w:rsid w:val="00D36849"/>
    <w:rsid w:val="00D36F73"/>
    <w:rsid w:val="00D378C1"/>
    <w:rsid w:val="00D40661"/>
    <w:rsid w:val="00D407C0"/>
    <w:rsid w:val="00D42CCB"/>
    <w:rsid w:val="00D43195"/>
    <w:rsid w:val="00D47DAB"/>
    <w:rsid w:val="00D5024B"/>
    <w:rsid w:val="00D53AE9"/>
    <w:rsid w:val="00D53FDA"/>
    <w:rsid w:val="00D5415A"/>
    <w:rsid w:val="00D54220"/>
    <w:rsid w:val="00D544A3"/>
    <w:rsid w:val="00D554AB"/>
    <w:rsid w:val="00D56BA9"/>
    <w:rsid w:val="00D56E03"/>
    <w:rsid w:val="00D57DEB"/>
    <w:rsid w:val="00D57E84"/>
    <w:rsid w:val="00D65389"/>
    <w:rsid w:val="00D679F5"/>
    <w:rsid w:val="00D76A18"/>
    <w:rsid w:val="00D775F8"/>
    <w:rsid w:val="00D8139C"/>
    <w:rsid w:val="00D81A77"/>
    <w:rsid w:val="00D82A57"/>
    <w:rsid w:val="00D85978"/>
    <w:rsid w:val="00D90691"/>
    <w:rsid w:val="00DA0DD1"/>
    <w:rsid w:val="00DA3167"/>
    <w:rsid w:val="00DA6F94"/>
    <w:rsid w:val="00DA7E07"/>
    <w:rsid w:val="00DB103B"/>
    <w:rsid w:val="00DB2AC2"/>
    <w:rsid w:val="00DB432B"/>
    <w:rsid w:val="00DB44F2"/>
    <w:rsid w:val="00DB6E30"/>
    <w:rsid w:val="00DB7681"/>
    <w:rsid w:val="00DB7B0A"/>
    <w:rsid w:val="00DC15E7"/>
    <w:rsid w:val="00DC267C"/>
    <w:rsid w:val="00DD0AD0"/>
    <w:rsid w:val="00DD118C"/>
    <w:rsid w:val="00DD299A"/>
    <w:rsid w:val="00DD35FF"/>
    <w:rsid w:val="00DD3FAA"/>
    <w:rsid w:val="00DD542E"/>
    <w:rsid w:val="00DD6EEF"/>
    <w:rsid w:val="00DE18E4"/>
    <w:rsid w:val="00DE27DD"/>
    <w:rsid w:val="00DE3BE8"/>
    <w:rsid w:val="00DE421D"/>
    <w:rsid w:val="00DE6A9A"/>
    <w:rsid w:val="00DE6B9E"/>
    <w:rsid w:val="00DF07EB"/>
    <w:rsid w:val="00DF0F37"/>
    <w:rsid w:val="00DF570D"/>
    <w:rsid w:val="00DF75FC"/>
    <w:rsid w:val="00DF7CF6"/>
    <w:rsid w:val="00E019AD"/>
    <w:rsid w:val="00E02201"/>
    <w:rsid w:val="00E0357C"/>
    <w:rsid w:val="00E04A9A"/>
    <w:rsid w:val="00E04DE1"/>
    <w:rsid w:val="00E04E92"/>
    <w:rsid w:val="00E0671B"/>
    <w:rsid w:val="00E072B3"/>
    <w:rsid w:val="00E078D8"/>
    <w:rsid w:val="00E114A5"/>
    <w:rsid w:val="00E12A33"/>
    <w:rsid w:val="00E1470E"/>
    <w:rsid w:val="00E14DFB"/>
    <w:rsid w:val="00E151F2"/>
    <w:rsid w:val="00E21D43"/>
    <w:rsid w:val="00E2226B"/>
    <w:rsid w:val="00E226D1"/>
    <w:rsid w:val="00E30006"/>
    <w:rsid w:val="00E309AD"/>
    <w:rsid w:val="00E31A39"/>
    <w:rsid w:val="00E31D33"/>
    <w:rsid w:val="00E31FB5"/>
    <w:rsid w:val="00E32CAD"/>
    <w:rsid w:val="00E33365"/>
    <w:rsid w:val="00E336CB"/>
    <w:rsid w:val="00E36AF4"/>
    <w:rsid w:val="00E40D58"/>
    <w:rsid w:val="00E50476"/>
    <w:rsid w:val="00E507C1"/>
    <w:rsid w:val="00E50E25"/>
    <w:rsid w:val="00E50E5C"/>
    <w:rsid w:val="00E51686"/>
    <w:rsid w:val="00E52970"/>
    <w:rsid w:val="00E5305A"/>
    <w:rsid w:val="00E54BA4"/>
    <w:rsid w:val="00E569DD"/>
    <w:rsid w:val="00E60A62"/>
    <w:rsid w:val="00E61BC3"/>
    <w:rsid w:val="00E634F5"/>
    <w:rsid w:val="00E63943"/>
    <w:rsid w:val="00E66235"/>
    <w:rsid w:val="00E67096"/>
    <w:rsid w:val="00E67790"/>
    <w:rsid w:val="00E70D37"/>
    <w:rsid w:val="00E71AB9"/>
    <w:rsid w:val="00E726F0"/>
    <w:rsid w:val="00E72EE5"/>
    <w:rsid w:val="00E73B28"/>
    <w:rsid w:val="00E73F14"/>
    <w:rsid w:val="00E74773"/>
    <w:rsid w:val="00E75B37"/>
    <w:rsid w:val="00E77561"/>
    <w:rsid w:val="00E815AC"/>
    <w:rsid w:val="00E81ABE"/>
    <w:rsid w:val="00E83C24"/>
    <w:rsid w:val="00E8460E"/>
    <w:rsid w:val="00E85E26"/>
    <w:rsid w:val="00E86318"/>
    <w:rsid w:val="00E86693"/>
    <w:rsid w:val="00E9194A"/>
    <w:rsid w:val="00E9318D"/>
    <w:rsid w:val="00E93DE6"/>
    <w:rsid w:val="00E94544"/>
    <w:rsid w:val="00E96500"/>
    <w:rsid w:val="00EA59B0"/>
    <w:rsid w:val="00EA7B71"/>
    <w:rsid w:val="00EA7BF0"/>
    <w:rsid w:val="00EB0538"/>
    <w:rsid w:val="00EB0963"/>
    <w:rsid w:val="00EB36FE"/>
    <w:rsid w:val="00EB378D"/>
    <w:rsid w:val="00EB5FF0"/>
    <w:rsid w:val="00EB69BE"/>
    <w:rsid w:val="00EC04C1"/>
    <w:rsid w:val="00EC0503"/>
    <w:rsid w:val="00EC209B"/>
    <w:rsid w:val="00EC231C"/>
    <w:rsid w:val="00EC4105"/>
    <w:rsid w:val="00EC4D7F"/>
    <w:rsid w:val="00EC523D"/>
    <w:rsid w:val="00EC5D18"/>
    <w:rsid w:val="00EC6A1A"/>
    <w:rsid w:val="00EC7581"/>
    <w:rsid w:val="00EC7DC2"/>
    <w:rsid w:val="00ED0568"/>
    <w:rsid w:val="00ED12A4"/>
    <w:rsid w:val="00ED3443"/>
    <w:rsid w:val="00ED54AB"/>
    <w:rsid w:val="00EE06FE"/>
    <w:rsid w:val="00EE0EB5"/>
    <w:rsid w:val="00EE2ADB"/>
    <w:rsid w:val="00EF1401"/>
    <w:rsid w:val="00EF2A33"/>
    <w:rsid w:val="00EF2C4D"/>
    <w:rsid w:val="00EF5CCA"/>
    <w:rsid w:val="00EF78AC"/>
    <w:rsid w:val="00F02F9F"/>
    <w:rsid w:val="00F035C1"/>
    <w:rsid w:val="00F04977"/>
    <w:rsid w:val="00F055C5"/>
    <w:rsid w:val="00F06DA7"/>
    <w:rsid w:val="00F06E66"/>
    <w:rsid w:val="00F07928"/>
    <w:rsid w:val="00F10659"/>
    <w:rsid w:val="00F111BA"/>
    <w:rsid w:val="00F13B32"/>
    <w:rsid w:val="00F15B29"/>
    <w:rsid w:val="00F16F5A"/>
    <w:rsid w:val="00F1725E"/>
    <w:rsid w:val="00F17ED9"/>
    <w:rsid w:val="00F22621"/>
    <w:rsid w:val="00F23A95"/>
    <w:rsid w:val="00F23BFD"/>
    <w:rsid w:val="00F254E7"/>
    <w:rsid w:val="00F255B2"/>
    <w:rsid w:val="00F267CD"/>
    <w:rsid w:val="00F2711F"/>
    <w:rsid w:val="00F3288D"/>
    <w:rsid w:val="00F342F7"/>
    <w:rsid w:val="00F368B9"/>
    <w:rsid w:val="00F379E3"/>
    <w:rsid w:val="00F433D0"/>
    <w:rsid w:val="00F445F4"/>
    <w:rsid w:val="00F44F8B"/>
    <w:rsid w:val="00F45484"/>
    <w:rsid w:val="00F45F63"/>
    <w:rsid w:val="00F463D9"/>
    <w:rsid w:val="00F5136D"/>
    <w:rsid w:val="00F54AB8"/>
    <w:rsid w:val="00F55C2E"/>
    <w:rsid w:val="00F570D1"/>
    <w:rsid w:val="00F571A2"/>
    <w:rsid w:val="00F57A56"/>
    <w:rsid w:val="00F606C1"/>
    <w:rsid w:val="00F60C99"/>
    <w:rsid w:val="00F615A4"/>
    <w:rsid w:val="00F61CA5"/>
    <w:rsid w:val="00F62D67"/>
    <w:rsid w:val="00F64256"/>
    <w:rsid w:val="00F64564"/>
    <w:rsid w:val="00F65509"/>
    <w:rsid w:val="00F657AB"/>
    <w:rsid w:val="00F73A70"/>
    <w:rsid w:val="00F74929"/>
    <w:rsid w:val="00F77D8C"/>
    <w:rsid w:val="00F8047B"/>
    <w:rsid w:val="00F81B4E"/>
    <w:rsid w:val="00F83795"/>
    <w:rsid w:val="00F8639E"/>
    <w:rsid w:val="00F9193E"/>
    <w:rsid w:val="00F929A5"/>
    <w:rsid w:val="00F938D0"/>
    <w:rsid w:val="00F94774"/>
    <w:rsid w:val="00F955BB"/>
    <w:rsid w:val="00F95814"/>
    <w:rsid w:val="00F95977"/>
    <w:rsid w:val="00F96840"/>
    <w:rsid w:val="00FA1890"/>
    <w:rsid w:val="00FA2718"/>
    <w:rsid w:val="00FA3F6E"/>
    <w:rsid w:val="00FA5280"/>
    <w:rsid w:val="00FA5508"/>
    <w:rsid w:val="00FA7853"/>
    <w:rsid w:val="00FB0041"/>
    <w:rsid w:val="00FB160A"/>
    <w:rsid w:val="00FB2FE7"/>
    <w:rsid w:val="00FB6044"/>
    <w:rsid w:val="00FC05BA"/>
    <w:rsid w:val="00FC08D4"/>
    <w:rsid w:val="00FC236C"/>
    <w:rsid w:val="00FC4DF4"/>
    <w:rsid w:val="00FC50E4"/>
    <w:rsid w:val="00FC53DB"/>
    <w:rsid w:val="00FD25F1"/>
    <w:rsid w:val="00FD4FD3"/>
    <w:rsid w:val="00FD5894"/>
    <w:rsid w:val="00FD5B7D"/>
    <w:rsid w:val="00FD64BD"/>
    <w:rsid w:val="00FD7618"/>
    <w:rsid w:val="00FE0E0C"/>
    <w:rsid w:val="00FE18B4"/>
    <w:rsid w:val="00FE4B2F"/>
    <w:rsid w:val="00FE4FAB"/>
    <w:rsid w:val="00FE5837"/>
    <w:rsid w:val="00FE7E1C"/>
    <w:rsid w:val="00FF048D"/>
    <w:rsid w:val="00FF1767"/>
    <w:rsid w:val="00FF1CB5"/>
    <w:rsid w:val="00FF370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rsid w:val="004333F4"/>
    <w:pPr>
      <w:jc w:val="both"/>
    </w:pPr>
    <w:rPr>
      <w:rFonts w:eastAsia="MS Mincho" w:cs="Times New Roman"/>
      <w:snapToGrid w:val="0"/>
      <w:sz w:val="22"/>
      <w:szCs w:val="24"/>
      <w:lang w:val="en-GB" w:eastAsia="es-ES"/>
    </w:rPr>
  </w:style>
  <w:style w:type="paragraph" w:styleId="Heading1">
    <w:name w:val="heading 1"/>
    <w:basedOn w:val="Normal"/>
    <w:next w:val="Heading2"/>
    <w:qFormat/>
    <w:rsid w:val="004333F4"/>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4333F4"/>
    <w:pPr>
      <w:keepNext/>
      <w:tabs>
        <w:tab w:val="left" w:pos="720"/>
      </w:tabs>
      <w:spacing w:before="120" w:after="120"/>
      <w:jc w:val="center"/>
      <w:outlineLvl w:val="1"/>
    </w:pPr>
    <w:rPr>
      <w:b/>
      <w:bCs/>
      <w:iCs/>
    </w:rPr>
  </w:style>
  <w:style w:type="paragraph" w:styleId="Heading3">
    <w:name w:val="heading 3"/>
    <w:basedOn w:val="Normal"/>
    <w:next w:val="Normal"/>
    <w:qFormat/>
    <w:rsid w:val="004333F4"/>
    <w:pPr>
      <w:keepNext/>
      <w:tabs>
        <w:tab w:val="left" w:pos="567"/>
      </w:tabs>
      <w:spacing w:before="120" w:after="120"/>
      <w:jc w:val="center"/>
      <w:outlineLvl w:val="2"/>
    </w:pPr>
    <w:rPr>
      <w:i/>
      <w:iCs/>
    </w:rPr>
  </w:style>
  <w:style w:type="paragraph" w:styleId="Heading4">
    <w:name w:val="heading 4"/>
    <w:basedOn w:val="Normal"/>
    <w:qFormat/>
    <w:rsid w:val="004333F4"/>
    <w:pPr>
      <w:keepNext/>
      <w:spacing w:before="120" w:after="120"/>
      <w:outlineLvl w:val="3"/>
    </w:pPr>
    <w:rPr>
      <w:rFonts w:ascii="Times New Roman Bold" w:eastAsia="Times New Roman" w:hAnsi="Times New Roman Bold" w:cs="Arial"/>
      <w:b/>
      <w:bCs/>
      <w:i/>
    </w:rPr>
  </w:style>
  <w:style w:type="paragraph" w:styleId="Heading5">
    <w:name w:val="heading 5"/>
    <w:basedOn w:val="Normal"/>
    <w:next w:val="Normal"/>
    <w:qFormat/>
    <w:rsid w:val="004333F4"/>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4333F4"/>
    <w:pPr>
      <w:keepNext/>
      <w:spacing w:after="240" w:line="240" w:lineRule="exact"/>
      <w:ind w:left="720"/>
      <w:outlineLvl w:val="5"/>
    </w:pPr>
    <w:rPr>
      <w:u w:val="single"/>
    </w:rPr>
  </w:style>
  <w:style w:type="paragraph" w:styleId="Heading7">
    <w:name w:val="heading 7"/>
    <w:basedOn w:val="Normal"/>
    <w:next w:val="Normal"/>
    <w:qFormat/>
    <w:rsid w:val="004333F4"/>
    <w:pPr>
      <w:keepNext/>
      <w:jc w:val="right"/>
      <w:outlineLvl w:val="6"/>
    </w:pPr>
    <w:rPr>
      <w:b/>
      <w:sz w:val="28"/>
    </w:rPr>
  </w:style>
  <w:style w:type="paragraph" w:styleId="Heading8">
    <w:name w:val="heading 8"/>
    <w:basedOn w:val="Normal"/>
    <w:next w:val="Normal"/>
    <w:qFormat/>
    <w:rsid w:val="004333F4"/>
    <w:pPr>
      <w:keepNext/>
      <w:jc w:val="right"/>
      <w:outlineLvl w:val="7"/>
    </w:pPr>
    <w:rPr>
      <w:b/>
      <w:sz w:val="32"/>
    </w:rPr>
  </w:style>
  <w:style w:type="paragraph" w:styleId="Heading9">
    <w:name w:val="heading 9"/>
    <w:basedOn w:val="Normal"/>
    <w:next w:val="Normal"/>
    <w:qFormat/>
    <w:rsid w:val="004333F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33F4"/>
    <w:rPr>
      <w:rFonts w:eastAsia="MS Mincho" w:cs="Arial"/>
      <w:snapToGrid w:val="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sid w:val="004333F4"/>
    <w:rPr>
      <w:sz w:val="18"/>
      <w:szCs w:val="18"/>
    </w:rPr>
  </w:style>
  <w:style w:type="character" w:customStyle="1" w:styleId="BalloonTextChar">
    <w:name w:val="Balloon Text Char"/>
    <w:basedOn w:val="DefaultParagraphFont"/>
    <w:semiHidden/>
    <w:locked/>
    <w:rsid w:val="004333F4"/>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sid w:val="004333F4"/>
    <w:rPr>
      <w:rFonts w:cs="Times New Roman"/>
      <w:color w:val="808080"/>
    </w:rPr>
  </w:style>
  <w:style w:type="paragraph" w:styleId="Header">
    <w:name w:val="header"/>
    <w:basedOn w:val="Normal"/>
    <w:rsid w:val="004333F4"/>
    <w:pPr>
      <w:tabs>
        <w:tab w:val="center" w:pos="4320"/>
        <w:tab w:val="right" w:pos="8640"/>
      </w:tabs>
    </w:pPr>
  </w:style>
  <w:style w:type="character" w:customStyle="1" w:styleId="HeaderChar">
    <w:name w:val="Header Char"/>
    <w:basedOn w:val="DefaultParagraphFont"/>
    <w:locked/>
    <w:rsid w:val="004333F4"/>
    <w:rPr>
      <w:rFonts w:ascii="Times New Roman" w:hAnsi="Times New Roman" w:cs="Times New Roman"/>
      <w:sz w:val="22"/>
      <w:lang w:val="en-GB"/>
    </w:rPr>
  </w:style>
  <w:style w:type="paragraph" w:styleId="Footer">
    <w:name w:val="footer"/>
    <w:basedOn w:val="Normal"/>
    <w:rsid w:val="004333F4"/>
    <w:pPr>
      <w:tabs>
        <w:tab w:val="center" w:pos="4320"/>
        <w:tab w:val="right" w:pos="8640"/>
      </w:tabs>
      <w:ind w:firstLine="720"/>
      <w:jc w:val="right"/>
    </w:pPr>
  </w:style>
  <w:style w:type="character" w:customStyle="1" w:styleId="FooterChar">
    <w:name w:val="Footer Char"/>
    <w:basedOn w:val="DefaultParagraphFont"/>
    <w:locked/>
    <w:rsid w:val="004333F4"/>
    <w:rPr>
      <w:rFonts w:ascii="Times New Roman" w:hAnsi="Times New Roman" w:cs="Times New Roman"/>
      <w:sz w:val="22"/>
      <w:lang w:val="en-GB"/>
    </w:rPr>
  </w:style>
  <w:style w:type="paragraph" w:customStyle="1" w:styleId="meetingname">
    <w:name w:val="meeting name"/>
    <w:basedOn w:val="Normal"/>
    <w:rsid w:val="004333F4"/>
    <w:pPr>
      <w:ind w:left="142" w:right="4218" w:hanging="142"/>
    </w:pPr>
    <w:rPr>
      <w:caps/>
      <w:szCs w:val="22"/>
    </w:rPr>
  </w:style>
  <w:style w:type="paragraph" w:styleId="Title">
    <w:name w:val="Title"/>
    <w:basedOn w:val="Normal"/>
    <w:next w:val="Normal"/>
    <w:qFormat/>
    <w:rsid w:val="004333F4"/>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sid w:val="004333F4"/>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4333F4"/>
    <w:pPr>
      <w:numPr>
        <w:ilvl w:val="1"/>
      </w:numPr>
    </w:pPr>
    <w:rPr>
      <w:rFonts w:eastAsia="Times New Roman"/>
      <w:i/>
      <w:iCs/>
      <w:color w:val="4F81BD"/>
      <w:spacing w:val="15"/>
      <w:sz w:val="24"/>
    </w:rPr>
  </w:style>
  <w:style w:type="character" w:customStyle="1" w:styleId="SubtitleChar">
    <w:name w:val="Subtitle Char"/>
    <w:basedOn w:val="DefaultParagraphFont"/>
    <w:locked/>
    <w:rsid w:val="004333F4"/>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sid w:val="004333F4"/>
    <w:rPr>
      <w:rFonts w:ascii="Times New Roman" w:hAnsi="Times New Roman" w:cs="Times New Roman"/>
      <w:b/>
      <w:caps/>
      <w:sz w:val="22"/>
      <w:lang w:val="en-GB"/>
    </w:rPr>
  </w:style>
  <w:style w:type="paragraph" w:styleId="BodyText">
    <w:name w:val="Body Text"/>
    <w:basedOn w:val="Normal"/>
    <w:rsid w:val="004333F4"/>
    <w:pPr>
      <w:spacing w:before="120" w:after="120"/>
      <w:ind w:firstLine="720"/>
    </w:pPr>
    <w:rPr>
      <w:iCs/>
    </w:rPr>
  </w:style>
  <w:style w:type="character" w:customStyle="1" w:styleId="BalloonTextChar1">
    <w:name w:val="Balloon Text Char1"/>
    <w:basedOn w:val="DefaultParagraphFont"/>
    <w:link w:val="BalloonText"/>
    <w:locked/>
    <w:rsid w:val="004333F4"/>
    <w:rPr>
      <w:rFonts w:ascii="Times New Roman" w:hAnsi="Times New Roman" w:cs="Times New Roman"/>
      <w:iCs/>
      <w:sz w:val="22"/>
      <w:lang w:val="en-GB"/>
    </w:rPr>
  </w:style>
  <w:style w:type="paragraph" w:styleId="BodyTextIndent">
    <w:name w:val="Body Text Indent"/>
    <w:basedOn w:val="Normal"/>
    <w:rsid w:val="004333F4"/>
    <w:pPr>
      <w:spacing w:before="120" w:after="120"/>
      <w:ind w:left="1440" w:hanging="720"/>
      <w:jc w:val="left"/>
    </w:pPr>
  </w:style>
  <w:style w:type="character" w:customStyle="1" w:styleId="BodyTextIndentChar">
    <w:name w:val="Body Text Indent Char"/>
    <w:basedOn w:val="DefaultParagraphFont"/>
    <w:locked/>
    <w:rsid w:val="004333F4"/>
    <w:rPr>
      <w:rFonts w:ascii="Times New Roman" w:hAnsi="Times New Roman" w:cs="Times New Roman"/>
      <w:sz w:val="22"/>
      <w:lang w:val="en-GB"/>
    </w:rPr>
  </w:style>
  <w:style w:type="character" w:styleId="CommentReference">
    <w:name w:val="annotation reference"/>
    <w:basedOn w:val="DefaultParagraphFont"/>
    <w:semiHidden/>
    <w:rsid w:val="004333F4"/>
    <w:rPr>
      <w:rFonts w:cs="Times New Roman"/>
      <w:sz w:val="16"/>
    </w:rPr>
  </w:style>
  <w:style w:type="paragraph" w:styleId="CommentText">
    <w:name w:val="annotation text"/>
    <w:basedOn w:val="Normal"/>
    <w:semiHidden/>
    <w:rsid w:val="004333F4"/>
    <w:pPr>
      <w:spacing w:after="120" w:line="240" w:lineRule="exact"/>
    </w:pPr>
  </w:style>
  <w:style w:type="character" w:customStyle="1" w:styleId="CommentTextChar">
    <w:name w:val="Comment Text Char"/>
    <w:basedOn w:val="DefaultParagraphFont"/>
    <w:locked/>
    <w:rsid w:val="004333F4"/>
    <w:rPr>
      <w:rFonts w:ascii="Times New Roman" w:hAnsi="Times New Roman" w:cs="Times New Roman"/>
      <w:sz w:val="22"/>
      <w:lang w:val="en-GB"/>
    </w:rPr>
  </w:style>
  <w:style w:type="paragraph" w:customStyle="1" w:styleId="Cornernotation">
    <w:name w:val="Corner notation"/>
    <w:basedOn w:val="Normal"/>
    <w:rsid w:val="004333F4"/>
    <w:pPr>
      <w:ind w:left="170" w:right="3119" w:hanging="170"/>
      <w:jc w:val="left"/>
    </w:pPr>
  </w:style>
  <w:style w:type="character" w:styleId="EndnoteReference">
    <w:name w:val="endnote reference"/>
    <w:basedOn w:val="DefaultParagraphFont"/>
    <w:semiHidden/>
    <w:rsid w:val="004333F4"/>
    <w:rPr>
      <w:rFonts w:cs="Times New Roman"/>
      <w:vertAlign w:val="superscript"/>
    </w:rPr>
  </w:style>
  <w:style w:type="paragraph" w:styleId="EndnoteText">
    <w:name w:val="endnote text"/>
    <w:basedOn w:val="Normal"/>
    <w:semiHidden/>
    <w:rsid w:val="004333F4"/>
    <w:pPr>
      <w:widowControl w:val="0"/>
      <w:tabs>
        <w:tab w:val="left" w:pos="-720"/>
      </w:tabs>
      <w:suppressAutoHyphens/>
    </w:pPr>
    <w:rPr>
      <w:rFonts w:ascii="Courier New" w:hAnsi="Courier New"/>
    </w:rPr>
  </w:style>
  <w:style w:type="character" w:customStyle="1" w:styleId="EndnoteTextChar">
    <w:name w:val="Endnote Text Char"/>
    <w:basedOn w:val="DefaultParagraphFont"/>
    <w:locked/>
    <w:rsid w:val="004333F4"/>
    <w:rPr>
      <w:rFonts w:ascii="Courier New" w:hAnsi="Courier New" w:cs="Times New Roman"/>
      <w:sz w:val="22"/>
      <w:lang w:val="en-GB"/>
    </w:rPr>
  </w:style>
  <w:style w:type="character" w:styleId="FollowedHyperlink">
    <w:name w:val="FollowedHyperlink"/>
    <w:basedOn w:val="DefaultParagraphFont"/>
    <w:rsid w:val="004333F4"/>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sid w:val="004333F4"/>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semiHidden/>
    <w:rsid w:val="004333F4"/>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sid w:val="004333F4"/>
    <w:rPr>
      <w:rFonts w:ascii="Times New Roman" w:hAnsi="Times New Roman" w:cs="Times New Roman"/>
      <w:sz w:val="18"/>
      <w:lang w:val="en-GB"/>
    </w:rPr>
  </w:style>
  <w:style w:type="paragraph" w:customStyle="1" w:styleId="HEADING">
    <w:name w:val="HEADING"/>
    <w:basedOn w:val="Normal"/>
    <w:rsid w:val="004333F4"/>
    <w:pPr>
      <w:keepNext/>
      <w:spacing w:before="240" w:after="120"/>
      <w:jc w:val="center"/>
    </w:pPr>
    <w:rPr>
      <w:b/>
      <w:bCs/>
      <w:caps/>
    </w:rPr>
  </w:style>
  <w:style w:type="character" w:customStyle="1" w:styleId="Heading2Char">
    <w:name w:val="Heading 2 Char"/>
    <w:basedOn w:val="DefaultParagraphFont"/>
    <w:locked/>
    <w:rsid w:val="004333F4"/>
    <w:rPr>
      <w:rFonts w:ascii="Times New Roman" w:hAnsi="Times New Roman" w:cs="Times New Roman"/>
      <w:b/>
      <w:bCs/>
      <w:iCs/>
      <w:sz w:val="22"/>
      <w:lang w:val="en-GB"/>
    </w:rPr>
  </w:style>
  <w:style w:type="paragraph" w:customStyle="1" w:styleId="HEADINGNOTFORTOC">
    <w:name w:val="HEADING (NOT FOR TOC)"/>
    <w:basedOn w:val="Heading1"/>
    <w:next w:val="Heading2"/>
    <w:rsid w:val="004333F4"/>
  </w:style>
  <w:style w:type="paragraph" w:customStyle="1" w:styleId="Heading1longmultiline">
    <w:name w:val="Heading 1 (long multiline)"/>
    <w:basedOn w:val="Heading1"/>
    <w:rsid w:val="004333F4"/>
    <w:pPr>
      <w:ind w:left="1843" w:hanging="1134"/>
      <w:jc w:val="left"/>
    </w:pPr>
  </w:style>
  <w:style w:type="paragraph" w:customStyle="1" w:styleId="Heading1multiline">
    <w:name w:val="Heading 1 (multiline)"/>
    <w:basedOn w:val="Heading1"/>
    <w:rsid w:val="004333F4"/>
    <w:pPr>
      <w:ind w:left="1843" w:right="996" w:hanging="567"/>
      <w:jc w:val="left"/>
    </w:pPr>
  </w:style>
  <w:style w:type="paragraph" w:customStyle="1" w:styleId="Heading2multiline">
    <w:name w:val="Heading 2 (multiline)"/>
    <w:basedOn w:val="Heading1"/>
    <w:next w:val="Normal"/>
    <w:rsid w:val="004333F4"/>
    <w:pPr>
      <w:spacing w:before="120"/>
      <w:ind w:left="1843" w:right="998" w:hanging="567"/>
      <w:jc w:val="left"/>
    </w:pPr>
    <w:rPr>
      <w:i/>
      <w:iCs/>
      <w:caps w:val="0"/>
    </w:rPr>
  </w:style>
  <w:style w:type="paragraph" w:customStyle="1" w:styleId="Heading2longmultiline">
    <w:name w:val="Heading 2 (long multiline)"/>
    <w:basedOn w:val="Heading2multiline"/>
    <w:rsid w:val="004333F4"/>
    <w:pPr>
      <w:ind w:left="2127" w:hanging="1276"/>
    </w:pPr>
  </w:style>
  <w:style w:type="character" w:customStyle="1" w:styleId="Heading3Char">
    <w:name w:val="Heading 3 Char"/>
    <w:basedOn w:val="DefaultParagraphFont"/>
    <w:locked/>
    <w:rsid w:val="004333F4"/>
    <w:rPr>
      <w:rFonts w:ascii="Times New Roman" w:hAnsi="Times New Roman" w:cs="Times New Roman"/>
      <w:i/>
      <w:iCs/>
      <w:sz w:val="22"/>
      <w:lang w:val="en-GB"/>
    </w:rPr>
  </w:style>
  <w:style w:type="paragraph" w:customStyle="1" w:styleId="heading2notforTOC">
    <w:name w:val="heading 2 not for TOC"/>
    <w:basedOn w:val="Heading3"/>
    <w:rsid w:val="004333F4"/>
  </w:style>
  <w:style w:type="paragraph" w:customStyle="1" w:styleId="Heading3multiline">
    <w:name w:val="Heading 3 (multiline)"/>
    <w:basedOn w:val="Heading3"/>
    <w:next w:val="Normal"/>
    <w:rsid w:val="004333F4"/>
    <w:pPr>
      <w:ind w:left="1418" w:hanging="425"/>
      <w:jc w:val="left"/>
    </w:pPr>
  </w:style>
  <w:style w:type="character" w:customStyle="1" w:styleId="Heading4Char">
    <w:name w:val="Heading 4 Char"/>
    <w:basedOn w:val="DefaultParagraphFont"/>
    <w:locked/>
    <w:rsid w:val="004333F4"/>
    <w:rPr>
      <w:rFonts w:ascii="Times New Roman Bold" w:eastAsia="Times New Roman" w:hAnsi="Times New Roman Bold" w:cs="Arial"/>
      <w:b/>
      <w:bCs/>
      <w:i/>
      <w:sz w:val="22"/>
      <w:lang w:val="en-GB"/>
    </w:rPr>
  </w:style>
  <w:style w:type="paragraph" w:customStyle="1" w:styleId="Heading4indent">
    <w:name w:val="Heading 4 indent"/>
    <w:basedOn w:val="Heading4"/>
    <w:rsid w:val="004333F4"/>
    <w:pPr>
      <w:ind w:left="720"/>
      <w:outlineLvl w:val="9"/>
    </w:pPr>
    <w:rPr>
      <w:rFonts w:ascii="Times New Roman" w:hAnsi="Times New Roman"/>
    </w:rPr>
  </w:style>
  <w:style w:type="character" w:customStyle="1" w:styleId="Heading5Char">
    <w:name w:val="Heading 5 Char"/>
    <w:basedOn w:val="DefaultParagraphFont"/>
    <w:locked/>
    <w:rsid w:val="004333F4"/>
    <w:rPr>
      <w:rFonts w:eastAsia="MS Mincho" w:cs="Times New Roman"/>
      <w:bCs/>
      <w:i/>
      <w:sz w:val="26"/>
      <w:szCs w:val="26"/>
      <w:lang w:val="en-CA" w:bidi="ar-SA"/>
    </w:rPr>
  </w:style>
  <w:style w:type="character" w:customStyle="1" w:styleId="Heading6Char">
    <w:name w:val="Heading 6 Char"/>
    <w:basedOn w:val="DefaultParagraphFont"/>
    <w:locked/>
    <w:rsid w:val="004333F4"/>
    <w:rPr>
      <w:rFonts w:ascii="Times New Roman" w:hAnsi="Times New Roman" w:cs="Times New Roman"/>
      <w:sz w:val="22"/>
      <w:u w:val="single"/>
      <w:lang w:val="en-GB"/>
    </w:rPr>
  </w:style>
  <w:style w:type="character" w:customStyle="1" w:styleId="Heading7Char">
    <w:name w:val="Heading 7 Char"/>
    <w:basedOn w:val="DefaultParagraphFont"/>
    <w:locked/>
    <w:rsid w:val="004333F4"/>
    <w:rPr>
      <w:rFonts w:ascii="Times New Roman" w:hAnsi="Times New Roman" w:cs="Times New Roman"/>
      <w:b/>
      <w:sz w:val="28"/>
      <w:lang w:val="en-GB"/>
    </w:rPr>
  </w:style>
  <w:style w:type="character" w:customStyle="1" w:styleId="Heading8Char">
    <w:name w:val="Heading 8 Char"/>
    <w:basedOn w:val="DefaultParagraphFont"/>
    <w:locked/>
    <w:rsid w:val="004333F4"/>
    <w:rPr>
      <w:rFonts w:ascii="Times New Roman" w:hAnsi="Times New Roman" w:cs="Times New Roman"/>
      <w:b/>
      <w:sz w:val="32"/>
      <w:lang w:val="en-GB"/>
    </w:rPr>
  </w:style>
  <w:style w:type="character" w:customStyle="1" w:styleId="Heading9Char">
    <w:name w:val="Heading 9 Char"/>
    <w:basedOn w:val="DefaultParagraphFont"/>
    <w:locked/>
    <w:rsid w:val="004333F4"/>
    <w:rPr>
      <w:rFonts w:ascii="Times New Roman" w:hAnsi="Times New Roman" w:cs="Times New Roman"/>
      <w:i/>
      <w:iCs/>
      <w:sz w:val="22"/>
      <w:lang w:val="en-GB"/>
    </w:rPr>
  </w:style>
  <w:style w:type="character" w:styleId="PageNumber">
    <w:name w:val="page number"/>
    <w:basedOn w:val="DefaultParagraphFont"/>
    <w:rsid w:val="004333F4"/>
    <w:rPr>
      <w:rFonts w:ascii="Times New Roman" w:hAnsi="Times New Roman" w:cs="Times New Roman"/>
      <w:sz w:val="22"/>
    </w:rPr>
  </w:style>
  <w:style w:type="paragraph" w:customStyle="1" w:styleId="Para1">
    <w:name w:val="Para1"/>
    <w:basedOn w:val="Normal"/>
    <w:rsid w:val="004333F4"/>
    <w:pPr>
      <w:numPr>
        <w:numId w:val="2"/>
      </w:numPr>
      <w:spacing w:before="120" w:after="120"/>
    </w:pPr>
    <w:rPr>
      <w:szCs w:val="18"/>
    </w:rPr>
  </w:style>
  <w:style w:type="paragraph" w:customStyle="1" w:styleId="Para2">
    <w:name w:val="Para2"/>
    <w:basedOn w:val="Para1"/>
    <w:rsid w:val="004333F4"/>
    <w:pPr>
      <w:numPr>
        <w:numId w:val="0"/>
      </w:numPr>
      <w:autoSpaceDE w:val="0"/>
      <w:autoSpaceDN w:val="0"/>
    </w:pPr>
  </w:style>
  <w:style w:type="paragraph" w:customStyle="1" w:styleId="Para3">
    <w:name w:val="Para3"/>
    <w:basedOn w:val="Normal"/>
    <w:rsid w:val="004333F4"/>
    <w:pPr>
      <w:numPr>
        <w:ilvl w:val="3"/>
        <w:numId w:val="3"/>
      </w:numPr>
      <w:tabs>
        <w:tab w:val="left" w:pos="1980"/>
      </w:tabs>
      <w:spacing w:before="80" w:after="80"/>
    </w:pPr>
    <w:rPr>
      <w:szCs w:val="20"/>
    </w:rPr>
  </w:style>
  <w:style w:type="paragraph" w:customStyle="1" w:styleId="para4">
    <w:name w:val="para4"/>
    <w:basedOn w:val="Normal"/>
    <w:rsid w:val="004333F4"/>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4333F4"/>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4333F4"/>
    <w:pPr>
      <w:spacing w:before="120" w:after="120"/>
      <w:ind w:left="720" w:right="720"/>
    </w:pPr>
    <w:rPr>
      <w:bCs/>
    </w:rPr>
  </w:style>
  <w:style w:type="paragraph" w:customStyle="1" w:styleId="recommendationheader">
    <w:name w:val="recommendation header"/>
    <w:basedOn w:val="Heading2"/>
    <w:rsid w:val="004333F4"/>
  </w:style>
  <w:style w:type="paragraph" w:customStyle="1" w:styleId="recommendationheaderlong">
    <w:name w:val="recommendation header long"/>
    <w:basedOn w:val="Heading2longmultiline"/>
    <w:rsid w:val="004333F4"/>
  </w:style>
  <w:style w:type="paragraph" w:customStyle="1" w:styleId="reference">
    <w:name w:val="reference"/>
    <w:basedOn w:val="Heading9"/>
    <w:rsid w:val="004333F4"/>
    <w:rPr>
      <w:i w:val="0"/>
      <w:sz w:val="18"/>
    </w:rPr>
  </w:style>
  <w:style w:type="character" w:customStyle="1" w:styleId="StyleFootnoteReferenceNounderline">
    <w:name w:val="Style Footnote Reference + No underline"/>
    <w:rsid w:val="004333F4"/>
    <w:rPr>
      <w:sz w:val="18"/>
      <w:u w:val="none"/>
      <w:vertAlign w:val="baseline"/>
    </w:rPr>
  </w:style>
  <w:style w:type="paragraph" w:customStyle="1" w:styleId="tabletitle">
    <w:name w:val="table title"/>
    <w:basedOn w:val="Heading2"/>
    <w:rsid w:val="004333F4"/>
    <w:pPr>
      <w:jc w:val="left"/>
      <w:outlineLvl w:val="9"/>
    </w:pPr>
    <w:rPr>
      <w:i/>
    </w:rPr>
  </w:style>
  <w:style w:type="paragraph" w:styleId="TOAHeading">
    <w:name w:val="toa heading"/>
    <w:basedOn w:val="Normal"/>
    <w:next w:val="Normal"/>
    <w:semiHidden/>
    <w:rsid w:val="004333F4"/>
    <w:pPr>
      <w:spacing w:before="120"/>
    </w:pPr>
    <w:rPr>
      <w:rFonts w:cs="Arial"/>
      <w:b/>
      <w:bCs/>
      <w:sz w:val="24"/>
    </w:rPr>
  </w:style>
  <w:style w:type="paragraph" w:styleId="TOC1">
    <w:name w:val="toc 1"/>
    <w:basedOn w:val="Normal"/>
    <w:next w:val="Normal"/>
    <w:autoRedefine/>
    <w:semiHidden/>
    <w:rsid w:val="004333F4"/>
    <w:pPr>
      <w:ind w:left="720" w:hanging="720"/>
    </w:pPr>
    <w:rPr>
      <w:caps/>
    </w:rPr>
  </w:style>
  <w:style w:type="paragraph" w:styleId="TOC2">
    <w:name w:val="toc 2"/>
    <w:basedOn w:val="Normal"/>
    <w:next w:val="Normal"/>
    <w:autoRedefine/>
    <w:semiHidden/>
    <w:rsid w:val="004333F4"/>
    <w:pPr>
      <w:tabs>
        <w:tab w:val="right" w:leader="dot" w:pos="9356"/>
      </w:tabs>
      <w:ind w:left="1440" w:hanging="720"/>
    </w:pPr>
    <w:rPr>
      <w:noProof/>
      <w:szCs w:val="22"/>
      <w:lang w:val="es-ES"/>
    </w:rPr>
  </w:style>
  <w:style w:type="paragraph" w:styleId="TOC3">
    <w:name w:val="toc 3"/>
    <w:basedOn w:val="Normal"/>
    <w:next w:val="Normal"/>
    <w:autoRedefine/>
    <w:semiHidden/>
    <w:rsid w:val="004333F4"/>
    <w:pPr>
      <w:ind w:left="2160" w:hanging="720"/>
    </w:pPr>
  </w:style>
  <w:style w:type="paragraph" w:styleId="TOC4">
    <w:name w:val="toc 4"/>
    <w:basedOn w:val="Normal"/>
    <w:next w:val="Normal"/>
    <w:autoRedefine/>
    <w:semiHidden/>
    <w:rsid w:val="004333F4"/>
    <w:pPr>
      <w:spacing w:before="120" w:after="120"/>
      <w:ind w:left="660"/>
      <w:jc w:val="left"/>
    </w:pPr>
  </w:style>
  <w:style w:type="paragraph" w:styleId="TOC5">
    <w:name w:val="toc 5"/>
    <w:basedOn w:val="Normal"/>
    <w:next w:val="Normal"/>
    <w:autoRedefine/>
    <w:semiHidden/>
    <w:rsid w:val="004333F4"/>
    <w:pPr>
      <w:spacing w:before="120" w:after="120"/>
      <w:ind w:left="880"/>
      <w:jc w:val="left"/>
    </w:pPr>
  </w:style>
  <w:style w:type="paragraph" w:styleId="TOC6">
    <w:name w:val="toc 6"/>
    <w:basedOn w:val="Normal"/>
    <w:next w:val="Normal"/>
    <w:autoRedefine/>
    <w:semiHidden/>
    <w:rsid w:val="004333F4"/>
    <w:pPr>
      <w:spacing w:before="120" w:after="120"/>
      <w:ind w:left="1100"/>
      <w:jc w:val="left"/>
    </w:pPr>
  </w:style>
  <w:style w:type="paragraph" w:styleId="TOC7">
    <w:name w:val="toc 7"/>
    <w:basedOn w:val="Normal"/>
    <w:next w:val="Normal"/>
    <w:autoRedefine/>
    <w:semiHidden/>
    <w:rsid w:val="004333F4"/>
    <w:pPr>
      <w:spacing w:before="120" w:after="120"/>
      <w:ind w:left="1320"/>
      <w:jc w:val="left"/>
    </w:pPr>
  </w:style>
  <w:style w:type="paragraph" w:styleId="TOC8">
    <w:name w:val="toc 8"/>
    <w:basedOn w:val="Normal"/>
    <w:next w:val="Normal"/>
    <w:autoRedefine/>
    <w:semiHidden/>
    <w:rsid w:val="004333F4"/>
    <w:pPr>
      <w:spacing w:before="120" w:after="120"/>
      <w:ind w:left="1540"/>
      <w:jc w:val="left"/>
    </w:pPr>
  </w:style>
  <w:style w:type="paragraph" w:styleId="TOC9">
    <w:name w:val="toc 9"/>
    <w:basedOn w:val="Normal"/>
    <w:next w:val="Normal"/>
    <w:autoRedefine/>
    <w:semiHidden/>
    <w:rsid w:val="004333F4"/>
    <w:pPr>
      <w:spacing w:before="120" w:after="120"/>
      <w:ind w:left="1760"/>
      <w:jc w:val="left"/>
    </w:pPr>
  </w:style>
  <w:style w:type="character" w:styleId="Hyperlink">
    <w:name w:val="Hyperlink"/>
    <w:basedOn w:val="DefaultParagraphFont"/>
    <w:rsid w:val="004333F4"/>
    <w:rPr>
      <w:rFonts w:cs="Times New Roman"/>
      <w:color w:val="0000FF"/>
      <w:sz w:val="18"/>
      <w:u w:val="single"/>
    </w:rPr>
  </w:style>
  <w:style w:type="character" w:customStyle="1" w:styleId="Para1Char">
    <w:name w:val="Para1 Char"/>
    <w:locked/>
    <w:rsid w:val="004333F4"/>
    <w:rPr>
      <w:rFonts w:eastAsia="MS Mincho"/>
      <w:sz w:val="18"/>
      <w:lang w:val="en-GB"/>
    </w:rPr>
  </w:style>
  <w:style w:type="paragraph" w:customStyle="1" w:styleId="CBD-Doc-Type">
    <w:name w:val="CBD-Doc-Type"/>
    <w:basedOn w:val="Normal"/>
    <w:rsid w:val="004333F4"/>
    <w:pPr>
      <w:keepLines/>
      <w:spacing w:before="240" w:after="120"/>
    </w:pPr>
    <w:rPr>
      <w:b/>
      <w:i/>
      <w:sz w:val="24"/>
    </w:rPr>
  </w:style>
  <w:style w:type="paragraph" w:customStyle="1" w:styleId="CBD-Doc">
    <w:name w:val="CBD-Doc"/>
    <w:basedOn w:val="Normal"/>
    <w:rsid w:val="004333F4"/>
    <w:pPr>
      <w:keepLines/>
      <w:numPr>
        <w:numId w:val="4"/>
      </w:numPr>
      <w:spacing w:after="120"/>
    </w:pPr>
  </w:style>
  <w:style w:type="paragraph" w:styleId="ListParagraph">
    <w:name w:val="List Paragraph"/>
    <w:basedOn w:val="Normal"/>
    <w:qFormat/>
    <w:rsid w:val="004333F4"/>
    <w:pPr>
      <w:ind w:left="720"/>
    </w:pPr>
  </w:style>
  <w:style w:type="paragraph" w:styleId="Caption">
    <w:name w:val="caption"/>
    <w:basedOn w:val="Normal"/>
    <w:next w:val="Normal"/>
    <w:qFormat/>
    <w:rsid w:val="004333F4"/>
    <w:pPr>
      <w:keepNext/>
      <w:keepLines/>
      <w:spacing w:after="200"/>
    </w:pPr>
    <w:rPr>
      <w:b/>
      <w:iCs/>
      <w:szCs w:val="18"/>
    </w:rPr>
  </w:style>
  <w:style w:type="character" w:customStyle="1" w:styleId="UnresolvedMention1">
    <w:name w:val="Unresolved Mention1"/>
    <w:basedOn w:val="DefaultParagraphFont"/>
    <w:semiHidden/>
    <w:rsid w:val="004333F4"/>
    <w:rPr>
      <w:rFonts w:cs="Times New Roman"/>
      <w:color w:val="808080"/>
      <w:shd w:val="clear" w:color="auto" w:fill="E6E6E6"/>
    </w:rPr>
  </w:style>
  <w:style w:type="paragraph" w:styleId="Revision">
    <w:name w:val="Revision"/>
    <w:hidden/>
    <w:semiHidden/>
    <w:rsid w:val="004333F4"/>
    <w:pPr>
      <w:jc w:val="both"/>
    </w:pPr>
    <w:rPr>
      <w:rFonts w:eastAsia="MS Mincho" w:cs="Times New Roman"/>
      <w:snapToGrid w:val="0"/>
      <w:sz w:val="22"/>
      <w:szCs w:val="22"/>
      <w:lang w:val="en-GB" w:eastAsia="es-ES"/>
    </w:rPr>
  </w:style>
  <w:style w:type="character" w:customStyle="1" w:styleId="ListParagraphChar">
    <w:name w:val="List Paragraph Char"/>
    <w:basedOn w:val="DefaultParagraphFont"/>
    <w:locked/>
    <w:rsid w:val="004333F4"/>
    <w:rPr>
      <w:rFonts w:ascii="Times New Roman" w:hAnsi="Times New Roman" w:cs="Times New Roman"/>
      <w:sz w:val="22"/>
      <w:lang w:val="en-GB"/>
    </w:rPr>
  </w:style>
  <w:style w:type="paragraph" w:customStyle="1" w:styleId="Default">
    <w:name w:val="Default"/>
    <w:rsid w:val="004333F4"/>
    <w:pPr>
      <w:autoSpaceDE w:val="0"/>
      <w:autoSpaceDN w:val="0"/>
      <w:adjustRightInd w:val="0"/>
      <w:jc w:val="both"/>
    </w:pPr>
    <w:rPr>
      <w:rFonts w:eastAsia="MS Mincho" w:cs="Times New Roman"/>
      <w:snapToGrid w:val="0"/>
      <w:color w:val="000000"/>
      <w:sz w:val="22"/>
      <w:szCs w:val="22"/>
      <w:lang w:val="en-CA" w:eastAsia="es-ES"/>
    </w:rPr>
  </w:style>
  <w:style w:type="character" w:customStyle="1" w:styleId="UnresolvedMention2">
    <w:name w:val="Unresolved Mention2"/>
    <w:basedOn w:val="DefaultParagraphFont"/>
    <w:semiHidden/>
    <w:rsid w:val="004333F4"/>
    <w:rPr>
      <w:rFonts w:cs="Times New Roman"/>
      <w:color w:val="605E5C"/>
      <w:shd w:val="clear" w:color="auto" w:fill="E1DFDD"/>
    </w:rPr>
  </w:style>
  <w:style w:type="paragraph" w:styleId="CommentSubject">
    <w:name w:val="annotation subject"/>
    <w:basedOn w:val="CommentText"/>
    <w:next w:val="CommentText"/>
    <w:semiHidden/>
    <w:rsid w:val="004333F4"/>
    <w:pPr>
      <w:spacing w:after="0" w:line="240" w:lineRule="auto"/>
    </w:pPr>
    <w:rPr>
      <w:b/>
      <w:bCs/>
      <w:sz w:val="20"/>
      <w:szCs w:val="20"/>
    </w:rPr>
  </w:style>
  <w:style w:type="character" w:customStyle="1" w:styleId="CommentSubjectChar">
    <w:name w:val="Comment Subject Char"/>
    <w:basedOn w:val="CommentTextChar"/>
    <w:semiHidden/>
    <w:locked/>
    <w:rsid w:val="004333F4"/>
    <w:rPr>
      <w:b/>
      <w:bCs/>
      <w:sz w:val="20"/>
      <w:szCs w:val="20"/>
    </w:rPr>
  </w:style>
  <w:style w:type="character" w:customStyle="1" w:styleId="UnresolvedMention3">
    <w:name w:val="Unresolved Mention3"/>
    <w:basedOn w:val="DefaultParagraphFont"/>
    <w:semiHidden/>
    <w:rsid w:val="004333F4"/>
    <w:rPr>
      <w:rFonts w:cs="Times New Roman"/>
      <w:color w:val="605E5C"/>
      <w:shd w:val="clear" w:color="auto" w:fill="E1DFDD"/>
    </w:rPr>
  </w:style>
  <w:style w:type="character" w:customStyle="1" w:styleId="UnresolvedMention4">
    <w:name w:val="Unresolved Mention4"/>
    <w:basedOn w:val="DefaultParagraphFont"/>
    <w:semiHidden/>
    <w:rsid w:val="004333F4"/>
    <w:rPr>
      <w:rFonts w:cs="Times New Roman"/>
      <w:color w:val="605E5C"/>
      <w:shd w:val="clear" w:color="auto" w:fill="E1DFDD"/>
    </w:rPr>
  </w:style>
  <w:style w:type="character" w:styleId="Strong">
    <w:name w:val="Strong"/>
    <w:basedOn w:val="DefaultParagraphFont"/>
    <w:qFormat/>
    <w:rsid w:val="004333F4"/>
    <w:rPr>
      <w:rFonts w:cs="Times New Roman"/>
      <w:b/>
      <w:bCs/>
    </w:rPr>
  </w:style>
  <w:style w:type="paragraph" w:styleId="NormalWeb">
    <w:name w:val="Normal (Web)"/>
    <w:basedOn w:val="Normal"/>
    <w:rsid w:val="004333F4"/>
    <w:pPr>
      <w:spacing w:before="100" w:beforeAutospacing="1" w:after="100" w:afterAutospacing="1"/>
      <w:jc w:val="left"/>
    </w:pPr>
    <w:rPr>
      <w:sz w:val="24"/>
      <w:szCs w:val="22"/>
      <w:lang w:val="en-CA"/>
    </w:rPr>
  </w:style>
  <w:style w:type="table" w:customStyle="1" w:styleId="3">
    <w:name w:val="3"/>
    <w:rsid w:val="004333F4"/>
    <w:pPr>
      <w:jc w:val="both"/>
    </w:pPr>
    <w:rPr>
      <w:rFonts w:eastAsia="MS Mincho" w:cs="Times New Roman"/>
      <w:snapToGrid w:val="0"/>
      <w:sz w:val="22"/>
      <w:szCs w:val="22"/>
      <w:lang w:val="en-GB" w:eastAsia="es-ES"/>
    </w:rPr>
    <w:tblPr>
      <w:tblCellMar>
        <w:top w:w="0" w:type="dxa"/>
        <w:left w:w="108" w:type="dxa"/>
        <w:bottom w:w="0" w:type="dxa"/>
        <w:right w:w="108" w:type="dxa"/>
      </w:tblCellMar>
    </w:tblPr>
  </w:style>
  <w:style w:type="table" w:customStyle="1" w:styleId="2">
    <w:name w:val="2"/>
    <w:rsid w:val="004333F4"/>
    <w:pPr>
      <w:jc w:val="both"/>
    </w:pPr>
    <w:rPr>
      <w:rFonts w:eastAsia="MS Mincho" w:cs="Times New Roman"/>
      <w:snapToGrid w:val="0"/>
      <w:sz w:val="22"/>
      <w:szCs w:val="22"/>
      <w:lang w:val="en-GB" w:eastAsia="es-ES"/>
    </w:rPr>
    <w:tblPr>
      <w:tblCellMar>
        <w:top w:w="100" w:type="dxa"/>
        <w:left w:w="100" w:type="dxa"/>
        <w:bottom w:w="100" w:type="dxa"/>
        <w:right w:w="100" w:type="dxa"/>
      </w:tblCellMar>
    </w:tblPr>
  </w:style>
  <w:style w:type="table" w:customStyle="1" w:styleId="1">
    <w:name w:val="1"/>
    <w:rsid w:val="004333F4"/>
    <w:pPr>
      <w:jc w:val="both"/>
    </w:pPr>
    <w:rPr>
      <w:rFonts w:eastAsia="MS Mincho" w:cs="Times New Roman"/>
      <w:snapToGrid w:val="0"/>
      <w:sz w:val="22"/>
      <w:szCs w:val="22"/>
      <w:lang w:val="en-GB" w:eastAsia="es-ES"/>
    </w:rPr>
    <w:tblPr>
      <w:tblCellMar>
        <w:top w:w="100" w:type="dxa"/>
        <w:left w:w="100" w:type="dxa"/>
        <w:bottom w:w="100" w:type="dxa"/>
        <w:right w:w="100" w:type="dxa"/>
      </w:tblCellMar>
    </w:tblPr>
  </w:style>
  <w:style w:type="paragraph" w:customStyle="1" w:styleId="Normal1">
    <w:name w:val="Normal1"/>
    <w:rsid w:val="004333F4"/>
    <w:pPr>
      <w:widowControl w:val="0"/>
      <w:spacing w:line="276" w:lineRule="auto"/>
    </w:pPr>
    <w:rPr>
      <w:rFonts w:ascii="Arial" w:hAnsi="Arial" w:cs="Arial"/>
      <w:snapToGrid w:val="0"/>
      <w:color w:val="000000"/>
      <w:sz w:val="22"/>
      <w:lang w:val="en-CA" w:eastAsia="es-ES"/>
    </w:rPr>
  </w:style>
  <w:style w:type="table" w:customStyle="1" w:styleId="PlainTable2">
    <w:name w:val="Plain Table 2"/>
    <w:rsid w:val="004333F4"/>
    <w:pPr>
      <w:jc w:val="both"/>
    </w:pPr>
    <w:rPr>
      <w:rFonts w:eastAsia="MS Mincho" w:cs="Times New Roman"/>
      <w:snapToGrid w:val="0"/>
      <w:sz w:val="22"/>
      <w:szCs w:val="22"/>
      <w:lang w:val="en-GB" w:eastAsia="es-ES"/>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
    <w:name w:val="Plain Table 3"/>
    <w:rsid w:val="004333F4"/>
    <w:pPr>
      <w:jc w:val="both"/>
    </w:pPr>
    <w:rPr>
      <w:rFonts w:eastAsia="MS Mincho" w:cs="Times New Roman"/>
      <w:snapToGrid w:val="0"/>
      <w:sz w:val="22"/>
      <w:szCs w:val="22"/>
      <w:lang w:val="en-GB" w:eastAsia="es-ES"/>
    </w:rPr>
    <w:tblPr>
      <w:tblCellMar>
        <w:top w:w="0" w:type="dxa"/>
        <w:left w:w="108" w:type="dxa"/>
        <w:bottom w:w="0" w:type="dxa"/>
        <w:right w:w="108" w:type="dxa"/>
      </w:tblCellMar>
    </w:tblPr>
  </w:style>
  <w:style w:type="paragraph" w:styleId="NoSpacing">
    <w:name w:val="No Spacing"/>
    <w:qFormat/>
    <w:rsid w:val="004333F4"/>
    <w:pPr>
      <w:jc w:val="both"/>
    </w:pPr>
    <w:rPr>
      <w:rFonts w:eastAsia="MS Mincho" w:cs="Times New Roman"/>
      <w:snapToGrid w:val="0"/>
      <w:sz w:val="22"/>
      <w:szCs w:val="22"/>
      <w:lang w:val="en-GB" w:eastAsia="es-ES"/>
    </w:rPr>
  </w:style>
  <w:style w:type="character" w:customStyle="1" w:styleId="UnresolvedMention">
    <w:name w:val="Unresolved Mention"/>
    <w:basedOn w:val="DefaultParagraphFont"/>
    <w:semiHidden/>
    <w:rsid w:val="004333F4"/>
    <w:rPr>
      <w:rFonts w:cs="Times New Roman"/>
      <w:color w:val="605E5C"/>
      <w:shd w:val="clear" w:color="auto" w:fill="E1DFDD"/>
    </w:rPr>
  </w:style>
  <w:style w:type="table" w:customStyle="1" w:styleId="ListTable4Accent5">
    <w:name w:val="List Table 4 Accent 5"/>
    <w:rsid w:val="004333F4"/>
    <w:rPr>
      <w:rFonts w:cs="Arial"/>
      <w:snapToGrid w:val="0"/>
      <w:sz w:val="22"/>
      <w:szCs w:val="22"/>
      <w:lang w:val="en-GB" w:eastAsia="es-ES"/>
    </w:rPr>
    <w:tblPr>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style>
  <w:style w:type="paragraph" w:customStyle="1" w:styleId="Sansinterligne">
    <w:name w:val="Sans interligne"/>
    <w:rsid w:val="004333F4"/>
    <w:rPr>
      <w:rFonts w:cs="Times New Roman"/>
      <w:snapToGrid w:val="0"/>
      <w:sz w:val="22"/>
      <w:szCs w:val="24"/>
      <w:lang w:val="en-GB" w:eastAsia="es-ES"/>
    </w:rPr>
  </w:style>
  <w:style w:type="table" w:customStyle="1" w:styleId="MediumShading2-Accent21">
    <w:name w:val="Medium Shading 2 - Accent 21"/>
    <w:rsid w:val="004333F4"/>
    <w:rPr>
      <w:rFonts w:cs="Arial"/>
      <w:snapToGrid w:val="0"/>
      <w:sz w:val="22"/>
      <w:szCs w:val="22"/>
      <w:lang w:val="en-GB" w:eastAsia="es-ES"/>
    </w:rPr>
    <w:tblPr>
      <w:tblBorders>
        <w:top w:val="single" w:sz="18" w:space="0" w:color="auto"/>
        <w:bottom w:val="single" w:sz="18" w:space="0" w:color="auto"/>
      </w:tblBorders>
      <w:tblCellMar>
        <w:top w:w="0" w:type="dxa"/>
        <w:left w:w="108" w:type="dxa"/>
        <w:bottom w:w="0" w:type="dxa"/>
        <w:right w:w="108" w:type="dxa"/>
      </w:tblCellMar>
    </w:tblPr>
  </w:style>
  <w:style w:type="table" w:customStyle="1" w:styleId="GridTable5DarkAccent1">
    <w:name w:val="Grid Table 5 Dark Accent 1"/>
    <w:rsid w:val="004333F4"/>
    <w:pPr>
      <w:jc w:val="both"/>
    </w:pPr>
    <w:rPr>
      <w:rFonts w:eastAsia="MS Mincho" w:cs="Times New Roman"/>
      <w:snapToGrid w:val="0"/>
      <w:sz w:val="22"/>
      <w:szCs w:val="22"/>
      <w:lang w:val="en-GB" w:eastAsia="es-E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paragraph" w:customStyle="1" w:styleId="Annex-H2">
    <w:name w:val="Annex - H2"/>
    <w:basedOn w:val="Heading2"/>
    <w:next w:val="BodyText"/>
    <w:rsid w:val="004333F4"/>
    <w:pPr>
      <w:keepNext w:val="0"/>
      <w:numPr>
        <w:numId w:val="9"/>
      </w:numPr>
      <w:tabs>
        <w:tab w:val="clear" w:pos="720"/>
      </w:tabs>
      <w:suppressAutoHyphens/>
      <w:spacing w:before="0" w:after="0"/>
      <w:ind w:left="714" w:hanging="357"/>
    </w:pPr>
    <w:rPr>
      <w:bCs w:val="0"/>
      <w:caps/>
      <w:color w:val="000000"/>
      <w:kern w:val="22"/>
      <w:szCs w:val="22"/>
    </w:rPr>
  </w:style>
  <w:style w:type="character" w:customStyle="1" w:styleId="StyleFootnoteReferencenumberFootnoteReferenceSuperscript-EF">
    <w:name w:val="Style Footnote ReferencenumberFootnote Reference Superscript-E F..."/>
    <w:basedOn w:val="FootnoteReference"/>
    <w:rsid w:val="004333F4"/>
    <w:rPr>
      <w:kern w:val="22"/>
      <w:sz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CBD-ParaCharChar"/>
    <w:rsid w:val="004333F4"/>
    <w:pPr>
      <w:spacing w:after="160" w:line="240" w:lineRule="exact"/>
    </w:pPr>
    <w:rPr>
      <w:snapToGrid/>
      <w:szCs w:val="20"/>
      <w:lang w:val="en-US"/>
    </w:rPr>
  </w:style>
  <w:style w:type="paragraph" w:customStyle="1" w:styleId="CBD-Para">
    <w:name w:val="CBD-Para"/>
    <w:basedOn w:val="Normal"/>
    <w:rsid w:val="004333F4"/>
    <w:pPr>
      <w:keepLines/>
      <w:numPr>
        <w:numId w:val="12"/>
      </w:numPr>
      <w:spacing w:before="120" w:after="120"/>
    </w:pPr>
    <w:rPr>
      <w:szCs w:val="22"/>
      <w:lang w:val="en-US"/>
    </w:rPr>
  </w:style>
  <w:style w:type="character" w:customStyle="1" w:styleId="CBD-ParaCharChar">
    <w:name w:val="CBD-Para Char Char"/>
    <w:link w:val="BVIfnrChar"/>
    <w:locked/>
    <w:rsid w:val="004333F4"/>
    <w:rPr>
      <w:rFonts w:eastAsia="MS Mincho"/>
      <w:sz w:val="22"/>
      <w:lang w:val="en-US"/>
    </w:rPr>
  </w:style>
  <w:style w:type="paragraph" w:customStyle="1" w:styleId="CBD-Para-a">
    <w:name w:val="CBD-Para-a"/>
    <w:basedOn w:val="CBD-Para"/>
    <w:rsid w:val="004333F4"/>
    <w:pPr>
      <w:numPr>
        <w:numId w:val="0"/>
      </w:numPr>
      <w:spacing w:before="60" w:after="60"/>
    </w:pPr>
  </w:style>
  <w:style w:type="character" w:customStyle="1" w:styleId="tw4winMark">
    <w:name w:val="tw4winMark"/>
    <w:rsid w:val="004333F4"/>
    <w:rPr>
      <w:rFonts w:ascii="Courier New" w:hAnsi="Courier New"/>
      <w:vanish/>
      <w:color w:val="800080"/>
      <w:sz w:val="24"/>
      <w:vertAlign w:val="subscript"/>
    </w:rPr>
  </w:style>
  <w:style w:type="character" w:customStyle="1" w:styleId="tw4winError">
    <w:name w:val="tw4winError"/>
    <w:rsid w:val="004333F4"/>
    <w:rPr>
      <w:rFonts w:ascii="Courier New" w:hAnsi="Courier New"/>
      <w:color w:val="00FF00"/>
      <w:sz w:val="40"/>
    </w:rPr>
  </w:style>
  <w:style w:type="character" w:customStyle="1" w:styleId="tw4winTerm">
    <w:name w:val="tw4winTerm"/>
    <w:rsid w:val="004333F4"/>
    <w:rPr>
      <w:color w:val="0000FF"/>
    </w:rPr>
  </w:style>
  <w:style w:type="character" w:customStyle="1" w:styleId="tw4winPopup">
    <w:name w:val="tw4winPopup"/>
    <w:rsid w:val="004333F4"/>
    <w:rPr>
      <w:rFonts w:ascii="Courier New" w:hAnsi="Courier New"/>
      <w:noProof/>
      <w:color w:val="008000"/>
    </w:rPr>
  </w:style>
  <w:style w:type="character" w:customStyle="1" w:styleId="tw4winJump">
    <w:name w:val="tw4winJump"/>
    <w:rsid w:val="004333F4"/>
    <w:rPr>
      <w:rFonts w:ascii="Courier New" w:hAnsi="Courier New"/>
      <w:noProof/>
      <w:color w:val="008080"/>
    </w:rPr>
  </w:style>
  <w:style w:type="character" w:customStyle="1" w:styleId="tw4winExternal">
    <w:name w:val="tw4winExternal"/>
    <w:rsid w:val="004333F4"/>
    <w:rPr>
      <w:rFonts w:ascii="Courier New" w:hAnsi="Courier New"/>
      <w:noProof/>
      <w:color w:val="808080"/>
    </w:rPr>
  </w:style>
  <w:style w:type="character" w:customStyle="1" w:styleId="tw4winInternal">
    <w:name w:val="tw4winInternal"/>
    <w:rsid w:val="004333F4"/>
    <w:rPr>
      <w:rFonts w:ascii="Courier New" w:hAnsi="Courier New"/>
      <w:noProof/>
      <w:color w:val="FF0000"/>
    </w:rPr>
  </w:style>
  <w:style w:type="character" w:customStyle="1" w:styleId="DONOTTRANSLATE">
    <w:name w:val="DO_NOT_TRANSLATE"/>
    <w:rsid w:val="004333F4"/>
    <w:rPr>
      <w:rFonts w:ascii="Courier New" w:hAnsi="Courier New"/>
      <w:noProof/>
      <w:color w:val="800000"/>
    </w:rPr>
  </w:style>
  <w:style w:type="numbering" w:customStyle="1" w:styleId="AnnexLettering">
    <w:name w:val="Annex Lettering"/>
    <w:rsid w:val="004333F4"/>
    <w:pPr>
      <w:numPr>
        <w:numId w:val="8"/>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cademic.oup.com/jas/article/97/5/1921/53823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5-es.pdf" TargetMode="External"/><Relationship Id="rId5" Type="http://schemas.openxmlformats.org/officeDocument/2006/relationships/webSettings" Target="webSettings.xml"/><Relationship Id="rId15" Type="http://schemas.openxmlformats.org/officeDocument/2006/relationships/hyperlink" Target="https://www.cbd.int/doc/decisions/cop-14/cop-14-dec-24-es.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4-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formea.org/es" TargetMode="External"/><Relationship Id="rId13" Type="http://schemas.openxmlformats.org/officeDocument/2006/relationships/hyperlink" Target="https://www.iccaregistry.org/?locale=es" TargetMode="External"/><Relationship Id="rId3" Type="http://schemas.openxmlformats.org/officeDocument/2006/relationships/hyperlink" Target="https://www.cbd.int/chm/" TargetMode="External"/><Relationship Id="rId7" Type="http://schemas.openxmlformats.org/officeDocument/2006/relationships/hyperlink" Target="https://trade.cites.org/es/cites_trade" TargetMode="External"/><Relationship Id="rId12" Type="http://schemas.openxmlformats.org/officeDocument/2006/relationships/hyperlink" Target="https://pame.protectedplanet.net" TargetMode="External"/><Relationship Id="rId2" Type="http://schemas.openxmlformats.org/officeDocument/2006/relationships/hyperlink" Target="http://www-public.imtbs-tsp.eu/~gibson/Teaching/Teaching-ReadingMaterial/Rowley06.pdf" TargetMode="External"/><Relationship Id="rId16" Type="http://schemas.openxmlformats.org/officeDocument/2006/relationships/hyperlink" Target="https://www.unep-wcmc.org/resources-and-data/biodiversitysynergies" TargetMode="External"/><Relationship Id="rId1" Type="http://schemas.openxmlformats.org/officeDocument/2006/relationships/hyperlink" Target="http://www.cbd.int/gbo/" TargetMode="External"/><Relationship Id="rId6" Type="http://schemas.openxmlformats.org/officeDocument/2006/relationships/hyperlink" Target="https://rsis.ramsar.org/es?language=es" TargetMode="External"/><Relationship Id="rId11" Type="http://schemas.openxmlformats.org/officeDocument/2006/relationships/hyperlink" Target="https://www.protectedplanet.net/" TargetMode="External"/><Relationship Id="rId5" Type="http://schemas.openxmlformats.org/officeDocument/2006/relationships/hyperlink" Target="https://absch.cbd.int/es/" TargetMode="External"/><Relationship Id="rId15" Type="http://schemas.openxmlformats.org/officeDocument/2006/relationships/hyperlink" Target="https://es.allianceforbio.org/" TargetMode="External"/><Relationship Id="rId10" Type="http://schemas.openxmlformats.org/officeDocument/2006/relationships/hyperlink" Target="https://www.unbiodiversitylab.org/" TargetMode="External"/><Relationship Id="rId4" Type="http://schemas.openxmlformats.org/officeDocument/2006/relationships/hyperlink" Target="http://bch.cbd.int/" TargetMode="External"/><Relationship Id="rId9" Type="http://schemas.openxmlformats.org/officeDocument/2006/relationships/hyperlink" Target="https://www.iucnredlist.org/es/assessment/sis" TargetMode="External"/><Relationship Id="rId14" Type="http://schemas.openxmlformats.org/officeDocument/2006/relationships/hyperlink" Target="https://www.unep-wcmc.org/system/comfy/cms/files/files/000/001/739/original/Output_3_-_Guidance_on_databases_final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2ABD1-B3B8-4E98-AF0E-86F4D00A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14</Pages>
  <Words>6436</Words>
  <Characters>37593</Characters>
  <Application>Microsoft Office Word</Application>
  <DocSecurity>0</DocSecurity>
  <Lines>659</Lines>
  <Paragraphs>187</Paragraphs>
  <ScaleCrop>false</ScaleCrop>
  <HeadingPairs>
    <vt:vector size="2" baseType="variant">
      <vt:variant>
        <vt:lpstr>Title</vt:lpstr>
      </vt:variant>
      <vt:variant>
        <vt:i4>1</vt:i4>
      </vt:variant>
    </vt:vector>
  </HeadingPairs>
  <TitlesOfParts>
    <vt:vector size="1" baseType="lpstr">
      <vt:lpstr>Knowledge management component of the post-2020 global biodiversity framework</vt:lpstr>
    </vt:vector>
  </TitlesOfParts>
  <Company>SCBD</Company>
  <LinksUpToDate>false</LinksUpToDate>
  <CharactersWithSpaces>43842</CharactersWithSpaces>
  <SharedDoc>false</SharedDoc>
  <HLinks>
    <vt:vector size="120" baseType="variant">
      <vt:variant>
        <vt:i4>720981</vt:i4>
      </vt:variant>
      <vt:variant>
        <vt:i4>9</vt:i4>
      </vt:variant>
      <vt:variant>
        <vt:i4>0</vt:i4>
      </vt:variant>
      <vt:variant>
        <vt:i4>5</vt:i4>
      </vt:variant>
      <vt:variant>
        <vt:lpwstr>https://www.cbd.int/doc/decisions/cop-14/cop-14-dec-24-es.pdf</vt:lpwstr>
      </vt:variant>
      <vt:variant>
        <vt:lpwstr/>
      </vt:variant>
      <vt:variant>
        <vt:i4>786514</vt:i4>
      </vt:variant>
      <vt:variant>
        <vt:i4>6</vt:i4>
      </vt:variant>
      <vt:variant>
        <vt:i4>0</vt:i4>
      </vt:variant>
      <vt:variant>
        <vt:i4>5</vt:i4>
      </vt:variant>
      <vt:variant>
        <vt:lpwstr>https://www.cbd.int/doc/decisions/cop-13/cop-13-dec-24-es.pdf</vt:lpwstr>
      </vt:variant>
      <vt:variant>
        <vt:lpwstr/>
      </vt:variant>
      <vt:variant>
        <vt:i4>3407984</vt:i4>
      </vt:variant>
      <vt:variant>
        <vt:i4>3</vt:i4>
      </vt:variant>
      <vt:variant>
        <vt:i4>0</vt:i4>
      </vt:variant>
      <vt:variant>
        <vt:i4>5</vt:i4>
      </vt:variant>
      <vt:variant>
        <vt:lpwstr>https://academic.oup.com/jas/article/97/5/1921/5382308</vt:lpwstr>
      </vt:variant>
      <vt:variant>
        <vt:lpwstr/>
      </vt:variant>
      <vt:variant>
        <vt:i4>655445</vt:i4>
      </vt:variant>
      <vt:variant>
        <vt:i4>0</vt:i4>
      </vt:variant>
      <vt:variant>
        <vt:i4>0</vt:i4>
      </vt:variant>
      <vt:variant>
        <vt:i4>5</vt:i4>
      </vt:variant>
      <vt:variant>
        <vt:lpwstr>https://www.cbd.int/doc/decisions/cop-14/cop-14-dec-25-es.pdf</vt:lpwstr>
      </vt:variant>
      <vt:variant>
        <vt:lpwstr/>
      </vt:variant>
      <vt:variant>
        <vt:i4>4128812</vt:i4>
      </vt:variant>
      <vt:variant>
        <vt:i4>45</vt:i4>
      </vt:variant>
      <vt:variant>
        <vt:i4>0</vt:i4>
      </vt:variant>
      <vt:variant>
        <vt:i4>5</vt:i4>
      </vt:variant>
      <vt:variant>
        <vt:lpwstr>https://www.unep-wcmc.org/resources-and-data/biodiversitysynergies</vt:lpwstr>
      </vt:variant>
      <vt:variant>
        <vt:lpwstr/>
      </vt:variant>
      <vt:variant>
        <vt:i4>6488175</vt:i4>
      </vt:variant>
      <vt:variant>
        <vt:i4>42</vt:i4>
      </vt:variant>
      <vt:variant>
        <vt:i4>0</vt:i4>
      </vt:variant>
      <vt:variant>
        <vt:i4>5</vt:i4>
      </vt:variant>
      <vt:variant>
        <vt:lpwstr>https://es.allianceforbio.org/</vt:lpwstr>
      </vt:variant>
      <vt:variant>
        <vt:lpwstr/>
      </vt:variant>
      <vt:variant>
        <vt:i4>8192068</vt:i4>
      </vt:variant>
      <vt:variant>
        <vt:i4>39</vt:i4>
      </vt:variant>
      <vt:variant>
        <vt:i4>0</vt:i4>
      </vt:variant>
      <vt:variant>
        <vt:i4>5</vt:i4>
      </vt:variant>
      <vt:variant>
        <vt:lpwstr>https://www.unep-wcmc.org/system/comfy/cms/files/files/000/001/739/original/Output_3_-_Guidance_on_databases_final_ES.pdf</vt:lpwstr>
      </vt:variant>
      <vt:variant>
        <vt:lpwstr/>
      </vt:variant>
      <vt:variant>
        <vt:i4>7471219</vt:i4>
      </vt:variant>
      <vt:variant>
        <vt:i4>36</vt:i4>
      </vt:variant>
      <vt:variant>
        <vt:i4>0</vt:i4>
      </vt:variant>
      <vt:variant>
        <vt:i4>5</vt:i4>
      </vt:variant>
      <vt:variant>
        <vt:lpwstr>https://www.iccaregistry.org/?locale=es</vt:lpwstr>
      </vt:variant>
      <vt:variant>
        <vt:lpwstr/>
      </vt:variant>
      <vt:variant>
        <vt:i4>1245260</vt:i4>
      </vt:variant>
      <vt:variant>
        <vt:i4>33</vt:i4>
      </vt:variant>
      <vt:variant>
        <vt:i4>0</vt:i4>
      </vt:variant>
      <vt:variant>
        <vt:i4>5</vt:i4>
      </vt:variant>
      <vt:variant>
        <vt:lpwstr>https://pame.protectedplanet.net/</vt:lpwstr>
      </vt:variant>
      <vt:variant>
        <vt:lpwstr/>
      </vt:variant>
      <vt:variant>
        <vt:i4>5767238</vt:i4>
      </vt:variant>
      <vt:variant>
        <vt:i4>30</vt:i4>
      </vt:variant>
      <vt:variant>
        <vt:i4>0</vt:i4>
      </vt:variant>
      <vt:variant>
        <vt:i4>5</vt:i4>
      </vt:variant>
      <vt:variant>
        <vt:lpwstr>https://www.protectedplanet.net/</vt:lpwstr>
      </vt:variant>
      <vt:variant>
        <vt:lpwstr/>
      </vt:variant>
      <vt:variant>
        <vt:i4>2949173</vt:i4>
      </vt:variant>
      <vt:variant>
        <vt:i4>27</vt:i4>
      </vt:variant>
      <vt:variant>
        <vt:i4>0</vt:i4>
      </vt:variant>
      <vt:variant>
        <vt:i4>5</vt:i4>
      </vt:variant>
      <vt:variant>
        <vt:lpwstr>https://www.unbiodiversitylab.org/</vt:lpwstr>
      </vt:variant>
      <vt:variant>
        <vt:lpwstr/>
      </vt:variant>
      <vt:variant>
        <vt:i4>851972</vt:i4>
      </vt:variant>
      <vt:variant>
        <vt:i4>24</vt:i4>
      </vt:variant>
      <vt:variant>
        <vt:i4>0</vt:i4>
      </vt:variant>
      <vt:variant>
        <vt:i4>5</vt:i4>
      </vt:variant>
      <vt:variant>
        <vt:lpwstr>https://www.iucnredlist.org/es/assessment/sis</vt:lpwstr>
      </vt:variant>
      <vt:variant>
        <vt:lpwstr/>
      </vt:variant>
      <vt:variant>
        <vt:i4>2621483</vt:i4>
      </vt:variant>
      <vt:variant>
        <vt:i4>21</vt:i4>
      </vt:variant>
      <vt:variant>
        <vt:i4>0</vt:i4>
      </vt:variant>
      <vt:variant>
        <vt:i4>5</vt:i4>
      </vt:variant>
      <vt:variant>
        <vt:lpwstr>https://www.informea.org/es</vt:lpwstr>
      </vt:variant>
      <vt:variant>
        <vt:lpwstr/>
      </vt:variant>
      <vt:variant>
        <vt:i4>3211347</vt:i4>
      </vt:variant>
      <vt:variant>
        <vt:i4>18</vt:i4>
      </vt:variant>
      <vt:variant>
        <vt:i4>0</vt:i4>
      </vt:variant>
      <vt:variant>
        <vt:i4>5</vt:i4>
      </vt:variant>
      <vt:variant>
        <vt:lpwstr>https://trade.cites.org/es/cites_trade</vt:lpwstr>
      </vt:variant>
      <vt:variant>
        <vt:lpwstr/>
      </vt:variant>
      <vt:variant>
        <vt:i4>3211296</vt:i4>
      </vt:variant>
      <vt:variant>
        <vt:i4>15</vt:i4>
      </vt:variant>
      <vt:variant>
        <vt:i4>0</vt:i4>
      </vt:variant>
      <vt:variant>
        <vt:i4>5</vt:i4>
      </vt:variant>
      <vt:variant>
        <vt:lpwstr>https://rsis.ramsar.org/es?language=es</vt:lpwstr>
      </vt:variant>
      <vt:variant>
        <vt:lpwstr/>
      </vt:variant>
      <vt:variant>
        <vt:i4>4194373</vt:i4>
      </vt:variant>
      <vt:variant>
        <vt:i4>12</vt:i4>
      </vt:variant>
      <vt:variant>
        <vt:i4>0</vt:i4>
      </vt:variant>
      <vt:variant>
        <vt:i4>5</vt:i4>
      </vt:variant>
      <vt:variant>
        <vt:lpwstr>https://absch.cbd.int/es/</vt:lpwstr>
      </vt:variant>
      <vt:variant>
        <vt:lpwstr/>
      </vt:variant>
      <vt:variant>
        <vt:i4>3866726</vt:i4>
      </vt:variant>
      <vt:variant>
        <vt:i4>9</vt:i4>
      </vt:variant>
      <vt:variant>
        <vt:i4>0</vt:i4>
      </vt:variant>
      <vt:variant>
        <vt:i4>5</vt:i4>
      </vt:variant>
      <vt:variant>
        <vt:lpwstr>http://bch.cbd.int/</vt:lpwstr>
      </vt:variant>
      <vt:variant>
        <vt:lpwstr/>
      </vt:variant>
      <vt:variant>
        <vt:i4>131156</vt:i4>
      </vt:variant>
      <vt:variant>
        <vt:i4>6</vt:i4>
      </vt:variant>
      <vt:variant>
        <vt:i4>0</vt:i4>
      </vt:variant>
      <vt:variant>
        <vt:i4>5</vt:i4>
      </vt:variant>
      <vt:variant>
        <vt:lpwstr>https://www.cbd.int/chm/</vt:lpwstr>
      </vt:variant>
      <vt:variant>
        <vt:lpwstr/>
      </vt:variant>
      <vt:variant>
        <vt:i4>4980748</vt:i4>
      </vt:variant>
      <vt:variant>
        <vt:i4>3</vt:i4>
      </vt:variant>
      <vt:variant>
        <vt:i4>0</vt:i4>
      </vt:variant>
      <vt:variant>
        <vt:i4>5</vt:i4>
      </vt:variant>
      <vt:variant>
        <vt:lpwstr>http://www-public.imtbs-tsp.eu/~gibson/Teaching/Teaching-ReadingMaterial/Rowley06.pdf</vt:lpwstr>
      </vt:variant>
      <vt:variant>
        <vt:lpwstr/>
      </vt:variant>
      <vt:variant>
        <vt:i4>6488124</vt:i4>
      </vt:variant>
      <vt:variant>
        <vt:i4>0</vt:i4>
      </vt:variant>
      <vt:variant>
        <vt:i4>0</vt:i4>
      </vt:variant>
      <vt:variant>
        <vt:i4>5</vt:i4>
      </vt:variant>
      <vt:variant>
        <vt:lpwstr>https://www.cbd.int/meetings/SBI-02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component of the post-2020 global biodiversity framework</dc:title>
  <dc:subject>CBD/SBI/3/8/Add.1</dc:subject>
  <dc:creator>Secretariat of the Convention on Biological Diversity</dc:creator>
  <cp:keywords>Subsidiary Body on Implementation, third meeting, Convention on Biological Diversity</cp:keywords>
  <cp:lastModifiedBy>Laura Perez</cp:lastModifiedBy>
  <cp:revision>16</cp:revision>
  <cp:lastPrinted>2020-10-17T22:41:00Z</cp:lastPrinted>
  <dcterms:created xsi:type="dcterms:W3CDTF">2020-10-22T16:20:00Z</dcterms:created>
  <dcterms:modified xsi:type="dcterms:W3CDTF">2020-10-23T14:59:00Z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