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5573"/>
        <w:gridCol w:w="6"/>
        <w:gridCol w:w="3777"/>
      </w:tblGrid>
      <w:tr w:rsidR="00A96B21" w:rsidRPr="00EA442C" w14:paraId="1CDF18AD" w14:textId="77777777" w:rsidTr="003B0E38">
        <w:trPr>
          <w:trHeight w:val="851"/>
        </w:trPr>
        <w:tc>
          <w:tcPr>
            <w:tcW w:w="479" w:type="pct"/>
            <w:tcBorders>
              <w:bottom w:val="single" w:sz="8" w:space="0" w:color="auto"/>
            </w:tcBorders>
            <w:vAlign w:val="bottom"/>
          </w:tcPr>
          <w:p w14:paraId="1AE9F679" w14:textId="77777777" w:rsidR="00A96B21" w:rsidRPr="00550DCE" w:rsidRDefault="00A96B21" w:rsidP="00986406">
            <w:pPr>
              <w:spacing w:after="120"/>
              <w:jc w:val="left"/>
            </w:pPr>
            <w:bookmarkStart w:id="0" w:name="_Hlk137651738"/>
            <w:r w:rsidRPr="00550DCE">
              <w:rPr>
                <w:noProof/>
              </w:rPr>
              <w:drawing>
                <wp:inline distT="0" distB="0" distL="0" distR="0" wp14:anchorId="5B9B9A21" wp14:editId="7B74CDEF">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693" w:type="pct"/>
            <w:tcBorders>
              <w:bottom w:val="single" w:sz="8" w:space="0" w:color="auto"/>
            </w:tcBorders>
            <w:shd w:val="clear" w:color="auto" w:fill="auto"/>
            <w:tcFitText/>
            <w:vAlign w:val="bottom"/>
          </w:tcPr>
          <w:p w14:paraId="1CA140B3" w14:textId="32C928A7" w:rsidR="00A96B21" w:rsidRPr="00550DCE" w:rsidRDefault="0041076E" w:rsidP="000E0923">
            <w:pPr>
              <w:spacing w:after="120"/>
              <w:ind w:left="36"/>
              <w:jc w:val="left"/>
            </w:pPr>
            <w:r w:rsidRPr="0041076E">
              <w:rPr>
                <w:noProof/>
                <w:lang w:eastAsia="fr-FR"/>
              </w:rPr>
              <w:drawing>
                <wp:inline distT="0" distB="0" distL="0" distR="0" wp14:anchorId="6A29527A" wp14:editId="4E4DFAEB">
                  <wp:extent cx="590550" cy="36195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1828" w:type="pct"/>
            <w:gridSpan w:val="2"/>
            <w:tcBorders>
              <w:bottom w:val="single" w:sz="8" w:space="0" w:color="auto"/>
            </w:tcBorders>
            <w:vAlign w:val="bottom"/>
          </w:tcPr>
          <w:p w14:paraId="713BC41A" w14:textId="5ACED021" w:rsidR="00A96B21" w:rsidRPr="00CA3C99" w:rsidRDefault="00A96B21" w:rsidP="003B0E38">
            <w:pPr>
              <w:spacing w:after="120"/>
              <w:ind w:left="1553"/>
              <w:jc w:val="left"/>
              <w:rPr>
                <w:szCs w:val="22"/>
                <w:lang w:val="fr-FR"/>
              </w:rPr>
            </w:pPr>
            <w:r w:rsidRPr="00CA3C99">
              <w:rPr>
                <w:sz w:val="40"/>
                <w:szCs w:val="40"/>
                <w:lang w:val="fr-FR"/>
              </w:rPr>
              <w:t>CBD</w:t>
            </w:r>
            <w:r w:rsidRPr="00CA3C99">
              <w:rPr>
                <w:sz w:val="22"/>
                <w:szCs w:val="22"/>
                <w:lang w:val="fr-FR"/>
              </w:rPr>
              <w:t>/</w:t>
            </w:r>
            <w:r w:rsidR="00415A8E" w:rsidRPr="00CA3C99">
              <w:rPr>
                <w:sz w:val="22"/>
                <w:szCs w:val="22"/>
                <w:lang w:val="fr-FR"/>
              </w:rPr>
              <w:t>SBI/4/13</w:t>
            </w:r>
          </w:p>
        </w:tc>
      </w:tr>
      <w:tr w:rsidR="00A96B21" w:rsidRPr="00EA442C" w14:paraId="23D18A89" w14:textId="77777777" w:rsidTr="003B0E38">
        <w:tc>
          <w:tcPr>
            <w:tcW w:w="3175" w:type="pct"/>
            <w:gridSpan w:val="3"/>
            <w:tcBorders>
              <w:top w:val="single" w:sz="8" w:space="0" w:color="auto"/>
              <w:bottom w:val="single" w:sz="12" w:space="0" w:color="auto"/>
            </w:tcBorders>
          </w:tcPr>
          <w:p w14:paraId="35C268CF" w14:textId="4AEB0970" w:rsidR="00A96B21" w:rsidRPr="00550DCE" w:rsidRDefault="0041076E" w:rsidP="00986406">
            <w:pPr>
              <w:pStyle w:val="Cornernotation"/>
              <w:suppressLineNumbers/>
              <w:suppressAutoHyphens/>
              <w:spacing w:before="120" w:after="120"/>
              <w:ind w:left="0" w:right="0" w:firstLine="0"/>
            </w:pPr>
            <w:r w:rsidRPr="006E78A2">
              <w:rPr>
                <w:bCs/>
                <w:noProof/>
                <w:szCs w:val="22"/>
                <w:lang w:eastAsia="fr-FR"/>
              </w:rPr>
              <w:drawing>
                <wp:inline distT="0" distB="0" distL="0" distR="0" wp14:anchorId="35D5EDE5" wp14:editId="6B144CB8">
                  <wp:extent cx="2857500" cy="1076325"/>
                  <wp:effectExtent l="0" t="0" r="0" b="9525"/>
                  <wp:docPr id="8" name="Image 8"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825" w:type="pct"/>
            <w:tcBorders>
              <w:top w:val="single" w:sz="8" w:space="0" w:color="auto"/>
              <w:bottom w:val="single" w:sz="12" w:space="0" w:color="auto"/>
            </w:tcBorders>
          </w:tcPr>
          <w:p w14:paraId="7E3B9D5E" w14:textId="2EAD48D9" w:rsidR="00A96B21" w:rsidRPr="00CA3C99" w:rsidRDefault="00A96B21" w:rsidP="003B0E38">
            <w:pPr>
              <w:ind w:left="1681"/>
              <w:rPr>
                <w:sz w:val="22"/>
                <w:szCs w:val="22"/>
                <w:lang w:val="fr-FR"/>
              </w:rPr>
            </w:pPr>
            <w:proofErr w:type="spellStart"/>
            <w:r w:rsidRPr="00CA3C99">
              <w:rPr>
                <w:sz w:val="22"/>
                <w:szCs w:val="22"/>
                <w:lang w:val="fr-FR"/>
              </w:rPr>
              <w:t>Distr</w:t>
            </w:r>
            <w:proofErr w:type="spellEnd"/>
            <w:r w:rsidRPr="00CA3C99">
              <w:rPr>
                <w:sz w:val="22"/>
                <w:szCs w:val="22"/>
                <w:lang w:val="fr-FR"/>
              </w:rPr>
              <w:t>.</w:t>
            </w:r>
            <w:r w:rsidR="00F37120">
              <w:rPr>
                <w:sz w:val="22"/>
                <w:szCs w:val="22"/>
                <w:lang w:val="fr-FR"/>
              </w:rPr>
              <w:t> </w:t>
            </w:r>
            <w:r w:rsidRPr="00CA3C99">
              <w:rPr>
                <w:sz w:val="22"/>
                <w:szCs w:val="22"/>
                <w:lang w:val="fr-FR"/>
              </w:rPr>
              <w:t>: G</w:t>
            </w:r>
            <w:r w:rsidR="0041076E" w:rsidRPr="00CA3C99">
              <w:rPr>
                <w:sz w:val="22"/>
                <w:szCs w:val="22"/>
                <w:lang w:val="fr-FR"/>
              </w:rPr>
              <w:t>é</w:t>
            </w:r>
            <w:r w:rsidRPr="00CA3C99">
              <w:rPr>
                <w:sz w:val="22"/>
                <w:szCs w:val="22"/>
                <w:lang w:val="fr-FR"/>
              </w:rPr>
              <w:t>n</w:t>
            </w:r>
            <w:r w:rsidR="0041076E" w:rsidRPr="00CA3C99">
              <w:rPr>
                <w:sz w:val="22"/>
                <w:szCs w:val="22"/>
                <w:lang w:val="fr-FR"/>
              </w:rPr>
              <w:t>é</w:t>
            </w:r>
            <w:r w:rsidRPr="00CA3C99">
              <w:rPr>
                <w:sz w:val="22"/>
                <w:szCs w:val="22"/>
                <w:lang w:val="fr-FR"/>
              </w:rPr>
              <w:t>ral</w:t>
            </w:r>
            <w:r w:rsidR="0041076E" w:rsidRPr="00CA3C99">
              <w:rPr>
                <w:sz w:val="22"/>
                <w:szCs w:val="22"/>
                <w:lang w:val="fr-FR"/>
              </w:rPr>
              <w:t>e</w:t>
            </w:r>
          </w:p>
          <w:p w14:paraId="50112CFD" w14:textId="078B45B5" w:rsidR="00A96B21" w:rsidRPr="00CA3C99" w:rsidRDefault="00AA0B16" w:rsidP="003B0E38">
            <w:pPr>
              <w:ind w:left="1681"/>
              <w:rPr>
                <w:sz w:val="22"/>
                <w:szCs w:val="22"/>
                <w:lang w:val="fr-FR"/>
              </w:rPr>
            </w:pPr>
            <w:r w:rsidRPr="00CA3C99">
              <w:rPr>
                <w:sz w:val="22"/>
                <w:szCs w:val="22"/>
                <w:lang w:val="fr-FR"/>
              </w:rPr>
              <w:t>2</w:t>
            </w:r>
            <w:r w:rsidR="00F37120">
              <w:rPr>
                <w:sz w:val="22"/>
                <w:szCs w:val="22"/>
                <w:lang w:val="fr-FR"/>
              </w:rPr>
              <w:t> </w:t>
            </w:r>
            <w:r w:rsidR="0041076E" w:rsidRPr="00CA3C99">
              <w:rPr>
                <w:sz w:val="22"/>
                <w:szCs w:val="22"/>
                <w:lang w:val="fr-FR"/>
              </w:rPr>
              <w:t>avril</w:t>
            </w:r>
            <w:r w:rsidR="00F37120">
              <w:rPr>
                <w:sz w:val="22"/>
                <w:szCs w:val="22"/>
                <w:lang w:val="fr-FR"/>
              </w:rPr>
              <w:t> </w:t>
            </w:r>
            <w:r w:rsidR="00A96B21" w:rsidRPr="00CA3C99">
              <w:rPr>
                <w:sz w:val="22"/>
                <w:szCs w:val="22"/>
                <w:lang w:val="fr-FR"/>
              </w:rPr>
              <w:t>202</w:t>
            </w:r>
            <w:r w:rsidR="006B4D55" w:rsidRPr="00CA3C99">
              <w:rPr>
                <w:sz w:val="22"/>
                <w:szCs w:val="22"/>
                <w:lang w:val="fr-FR"/>
              </w:rPr>
              <w:t>4</w:t>
            </w:r>
          </w:p>
          <w:p w14:paraId="3DF7B9E8" w14:textId="77777777" w:rsidR="00A96B21" w:rsidRPr="00CA3C99" w:rsidRDefault="00A96B21" w:rsidP="003B0E38">
            <w:pPr>
              <w:ind w:left="1681"/>
              <w:rPr>
                <w:sz w:val="22"/>
                <w:szCs w:val="22"/>
                <w:lang w:val="fr-FR"/>
              </w:rPr>
            </w:pPr>
          </w:p>
          <w:p w14:paraId="4E397DC2" w14:textId="1CABC683" w:rsidR="0041076E" w:rsidRPr="00CA3C99" w:rsidRDefault="0041076E" w:rsidP="003B0E38">
            <w:pPr>
              <w:ind w:left="1681"/>
              <w:rPr>
                <w:sz w:val="22"/>
                <w:szCs w:val="22"/>
                <w:lang w:val="fr-FR"/>
              </w:rPr>
            </w:pPr>
            <w:r w:rsidRPr="00CA3C99">
              <w:rPr>
                <w:sz w:val="22"/>
                <w:szCs w:val="22"/>
                <w:lang w:val="fr-FR"/>
              </w:rPr>
              <w:t>Français</w:t>
            </w:r>
          </w:p>
          <w:p w14:paraId="63A3C482" w14:textId="783E5C37" w:rsidR="00A96B21" w:rsidRPr="00CA3C99" w:rsidRDefault="00A96B21" w:rsidP="003B0E38">
            <w:pPr>
              <w:ind w:left="1681"/>
              <w:rPr>
                <w:sz w:val="22"/>
                <w:szCs w:val="22"/>
                <w:lang w:val="fr-FR"/>
              </w:rPr>
            </w:pPr>
            <w:r w:rsidRPr="00CA3C99">
              <w:rPr>
                <w:sz w:val="22"/>
                <w:szCs w:val="22"/>
                <w:lang w:val="fr-FR"/>
              </w:rPr>
              <w:t>Original</w:t>
            </w:r>
            <w:r w:rsidR="00F55A97">
              <w:rPr>
                <w:sz w:val="22"/>
                <w:szCs w:val="22"/>
                <w:lang w:val="fr-FR"/>
              </w:rPr>
              <w:t> </w:t>
            </w:r>
            <w:r w:rsidRPr="00CA3C99">
              <w:rPr>
                <w:sz w:val="22"/>
                <w:szCs w:val="22"/>
                <w:lang w:val="fr-FR"/>
              </w:rPr>
              <w:t xml:space="preserve">: </w:t>
            </w:r>
            <w:r w:rsidR="00F55A97">
              <w:rPr>
                <w:sz w:val="22"/>
                <w:szCs w:val="22"/>
                <w:lang w:val="fr-FR"/>
              </w:rPr>
              <w:t>Anglais</w:t>
            </w:r>
          </w:p>
          <w:p w14:paraId="1CB69728" w14:textId="77777777" w:rsidR="00A96B21" w:rsidRPr="00CA3C99" w:rsidRDefault="00A96B21" w:rsidP="00986406">
            <w:pPr>
              <w:rPr>
                <w:lang w:val="fr-FR"/>
              </w:rPr>
            </w:pPr>
          </w:p>
        </w:tc>
      </w:tr>
    </w:tbl>
    <w:p w14:paraId="38BC7BAB" w14:textId="051A3AB9" w:rsidR="00874541" w:rsidRPr="0041076E" w:rsidRDefault="0041076E" w:rsidP="00A96B21">
      <w:pPr>
        <w:pStyle w:val="Cornernotation"/>
        <w:rPr>
          <w:bCs/>
          <w:lang w:val="fr-FR"/>
        </w:rPr>
      </w:pPr>
      <w:r w:rsidRPr="0041076E">
        <w:rPr>
          <w:bCs/>
          <w:lang w:val="fr-FR"/>
        </w:rPr>
        <w:t xml:space="preserve">Organe subsidiaire chargé de </w:t>
      </w:r>
      <w:r w:rsidR="007952F4">
        <w:rPr>
          <w:bCs/>
          <w:lang w:val="fr-FR"/>
        </w:rPr>
        <w:t>l’application</w:t>
      </w:r>
    </w:p>
    <w:p w14:paraId="31E1170E" w14:textId="5655D5B3" w:rsidR="00A96B21" w:rsidRPr="0041076E" w:rsidRDefault="0041076E" w:rsidP="00A96B21">
      <w:pPr>
        <w:pStyle w:val="Cornernotation"/>
        <w:rPr>
          <w:bCs/>
          <w:sz w:val="22"/>
          <w:szCs w:val="22"/>
          <w:lang w:val="fr-FR"/>
        </w:rPr>
      </w:pPr>
      <w:r>
        <w:rPr>
          <w:bCs/>
          <w:sz w:val="22"/>
          <w:szCs w:val="22"/>
          <w:lang w:val="fr-FR"/>
        </w:rPr>
        <w:t>Quatrième réunion</w:t>
      </w:r>
    </w:p>
    <w:p w14:paraId="233E35F3" w14:textId="60FE3BAD" w:rsidR="00A96B21" w:rsidRPr="0041076E" w:rsidRDefault="006B4D55" w:rsidP="00A96B21">
      <w:pPr>
        <w:pStyle w:val="Venuedate"/>
        <w:rPr>
          <w:lang w:val="fr-FR"/>
        </w:rPr>
      </w:pPr>
      <w:r w:rsidRPr="0041076E">
        <w:rPr>
          <w:lang w:val="fr-FR"/>
        </w:rPr>
        <w:t>Nairobi</w:t>
      </w:r>
      <w:r w:rsidR="00A96B21" w:rsidRPr="0041076E">
        <w:rPr>
          <w:lang w:val="fr-FR"/>
        </w:rPr>
        <w:t xml:space="preserve">, </w:t>
      </w:r>
      <w:r w:rsidR="00415A8E" w:rsidRPr="0041076E">
        <w:rPr>
          <w:lang w:val="fr-FR"/>
        </w:rPr>
        <w:t>21</w:t>
      </w:r>
      <w:r w:rsidR="00D07042" w:rsidRPr="0041076E">
        <w:rPr>
          <w:lang w:val="fr-FR"/>
        </w:rPr>
        <w:t>–</w:t>
      </w:r>
      <w:r w:rsidR="00415A8E" w:rsidRPr="0041076E">
        <w:rPr>
          <w:lang w:val="fr-FR"/>
        </w:rPr>
        <w:t>29</w:t>
      </w:r>
      <w:r w:rsidR="0053193C">
        <w:rPr>
          <w:lang w:val="fr-FR"/>
        </w:rPr>
        <w:t> </w:t>
      </w:r>
      <w:r w:rsidR="0041076E">
        <w:rPr>
          <w:lang w:val="fr-FR"/>
        </w:rPr>
        <w:t>mai</w:t>
      </w:r>
      <w:r w:rsidR="0053193C">
        <w:rPr>
          <w:lang w:val="fr-FR"/>
        </w:rPr>
        <w:t> </w:t>
      </w:r>
      <w:r w:rsidRPr="0041076E">
        <w:rPr>
          <w:lang w:val="fr-FR"/>
        </w:rPr>
        <w:t>2024</w:t>
      </w:r>
      <w:r w:rsidR="00935461" w:rsidRPr="0041076E">
        <w:rPr>
          <w:lang w:val="fr-FR"/>
        </w:rPr>
        <w:t xml:space="preserve"> </w:t>
      </w:r>
    </w:p>
    <w:p w14:paraId="24A87828" w14:textId="517B1C6F" w:rsidR="00A96B21" w:rsidRPr="0041076E" w:rsidRDefault="0041076E" w:rsidP="00A96B21">
      <w:pPr>
        <w:pStyle w:val="Cornernotation-Item"/>
        <w:rPr>
          <w:b w:val="0"/>
          <w:bCs w:val="0"/>
          <w:lang w:val="fr-FR"/>
        </w:rPr>
      </w:pPr>
      <w:r>
        <w:rPr>
          <w:b w:val="0"/>
          <w:bCs w:val="0"/>
          <w:lang w:val="fr-FR"/>
        </w:rPr>
        <w:t>Point</w:t>
      </w:r>
      <w:r w:rsidR="0053193C">
        <w:rPr>
          <w:b w:val="0"/>
          <w:bCs w:val="0"/>
          <w:lang w:val="fr-FR"/>
        </w:rPr>
        <w:t> </w:t>
      </w:r>
      <w:r w:rsidR="00415A8E" w:rsidRPr="0041076E">
        <w:rPr>
          <w:b w:val="0"/>
          <w:bCs w:val="0"/>
          <w:lang w:val="fr-FR"/>
        </w:rPr>
        <w:t>10</w:t>
      </w:r>
      <w:r w:rsidR="00A96B21" w:rsidRPr="0041076E">
        <w:rPr>
          <w:b w:val="0"/>
          <w:bCs w:val="0"/>
          <w:lang w:val="fr-FR"/>
        </w:rPr>
        <w:t xml:space="preserve"> </w:t>
      </w:r>
      <w:r>
        <w:rPr>
          <w:b w:val="0"/>
          <w:bCs w:val="0"/>
          <w:lang w:val="fr-FR"/>
        </w:rPr>
        <w:t xml:space="preserve">de l’ordre du jour </w:t>
      </w:r>
      <w:r w:rsidR="00AA4F06">
        <w:rPr>
          <w:b w:val="0"/>
          <w:bCs w:val="0"/>
          <w:lang w:val="fr-FR"/>
        </w:rPr>
        <w:t>provisoire</w:t>
      </w:r>
      <w:r w:rsidR="00A96B21" w:rsidRPr="0041076E">
        <w:rPr>
          <w:rStyle w:val="Appelnotedebasdep"/>
          <w:b w:val="0"/>
          <w:bCs w:val="0"/>
          <w:lang w:val="fr-FR"/>
        </w:rPr>
        <w:footnoteReference w:customMarkFollows="1" w:id="2"/>
        <w:t>*</w:t>
      </w:r>
    </w:p>
    <w:p w14:paraId="6E1657F1" w14:textId="7273AE7D" w:rsidR="00A96B21" w:rsidRPr="0041076E" w:rsidRDefault="0041076E" w:rsidP="00A96B21">
      <w:pPr>
        <w:pStyle w:val="Cornernotation-Item"/>
        <w:rPr>
          <w:lang w:val="fr-FR"/>
        </w:rPr>
      </w:pPr>
      <w:r>
        <w:rPr>
          <w:lang w:val="fr-FR"/>
        </w:rPr>
        <w:t xml:space="preserve">Approche stratégique à long terme </w:t>
      </w:r>
      <w:r w:rsidRPr="000804E9">
        <w:rPr>
          <w:lang w:val="fr-FR"/>
        </w:rPr>
        <w:t>en matière</w:t>
      </w:r>
      <w:r>
        <w:rPr>
          <w:lang w:val="fr-FR"/>
        </w:rPr>
        <w:t xml:space="preserve"> d’intégration</w:t>
      </w:r>
    </w:p>
    <w:bookmarkEnd w:id="0"/>
    <w:p w14:paraId="6A38A857" w14:textId="4C5B66EB" w:rsidR="00A96B21" w:rsidRPr="0041076E" w:rsidRDefault="00000000" w:rsidP="00A96B21">
      <w:pPr>
        <w:pStyle w:val="Titre"/>
        <w:rPr>
          <w:lang w:val="fr-FR"/>
        </w:rPr>
      </w:pPr>
      <w:sdt>
        <w:sdtPr>
          <w:rPr>
            <w:lang w:val="fr-FR"/>
          </w:rPr>
          <w:alias w:val="Title"/>
          <w:tag w:val=""/>
          <w:id w:val="-1975355689"/>
          <w:placeholder>
            <w:docPart w:val="E51C0FA1D0554B83BCB4938450864E55"/>
          </w:placeholder>
          <w:dataBinding w:prefixMappings="xmlns:ns0='http://purl.org/dc/elements/1.1/' xmlns:ns1='http://schemas.openxmlformats.org/package/2006/metadata/core-properties' " w:xpath="/ns1:coreProperties[1]/ns0:title[1]" w:storeItemID="{6C3C8BC8-F283-45AE-878A-BAB7291924A1}"/>
          <w:text/>
        </w:sdtPr>
        <w:sdtContent>
          <w:r w:rsidR="0041076E">
            <w:rPr>
              <w:lang w:val="fr-FR"/>
            </w:rPr>
            <w:t>Approche stratégique à long terme pour l’intégration de la diversité</w:t>
          </w:r>
        </w:sdtContent>
      </w:sdt>
      <w:r w:rsidR="0041076E">
        <w:rPr>
          <w:lang w:val="fr-FR"/>
        </w:rPr>
        <w:t xml:space="preserve"> biologique</w:t>
      </w:r>
    </w:p>
    <w:p w14:paraId="1A9F121C" w14:textId="56D92105" w:rsidR="00A96B21" w:rsidRPr="0041076E" w:rsidRDefault="00A96B21" w:rsidP="00A96B21">
      <w:pPr>
        <w:pStyle w:val="Sous-titre"/>
        <w:spacing w:before="120" w:after="120"/>
        <w:ind w:left="567"/>
        <w:jc w:val="left"/>
        <w:rPr>
          <w:rFonts w:ascii="Times New Roman" w:hAnsi="Times New Roman" w:cs="Times New Roman"/>
          <w:color w:val="auto"/>
          <w:lang w:val="fr-FR"/>
        </w:rPr>
      </w:pPr>
      <w:r w:rsidRPr="0041076E">
        <w:rPr>
          <w:rFonts w:ascii="Times New Roman" w:hAnsi="Times New Roman" w:cs="Times New Roman"/>
          <w:color w:val="auto"/>
          <w:lang w:val="fr-FR"/>
        </w:rPr>
        <w:t xml:space="preserve">Note </w:t>
      </w:r>
      <w:r w:rsidR="0041076E">
        <w:rPr>
          <w:rFonts w:ascii="Times New Roman" w:hAnsi="Times New Roman" w:cs="Times New Roman"/>
          <w:color w:val="auto"/>
          <w:lang w:val="fr-FR"/>
        </w:rPr>
        <w:t>du Secrétariat</w:t>
      </w:r>
    </w:p>
    <w:p w14:paraId="6386835A" w14:textId="2A59AF8C" w:rsidR="00FA18C9" w:rsidRPr="000804E9" w:rsidRDefault="001A0001" w:rsidP="009A5B9E">
      <w:pPr>
        <w:pStyle w:val="Titre1"/>
        <w:ind w:left="562" w:hanging="562"/>
        <w:rPr>
          <w:lang w:val="fr-FR"/>
        </w:rPr>
      </w:pPr>
      <w:r w:rsidRPr="000804E9">
        <w:rPr>
          <w:lang w:val="fr-FR"/>
        </w:rPr>
        <w:t>Introduction</w:t>
      </w:r>
      <w:r w:rsidR="008C5FC0" w:rsidRPr="000804E9">
        <w:rPr>
          <w:lang w:val="fr-FR"/>
        </w:rPr>
        <w:t xml:space="preserve"> </w:t>
      </w:r>
    </w:p>
    <w:p w14:paraId="1D5A862A" w14:textId="07F34D5F" w:rsidR="001A0001" w:rsidRPr="000804E9" w:rsidRDefault="0041076E" w:rsidP="006B218C">
      <w:pPr>
        <w:pStyle w:val="Para10"/>
        <w:rPr>
          <w:lang w:val="fr-FR"/>
        </w:rPr>
      </w:pPr>
      <w:r w:rsidRPr="000804E9">
        <w:rPr>
          <w:lang w:val="fr-FR"/>
        </w:rPr>
        <w:t>Au paragraphe 17 de sa décision</w:t>
      </w:r>
      <w:r w:rsidR="0053193C" w:rsidRPr="000804E9">
        <w:rPr>
          <w:lang w:val="fr-FR"/>
        </w:rPr>
        <w:t> </w:t>
      </w:r>
      <w:hyperlink r:id="rId14" w:history="1">
        <w:r w:rsidR="000077FF" w:rsidRPr="000804E9">
          <w:rPr>
            <w:rStyle w:val="Lienhypertexte"/>
            <w:lang w:val="fr-FR"/>
          </w:rPr>
          <w:t>14/3</w:t>
        </w:r>
      </w:hyperlink>
      <w:r w:rsidR="000077FF" w:rsidRPr="000804E9">
        <w:rPr>
          <w:lang w:val="fr-FR"/>
        </w:rPr>
        <w:t>,</w:t>
      </w:r>
      <w:r w:rsidRPr="000804E9">
        <w:rPr>
          <w:lang w:val="fr-FR"/>
        </w:rPr>
        <w:t xml:space="preserve"> la Conférence des Parties a décidé d’élaborer une approche stratégique à long terme pour l’intégration de la diversité biologique et, au</w:t>
      </w:r>
      <w:r w:rsidR="000077FF" w:rsidRPr="000804E9">
        <w:rPr>
          <w:lang w:val="fr-FR"/>
        </w:rPr>
        <w:t xml:space="preserve"> </w:t>
      </w:r>
      <w:r w:rsidRPr="000804E9">
        <w:rPr>
          <w:lang w:val="fr-FR"/>
        </w:rPr>
        <w:t>paragraphe </w:t>
      </w:r>
      <w:r w:rsidR="000077FF" w:rsidRPr="000804E9">
        <w:rPr>
          <w:lang w:val="fr-FR"/>
        </w:rPr>
        <w:t>19</w:t>
      </w:r>
      <w:r w:rsidRPr="000804E9">
        <w:rPr>
          <w:lang w:val="fr-FR"/>
        </w:rPr>
        <w:t> </w:t>
      </w:r>
      <w:r w:rsidR="000077FF" w:rsidRPr="000804E9">
        <w:rPr>
          <w:lang w:val="fr-FR"/>
        </w:rPr>
        <w:t>c)</w:t>
      </w:r>
      <w:r w:rsidR="00145A1F" w:rsidRPr="000804E9">
        <w:rPr>
          <w:lang w:val="fr-FR"/>
        </w:rPr>
        <w:t xml:space="preserve"> </w:t>
      </w:r>
      <w:r w:rsidRPr="000804E9">
        <w:rPr>
          <w:lang w:val="fr-FR"/>
        </w:rPr>
        <w:t>de cette décision, a prié la Secrétaire exécutive</w:t>
      </w:r>
      <w:r w:rsidR="00AA4F06" w:rsidRPr="000804E9">
        <w:rPr>
          <w:lang w:val="fr-FR"/>
        </w:rPr>
        <w:t xml:space="preserve"> d’élaborer cette approche stratégique en collaboration avec le </w:t>
      </w:r>
      <w:r w:rsidR="008A1DE5" w:rsidRPr="000804E9">
        <w:rPr>
          <w:lang w:val="fr-FR"/>
        </w:rPr>
        <w:t>G</w:t>
      </w:r>
      <w:r w:rsidR="00AA4F06" w:rsidRPr="000804E9">
        <w:rPr>
          <w:lang w:val="fr-FR"/>
        </w:rPr>
        <w:t xml:space="preserve">roupe consultatif informel sur l’intégration de la </w:t>
      </w:r>
      <w:r w:rsidR="008A1DE5" w:rsidRPr="000804E9">
        <w:rPr>
          <w:lang w:val="fr-FR"/>
        </w:rPr>
        <w:t>biodiversité,</w:t>
      </w:r>
      <w:r w:rsidR="00AA4F06" w:rsidRPr="000804E9">
        <w:rPr>
          <w:lang w:val="fr-FR"/>
        </w:rPr>
        <w:t xml:space="preserve"> créé conformément au paragraphe 18 de la décision</w:t>
      </w:r>
      <w:r w:rsidR="0053193C" w:rsidRPr="000804E9">
        <w:rPr>
          <w:lang w:val="fr-FR"/>
        </w:rPr>
        <w:t> </w:t>
      </w:r>
      <w:r w:rsidR="00AA4F06" w:rsidRPr="000804E9">
        <w:rPr>
          <w:lang w:val="fr-FR"/>
        </w:rPr>
        <w:t>14/3.</w:t>
      </w:r>
    </w:p>
    <w:p w14:paraId="683CFBB5" w14:textId="0112A713" w:rsidR="000077FF" w:rsidRPr="000804E9" w:rsidRDefault="00E93121" w:rsidP="00D765F3">
      <w:pPr>
        <w:pStyle w:val="Para10"/>
        <w:rPr>
          <w:lang w:val="fr-FR"/>
        </w:rPr>
      </w:pPr>
      <w:r w:rsidRPr="000804E9">
        <w:rPr>
          <w:lang w:val="fr-FR"/>
        </w:rPr>
        <w:t xml:space="preserve">Les résultats des travaux menés suite à cette décision ont été </w:t>
      </w:r>
      <w:r w:rsidR="00BF0679" w:rsidRPr="000804E9">
        <w:rPr>
          <w:lang w:val="fr-FR"/>
        </w:rPr>
        <w:t>examinés</w:t>
      </w:r>
      <w:r w:rsidRPr="000804E9">
        <w:rPr>
          <w:lang w:val="fr-FR"/>
        </w:rPr>
        <w:t xml:space="preserve"> par l’Organe subsidiaire chargé de </w:t>
      </w:r>
      <w:r w:rsidR="007952F4" w:rsidRPr="000804E9">
        <w:rPr>
          <w:lang w:val="fr-FR"/>
        </w:rPr>
        <w:t>l’application</w:t>
      </w:r>
      <w:r w:rsidRPr="000804E9">
        <w:rPr>
          <w:lang w:val="fr-FR"/>
        </w:rPr>
        <w:t xml:space="preserve"> à sa troisième réunion. </w:t>
      </w:r>
      <w:r w:rsidR="00BF0679" w:rsidRPr="000804E9">
        <w:rPr>
          <w:lang w:val="fr-FR"/>
        </w:rPr>
        <w:t>Cela incluait l’examen d’un projet d’approche à long terme pour l’intégration de la diversité biologique, présenté à l’annexe II du document </w:t>
      </w:r>
      <w:hyperlink r:id="rId15" w:history="1">
        <w:r w:rsidR="00D765F3" w:rsidRPr="000804E9">
          <w:rPr>
            <w:rStyle w:val="Lienhypertexte"/>
            <w:lang w:val="fr-FR"/>
          </w:rPr>
          <w:t>CBD/SBI/3/13</w:t>
        </w:r>
      </w:hyperlink>
      <w:r w:rsidR="00D765F3" w:rsidRPr="000804E9">
        <w:rPr>
          <w:lang w:val="fr-FR"/>
        </w:rPr>
        <w:t xml:space="preserve">, </w:t>
      </w:r>
      <w:r w:rsidR="00D215A7" w:rsidRPr="000804E9">
        <w:rPr>
          <w:lang w:val="fr-FR"/>
        </w:rPr>
        <w:t>et du plan d’action qui l’accompagne, disponible dans le document </w:t>
      </w:r>
      <w:hyperlink r:id="rId16" w:history="1">
        <w:r w:rsidR="00D765F3" w:rsidRPr="000804E9">
          <w:rPr>
            <w:rStyle w:val="Lienhypertexte"/>
            <w:lang w:val="fr-FR"/>
          </w:rPr>
          <w:t>CBD/SBI/3/13/Add.1</w:t>
        </w:r>
      </w:hyperlink>
      <w:r w:rsidR="00511187" w:rsidRPr="000804E9">
        <w:rPr>
          <w:lang w:val="fr-FR"/>
        </w:rPr>
        <w:t>.</w:t>
      </w:r>
    </w:p>
    <w:p w14:paraId="6538709B" w14:textId="3670DD85" w:rsidR="00E23823" w:rsidRPr="000804E9" w:rsidRDefault="00D215A7" w:rsidP="00E464A0">
      <w:pPr>
        <w:pStyle w:val="Para10"/>
        <w:rPr>
          <w:lang w:val="fr-FR"/>
        </w:rPr>
      </w:pPr>
      <w:r w:rsidRPr="000804E9">
        <w:rPr>
          <w:lang w:val="fr-FR"/>
        </w:rPr>
        <w:t>À sa troisième réunion, l’Organe subsidiaire a adopté la recommandation </w:t>
      </w:r>
      <w:hyperlink r:id="rId17" w:history="1">
        <w:r w:rsidR="00E464A0" w:rsidRPr="000804E9">
          <w:rPr>
            <w:rStyle w:val="Lienhypertexte"/>
            <w:lang w:val="fr-FR"/>
          </w:rPr>
          <w:t>3/15</w:t>
        </w:r>
      </w:hyperlink>
      <w:r w:rsidR="00E464A0" w:rsidRPr="000804E9">
        <w:rPr>
          <w:lang w:val="fr-FR"/>
        </w:rPr>
        <w:t xml:space="preserve">, </w:t>
      </w:r>
      <w:r w:rsidRPr="000804E9">
        <w:rPr>
          <w:lang w:val="fr-FR"/>
        </w:rPr>
        <w:t>qui contient une version mise à jour du projet d’approche stratégique à long terme en matière d’intégration</w:t>
      </w:r>
      <w:r w:rsidR="008A1DE5" w:rsidRPr="000804E9">
        <w:rPr>
          <w:lang w:val="fr-FR"/>
        </w:rPr>
        <w:t>, à</w:t>
      </w:r>
      <w:r w:rsidRPr="000804E9">
        <w:rPr>
          <w:lang w:val="fr-FR"/>
        </w:rPr>
        <w:t xml:space="preserve"> disposition de la Conférence des Parties pour examen lors de la deuxième partie de sa quinzième réunion. Dans sa recommandation, l’Organe subsidiaire a prié la Secrétaire exécutive :</w:t>
      </w:r>
      <w:r w:rsidR="001A0001" w:rsidRPr="000804E9">
        <w:rPr>
          <w:lang w:val="fr-FR"/>
        </w:rPr>
        <w:t xml:space="preserve"> </w:t>
      </w:r>
    </w:p>
    <w:p w14:paraId="5353563F" w14:textId="5EFE5E73" w:rsidR="001A0001" w:rsidRPr="000804E9" w:rsidRDefault="001A0001" w:rsidP="003B0E38">
      <w:pPr>
        <w:pStyle w:val="StylePara1Kernat11pt"/>
        <w:suppressLineNumbers/>
        <w:tabs>
          <w:tab w:val="left" w:pos="1701"/>
        </w:tabs>
        <w:suppressAutoHyphens/>
        <w:kinsoku w:val="0"/>
        <w:overflowPunct w:val="0"/>
        <w:autoSpaceDE w:val="0"/>
        <w:autoSpaceDN w:val="0"/>
        <w:ind w:left="562" w:firstLine="572"/>
        <w:jc w:val="both"/>
        <w:rPr>
          <w:iCs/>
          <w:sz w:val="22"/>
          <w:szCs w:val="22"/>
          <w:lang w:val="fr-FR"/>
        </w:rPr>
      </w:pPr>
      <w:r w:rsidRPr="000804E9">
        <w:rPr>
          <w:iCs/>
          <w:sz w:val="22"/>
          <w:szCs w:val="22"/>
          <w:lang w:val="fr-FR"/>
        </w:rPr>
        <w:t>a)</w:t>
      </w:r>
      <w:r w:rsidRPr="000804E9">
        <w:rPr>
          <w:iCs/>
          <w:sz w:val="22"/>
          <w:szCs w:val="22"/>
          <w:lang w:val="fr-FR"/>
        </w:rPr>
        <w:tab/>
      </w:r>
      <w:r w:rsidR="00D215A7" w:rsidRPr="000804E9">
        <w:rPr>
          <w:iCs/>
          <w:sz w:val="22"/>
          <w:szCs w:val="22"/>
          <w:lang w:val="fr-FR"/>
        </w:rPr>
        <w:t>D’inviter les Parties, les autres gouvernements, les peuples autochtones et les communautés locales, les parties prenantes et les partenaires concernés</w:t>
      </w:r>
      <w:r w:rsidR="001A2E52" w:rsidRPr="000804E9">
        <w:rPr>
          <w:iCs/>
          <w:sz w:val="22"/>
          <w:szCs w:val="22"/>
          <w:lang w:val="fr-FR"/>
        </w:rPr>
        <w:t xml:space="preserve">, à examiner l’approche stratégique à long terme de l’intégration de la biodiversité et son plan d’action et à soumettre leurs points de vue à la Secrétaire exécutive ; </w:t>
      </w:r>
    </w:p>
    <w:p w14:paraId="3F209876" w14:textId="739D68D3" w:rsidR="001A0001" w:rsidRPr="000804E9" w:rsidRDefault="001A0001" w:rsidP="003B0E38">
      <w:pPr>
        <w:pStyle w:val="StylePara1Kernat11pt"/>
        <w:suppressLineNumbers/>
        <w:tabs>
          <w:tab w:val="left" w:pos="1701"/>
        </w:tabs>
        <w:suppressAutoHyphens/>
        <w:kinsoku w:val="0"/>
        <w:overflowPunct w:val="0"/>
        <w:autoSpaceDE w:val="0"/>
        <w:autoSpaceDN w:val="0"/>
        <w:ind w:left="562" w:firstLine="572"/>
        <w:jc w:val="both"/>
        <w:rPr>
          <w:iCs/>
          <w:sz w:val="22"/>
          <w:szCs w:val="22"/>
          <w:lang w:val="fr-FR"/>
        </w:rPr>
      </w:pPr>
      <w:r w:rsidRPr="000804E9">
        <w:rPr>
          <w:iCs/>
          <w:sz w:val="22"/>
          <w:szCs w:val="22"/>
          <w:lang w:val="fr-FR"/>
        </w:rPr>
        <w:t>b)</w:t>
      </w:r>
      <w:r w:rsidRPr="000804E9">
        <w:rPr>
          <w:iCs/>
          <w:sz w:val="22"/>
          <w:szCs w:val="22"/>
          <w:lang w:val="fr-FR"/>
        </w:rPr>
        <w:tab/>
      </w:r>
      <w:r w:rsidR="001A2E52" w:rsidRPr="000804E9">
        <w:rPr>
          <w:iCs/>
          <w:sz w:val="22"/>
          <w:szCs w:val="22"/>
          <w:lang w:val="fr-FR"/>
        </w:rPr>
        <w:t>D’établir un recueil des communications reçues et de le mettre à la disposition de la Conférence des Parties pour examen à sa quinzième réunion, afin d’appuyer un examen approfondi, à l’initiative des Parties, de l’approche stratégique à long terme de l’intégration de la biodiversité, en vue de sa finalisation.</w:t>
      </w:r>
      <w:r w:rsidRPr="000804E9">
        <w:rPr>
          <w:iCs/>
          <w:sz w:val="22"/>
          <w:szCs w:val="22"/>
          <w:lang w:val="fr-FR"/>
        </w:rPr>
        <w:t xml:space="preserve"> </w:t>
      </w:r>
    </w:p>
    <w:p w14:paraId="75F20DE2" w14:textId="452A2A2A" w:rsidR="00665BF8" w:rsidRPr="000804E9" w:rsidRDefault="00BC180B" w:rsidP="0024544B">
      <w:pPr>
        <w:pStyle w:val="Para10"/>
        <w:rPr>
          <w:lang w:val="fr-FR"/>
        </w:rPr>
      </w:pPr>
      <w:r w:rsidRPr="000804E9">
        <w:rPr>
          <w:lang w:val="fr-FR"/>
        </w:rPr>
        <w:lastRenderedPageBreak/>
        <w:t>Le recueil de communications reçues suite à ces demandes, et en réponse à la notification </w:t>
      </w:r>
      <w:hyperlink r:id="rId18" w:history="1">
        <w:r w:rsidR="0024544B" w:rsidRPr="000804E9">
          <w:rPr>
            <w:rStyle w:val="Lienhypertexte"/>
            <w:lang w:val="fr-FR"/>
          </w:rPr>
          <w:t>2022-025</w:t>
        </w:r>
      </w:hyperlink>
      <w:r w:rsidR="0024544B" w:rsidRPr="000804E9">
        <w:rPr>
          <w:lang w:val="fr-FR"/>
        </w:rPr>
        <w:t xml:space="preserve">, </w:t>
      </w:r>
      <w:r w:rsidRPr="000804E9">
        <w:rPr>
          <w:lang w:val="fr-FR"/>
        </w:rPr>
        <w:t>a été mis à la disposition de la Conférence des Parties pour examen à sa quinzième réunion dans les documents d’information </w:t>
      </w:r>
      <w:hyperlink r:id="rId19" w:history="1">
        <w:r w:rsidR="00665BF8" w:rsidRPr="000804E9">
          <w:rPr>
            <w:rStyle w:val="Lienhypertexte"/>
            <w:lang w:val="fr-FR"/>
          </w:rPr>
          <w:t>CBD/COP/15/INF/10</w:t>
        </w:r>
      </w:hyperlink>
      <w:r w:rsidR="00665BF8" w:rsidRPr="000804E9">
        <w:rPr>
          <w:lang w:val="fr-FR"/>
        </w:rPr>
        <w:t xml:space="preserve">, </w:t>
      </w:r>
      <w:hyperlink r:id="rId20" w:history="1">
        <w:r w:rsidR="00665BF8" w:rsidRPr="000804E9">
          <w:rPr>
            <w:rStyle w:val="Lienhypertexte"/>
            <w:lang w:val="fr-FR"/>
          </w:rPr>
          <w:t>11</w:t>
        </w:r>
      </w:hyperlink>
      <w:r w:rsidR="00665BF8" w:rsidRPr="000804E9">
        <w:rPr>
          <w:lang w:val="fr-FR"/>
        </w:rPr>
        <w:t xml:space="preserve"> </w:t>
      </w:r>
      <w:r w:rsidRPr="000804E9">
        <w:rPr>
          <w:lang w:val="fr-FR"/>
        </w:rPr>
        <w:t>et</w:t>
      </w:r>
      <w:r w:rsidR="00665BF8" w:rsidRPr="000804E9">
        <w:rPr>
          <w:lang w:val="fr-FR"/>
        </w:rPr>
        <w:t xml:space="preserve"> </w:t>
      </w:r>
      <w:hyperlink r:id="rId21" w:history="1">
        <w:r w:rsidR="00665BF8" w:rsidRPr="000804E9">
          <w:rPr>
            <w:rStyle w:val="Lienhypertexte"/>
            <w:lang w:val="fr-FR"/>
          </w:rPr>
          <w:t>12</w:t>
        </w:r>
      </w:hyperlink>
      <w:r w:rsidR="008057DA" w:rsidRPr="000804E9">
        <w:rPr>
          <w:rStyle w:val="Appelnotedebasdep"/>
          <w:lang w:val="fr-FR"/>
        </w:rPr>
        <w:footnoteReference w:id="3"/>
      </w:r>
      <w:r w:rsidR="00F85381" w:rsidRPr="00F85381">
        <w:rPr>
          <w:rStyle w:val="Lienhypertexte"/>
          <w:color w:val="auto"/>
          <w:u w:val="none"/>
          <w:lang w:val="fr-FR"/>
        </w:rPr>
        <w:t>.</w:t>
      </w:r>
    </w:p>
    <w:p w14:paraId="55908725" w14:textId="6C16027D" w:rsidR="000665CC" w:rsidRPr="00BC180B" w:rsidRDefault="00BC180B" w:rsidP="009A5B9E">
      <w:pPr>
        <w:pStyle w:val="Para10"/>
        <w:rPr>
          <w:lang w:val="fr-FR"/>
        </w:rPr>
      </w:pPr>
      <w:r w:rsidRPr="000804E9">
        <w:rPr>
          <w:lang w:val="fr-FR"/>
        </w:rPr>
        <w:t>À sa quinzième réunion, la Conférence des Parties, dans sa décision </w:t>
      </w:r>
      <w:hyperlink r:id="rId22" w:history="1">
        <w:r w:rsidR="000665CC" w:rsidRPr="000804E9">
          <w:rPr>
            <w:rStyle w:val="Lienhypertexte"/>
            <w:lang w:val="fr-FR"/>
          </w:rPr>
          <w:t>15/17</w:t>
        </w:r>
      </w:hyperlink>
      <w:r w:rsidR="00F35D2D" w:rsidRPr="000804E9">
        <w:rPr>
          <w:rStyle w:val="Lienhypertexte"/>
          <w:lang w:val="fr-FR"/>
        </w:rPr>
        <w:t xml:space="preserve"> </w:t>
      </w:r>
      <w:r w:rsidR="00F35D2D" w:rsidRPr="000804E9">
        <w:rPr>
          <w:lang w:val="fr-FR"/>
        </w:rPr>
        <w:t>(par. 1)</w:t>
      </w:r>
      <w:r w:rsidR="000665CC" w:rsidRPr="000804E9">
        <w:rPr>
          <w:lang w:val="fr-FR"/>
        </w:rPr>
        <w:t xml:space="preserve">, </w:t>
      </w:r>
      <w:r w:rsidR="00CF4AE3" w:rsidRPr="000804E9">
        <w:rPr>
          <w:lang w:val="fr-FR"/>
        </w:rPr>
        <w:t>s’est félicitée des travaux du Groupe consultatif informel sur l’intégration de la biodiversité, ainsi que des communications compilées dans les documents</w:t>
      </w:r>
      <w:r w:rsidR="0053193C" w:rsidRPr="000804E9">
        <w:rPr>
          <w:lang w:val="fr-FR"/>
        </w:rPr>
        <w:t> </w:t>
      </w:r>
      <w:r w:rsidR="00CF4AE3" w:rsidRPr="000804E9">
        <w:rPr>
          <w:lang w:val="fr-FR"/>
        </w:rPr>
        <w:t>CBD</w:t>
      </w:r>
      <w:r w:rsidR="00321B15" w:rsidRPr="000804E9">
        <w:rPr>
          <w:lang w:val="fr-FR"/>
        </w:rPr>
        <w:t xml:space="preserve">/COP/15/INF/10, 11 </w:t>
      </w:r>
      <w:r w:rsidR="0053193C" w:rsidRPr="000804E9">
        <w:rPr>
          <w:lang w:val="fr-FR"/>
        </w:rPr>
        <w:t>et</w:t>
      </w:r>
      <w:r w:rsidR="00321B15" w:rsidRPr="000804E9">
        <w:rPr>
          <w:lang w:val="fr-FR"/>
        </w:rPr>
        <w:t xml:space="preserve"> 12. </w:t>
      </w:r>
      <w:r w:rsidR="00CF4AE3" w:rsidRPr="000804E9">
        <w:rPr>
          <w:lang w:val="fr-FR"/>
        </w:rPr>
        <w:t>Dans la même décision (par. 2), la Conférence des Parties a convié les Parties et invité les autres gouvernements, les organisations internationales et les parties prenantes concernées, à communiquer leurs points de vue sur le projet d’approche à long terme et le plan d’action associé, et à déterminer les voies à suivre en vue d’appuyer la mise en œuvre du Cadre mondial de la biodiversité de Kunming-</w:t>
      </w:r>
      <w:r w:rsidR="00CF4AE3">
        <w:rPr>
          <w:lang w:val="fr-FR"/>
        </w:rPr>
        <w:t>Montréal. Toujours dans la déc</w:t>
      </w:r>
      <w:r w:rsidR="004F1D2A">
        <w:rPr>
          <w:lang w:val="fr-FR"/>
        </w:rPr>
        <w:t>i</w:t>
      </w:r>
      <w:r w:rsidR="00CF4AE3">
        <w:rPr>
          <w:lang w:val="fr-FR"/>
        </w:rPr>
        <w:t>sion</w:t>
      </w:r>
      <w:r w:rsidR="0023175A" w:rsidRPr="00BC180B">
        <w:rPr>
          <w:lang w:val="fr-FR"/>
        </w:rPr>
        <w:t xml:space="preserve"> 15/17</w:t>
      </w:r>
      <w:r w:rsidR="00FB7F83" w:rsidRPr="00BC180B">
        <w:rPr>
          <w:lang w:val="fr-FR"/>
        </w:rPr>
        <w:t xml:space="preserve"> (par. 3)</w:t>
      </w:r>
      <w:r w:rsidR="0023175A" w:rsidRPr="00BC180B">
        <w:rPr>
          <w:lang w:val="fr-FR"/>
        </w:rPr>
        <w:t xml:space="preserve">, </w:t>
      </w:r>
      <w:r w:rsidR="00CF4AE3">
        <w:rPr>
          <w:lang w:val="fr-FR"/>
        </w:rPr>
        <w:t xml:space="preserve">la Conférence des Parties a prié la Secrétaire exécutive d’organiser un forum en ligne à composition non limitée afin de faciliter l’expression </w:t>
      </w:r>
      <w:r w:rsidR="00DE41B3">
        <w:rPr>
          <w:lang w:val="fr-FR"/>
        </w:rPr>
        <w:t>de points de vue</w:t>
      </w:r>
      <w:r w:rsidR="00CF4AE3">
        <w:rPr>
          <w:lang w:val="fr-FR"/>
        </w:rPr>
        <w:t xml:space="preserve"> supplémentaires </w:t>
      </w:r>
      <w:r w:rsidR="00DE41B3">
        <w:rPr>
          <w:lang w:val="fr-FR"/>
        </w:rPr>
        <w:t>sur les</w:t>
      </w:r>
      <w:r w:rsidR="00CF4AE3">
        <w:rPr>
          <w:lang w:val="fr-FR"/>
        </w:rPr>
        <w:t xml:space="preserve"> rapports et </w:t>
      </w:r>
      <w:r w:rsidR="00DE41B3">
        <w:rPr>
          <w:lang w:val="fr-FR"/>
        </w:rPr>
        <w:t>les</w:t>
      </w:r>
      <w:r w:rsidR="00CF4AE3">
        <w:rPr>
          <w:lang w:val="fr-FR"/>
        </w:rPr>
        <w:t xml:space="preserve"> résultats mentionnés </w:t>
      </w:r>
      <w:r w:rsidR="004F1D2A">
        <w:rPr>
          <w:lang w:val="fr-FR"/>
        </w:rPr>
        <w:t>aux paragraphes</w:t>
      </w:r>
      <w:r w:rsidR="0053193C">
        <w:rPr>
          <w:lang w:val="fr-FR"/>
        </w:rPr>
        <w:t> </w:t>
      </w:r>
      <w:r w:rsidR="004F1D2A">
        <w:rPr>
          <w:lang w:val="fr-FR"/>
        </w:rPr>
        <w:t xml:space="preserve">1 et 2 de la décision, et de </w:t>
      </w:r>
      <w:r w:rsidR="00DE41B3">
        <w:rPr>
          <w:lang w:val="fr-FR"/>
        </w:rPr>
        <w:t>synthétiser</w:t>
      </w:r>
      <w:r w:rsidR="004F1D2A">
        <w:rPr>
          <w:lang w:val="fr-FR"/>
        </w:rPr>
        <w:t xml:space="preserve"> ces </w:t>
      </w:r>
      <w:r w:rsidR="00DE41B3">
        <w:rPr>
          <w:lang w:val="fr-FR"/>
        </w:rPr>
        <w:t>points de vue</w:t>
      </w:r>
      <w:r w:rsidR="004F1D2A">
        <w:rPr>
          <w:lang w:val="fr-FR"/>
        </w:rPr>
        <w:t xml:space="preserve"> dans un rapport, y compris sur un processus intérimaire, </w:t>
      </w:r>
      <w:r w:rsidR="00DE41B3">
        <w:rPr>
          <w:lang w:val="fr-FR"/>
        </w:rPr>
        <w:t>puis de le soumettre à</w:t>
      </w:r>
      <w:r w:rsidR="004F1D2A">
        <w:rPr>
          <w:lang w:val="fr-FR"/>
        </w:rPr>
        <w:t xml:space="preserve"> l’Organe subsidiaire chargé de </w:t>
      </w:r>
      <w:r w:rsidR="007952F4">
        <w:rPr>
          <w:lang w:val="fr-FR"/>
        </w:rPr>
        <w:t>l’application</w:t>
      </w:r>
      <w:r w:rsidR="004F1D2A">
        <w:rPr>
          <w:lang w:val="fr-FR"/>
        </w:rPr>
        <w:t xml:space="preserve"> </w:t>
      </w:r>
      <w:r w:rsidR="00DE41B3">
        <w:rPr>
          <w:lang w:val="fr-FR"/>
        </w:rPr>
        <w:t xml:space="preserve">pour examen </w:t>
      </w:r>
      <w:r w:rsidR="004F1D2A">
        <w:rPr>
          <w:lang w:val="fr-FR"/>
        </w:rPr>
        <w:t>à sa quatrième réunion.</w:t>
      </w:r>
    </w:p>
    <w:p w14:paraId="0C6313E3" w14:textId="2E868826" w:rsidR="000665CC" w:rsidRPr="00BC180B" w:rsidRDefault="004F1D2A" w:rsidP="00296E57">
      <w:pPr>
        <w:pStyle w:val="Para10"/>
        <w:rPr>
          <w:lang w:val="fr-FR"/>
        </w:rPr>
      </w:pPr>
      <w:r>
        <w:rPr>
          <w:lang w:val="fr-FR"/>
        </w:rPr>
        <w:t xml:space="preserve">La présente note </w:t>
      </w:r>
      <w:r w:rsidR="007E1C87">
        <w:rPr>
          <w:lang w:val="fr-FR"/>
        </w:rPr>
        <w:t>est une synthèse</w:t>
      </w:r>
      <w:r>
        <w:rPr>
          <w:lang w:val="fr-FR"/>
        </w:rPr>
        <w:t xml:space="preserve"> </w:t>
      </w:r>
      <w:r w:rsidR="00084811">
        <w:rPr>
          <w:lang w:val="fr-FR"/>
        </w:rPr>
        <w:t>des</w:t>
      </w:r>
      <w:r>
        <w:rPr>
          <w:lang w:val="fr-FR"/>
        </w:rPr>
        <w:t xml:space="preserve"> travaux menés en réponse à la décision </w:t>
      </w:r>
      <w:r w:rsidR="0065152B" w:rsidRPr="00BC180B">
        <w:rPr>
          <w:lang w:val="fr-FR"/>
        </w:rPr>
        <w:t>15/17 (</w:t>
      </w:r>
      <w:r w:rsidR="00A3280B" w:rsidRPr="00BC180B">
        <w:rPr>
          <w:lang w:val="fr-FR"/>
        </w:rPr>
        <w:t>s</w:t>
      </w:r>
      <w:r w:rsidR="009C3BF2" w:rsidRPr="00BC180B">
        <w:rPr>
          <w:lang w:val="fr-FR"/>
        </w:rPr>
        <w:t>ect</w:t>
      </w:r>
      <w:r w:rsidR="00A3280B" w:rsidRPr="00BC180B">
        <w:rPr>
          <w:lang w:val="fr-FR"/>
        </w:rPr>
        <w:t>.</w:t>
      </w:r>
      <w:r w:rsidR="0053193C">
        <w:rPr>
          <w:lang w:val="fr-FR"/>
        </w:rPr>
        <w:t> </w:t>
      </w:r>
      <w:r w:rsidR="009C3BF2" w:rsidRPr="00BC180B">
        <w:rPr>
          <w:lang w:val="fr-FR"/>
        </w:rPr>
        <w:t>II</w:t>
      </w:r>
      <w:r w:rsidR="0065152B" w:rsidRPr="00BC180B">
        <w:rPr>
          <w:lang w:val="fr-FR"/>
        </w:rPr>
        <w:t xml:space="preserve">), </w:t>
      </w:r>
      <w:r w:rsidR="00084811" w:rsidRPr="007E1C87">
        <w:rPr>
          <w:lang w:val="fr-FR"/>
        </w:rPr>
        <w:t xml:space="preserve">une </w:t>
      </w:r>
      <w:r w:rsidRPr="007E1C87">
        <w:rPr>
          <w:lang w:val="fr-FR"/>
        </w:rPr>
        <w:t xml:space="preserve">analyse des </w:t>
      </w:r>
      <w:r w:rsidR="007E1C87">
        <w:rPr>
          <w:lang w:val="fr-FR"/>
        </w:rPr>
        <w:t>solutions envisageables pour</w:t>
      </w:r>
      <w:r>
        <w:rPr>
          <w:lang w:val="fr-FR"/>
        </w:rPr>
        <w:t xml:space="preserve"> faire avancer l’approche stratégique en matière d’intégration</w:t>
      </w:r>
      <w:r w:rsidR="00296E57" w:rsidRPr="00BC180B">
        <w:rPr>
          <w:lang w:val="fr-FR"/>
        </w:rPr>
        <w:t xml:space="preserve"> (</w:t>
      </w:r>
      <w:r w:rsidR="00A3280B" w:rsidRPr="00BC180B">
        <w:rPr>
          <w:lang w:val="fr-FR"/>
        </w:rPr>
        <w:t>s</w:t>
      </w:r>
      <w:r w:rsidR="00296E57" w:rsidRPr="00BC180B">
        <w:rPr>
          <w:lang w:val="fr-FR"/>
        </w:rPr>
        <w:t>ect</w:t>
      </w:r>
      <w:r w:rsidR="00A3280B" w:rsidRPr="00BC180B">
        <w:rPr>
          <w:lang w:val="fr-FR"/>
        </w:rPr>
        <w:t>.</w:t>
      </w:r>
      <w:r w:rsidR="0053193C">
        <w:rPr>
          <w:lang w:val="fr-FR"/>
        </w:rPr>
        <w:t> </w:t>
      </w:r>
      <w:r w:rsidR="00296E57" w:rsidRPr="00BC180B">
        <w:rPr>
          <w:lang w:val="fr-FR"/>
        </w:rPr>
        <w:t xml:space="preserve">III) </w:t>
      </w:r>
      <w:r>
        <w:rPr>
          <w:lang w:val="fr-FR"/>
        </w:rPr>
        <w:t xml:space="preserve">et contient des éléments en vue d’une recommandation </w:t>
      </w:r>
      <w:r w:rsidR="00296E57" w:rsidRPr="00BC180B">
        <w:rPr>
          <w:lang w:val="fr-FR"/>
        </w:rPr>
        <w:t>(sect</w:t>
      </w:r>
      <w:r w:rsidR="00B75E60" w:rsidRPr="00BC180B">
        <w:rPr>
          <w:lang w:val="fr-FR"/>
        </w:rPr>
        <w:t>.</w:t>
      </w:r>
      <w:r w:rsidR="0053193C">
        <w:rPr>
          <w:lang w:val="fr-FR"/>
        </w:rPr>
        <w:t> </w:t>
      </w:r>
      <w:r w:rsidR="00296E57" w:rsidRPr="00BC180B">
        <w:rPr>
          <w:lang w:val="fr-FR"/>
        </w:rPr>
        <w:t xml:space="preserve">IV) </w:t>
      </w:r>
      <w:r>
        <w:rPr>
          <w:lang w:val="fr-FR"/>
        </w:rPr>
        <w:t>pour examen par l’Organe subsidiaire à sa quatrième réunion.</w:t>
      </w:r>
    </w:p>
    <w:p w14:paraId="28FC09AF" w14:textId="0E457CC8" w:rsidR="00566A86" w:rsidRPr="00BC180B" w:rsidRDefault="004F1D2A" w:rsidP="009A5B9E">
      <w:pPr>
        <w:pStyle w:val="Titre1"/>
        <w:ind w:left="562" w:hanging="562"/>
        <w:rPr>
          <w:lang w:val="fr-FR"/>
        </w:rPr>
      </w:pPr>
      <w:r>
        <w:rPr>
          <w:lang w:val="fr-FR"/>
        </w:rPr>
        <w:t>Mise en œuvre de la décision </w:t>
      </w:r>
      <w:r w:rsidR="00296E57" w:rsidRPr="00BC180B">
        <w:rPr>
          <w:lang w:val="fr-FR"/>
        </w:rPr>
        <w:t>15/17</w:t>
      </w:r>
    </w:p>
    <w:p w14:paraId="7DDCEB47" w14:textId="3BE5BC54" w:rsidR="00582FF0" w:rsidRPr="00BC180B" w:rsidRDefault="006745F0" w:rsidP="00EB5AAA">
      <w:pPr>
        <w:pStyle w:val="Para10"/>
        <w:rPr>
          <w:lang w:val="fr-FR"/>
        </w:rPr>
      </w:pPr>
      <w:r>
        <w:rPr>
          <w:lang w:val="fr-FR"/>
        </w:rPr>
        <w:t>Suite à la décision </w:t>
      </w:r>
      <w:r w:rsidR="00EB5AAA" w:rsidRPr="00BC180B">
        <w:rPr>
          <w:lang w:val="fr-FR"/>
        </w:rPr>
        <w:t xml:space="preserve">15/17, </w:t>
      </w:r>
      <w:r>
        <w:rPr>
          <w:lang w:val="fr-FR"/>
        </w:rPr>
        <w:t xml:space="preserve">la </w:t>
      </w:r>
      <w:r w:rsidR="00D608F0">
        <w:rPr>
          <w:lang w:val="fr-FR"/>
        </w:rPr>
        <w:t>communication</w:t>
      </w:r>
      <w:r>
        <w:rPr>
          <w:lang w:val="fr-FR"/>
        </w:rPr>
        <w:t xml:space="preserve"> </w:t>
      </w:r>
      <w:r w:rsidR="007E1C87">
        <w:rPr>
          <w:lang w:val="fr-FR"/>
        </w:rPr>
        <w:t>de points de vue</w:t>
      </w:r>
      <w:r>
        <w:rPr>
          <w:lang w:val="fr-FR"/>
        </w:rPr>
        <w:t xml:space="preserve"> a été appelée dans la notification </w:t>
      </w:r>
      <w:hyperlink r:id="rId23" w:history="1">
        <w:r w:rsidR="00195FF7" w:rsidRPr="00BC180B">
          <w:rPr>
            <w:rStyle w:val="Lienhypertexte"/>
            <w:lang w:val="fr-FR"/>
          </w:rPr>
          <w:t>2023-028</w:t>
        </w:r>
      </w:hyperlink>
      <w:r w:rsidR="00877676" w:rsidRPr="00BC180B">
        <w:rPr>
          <w:lang w:val="fr-FR"/>
        </w:rPr>
        <w:t xml:space="preserve">, </w:t>
      </w:r>
      <w:r>
        <w:rPr>
          <w:lang w:val="fr-FR"/>
        </w:rPr>
        <w:t>publiée le 16 mars 2023, et dans la notification </w:t>
      </w:r>
      <w:hyperlink r:id="rId24" w:history="1">
        <w:r w:rsidR="00B303D2" w:rsidRPr="00BC180B">
          <w:rPr>
            <w:rStyle w:val="Lienhypertexte"/>
            <w:lang w:val="fr-FR"/>
          </w:rPr>
          <w:t>2023-048</w:t>
        </w:r>
      </w:hyperlink>
      <w:r w:rsidR="000C61A4" w:rsidRPr="00BC180B">
        <w:rPr>
          <w:lang w:val="fr-FR"/>
        </w:rPr>
        <w:t xml:space="preserve">, </w:t>
      </w:r>
      <w:r>
        <w:rPr>
          <w:lang w:val="fr-FR"/>
        </w:rPr>
        <w:t>publiée le 1</w:t>
      </w:r>
      <w:r>
        <w:rPr>
          <w:vertAlign w:val="superscript"/>
          <w:lang w:val="fr-FR"/>
        </w:rPr>
        <w:t>er</w:t>
      </w:r>
      <w:r>
        <w:rPr>
          <w:lang w:val="fr-FR"/>
        </w:rPr>
        <w:t> mai</w:t>
      </w:r>
      <w:r w:rsidR="0053193C">
        <w:rPr>
          <w:lang w:val="fr-FR"/>
        </w:rPr>
        <w:t> </w:t>
      </w:r>
      <w:r>
        <w:rPr>
          <w:lang w:val="fr-FR"/>
        </w:rPr>
        <w:t>2023</w:t>
      </w:r>
      <w:r w:rsidR="00D608F0">
        <w:rPr>
          <w:lang w:val="fr-FR"/>
        </w:rPr>
        <w:t xml:space="preserve"> et qui prolonge </w:t>
      </w:r>
      <w:r>
        <w:rPr>
          <w:lang w:val="fr-FR"/>
        </w:rPr>
        <w:t xml:space="preserve">la date limite pour les </w:t>
      </w:r>
      <w:r w:rsidR="00D608F0">
        <w:rPr>
          <w:lang w:val="fr-FR"/>
        </w:rPr>
        <w:t>communications</w:t>
      </w:r>
      <w:r>
        <w:rPr>
          <w:lang w:val="fr-FR"/>
        </w:rPr>
        <w:t xml:space="preserve"> jusqu’au 12 mai 2023. Le Secrétariat a reçu des </w:t>
      </w:r>
      <w:r w:rsidR="00D608F0">
        <w:rPr>
          <w:lang w:val="fr-FR"/>
        </w:rPr>
        <w:t>communications</w:t>
      </w:r>
      <w:r>
        <w:rPr>
          <w:lang w:val="fr-FR"/>
        </w:rPr>
        <w:t xml:space="preserve"> de huit Parties et de 19 observateurs</w:t>
      </w:r>
      <w:r w:rsidR="004424BC" w:rsidRPr="00BC180B">
        <w:rPr>
          <w:rStyle w:val="Appelnotedebasdep"/>
          <w:lang w:val="fr-FR"/>
        </w:rPr>
        <w:footnoteReference w:id="4"/>
      </w:r>
      <w:r>
        <w:rPr>
          <w:lang w:val="fr-FR"/>
        </w:rPr>
        <w:t xml:space="preserve">. Ces dernières sont </w:t>
      </w:r>
      <w:r w:rsidR="00F807DC">
        <w:rPr>
          <w:lang w:val="fr-FR"/>
        </w:rPr>
        <w:t>disponibles à l’adresse suivante :</w:t>
      </w:r>
      <w:r w:rsidR="003A612C" w:rsidRPr="00BC180B">
        <w:rPr>
          <w:lang w:val="fr-FR"/>
        </w:rPr>
        <w:t xml:space="preserve"> </w:t>
      </w:r>
      <w:hyperlink r:id="rId25" w:history="1">
        <w:r w:rsidR="00355909" w:rsidRPr="00BC180B">
          <w:rPr>
            <w:rStyle w:val="Lienhypertexte"/>
            <w:lang w:val="fr-FR"/>
          </w:rPr>
          <w:t>www.cbd.int/notifications/2023-028</w:t>
        </w:r>
      </w:hyperlink>
      <w:r w:rsidR="008B075F" w:rsidRPr="00BC180B">
        <w:rPr>
          <w:lang w:val="fr-FR"/>
        </w:rPr>
        <w:t xml:space="preserve">. </w:t>
      </w:r>
      <w:r w:rsidR="003A612C" w:rsidRPr="00BC180B">
        <w:rPr>
          <w:lang w:val="fr-FR"/>
        </w:rPr>
        <w:t xml:space="preserve"> </w:t>
      </w:r>
    </w:p>
    <w:p w14:paraId="68391292" w14:textId="3A5D9E50" w:rsidR="001D5F48" w:rsidRPr="00BC180B" w:rsidRDefault="00743BFB" w:rsidP="008370B4">
      <w:pPr>
        <w:pStyle w:val="Para10"/>
        <w:rPr>
          <w:lang w:val="fr-FR"/>
        </w:rPr>
      </w:pPr>
      <w:r>
        <w:rPr>
          <w:lang w:val="fr-FR"/>
        </w:rPr>
        <w:t xml:space="preserve">La création d’un forum en ligne à composition non limitée afin de faciliter l’expression </w:t>
      </w:r>
      <w:r w:rsidR="00D608F0">
        <w:rPr>
          <w:lang w:val="fr-FR"/>
        </w:rPr>
        <w:t>de points de vue</w:t>
      </w:r>
      <w:r>
        <w:rPr>
          <w:lang w:val="fr-FR"/>
        </w:rPr>
        <w:t xml:space="preserve"> supplémentaires a été présentée dans la notification </w:t>
      </w:r>
      <w:hyperlink r:id="rId26" w:history="1">
        <w:r w:rsidR="006A7707" w:rsidRPr="00BC180B">
          <w:rPr>
            <w:rStyle w:val="Lienhypertexte"/>
            <w:lang w:val="fr-FR"/>
          </w:rPr>
          <w:t>2023-122</w:t>
        </w:r>
      </w:hyperlink>
      <w:r w:rsidR="008370B4" w:rsidRPr="00BC180B">
        <w:rPr>
          <w:lang w:val="fr-FR"/>
        </w:rPr>
        <w:t xml:space="preserve">, </w:t>
      </w:r>
      <w:r>
        <w:rPr>
          <w:lang w:val="fr-FR"/>
        </w:rPr>
        <w:t>publiée le 6 novembre 2023, et dans la notification</w:t>
      </w:r>
      <w:r w:rsidR="00F12E4E">
        <w:rPr>
          <w:lang w:val="fr-FR"/>
        </w:rPr>
        <w:t> </w:t>
      </w:r>
      <w:hyperlink r:id="rId27" w:history="1">
        <w:r w:rsidR="006A7707" w:rsidRPr="00BC180B">
          <w:rPr>
            <w:rStyle w:val="Lienhypertexte"/>
            <w:lang w:val="fr-FR"/>
          </w:rPr>
          <w:t>2023-136</w:t>
        </w:r>
      </w:hyperlink>
      <w:r w:rsidR="008370B4" w:rsidRPr="00BC180B">
        <w:rPr>
          <w:lang w:val="fr-FR"/>
        </w:rPr>
        <w:t xml:space="preserve">, </w:t>
      </w:r>
      <w:r w:rsidR="00F12E4E">
        <w:rPr>
          <w:lang w:val="fr-FR"/>
        </w:rPr>
        <w:t>publiée le 18 décembre 2023</w:t>
      </w:r>
      <w:r w:rsidR="00D608F0">
        <w:rPr>
          <w:lang w:val="fr-FR"/>
        </w:rPr>
        <w:t xml:space="preserve"> et qui prolonge</w:t>
      </w:r>
      <w:r w:rsidR="00F12E4E">
        <w:rPr>
          <w:lang w:val="fr-FR"/>
        </w:rPr>
        <w:t xml:space="preserve"> la date limite </w:t>
      </w:r>
      <w:r w:rsidR="00D608F0">
        <w:rPr>
          <w:lang w:val="fr-FR"/>
        </w:rPr>
        <w:t>de</w:t>
      </w:r>
      <w:r w:rsidR="00F12E4E">
        <w:rPr>
          <w:lang w:val="fr-FR"/>
        </w:rPr>
        <w:t xml:space="preserve"> la participation </w:t>
      </w:r>
      <w:r w:rsidR="00D608F0">
        <w:rPr>
          <w:lang w:val="fr-FR"/>
        </w:rPr>
        <w:t>jusqu’</w:t>
      </w:r>
      <w:r w:rsidR="00F12E4E">
        <w:rPr>
          <w:lang w:val="fr-FR"/>
        </w:rPr>
        <w:t xml:space="preserve">au 10 janvier 2024. Le forum </w:t>
      </w:r>
      <w:r w:rsidR="00D608F0">
        <w:rPr>
          <w:lang w:val="fr-FR"/>
        </w:rPr>
        <w:t>a été ouvert lors d’un</w:t>
      </w:r>
      <w:r w:rsidR="00F12E4E">
        <w:rPr>
          <w:lang w:val="fr-FR"/>
        </w:rPr>
        <w:t xml:space="preserve"> webinaire qui s’est tenu le 12 décembre</w:t>
      </w:r>
      <w:r w:rsidR="0053193C">
        <w:rPr>
          <w:lang w:val="fr-FR"/>
        </w:rPr>
        <w:t> </w:t>
      </w:r>
      <w:r w:rsidR="00F12E4E">
        <w:rPr>
          <w:lang w:val="fr-FR"/>
        </w:rPr>
        <w:t xml:space="preserve">2023. </w:t>
      </w:r>
      <w:r w:rsidR="00220C2A">
        <w:rPr>
          <w:lang w:val="fr-FR"/>
        </w:rPr>
        <w:t>Dans le cadre du forum en ligne à composition non limitée, l</w:t>
      </w:r>
      <w:r w:rsidR="00F12E4E">
        <w:rPr>
          <w:lang w:val="fr-FR"/>
        </w:rPr>
        <w:t xml:space="preserve">es Parties et les observateurs ont été invités à </w:t>
      </w:r>
      <w:r w:rsidR="00220C2A">
        <w:rPr>
          <w:lang w:val="fr-FR"/>
        </w:rPr>
        <w:t>communiquer leurs points de vue</w:t>
      </w:r>
      <w:r w:rsidR="00F12E4E">
        <w:rPr>
          <w:lang w:val="fr-FR"/>
        </w:rPr>
        <w:t xml:space="preserve"> </w:t>
      </w:r>
      <w:r w:rsidR="00220C2A">
        <w:rPr>
          <w:lang w:val="fr-FR"/>
        </w:rPr>
        <w:t>en répondant à</w:t>
      </w:r>
      <w:r w:rsidR="00F12E4E">
        <w:rPr>
          <w:lang w:val="fr-FR"/>
        </w:rPr>
        <w:t xml:space="preserve"> quatre questions :</w:t>
      </w:r>
    </w:p>
    <w:p w14:paraId="3CCCCAA2" w14:textId="7FF3B408" w:rsidR="006503DE" w:rsidRPr="00BC180B" w:rsidRDefault="00957400" w:rsidP="009A5B9E">
      <w:pPr>
        <w:pStyle w:val="Para2"/>
        <w:ind w:left="562" w:firstLine="562"/>
        <w:rPr>
          <w:lang w:val="fr-FR"/>
        </w:rPr>
      </w:pPr>
      <w:r w:rsidRPr="00BC180B">
        <w:rPr>
          <w:lang w:val="fr-FR"/>
        </w:rPr>
        <w:t>a)</w:t>
      </w:r>
      <w:r w:rsidRPr="00BC180B">
        <w:rPr>
          <w:lang w:val="fr-FR"/>
        </w:rPr>
        <w:tab/>
      </w:r>
      <w:r w:rsidR="003771C5">
        <w:rPr>
          <w:lang w:val="fr-FR"/>
        </w:rPr>
        <w:t xml:space="preserve">Selon vous, quel </w:t>
      </w:r>
      <w:r w:rsidR="00537511">
        <w:rPr>
          <w:lang w:val="fr-FR"/>
        </w:rPr>
        <w:t>processus</w:t>
      </w:r>
      <w:r w:rsidR="003771C5">
        <w:rPr>
          <w:lang w:val="fr-FR"/>
        </w:rPr>
        <w:t xml:space="preserve"> serait le plus approprié pour faire avance</w:t>
      </w:r>
      <w:r w:rsidR="0053193C">
        <w:rPr>
          <w:lang w:val="fr-FR"/>
        </w:rPr>
        <w:t>r</w:t>
      </w:r>
      <w:r w:rsidR="003771C5">
        <w:rPr>
          <w:lang w:val="fr-FR"/>
        </w:rPr>
        <w:t xml:space="preserve"> les travaux relatifs à l’approche stratégique à long terme pour l’intégration de la diversité biologique ?</w:t>
      </w:r>
      <w:r w:rsidR="006503DE" w:rsidRPr="00BC180B">
        <w:rPr>
          <w:lang w:val="fr-FR"/>
        </w:rPr>
        <w:t xml:space="preserve"> </w:t>
      </w:r>
    </w:p>
    <w:p w14:paraId="17868B3C" w14:textId="4E14D4E3" w:rsidR="006503DE" w:rsidRPr="00BC180B" w:rsidRDefault="00957400" w:rsidP="009A5B9E">
      <w:pPr>
        <w:pStyle w:val="Para2"/>
        <w:ind w:left="562" w:firstLine="562"/>
        <w:rPr>
          <w:lang w:val="fr-FR"/>
        </w:rPr>
      </w:pPr>
      <w:r w:rsidRPr="00BC180B">
        <w:rPr>
          <w:lang w:val="fr-FR"/>
        </w:rPr>
        <w:t>b)</w:t>
      </w:r>
      <w:r w:rsidRPr="00BC180B">
        <w:rPr>
          <w:lang w:val="fr-FR"/>
        </w:rPr>
        <w:tab/>
      </w:r>
      <w:r w:rsidR="003771C5">
        <w:rPr>
          <w:lang w:val="fr-FR"/>
        </w:rPr>
        <w:t xml:space="preserve">Selon vous, quelles sont les mesures à prendre afin que l’approche stratégique à long terme pour l’intégration de la diversité biologique </w:t>
      </w:r>
      <w:r w:rsidR="00031617">
        <w:rPr>
          <w:lang w:val="fr-FR"/>
        </w:rPr>
        <w:t>puisse être un outil efficace de mise en œuvre du Cadre mondial de la biodiversité de Kunming-Montréal ? Quels sont, le cas échéant, les éléments cl</w:t>
      </w:r>
      <w:r w:rsidR="0053193C">
        <w:rPr>
          <w:lang w:val="fr-FR"/>
        </w:rPr>
        <w:t>és</w:t>
      </w:r>
      <w:r w:rsidR="00031617">
        <w:rPr>
          <w:lang w:val="fr-FR"/>
        </w:rPr>
        <w:t xml:space="preserve"> manquants ?</w:t>
      </w:r>
      <w:r w:rsidR="006503DE" w:rsidRPr="00BC180B">
        <w:rPr>
          <w:lang w:val="fr-FR"/>
        </w:rPr>
        <w:t xml:space="preserve"> </w:t>
      </w:r>
    </w:p>
    <w:p w14:paraId="1F98433B" w14:textId="2F2D916D" w:rsidR="006503DE" w:rsidRPr="00BC180B" w:rsidRDefault="00957400" w:rsidP="009A5B9E">
      <w:pPr>
        <w:pStyle w:val="Para3"/>
        <w:ind w:left="562" w:firstLine="562"/>
        <w:rPr>
          <w:lang w:val="fr-FR"/>
        </w:rPr>
      </w:pPr>
      <w:r w:rsidRPr="00BC180B">
        <w:rPr>
          <w:lang w:val="fr-FR"/>
        </w:rPr>
        <w:t>c)</w:t>
      </w:r>
      <w:r w:rsidRPr="00BC180B">
        <w:rPr>
          <w:lang w:val="fr-FR"/>
        </w:rPr>
        <w:tab/>
      </w:r>
      <w:r w:rsidR="00031617">
        <w:rPr>
          <w:lang w:val="fr-FR"/>
        </w:rPr>
        <w:t xml:space="preserve">Le projet de plan d’action associé est-il nécessaire et adapté à la mise en œuvre de l’approche stratégique à long terme pour l’intégration de la diversité biologique ? Si vous </w:t>
      </w:r>
      <w:r w:rsidR="003D1CB8">
        <w:rPr>
          <w:lang w:val="fr-FR"/>
        </w:rPr>
        <w:t>êtes d’avis que le</w:t>
      </w:r>
      <w:r w:rsidR="00031617">
        <w:rPr>
          <w:lang w:val="fr-FR"/>
        </w:rPr>
        <w:t xml:space="preserve"> projet de plan d’action</w:t>
      </w:r>
      <w:r w:rsidR="003D1CB8">
        <w:rPr>
          <w:lang w:val="fr-FR"/>
        </w:rPr>
        <w:t xml:space="preserve"> n’est ni adapté ni nécessaire</w:t>
      </w:r>
      <w:r w:rsidR="00031617">
        <w:rPr>
          <w:lang w:val="fr-FR"/>
        </w:rPr>
        <w:t>, que proposeriez-vous ?</w:t>
      </w:r>
      <w:r w:rsidR="006503DE" w:rsidRPr="00BC180B">
        <w:rPr>
          <w:lang w:val="fr-FR"/>
        </w:rPr>
        <w:t xml:space="preserve"> </w:t>
      </w:r>
    </w:p>
    <w:p w14:paraId="798EDE64" w14:textId="76425D93" w:rsidR="006A7707" w:rsidRPr="00BC180B" w:rsidRDefault="00957400" w:rsidP="009A5B9E">
      <w:pPr>
        <w:pStyle w:val="Para2"/>
        <w:ind w:left="562" w:firstLine="562"/>
        <w:rPr>
          <w:lang w:val="fr-FR"/>
        </w:rPr>
      </w:pPr>
      <w:r w:rsidRPr="00BC180B">
        <w:rPr>
          <w:lang w:val="fr-FR"/>
        </w:rPr>
        <w:lastRenderedPageBreak/>
        <w:t>d)</w:t>
      </w:r>
      <w:r w:rsidRPr="00BC180B">
        <w:rPr>
          <w:lang w:val="fr-FR"/>
        </w:rPr>
        <w:tab/>
      </w:r>
      <w:r w:rsidR="00031617">
        <w:rPr>
          <w:lang w:val="fr-FR"/>
        </w:rPr>
        <w:t>Le projet d’approche stratégique à long terme pour l’intégration de la diversité biologique</w:t>
      </w:r>
      <w:r w:rsidR="004D43A9">
        <w:rPr>
          <w:lang w:val="fr-FR"/>
        </w:rPr>
        <w:t xml:space="preserve"> à l’étude</w:t>
      </w:r>
      <w:r w:rsidR="00031617">
        <w:rPr>
          <w:lang w:val="fr-FR"/>
        </w:rPr>
        <w:t xml:space="preserve"> constitue-</w:t>
      </w:r>
      <w:r w:rsidR="0053193C">
        <w:rPr>
          <w:lang w:val="fr-FR"/>
        </w:rPr>
        <w:t>t-</w:t>
      </w:r>
      <w:r w:rsidR="00031617">
        <w:rPr>
          <w:lang w:val="fr-FR"/>
        </w:rPr>
        <w:t>il une base acceptable pour la suite des travaux ?</w:t>
      </w:r>
      <w:r w:rsidR="009459CF" w:rsidRPr="00BC180B">
        <w:rPr>
          <w:lang w:val="fr-FR"/>
        </w:rPr>
        <w:t xml:space="preserve"> </w:t>
      </w:r>
    </w:p>
    <w:p w14:paraId="28CCD3F2" w14:textId="13FD30BA" w:rsidR="00533045" w:rsidRPr="00BC180B" w:rsidRDefault="00CA51A7" w:rsidP="00923671">
      <w:pPr>
        <w:pStyle w:val="Para10"/>
        <w:ind w:left="562"/>
        <w:rPr>
          <w:lang w:val="fr-FR"/>
        </w:rPr>
      </w:pPr>
      <w:r w:rsidRPr="00BC180B">
        <w:rPr>
          <w:lang w:val="fr-FR"/>
        </w:rPr>
        <w:t>Six</w:t>
      </w:r>
      <w:r w:rsidR="006B372C" w:rsidRPr="00BC180B">
        <w:rPr>
          <w:lang w:val="fr-FR"/>
        </w:rPr>
        <w:t xml:space="preserve"> Parties </w:t>
      </w:r>
      <w:r w:rsidR="00031617">
        <w:rPr>
          <w:lang w:val="fr-FR"/>
        </w:rPr>
        <w:t xml:space="preserve">et trois organisations </w:t>
      </w:r>
      <w:r w:rsidR="00537511">
        <w:rPr>
          <w:lang w:val="fr-FR"/>
        </w:rPr>
        <w:t>dotées du statut d’observateur</w:t>
      </w:r>
      <w:r w:rsidR="00031617">
        <w:rPr>
          <w:lang w:val="fr-FR"/>
        </w:rPr>
        <w:t xml:space="preserve"> ont participé au forum en ligne à composition non limitée</w:t>
      </w:r>
      <w:r w:rsidR="004424BC" w:rsidRPr="00BC180B">
        <w:rPr>
          <w:rStyle w:val="Appelnotedebasdep"/>
          <w:lang w:val="fr-FR"/>
        </w:rPr>
        <w:footnoteReference w:id="5"/>
      </w:r>
      <w:r w:rsidR="00031617">
        <w:rPr>
          <w:lang w:val="fr-FR"/>
        </w:rPr>
        <w:t xml:space="preserve"> et chaque participant a fourni une réponse aux quatre questions. Le forum et toutes les </w:t>
      </w:r>
      <w:r w:rsidR="003D1CB8">
        <w:rPr>
          <w:lang w:val="fr-FR"/>
        </w:rPr>
        <w:t xml:space="preserve">communications soumises </w:t>
      </w:r>
      <w:r w:rsidR="00031617">
        <w:rPr>
          <w:lang w:val="fr-FR"/>
        </w:rPr>
        <w:t xml:space="preserve">lors du forum sont disponibles à l’adresse suivante : </w:t>
      </w:r>
      <w:hyperlink r:id="rId28" w:history="1">
        <w:r w:rsidR="00537511" w:rsidRPr="00057D11">
          <w:rPr>
            <w:rStyle w:val="Lienhypertexte"/>
            <w:lang w:val="fr-FR"/>
          </w:rPr>
          <w:t>www.cbd.int/mainstreaming/LTAM/</w:t>
        </w:r>
      </w:hyperlink>
      <w:r w:rsidR="006B372C" w:rsidRPr="00BC180B">
        <w:rPr>
          <w:lang w:val="fr-FR"/>
        </w:rPr>
        <w:t xml:space="preserve">. </w:t>
      </w:r>
      <w:r w:rsidR="00537511">
        <w:rPr>
          <w:lang w:val="fr-FR"/>
        </w:rPr>
        <w:t xml:space="preserve">Le Secrétariat a compilé toutes les </w:t>
      </w:r>
      <w:r w:rsidR="003D1CB8">
        <w:rPr>
          <w:lang w:val="fr-FR"/>
        </w:rPr>
        <w:t>communications</w:t>
      </w:r>
      <w:r w:rsidR="00537511">
        <w:rPr>
          <w:lang w:val="fr-FR"/>
        </w:rPr>
        <w:t xml:space="preserve"> reçues lors du forum et les publiera dans le document d’information</w:t>
      </w:r>
      <w:r w:rsidR="006B372C" w:rsidRPr="00BC180B">
        <w:rPr>
          <w:lang w:val="fr-FR"/>
        </w:rPr>
        <w:t xml:space="preserve"> </w:t>
      </w:r>
      <w:r w:rsidRPr="00BC180B">
        <w:rPr>
          <w:lang w:val="fr-FR"/>
        </w:rPr>
        <w:t>CBD/SBI/4/INF</w:t>
      </w:r>
      <w:r w:rsidR="00546A6E" w:rsidRPr="00BC180B">
        <w:rPr>
          <w:lang w:val="fr-FR"/>
        </w:rPr>
        <w:t>/2.</w:t>
      </w:r>
    </w:p>
    <w:p w14:paraId="7436F452" w14:textId="12BFD723" w:rsidR="001A0843" w:rsidRPr="00BC180B" w:rsidRDefault="00C40E7F" w:rsidP="009A5B9E">
      <w:pPr>
        <w:pStyle w:val="Titre1"/>
        <w:ind w:left="562" w:hanging="562"/>
        <w:rPr>
          <w:lang w:val="fr-FR"/>
        </w:rPr>
      </w:pPr>
      <w:r w:rsidRPr="00BC180B">
        <w:rPr>
          <w:lang w:val="fr-FR"/>
        </w:rPr>
        <w:t>Analy</w:t>
      </w:r>
      <w:r w:rsidR="008A401D">
        <w:rPr>
          <w:lang w:val="fr-FR"/>
        </w:rPr>
        <w:t>se</w:t>
      </w:r>
    </w:p>
    <w:p w14:paraId="41CD6F81" w14:textId="424109A8" w:rsidR="00FA60FB" w:rsidRPr="00BC180B" w:rsidRDefault="007C21E4" w:rsidP="003B0E38">
      <w:pPr>
        <w:pStyle w:val="Para10"/>
        <w:numPr>
          <w:ilvl w:val="0"/>
          <w:numId w:val="0"/>
        </w:numPr>
        <w:ind w:left="567" w:hanging="567"/>
        <w:rPr>
          <w:b/>
          <w:bCs/>
          <w:lang w:val="fr-FR"/>
        </w:rPr>
      </w:pPr>
      <w:r w:rsidRPr="00BC180B">
        <w:rPr>
          <w:b/>
          <w:bCs/>
          <w:lang w:val="fr-FR"/>
        </w:rPr>
        <w:t>A.</w:t>
      </w:r>
      <w:r w:rsidR="003B0E38" w:rsidRPr="00BC180B">
        <w:rPr>
          <w:b/>
          <w:bCs/>
          <w:lang w:val="fr-FR"/>
        </w:rPr>
        <w:tab/>
      </w:r>
      <w:r w:rsidR="00537511">
        <w:rPr>
          <w:b/>
          <w:bCs/>
          <w:lang w:val="fr-FR"/>
        </w:rPr>
        <w:t>Examen du processus</w:t>
      </w:r>
    </w:p>
    <w:p w14:paraId="3B2BCAF0" w14:textId="2EF9D518" w:rsidR="00392B20" w:rsidRPr="00BC180B" w:rsidRDefault="00084811" w:rsidP="002A435B">
      <w:pPr>
        <w:pStyle w:val="Para10"/>
        <w:rPr>
          <w:rStyle w:val="Lienhypertexte"/>
          <w:color w:val="auto"/>
          <w:u w:val="none"/>
          <w:lang w:val="fr-FR"/>
        </w:rPr>
      </w:pPr>
      <w:r>
        <w:rPr>
          <w:lang w:val="fr-FR"/>
        </w:rPr>
        <w:t>Le projet</w:t>
      </w:r>
      <w:r w:rsidR="004D43A9">
        <w:rPr>
          <w:lang w:val="fr-FR"/>
        </w:rPr>
        <w:t xml:space="preserve"> actuel</w:t>
      </w:r>
      <w:r>
        <w:rPr>
          <w:lang w:val="fr-FR"/>
        </w:rPr>
        <w:t xml:space="preserve"> d’approche stratégique à long terme pour l’intégration de la diversité biologique</w:t>
      </w:r>
      <w:r w:rsidR="00930501" w:rsidRPr="00BC180B">
        <w:rPr>
          <w:rStyle w:val="Appelnotedebasdep"/>
          <w:lang w:val="fr-FR"/>
        </w:rPr>
        <w:footnoteReference w:id="6"/>
      </w:r>
      <w:r w:rsidR="00033754" w:rsidRPr="00BC180B">
        <w:rPr>
          <w:lang w:val="fr-FR"/>
        </w:rPr>
        <w:t xml:space="preserve"> </w:t>
      </w:r>
      <w:r>
        <w:rPr>
          <w:rStyle w:val="Lienhypertexte"/>
          <w:color w:val="auto"/>
          <w:u w:val="none"/>
          <w:lang w:val="fr-FR"/>
        </w:rPr>
        <w:t xml:space="preserve">consiste en cinq actions </w:t>
      </w:r>
      <w:r w:rsidR="009275AA">
        <w:rPr>
          <w:rStyle w:val="Lienhypertexte"/>
          <w:color w:val="auto"/>
          <w:u w:val="none"/>
          <w:lang w:val="fr-FR"/>
        </w:rPr>
        <w:t>principale</w:t>
      </w:r>
      <w:r w:rsidR="0053193C">
        <w:rPr>
          <w:rStyle w:val="Lienhypertexte"/>
          <w:color w:val="auto"/>
          <w:u w:val="none"/>
          <w:lang w:val="fr-FR"/>
        </w:rPr>
        <w:t>s</w:t>
      </w:r>
      <w:r>
        <w:rPr>
          <w:rStyle w:val="Lienhypertexte"/>
          <w:color w:val="auto"/>
          <w:u w:val="none"/>
          <w:lang w:val="fr-FR"/>
        </w:rPr>
        <w:t xml:space="preserve"> regroupées en trois domaines stratégiques axés sur les acteurs. Il s’accompagne d’un projet de plan d’action</w:t>
      </w:r>
      <w:r w:rsidR="006F14A6" w:rsidRPr="00BC180B">
        <w:rPr>
          <w:rStyle w:val="Appelnotedebasdep"/>
          <w:lang w:val="fr-FR"/>
        </w:rPr>
        <w:footnoteReference w:id="7"/>
      </w:r>
      <w:r>
        <w:rPr>
          <w:rStyle w:val="Lienhypertexte"/>
          <w:color w:val="auto"/>
          <w:u w:val="none"/>
          <w:lang w:val="fr-FR"/>
        </w:rPr>
        <w:t xml:space="preserve"> </w:t>
      </w:r>
      <w:r w:rsidR="00655DD7">
        <w:rPr>
          <w:rStyle w:val="Lienhypertexte"/>
          <w:color w:val="auto"/>
          <w:u w:val="none"/>
          <w:lang w:val="fr-FR"/>
        </w:rPr>
        <w:t>facultatif</w:t>
      </w:r>
      <w:r>
        <w:rPr>
          <w:rStyle w:val="Lienhypertexte"/>
          <w:color w:val="auto"/>
          <w:u w:val="none"/>
          <w:lang w:val="fr-FR"/>
        </w:rPr>
        <w:t xml:space="preserve"> qui fournit pour chaque domaine d’action </w:t>
      </w:r>
      <w:r w:rsidR="009275AA">
        <w:rPr>
          <w:rStyle w:val="Lienhypertexte"/>
          <w:color w:val="auto"/>
          <w:u w:val="none"/>
          <w:lang w:val="fr-FR"/>
        </w:rPr>
        <w:t>principale</w:t>
      </w:r>
      <w:r>
        <w:rPr>
          <w:rStyle w:val="Lienhypertexte"/>
          <w:color w:val="auto"/>
          <w:u w:val="none"/>
          <w:lang w:val="fr-FR"/>
        </w:rPr>
        <w:t xml:space="preserve"> un catalogue indicatif d’action</w:t>
      </w:r>
      <w:r w:rsidR="0053193C">
        <w:rPr>
          <w:rStyle w:val="Lienhypertexte"/>
          <w:color w:val="auto"/>
          <w:u w:val="none"/>
          <w:lang w:val="fr-FR"/>
        </w:rPr>
        <w:t>s</w:t>
      </w:r>
      <w:r>
        <w:rPr>
          <w:rStyle w:val="Lienhypertexte"/>
          <w:color w:val="auto"/>
          <w:u w:val="none"/>
          <w:lang w:val="fr-FR"/>
        </w:rPr>
        <w:t xml:space="preserve"> détaillées, ainsi que d’éventuels jalons et indicateurs, des acteurs concernés et des sources d’information et d’inspiration supplémentaires. </w:t>
      </w:r>
      <w:r>
        <w:rPr>
          <w:lang w:val="fr-FR"/>
        </w:rPr>
        <w:t xml:space="preserve">Le présent projet d’approche stratégique et le plan d’action </w:t>
      </w:r>
      <w:r w:rsidR="00655DD7">
        <w:rPr>
          <w:lang w:val="fr-FR"/>
        </w:rPr>
        <w:t>facultatif</w:t>
      </w:r>
      <w:r>
        <w:rPr>
          <w:lang w:val="fr-FR"/>
        </w:rPr>
        <w:t xml:space="preserve"> ont servi de base à la </w:t>
      </w:r>
      <w:r w:rsidR="00655DD7">
        <w:rPr>
          <w:lang w:val="fr-FR"/>
        </w:rPr>
        <w:t>communication de points de vue</w:t>
      </w:r>
      <w:r>
        <w:rPr>
          <w:lang w:val="fr-FR"/>
        </w:rPr>
        <w:t>.</w:t>
      </w:r>
    </w:p>
    <w:p w14:paraId="729A1B1E" w14:textId="31B63493" w:rsidR="00236BDE" w:rsidRPr="00BC180B" w:rsidRDefault="00084811" w:rsidP="006B372C">
      <w:pPr>
        <w:pStyle w:val="Para10"/>
        <w:rPr>
          <w:rStyle w:val="Lienhypertexte"/>
          <w:color w:val="auto"/>
          <w:u w:val="none"/>
          <w:lang w:val="fr-FR"/>
        </w:rPr>
      </w:pPr>
      <w:r>
        <w:rPr>
          <w:rStyle w:val="Lienhypertexte"/>
          <w:color w:val="auto"/>
          <w:u w:val="none"/>
          <w:lang w:val="fr-FR"/>
        </w:rPr>
        <w:t xml:space="preserve">À la fin du forum en ligne à </w:t>
      </w:r>
      <w:r w:rsidR="00A2595E">
        <w:rPr>
          <w:rStyle w:val="Lienhypertexte"/>
          <w:color w:val="auto"/>
          <w:u w:val="none"/>
          <w:lang w:val="fr-FR"/>
        </w:rPr>
        <w:t xml:space="preserve">composition non limitée, six Parties ont exprimé leur soutien </w:t>
      </w:r>
      <w:r w:rsidR="004D43A9">
        <w:rPr>
          <w:rStyle w:val="Lienhypertexte"/>
          <w:color w:val="auto"/>
          <w:u w:val="none"/>
          <w:lang w:val="fr-FR"/>
        </w:rPr>
        <w:t xml:space="preserve">au </w:t>
      </w:r>
      <w:r w:rsidR="00A2595E">
        <w:rPr>
          <w:rStyle w:val="Lienhypertexte"/>
          <w:color w:val="auto"/>
          <w:u w:val="none"/>
          <w:lang w:val="fr-FR"/>
        </w:rPr>
        <w:t>projet d’approche stratégique à long terme pour l’intégration de la diversité biologique</w:t>
      </w:r>
      <w:r w:rsidR="004D43A9">
        <w:rPr>
          <w:rStyle w:val="Lienhypertexte"/>
          <w:color w:val="auto"/>
          <w:u w:val="none"/>
          <w:lang w:val="fr-FR"/>
        </w:rPr>
        <w:t xml:space="preserve"> à l’étude</w:t>
      </w:r>
      <w:r w:rsidR="00A2595E">
        <w:rPr>
          <w:rStyle w:val="Lienhypertexte"/>
          <w:color w:val="auto"/>
          <w:u w:val="none"/>
          <w:lang w:val="fr-FR"/>
        </w:rPr>
        <w:t xml:space="preserve">, en </w:t>
      </w:r>
      <w:r w:rsidR="004D43A9">
        <w:rPr>
          <w:rStyle w:val="Lienhypertexte"/>
          <w:color w:val="auto"/>
          <w:u w:val="none"/>
          <w:lang w:val="fr-FR"/>
        </w:rPr>
        <w:t>tant que</w:t>
      </w:r>
      <w:r w:rsidR="00A2595E">
        <w:rPr>
          <w:rStyle w:val="Lienhypertexte"/>
          <w:color w:val="auto"/>
          <w:u w:val="none"/>
          <w:lang w:val="fr-FR"/>
        </w:rPr>
        <w:t xml:space="preserve"> base acceptable pour la suite des travaux. Elles </w:t>
      </w:r>
      <w:r w:rsidR="004D43A9">
        <w:rPr>
          <w:rStyle w:val="Lienhypertexte"/>
          <w:color w:val="auto"/>
          <w:u w:val="none"/>
          <w:lang w:val="fr-FR"/>
        </w:rPr>
        <w:t xml:space="preserve">estimaient </w:t>
      </w:r>
      <w:r w:rsidR="00A2595E">
        <w:rPr>
          <w:rStyle w:val="Lienhypertexte"/>
          <w:color w:val="auto"/>
          <w:u w:val="none"/>
          <w:lang w:val="fr-FR"/>
        </w:rPr>
        <w:t xml:space="preserve">aussi plus largement que le plan d’action, en tant qu’outil facultatif, pourrait être utile </w:t>
      </w:r>
      <w:r w:rsidR="004D43A9">
        <w:rPr>
          <w:rStyle w:val="Lienhypertexte"/>
          <w:color w:val="auto"/>
          <w:u w:val="none"/>
          <w:lang w:val="fr-FR"/>
        </w:rPr>
        <w:t xml:space="preserve">pour rendre </w:t>
      </w:r>
      <w:r w:rsidR="00A2595E">
        <w:rPr>
          <w:rStyle w:val="Lienhypertexte"/>
          <w:color w:val="auto"/>
          <w:u w:val="none"/>
          <w:lang w:val="fr-FR"/>
        </w:rPr>
        <w:t>l’approche stratégique à long terme concrète et réaliste.</w:t>
      </w:r>
    </w:p>
    <w:p w14:paraId="592D34A9" w14:textId="74BED30D" w:rsidR="00FA35B5" w:rsidRPr="00BC180B" w:rsidRDefault="00A2595E" w:rsidP="007D4306">
      <w:pPr>
        <w:pStyle w:val="Para10"/>
        <w:rPr>
          <w:rStyle w:val="Lienhypertexte"/>
          <w:color w:val="auto"/>
          <w:u w:val="none"/>
          <w:lang w:val="fr-FR"/>
        </w:rPr>
      </w:pPr>
      <w:r>
        <w:rPr>
          <w:rStyle w:val="Lienhypertexte"/>
          <w:color w:val="auto"/>
          <w:u w:val="none"/>
          <w:lang w:val="fr-FR"/>
        </w:rPr>
        <w:t>Cependant, les Parties qui s’étaient montrées moins favorables ou avaient exprimé des inquiétudes au sujet de l’approche stratégique à long terme lors des premi</w:t>
      </w:r>
      <w:r w:rsidR="00AD427E">
        <w:rPr>
          <w:rStyle w:val="Lienhypertexte"/>
          <w:color w:val="auto"/>
          <w:u w:val="none"/>
          <w:lang w:val="fr-FR"/>
        </w:rPr>
        <w:t xml:space="preserve">ers cycles de </w:t>
      </w:r>
      <w:r w:rsidR="004D43A9">
        <w:rPr>
          <w:rStyle w:val="Lienhypertexte"/>
          <w:color w:val="auto"/>
          <w:u w:val="none"/>
          <w:lang w:val="fr-FR"/>
        </w:rPr>
        <w:t>communications</w:t>
      </w:r>
      <w:r w:rsidR="00AD427E">
        <w:rPr>
          <w:rStyle w:val="Lienhypertexte"/>
          <w:color w:val="auto"/>
          <w:u w:val="none"/>
          <w:lang w:val="fr-FR"/>
        </w:rPr>
        <w:t xml:space="preserve"> et de négociations de la troisième réunion de l’Organe subsidiaire en charge de </w:t>
      </w:r>
      <w:r w:rsidR="007952F4">
        <w:rPr>
          <w:lang w:val="fr-FR"/>
        </w:rPr>
        <w:t>l’application</w:t>
      </w:r>
      <w:r w:rsidR="007952F4">
        <w:rPr>
          <w:rStyle w:val="Lienhypertexte"/>
          <w:color w:val="auto"/>
          <w:u w:val="none"/>
          <w:lang w:val="fr-FR"/>
        </w:rPr>
        <w:t xml:space="preserve"> </w:t>
      </w:r>
      <w:r w:rsidR="00AD427E">
        <w:rPr>
          <w:rStyle w:val="Lienhypertexte"/>
          <w:color w:val="auto"/>
          <w:u w:val="none"/>
          <w:lang w:val="fr-FR"/>
        </w:rPr>
        <w:t>œuvre et de la quinzième réunion de la Conférence des Parties n’ont pas participé au forum en ligne à composition non limitée. Par ailleurs, certains observateurs qui ont participé au forum en ligne étaient d’avis que le projet d’approche stratégique à long terme ne constituait pas une base acceptable pour la suite des travaux et que le plan d’action était inadapté à la mise en œuvre d’une approche stratégique à long terme pour l’intégration de la diversité biologique.</w:t>
      </w:r>
    </w:p>
    <w:p w14:paraId="6785D83B" w14:textId="05F55F09" w:rsidR="0072620E" w:rsidRPr="00BC180B" w:rsidRDefault="00507F85" w:rsidP="00685380">
      <w:pPr>
        <w:pStyle w:val="Para10"/>
        <w:rPr>
          <w:rStyle w:val="Lienhypertexte"/>
          <w:color w:val="auto"/>
          <w:u w:val="none"/>
          <w:lang w:val="fr-FR"/>
        </w:rPr>
      </w:pPr>
      <w:r>
        <w:rPr>
          <w:rStyle w:val="Lienhypertexte"/>
          <w:color w:val="auto"/>
          <w:u w:val="none"/>
          <w:lang w:val="fr-FR"/>
        </w:rPr>
        <w:t>Une baisse générale de la participation aux processus intersessions relatifs à l’approche stratégique à long terme pour l’intégration de la diversité biologique a été constatée</w:t>
      </w:r>
      <w:r w:rsidR="007952F4">
        <w:rPr>
          <w:rStyle w:val="Lienhypertexte"/>
          <w:color w:val="auto"/>
          <w:u w:val="none"/>
          <w:lang w:val="fr-FR"/>
        </w:rPr>
        <w:t xml:space="preserve"> au fil du temps</w:t>
      </w:r>
      <w:r>
        <w:rPr>
          <w:rStyle w:val="Lienhypertexte"/>
          <w:color w:val="auto"/>
          <w:u w:val="none"/>
          <w:lang w:val="fr-FR"/>
        </w:rPr>
        <w:t xml:space="preserve">. Depuis l’examen </w:t>
      </w:r>
      <w:r w:rsidR="00137D32">
        <w:rPr>
          <w:rStyle w:val="Lienhypertexte"/>
          <w:color w:val="auto"/>
          <w:u w:val="none"/>
          <w:lang w:val="fr-FR"/>
        </w:rPr>
        <w:t>par les pairs</w:t>
      </w:r>
      <w:r>
        <w:rPr>
          <w:rStyle w:val="Lienhypertexte"/>
          <w:color w:val="auto"/>
          <w:u w:val="none"/>
          <w:lang w:val="fr-FR"/>
        </w:rPr>
        <w:t xml:space="preserve"> mené suite à la troisième réunion de l’Organe subsidiaire en charge de </w:t>
      </w:r>
      <w:r w:rsidR="007952F4">
        <w:rPr>
          <w:lang w:val="fr-FR"/>
        </w:rPr>
        <w:t>l’application</w:t>
      </w:r>
      <w:r>
        <w:rPr>
          <w:rStyle w:val="Lienhypertexte"/>
          <w:color w:val="auto"/>
          <w:u w:val="none"/>
          <w:lang w:val="fr-FR"/>
        </w:rPr>
        <w:t>, le nombre de Parties ayant répond</w:t>
      </w:r>
      <w:r w:rsidR="00A52AA4">
        <w:rPr>
          <w:rStyle w:val="Lienhypertexte"/>
          <w:color w:val="auto"/>
          <w:u w:val="none"/>
          <w:lang w:val="fr-FR"/>
        </w:rPr>
        <w:t>u</w:t>
      </w:r>
      <w:r>
        <w:rPr>
          <w:rStyle w:val="Lienhypertexte"/>
          <w:color w:val="auto"/>
          <w:u w:val="none"/>
          <w:lang w:val="fr-FR"/>
        </w:rPr>
        <w:t xml:space="preserve"> aux invitations à </w:t>
      </w:r>
      <w:r w:rsidR="00A52AA4">
        <w:rPr>
          <w:rStyle w:val="Lienhypertexte"/>
          <w:color w:val="auto"/>
          <w:u w:val="none"/>
          <w:lang w:val="fr-FR"/>
        </w:rPr>
        <w:t>partager leurs points de vue</w:t>
      </w:r>
      <w:r>
        <w:rPr>
          <w:rStyle w:val="Lienhypertexte"/>
          <w:color w:val="auto"/>
          <w:u w:val="none"/>
          <w:lang w:val="fr-FR"/>
        </w:rPr>
        <w:t xml:space="preserve"> est passé de 15 à 8 et de 8 à 6. </w:t>
      </w:r>
      <w:r w:rsidR="00A52AA4">
        <w:rPr>
          <w:rStyle w:val="Lienhypertexte"/>
          <w:color w:val="auto"/>
          <w:u w:val="none"/>
          <w:lang w:val="fr-FR"/>
        </w:rPr>
        <w:t xml:space="preserve">L’on constate en outre </w:t>
      </w:r>
      <w:r w:rsidR="00137D32">
        <w:rPr>
          <w:rStyle w:val="Lienhypertexte"/>
          <w:color w:val="auto"/>
          <w:u w:val="none"/>
          <w:lang w:val="fr-FR"/>
        </w:rPr>
        <w:t>une perte d’équilibre régional. Les six Parties ayant participé au forum en ligne faisaient toutes partie du Groupe des pays d’Europe de l’Ouest et autres États et cinq d’entre elles faisaient partie de l’Union européenne et de ses États membres.</w:t>
      </w:r>
    </w:p>
    <w:p w14:paraId="0FA82578" w14:textId="70E23451" w:rsidR="002C2F9B" w:rsidRPr="00BC180B" w:rsidRDefault="007C21E4" w:rsidP="003B0E38">
      <w:pPr>
        <w:pStyle w:val="Para10"/>
        <w:numPr>
          <w:ilvl w:val="0"/>
          <w:numId w:val="0"/>
        </w:numPr>
        <w:ind w:left="567" w:hanging="567"/>
        <w:rPr>
          <w:rStyle w:val="Lienhypertexte"/>
          <w:b/>
          <w:bCs/>
          <w:color w:val="auto"/>
          <w:u w:val="none"/>
          <w:lang w:val="fr-FR"/>
        </w:rPr>
      </w:pPr>
      <w:r w:rsidRPr="00BC180B">
        <w:rPr>
          <w:rStyle w:val="Lienhypertexte"/>
          <w:b/>
          <w:bCs/>
          <w:color w:val="auto"/>
          <w:u w:val="none"/>
          <w:lang w:val="fr-FR"/>
        </w:rPr>
        <w:t xml:space="preserve">B. </w:t>
      </w:r>
      <w:r w:rsidR="003B0E38" w:rsidRPr="00BC180B">
        <w:rPr>
          <w:rStyle w:val="Lienhypertexte"/>
          <w:b/>
          <w:bCs/>
          <w:color w:val="auto"/>
          <w:u w:val="none"/>
          <w:lang w:val="fr-FR"/>
        </w:rPr>
        <w:tab/>
      </w:r>
      <w:r w:rsidR="009A4556">
        <w:rPr>
          <w:rStyle w:val="Lienhypertexte"/>
          <w:b/>
          <w:bCs/>
          <w:color w:val="auto"/>
          <w:u w:val="none"/>
          <w:lang w:val="fr-FR"/>
        </w:rPr>
        <w:t xml:space="preserve">Examen du projet d’approche stratégique à long terme pour l’intégration de la diversité biologique </w:t>
      </w:r>
      <w:r w:rsidR="00B429E2">
        <w:rPr>
          <w:rStyle w:val="Lienhypertexte"/>
          <w:b/>
          <w:bCs/>
          <w:color w:val="auto"/>
          <w:u w:val="none"/>
          <w:lang w:val="fr-FR"/>
        </w:rPr>
        <w:t>au regard du</w:t>
      </w:r>
      <w:r w:rsidR="009A4556">
        <w:rPr>
          <w:rStyle w:val="Lienhypertexte"/>
          <w:b/>
          <w:bCs/>
          <w:color w:val="auto"/>
          <w:u w:val="none"/>
          <w:lang w:val="fr-FR"/>
        </w:rPr>
        <w:t xml:space="preserve"> Cadre mondial de la biodiversité de Kunming-Montréal</w:t>
      </w:r>
    </w:p>
    <w:p w14:paraId="4188CA35" w14:textId="194E2E62" w:rsidR="003E0327" w:rsidRPr="00BC180B" w:rsidRDefault="009A4556" w:rsidP="00F20F7A">
      <w:pPr>
        <w:pStyle w:val="Para10"/>
        <w:rPr>
          <w:lang w:val="fr-FR"/>
        </w:rPr>
      </w:pPr>
      <w:r>
        <w:rPr>
          <w:lang w:val="fr-FR"/>
        </w:rPr>
        <w:t xml:space="preserve">Comme le montre l’annexe à la présente note, il y a un important chevauchement entre les cinq actions </w:t>
      </w:r>
      <w:r w:rsidR="009275AA">
        <w:rPr>
          <w:lang w:val="fr-FR"/>
        </w:rPr>
        <w:t>principales</w:t>
      </w:r>
      <w:r>
        <w:rPr>
          <w:lang w:val="fr-FR"/>
        </w:rPr>
        <w:t xml:space="preserve"> du projet </w:t>
      </w:r>
      <w:r w:rsidR="00B429E2">
        <w:rPr>
          <w:lang w:val="fr-FR"/>
        </w:rPr>
        <w:t xml:space="preserve">actuel </w:t>
      </w:r>
      <w:r>
        <w:rPr>
          <w:lang w:val="fr-FR"/>
        </w:rPr>
        <w:t>d’approche stratégique à long terme pour l’intégration de la diversité biologique et les cibles mondiales à l’horizon</w:t>
      </w:r>
      <w:r w:rsidR="0053193C">
        <w:rPr>
          <w:lang w:val="fr-FR"/>
        </w:rPr>
        <w:t> </w:t>
      </w:r>
      <w:r>
        <w:rPr>
          <w:lang w:val="fr-FR"/>
        </w:rPr>
        <w:t xml:space="preserve">2030 du Cadre mondial de la biodiversité de Kunming-Montréal </w:t>
      </w:r>
      <w:r w:rsidR="00B429E2">
        <w:rPr>
          <w:lang w:val="fr-FR"/>
        </w:rPr>
        <w:t>qui se rapportent à ce sujet</w:t>
      </w:r>
      <w:r>
        <w:rPr>
          <w:lang w:val="fr-FR"/>
        </w:rPr>
        <w:t xml:space="preserve">, en particulier les cibles </w:t>
      </w:r>
      <w:r w:rsidR="00B429E2">
        <w:rPr>
          <w:lang w:val="fr-FR"/>
        </w:rPr>
        <w:t>présentées dans</w:t>
      </w:r>
      <w:r>
        <w:rPr>
          <w:lang w:val="fr-FR"/>
        </w:rPr>
        <w:t xml:space="preserve"> la partie 3</w:t>
      </w:r>
      <w:r w:rsidR="001F51CD">
        <w:rPr>
          <w:lang w:val="fr-FR"/>
        </w:rPr>
        <w:t xml:space="preserve"> de la section H du Cadre, intitulée « Outils et solutions en matière de mise en œuvre et d’intégration ». Sont concernées les cibles</w:t>
      </w:r>
      <w:r w:rsidR="0053193C">
        <w:rPr>
          <w:lang w:val="fr-FR"/>
        </w:rPr>
        <w:t> </w:t>
      </w:r>
      <w:r w:rsidR="001F51CD">
        <w:rPr>
          <w:lang w:val="fr-FR"/>
        </w:rPr>
        <w:t xml:space="preserve">14, 15, 16 et 18, qui abordent les mêmes sujets que les actions </w:t>
      </w:r>
      <w:r w:rsidR="009275AA">
        <w:rPr>
          <w:lang w:val="fr-FR"/>
        </w:rPr>
        <w:lastRenderedPageBreak/>
        <w:t>principales</w:t>
      </w:r>
      <w:r w:rsidR="0053193C">
        <w:rPr>
          <w:lang w:val="fr-FR"/>
        </w:rPr>
        <w:t> </w:t>
      </w:r>
      <w:r w:rsidR="001F51CD">
        <w:rPr>
          <w:lang w:val="fr-FR"/>
        </w:rPr>
        <w:t>1, 3, 5 et 2, respectivement, et qui, avec les cibles</w:t>
      </w:r>
      <w:r w:rsidR="0053193C">
        <w:rPr>
          <w:lang w:val="fr-FR"/>
        </w:rPr>
        <w:t> </w:t>
      </w:r>
      <w:r w:rsidR="001F51CD">
        <w:rPr>
          <w:lang w:val="fr-FR"/>
        </w:rPr>
        <w:t xml:space="preserve">19, 22 et 23 du </w:t>
      </w:r>
      <w:r w:rsidR="00B429E2">
        <w:rPr>
          <w:lang w:val="fr-FR"/>
        </w:rPr>
        <w:t>C</w:t>
      </w:r>
      <w:r w:rsidR="001F51CD">
        <w:rPr>
          <w:lang w:val="fr-FR"/>
        </w:rPr>
        <w:t xml:space="preserve">adre, </w:t>
      </w:r>
      <w:r w:rsidR="009275AA">
        <w:rPr>
          <w:lang w:val="fr-FR"/>
        </w:rPr>
        <w:t>saisissent les éléments les plus importants de l’intégration de la diversité biologique dans l’ensemble des secteurs de</w:t>
      </w:r>
      <w:r w:rsidR="00B429E2">
        <w:rPr>
          <w:lang w:val="fr-FR"/>
        </w:rPr>
        <w:t xml:space="preserve">s pouvoirs publics </w:t>
      </w:r>
      <w:r w:rsidR="009275AA">
        <w:rPr>
          <w:lang w:val="fr-FR"/>
        </w:rPr>
        <w:t xml:space="preserve">et de </w:t>
      </w:r>
      <w:r w:rsidR="00B429E2">
        <w:rPr>
          <w:lang w:val="fr-FR"/>
        </w:rPr>
        <w:t xml:space="preserve">la </w:t>
      </w:r>
      <w:r w:rsidR="009275AA">
        <w:rPr>
          <w:lang w:val="fr-FR"/>
        </w:rPr>
        <w:t xml:space="preserve">société. L’action principale 4, qui </w:t>
      </w:r>
      <w:r w:rsidR="00895F8F">
        <w:rPr>
          <w:lang w:val="fr-FR"/>
        </w:rPr>
        <w:t>traite du</w:t>
      </w:r>
      <w:r w:rsidR="009275AA">
        <w:rPr>
          <w:lang w:val="fr-FR"/>
        </w:rPr>
        <w:t xml:space="preserve"> secteur financier, est contenue dans les cibles</w:t>
      </w:r>
      <w:r w:rsidR="0053193C">
        <w:rPr>
          <w:lang w:val="fr-FR"/>
        </w:rPr>
        <w:t> </w:t>
      </w:r>
      <w:r w:rsidR="009275AA">
        <w:rPr>
          <w:lang w:val="fr-FR"/>
        </w:rPr>
        <w:t>15 et 19 du Cadre. Nombre d’autres cibles, incluses dans d’autres sections du Cadre, dont les cibles</w:t>
      </w:r>
      <w:r w:rsidR="0053193C">
        <w:rPr>
          <w:lang w:val="fr-FR"/>
        </w:rPr>
        <w:t> </w:t>
      </w:r>
      <w:r w:rsidR="009275AA">
        <w:rPr>
          <w:lang w:val="fr-FR"/>
        </w:rPr>
        <w:t xml:space="preserve">1, 5, 7, 9, 10, 12 et 20, </w:t>
      </w:r>
      <w:r w:rsidR="00895F8F">
        <w:rPr>
          <w:lang w:val="fr-FR"/>
        </w:rPr>
        <w:t>traitent</w:t>
      </w:r>
      <w:r w:rsidR="009275AA">
        <w:rPr>
          <w:lang w:val="fr-FR"/>
        </w:rPr>
        <w:t xml:space="preserve"> également</w:t>
      </w:r>
      <w:r w:rsidR="00895F8F">
        <w:rPr>
          <w:lang w:val="fr-FR"/>
        </w:rPr>
        <w:t xml:space="preserve"> de</w:t>
      </w:r>
      <w:r w:rsidR="009275AA">
        <w:rPr>
          <w:lang w:val="fr-FR"/>
        </w:rPr>
        <w:t xml:space="preserve"> l’intégration, de même que la section C du Cadre. Par ailleurs, la mise en œuvre d’autres cibles, notamment les cibles</w:t>
      </w:r>
      <w:r w:rsidR="0053193C">
        <w:rPr>
          <w:lang w:val="fr-FR"/>
        </w:rPr>
        <w:t> </w:t>
      </w:r>
      <w:r w:rsidR="009275AA">
        <w:rPr>
          <w:lang w:val="fr-FR"/>
        </w:rPr>
        <w:t>6, 8, 11 et 13, repose sur l’intégration de la diversité biologique dans les secteurs concernés.</w:t>
      </w:r>
    </w:p>
    <w:p w14:paraId="230027A4" w14:textId="41DCF494" w:rsidR="00685380" w:rsidRPr="00BC180B" w:rsidRDefault="009275AA" w:rsidP="003E0327">
      <w:pPr>
        <w:pStyle w:val="Para10"/>
        <w:rPr>
          <w:lang w:val="fr-FR"/>
        </w:rPr>
      </w:pPr>
      <w:r>
        <w:rPr>
          <w:lang w:val="fr-FR"/>
        </w:rPr>
        <w:t xml:space="preserve">Ce chevauchement n’a rien d’étonnant, </w:t>
      </w:r>
      <w:r w:rsidR="00895F8F">
        <w:rPr>
          <w:lang w:val="fr-FR"/>
        </w:rPr>
        <w:t>vu</w:t>
      </w:r>
      <w:r>
        <w:rPr>
          <w:lang w:val="fr-FR"/>
        </w:rPr>
        <w:t xml:space="preserve"> que le projet d’approche stratégique à long terme en matière d’intégration a été </w:t>
      </w:r>
      <w:r w:rsidR="00CC19F3">
        <w:rPr>
          <w:lang w:val="fr-FR"/>
        </w:rPr>
        <w:t>élaboré</w:t>
      </w:r>
      <w:r>
        <w:rPr>
          <w:lang w:val="fr-FR"/>
        </w:rPr>
        <w:t xml:space="preserve"> en parallèle d</w:t>
      </w:r>
      <w:r w:rsidR="00CC19F3">
        <w:rPr>
          <w:lang w:val="fr-FR"/>
        </w:rPr>
        <w:t xml:space="preserve">u Cadre et </w:t>
      </w:r>
      <w:r w:rsidR="00895F8F">
        <w:rPr>
          <w:lang w:val="fr-FR"/>
        </w:rPr>
        <w:t>à l’appui de</w:t>
      </w:r>
      <w:r w:rsidR="00CC19F3">
        <w:rPr>
          <w:lang w:val="fr-FR"/>
        </w:rPr>
        <w:t xml:space="preserve"> celui-ci. Pourtant, l’annexe à la présente note montre que ce processus parallèle a engendré des incohérences</w:t>
      </w:r>
      <w:r w:rsidR="00895F8F">
        <w:rPr>
          <w:lang w:val="fr-FR"/>
        </w:rPr>
        <w:t xml:space="preserve"> relatives au</w:t>
      </w:r>
      <w:r w:rsidR="00CC19F3">
        <w:rPr>
          <w:lang w:val="fr-FR"/>
        </w:rPr>
        <w:t xml:space="preserve"> langage et </w:t>
      </w:r>
      <w:r w:rsidR="00895F8F">
        <w:rPr>
          <w:lang w:val="fr-FR"/>
        </w:rPr>
        <w:t>au</w:t>
      </w:r>
      <w:r w:rsidR="00CC19F3">
        <w:rPr>
          <w:lang w:val="fr-FR"/>
        </w:rPr>
        <w:t xml:space="preserve"> traitement de certains éléments ; en d’autres termes, si les sujets abordés dans le projet d’approche stratégique à long terme en matière d’intégration sont pour l’essentiel traités dans le Cadre, certains éléments des cibles</w:t>
      </w:r>
      <w:r w:rsidR="00895F8F">
        <w:rPr>
          <w:lang w:val="fr-FR"/>
        </w:rPr>
        <w:t xml:space="preserve"> correspondantes</w:t>
      </w:r>
      <w:r w:rsidR="00CC19F3">
        <w:rPr>
          <w:lang w:val="fr-FR"/>
        </w:rPr>
        <w:t xml:space="preserve"> du Cadre ne sont pas traités dans les actions principales du projet d’approche stratégique à long terme en matière d’intégration. De plus, dans sa décision</w:t>
      </w:r>
      <w:r w:rsidR="0053193C">
        <w:rPr>
          <w:lang w:val="fr-FR"/>
        </w:rPr>
        <w:t> </w:t>
      </w:r>
      <w:r w:rsidR="00CC19F3">
        <w:rPr>
          <w:lang w:val="fr-FR"/>
        </w:rPr>
        <w:t xml:space="preserve">15/4, la Conférence des Parties a décidé que le Cadre mondial de la biodiversité de Kunming-Montréal devait servir de plan stratégique </w:t>
      </w:r>
      <w:r w:rsidR="00E275E4">
        <w:rPr>
          <w:lang w:val="fr-FR"/>
        </w:rPr>
        <w:t>aux fins de l’application</w:t>
      </w:r>
      <w:r w:rsidR="00CC19F3">
        <w:rPr>
          <w:lang w:val="fr-FR"/>
        </w:rPr>
        <w:t xml:space="preserve"> de la Convention, de ses </w:t>
      </w:r>
      <w:r w:rsidR="00E275E4">
        <w:rPr>
          <w:lang w:val="fr-FR"/>
        </w:rPr>
        <w:t>Protocoles</w:t>
      </w:r>
      <w:r w:rsidR="00CC19F3">
        <w:rPr>
          <w:lang w:val="fr-FR"/>
        </w:rPr>
        <w:t xml:space="preserve">, </w:t>
      </w:r>
      <w:r w:rsidR="00E275E4">
        <w:rPr>
          <w:lang w:val="fr-FR"/>
        </w:rPr>
        <w:t>ainsi que des activités de ses organes et du</w:t>
      </w:r>
      <w:r w:rsidR="00B07F1B">
        <w:rPr>
          <w:lang w:val="fr-FR"/>
        </w:rPr>
        <w:t xml:space="preserve"> S</w:t>
      </w:r>
      <w:r w:rsidR="00E275E4">
        <w:rPr>
          <w:lang w:val="fr-FR"/>
        </w:rPr>
        <w:t>ecrétariat pour la pér</w:t>
      </w:r>
      <w:r w:rsidR="00CC19F3">
        <w:rPr>
          <w:lang w:val="fr-FR"/>
        </w:rPr>
        <w:t>iode</w:t>
      </w:r>
      <w:r w:rsidR="0053193C">
        <w:rPr>
          <w:lang w:val="fr-FR"/>
        </w:rPr>
        <w:t> </w:t>
      </w:r>
      <w:r w:rsidR="00CC19F3">
        <w:rPr>
          <w:lang w:val="fr-FR"/>
        </w:rPr>
        <w:t>2022-2030.</w:t>
      </w:r>
      <w:r w:rsidR="00E275E4">
        <w:rPr>
          <w:lang w:val="fr-FR"/>
        </w:rPr>
        <w:t xml:space="preserve"> Au vu des éléments stratégiques susmentionnés du Cadre qui traitent déjà de l’intégration,</w:t>
      </w:r>
      <w:r w:rsidR="008022CE">
        <w:rPr>
          <w:lang w:val="fr-FR"/>
        </w:rPr>
        <w:t xml:space="preserve"> il n’est pas sûr que le</w:t>
      </w:r>
      <w:r w:rsidR="00E275E4">
        <w:rPr>
          <w:lang w:val="fr-FR"/>
        </w:rPr>
        <w:t xml:space="preserve"> projet d’approche stratégique à long terme en matière d’intégration </w:t>
      </w:r>
      <w:r w:rsidR="008022CE">
        <w:rPr>
          <w:lang w:val="fr-FR"/>
        </w:rPr>
        <w:t>apporte une valeur ajoutée</w:t>
      </w:r>
      <w:r w:rsidR="00E275E4">
        <w:rPr>
          <w:lang w:val="fr-FR"/>
        </w:rPr>
        <w:t>.</w:t>
      </w:r>
    </w:p>
    <w:p w14:paraId="4F09E08E" w14:textId="5EFF558A" w:rsidR="00CF47D9" w:rsidRPr="00BC180B" w:rsidRDefault="008A401D" w:rsidP="009A5B9E">
      <w:pPr>
        <w:pStyle w:val="Titre1"/>
        <w:ind w:left="567" w:hanging="567"/>
        <w:rPr>
          <w:lang w:val="fr-FR"/>
        </w:rPr>
      </w:pPr>
      <w:r w:rsidRPr="00BC180B">
        <w:rPr>
          <w:lang w:val="fr-FR"/>
        </w:rPr>
        <w:t>Recommandation</w:t>
      </w:r>
    </w:p>
    <w:p w14:paraId="075F06B9" w14:textId="4A23A84B" w:rsidR="00B53DC0" w:rsidRPr="00BC180B" w:rsidRDefault="00151DDD" w:rsidP="009A5B9E">
      <w:pPr>
        <w:pStyle w:val="Para10"/>
        <w:rPr>
          <w:lang w:val="fr-FR"/>
        </w:rPr>
      </w:pPr>
      <w:r>
        <w:rPr>
          <w:lang w:val="fr-FR"/>
        </w:rPr>
        <w:t>À la lumière de l’analyse présentée ci-dessus, l’Organe subsidiaire pourrait souhaiter recommander que la Conférence des Parties, à sa seizième réunion, adopte une décision sur le modèle suivant :</w:t>
      </w:r>
    </w:p>
    <w:p w14:paraId="59F06F25" w14:textId="36A40AC4" w:rsidR="003A3C87" w:rsidRPr="00BC180B" w:rsidRDefault="00151DDD" w:rsidP="003B0E38">
      <w:pPr>
        <w:pStyle w:val="Para10"/>
        <w:numPr>
          <w:ilvl w:val="0"/>
          <w:numId w:val="0"/>
        </w:numPr>
        <w:ind w:left="567" w:firstLine="567"/>
        <w:rPr>
          <w:i/>
          <w:iCs/>
          <w:lang w:val="fr-FR"/>
        </w:rPr>
      </w:pPr>
      <w:r>
        <w:rPr>
          <w:i/>
          <w:iCs/>
          <w:lang w:val="fr-FR"/>
        </w:rPr>
        <w:t>La Conférence des Parties</w:t>
      </w:r>
      <w:r w:rsidR="00812E37">
        <w:rPr>
          <w:i/>
          <w:iCs/>
          <w:lang w:val="fr-FR"/>
        </w:rPr>
        <w:t>,</w:t>
      </w:r>
    </w:p>
    <w:p w14:paraId="33FC9D7D" w14:textId="22599678" w:rsidR="00DA2D29" w:rsidRPr="00BC180B" w:rsidRDefault="00151DDD" w:rsidP="003B0E38">
      <w:pPr>
        <w:pStyle w:val="Para10"/>
        <w:numPr>
          <w:ilvl w:val="0"/>
          <w:numId w:val="0"/>
        </w:numPr>
        <w:ind w:left="567" w:firstLine="567"/>
        <w:rPr>
          <w:lang w:val="fr-FR"/>
        </w:rPr>
      </w:pPr>
      <w:r>
        <w:rPr>
          <w:i/>
          <w:iCs/>
          <w:lang w:val="fr-FR"/>
        </w:rPr>
        <w:t>Rappelant</w:t>
      </w:r>
      <w:r w:rsidR="004723C9" w:rsidRPr="00BC180B">
        <w:rPr>
          <w:lang w:val="fr-FR"/>
        </w:rPr>
        <w:t xml:space="preserve"> </w:t>
      </w:r>
      <w:r>
        <w:rPr>
          <w:lang w:val="fr-FR"/>
        </w:rPr>
        <w:t xml:space="preserve">sa décision d’élaborer une </w:t>
      </w:r>
      <w:r w:rsidR="00B07F1B">
        <w:rPr>
          <w:lang w:val="fr-FR"/>
        </w:rPr>
        <w:t>a</w:t>
      </w:r>
      <w:r>
        <w:rPr>
          <w:lang w:val="fr-FR"/>
        </w:rPr>
        <w:t>pproche stratégique à long terme pour l’intégration de la diversité biologique</w:t>
      </w:r>
      <w:r w:rsidR="002A15E2" w:rsidRPr="00BC180B">
        <w:rPr>
          <w:rStyle w:val="Appelnotedebasdep"/>
          <w:lang w:val="fr-FR"/>
        </w:rPr>
        <w:footnoteReference w:id="8"/>
      </w:r>
      <w:r>
        <w:rPr>
          <w:lang w:val="fr-FR"/>
        </w:rPr>
        <w:t>,</w:t>
      </w:r>
    </w:p>
    <w:p w14:paraId="29C550DE" w14:textId="16656123" w:rsidR="00B76A45" w:rsidRPr="00BC180B" w:rsidRDefault="00151DDD" w:rsidP="003B0E38">
      <w:pPr>
        <w:pStyle w:val="Para10"/>
        <w:numPr>
          <w:ilvl w:val="0"/>
          <w:numId w:val="0"/>
        </w:numPr>
        <w:ind w:left="567" w:firstLine="567"/>
        <w:rPr>
          <w:lang w:val="fr-FR"/>
        </w:rPr>
      </w:pPr>
      <w:r>
        <w:rPr>
          <w:i/>
          <w:iCs/>
          <w:lang w:val="fr-FR"/>
        </w:rPr>
        <w:t>Prenant note avec satisfaction</w:t>
      </w:r>
      <w:r w:rsidR="00B76A45" w:rsidRPr="00BC180B">
        <w:rPr>
          <w:i/>
          <w:iCs/>
          <w:lang w:val="fr-FR"/>
        </w:rPr>
        <w:t xml:space="preserve"> </w:t>
      </w:r>
      <w:r>
        <w:rPr>
          <w:lang w:val="fr-FR"/>
        </w:rPr>
        <w:t xml:space="preserve">des </w:t>
      </w:r>
      <w:r w:rsidR="00BD3E19">
        <w:rPr>
          <w:lang w:val="fr-FR"/>
        </w:rPr>
        <w:t>points de vue communiqués par l</w:t>
      </w:r>
      <w:r>
        <w:rPr>
          <w:lang w:val="fr-FR"/>
        </w:rPr>
        <w:t xml:space="preserve">es Parties, </w:t>
      </w:r>
      <w:r w:rsidR="00BD3E19">
        <w:rPr>
          <w:lang w:val="fr-FR"/>
        </w:rPr>
        <w:t>l</w:t>
      </w:r>
      <w:r>
        <w:rPr>
          <w:lang w:val="fr-FR"/>
        </w:rPr>
        <w:t xml:space="preserve">es organisations et </w:t>
      </w:r>
      <w:r w:rsidR="00BD3E19">
        <w:rPr>
          <w:lang w:val="fr-FR"/>
        </w:rPr>
        <w:t>l</w:t>
      </w:r>
      <w:r>
        <w:rPr>
          <w:lang w:val="fr-FR"/>
        </w:rPr>
        <w:t>es initiatives internationales</w:t>
      </w:r>
      <w:r w:rsidR="00BD3E19">
        <w:rPr>
          <w:lang w:val="fr-FR"/>
        </w:rPr>
        <w:t xml:space="preserve">, ainsi que les organisations </w:t>
      </w:r>
      <w:r w:rsidR="005A18FC">
        <w:rPr>
          <w:lang w:val="fr-FR"/>
        </w:rPr>
        <w:t>concernées</w:t>
      </w:r>
      <w:r w:rsidR="00BD3E19">
        <w:rPr>
          <w:lang w:val="fr-FR"/>
        </w:rPr>
        <w:t>,</w:t>
      </w:r>
      <w:r>
        <w:rPr>
          <w:lang w:val="fr-FR"/>
        </w:rPr>
        <w:t xml:space="preserve"> </w:t>
      </w:r>
      <w:r w:rsidR="00BD3E19">
        <w:rPr>
          <w:lang w:val="fr-FR"/>
        </w:rPr>
        <w:t>notamment</w:t>
      </w:r>
      <w:r>
        <w:rPr>
          <w:lang w:val="fr-FR"/>
        </w:rPr>
        <w:t xml:space="preserve"> </w:t>
      </w:r>
      <w:r w:rsidR="00BD3E19">
        <w:rPr>
          <w:lang w:val="fr-FR"/>
        </w:rPr>
        <w:t>à l’occasion du</w:t>
      </w:r>
      <w:r>
        <w:rPr>
          <w:lang w:val="fr-FR"/>
        </w:rPr>
        <w:t xml:space="preserve"> forum en ligne sur l’intégration qui s’est tenu de novembre</w:t>
      </w:r>
      <w:r w:rsidR="0053193C">
        <w:rPr>
          <w:lang w:val="fr-FR"/>
        </w:rPr>
        <w:t> </w:t>
      </w:r>
      <w:r>
        <w:rPr>
          <w:lang w:val="fr-FR"/>
        </w:rPr>
        <w:t>2023 à janvier</w:t>
      </w:r>
      <w:r w:rsidR="0053193C">
        <w:rPr>
          <w:lang w:val="fr-FR"/>
        </w:rPr>
        <w:t> </w:t>
      </w:r>
      <w:r>
        <w:rPr>
          <w:lang w:val="fr-FR"/>
        </w:rPr>
        <w:t>2024,</w:t>
      </w:r>
    </w:p>
    <w:p w14:paraId="498AEE24" w14:textId="727B1425" w:rsidR="005733A2" w:rsidRPr="00BC180B" w:rsidRDefault="00151DDD" w:rsidP="003B0E38">
      <w:pPr>
        <w:pStyle w:val="Para10"/>
        <w:numPr>
          <w:ilvl w:val="0"/>
          <w:numId w:val="0"/>
        </w:numPr>
        <w:ind w:left="567" w:firstLine="567"/>
        <w:rPr>
          <w:rFonts w:asciiTheme="majorBidi" w:hAnsiTheme="majorBidi" w:cstheme="majorBidi"/>
          <w:kern w:val="22"/>
          <w:lang w:val="fr-FR"/>
        </w:rPr>
      </w:pPr>
      <w:r>
        <w:rPr>
          <w:i/>
          <w:iCs/>
          <w:lang w:val="fr-FR"/>
        </w:rPr>
        <w:t>Rappelant</w:t>
      </w:r>
      <w:r w:rsidR="00B45363" w:rsidRPr="00BC180B">
        <w:rPr>
          <w:i/>
          <w:iCs/>
          <w:lang w:val="fr-FR"/>
        </w:rPr>
        <w:t xml:space="preserve"> </w:t>
      </w:r>
      <w:r>
        <w:rPr>
          <w:lang w:val="fr-FR"/>
        </w:rPr>
        <w:t xml:space="preserve">sa décision selon laquelle le Cadre mondial de la biodiversité de Kunming-Montréal devrait servir de plan stratégique aux fins de l’application de la Convention, de ses Protocoles, ainsi que des activités de ses organes et du </w:t>
      </w:r>
      <w:r w:rsidR="003B620A">
        <w:rPr>
          <w:lang w:val="fr-FR"/>
        </w:rPr>
        <w:t>S</w:t>
      </w:r>
      <w:r>
        <w:rPr>
          <w:lang w:val="fr-FR"/>
        </w:rPr>
        <w:t>ecrétariat pour la période</w:t>
      </w:r>
      <w:r w:rsidR="0053193C">
        <w:rPr>
          <w:lang w:val="fr-FR"/>
        </w:rPr>
        <w:t> </w:t>
      </w:r>
      <w:r>
        <w:rPr>
          <w:lang w:val="fr-FR"/>
        </w:rPr>
        <w:t xml:space="preserve">2022-2030 et que, </w:t>
      </w:r>
      <w:r w:rsidR="003B620A">
        <w:rPr>
          <w:lang w:val="fr-FR"/>
        </w:rPr>
        <w:t>à cet égard</w:t>
      </w:r>
      <w:r>
        <w:rPr>
          <w:lang w:val="fr-FR"/>
        </w:rPr>
        <w:t xml:space="preserve">, le Cadre devrait servir à mieux </w:t>
      </w:r>
      <w:r w:rsidR="003B620A">
        <w:rPr>
          <w:lang w:val="fr-FR"/>
        </w:rPr>
        <w:t>aligner</w:t>
      </w:r>
      <w:r>
        <w:rPr>
          <w:lang w:val="fr-FR"/>
        </w:rPr>
        <w:t xml:space="preserve"> et </w:t>
      </w:r>
      <w:r w:rsidR="003B620A">
        <w:rPr>
          <w:lang w:val="fr-FR"/>
        </w:rPr>
        <w:t>orienter</w:t>
      </w:r>
      <w:r>
        <w:rPr>
          <w:lang w:val="fr-FR"/>
        </w:rPr>
        <w:t xml:space="preserve"> les travaux des </w:t>
      </w:r>
      <w:r w:rsidR="003B620A">
        <w:rPr>
          <w:lang w:val="fr-FR"/>
        </w:rPr>
        <w:t>divers</w:t>
      </w:r>
      <w:r>
        <w:rPr>
          <w:lang w:val="fr-FR"/>
        </w:rPr>
        <w:t xml:space="preserve"> organes de la Convention et de ses Protocoles</w:t>
      </w:r>
      <w:r w:rsidR="003B620A">
        <w:rPr>
          <w:lang w:val="fr-FR"/>
        </w:rPr>
        <w:t xml:space="preserve"> ainsi que du </w:t>
      </w:r>
      <w:r w:rsidR="00B07F1B">
        <w:rPr>
          <w:lang w:val="fr-FR"/>
        </w:rPr>
        <w:t>S</w:t>
      </w:r>
      <w:r w:rsidR="003B620A">
        <w:rPr>
          <w:lang w:val="fr-FR"/>
        </w:rPr>
        <w:t>ecrétariat et être pris en compte en matière de budget, compte tenu des objectifs et cibles qu’il comporte</w:t>
      </w:r>
      <w:r w:rsidR="005733A2" w:rsidRPr="00BC180B">
        <w:rPr>
          <w:rStyle w:val="Appelnotedebasdep"/>
          <w:rFonts w:asciiTheme="majorBidi" w:hAnsiTheme="majorBidi" w:cstheme="majorBidi"/>
          <w:kern w:val="22"/>
          <w:lang w:val="fr-FR"/>
        </w:rPr>
        <w:footnoteReference w:id="9"/>
      </w:r>
      <w:r w:rsidR="003B620A">
        <w:rPr>
          <w:lang w:val="fr-FR"/>
        </w:rPr>
        <w:t>,</w:t>
      </w:r>
    </w:p>
    <w:p w14:paraId="38968A96" w14:textId="6839A6D3" w:rsidR="00E536E9" w:rsidRPr="00BC180B" w:rsidRDefault="004B0C52" w:rsidP="004B0C52">
      <w:pPr>
        <w:pStyle w:val="Para2"/>
        <w:ind w:left="567" w:firstLine="556"/>
        <w:rPr>
          <w:lang w:val="fr-FR"/>
        </w:rPr>
      </w:pPr>
      <w:r w:rsidRPr="00BC180B">
        <w:rPr>
          <w:lang w:val="fr-FR"/>
        </w:rPr>
        <w:t>1.</w:t>
      </w:r>
      <w:r w:rsidRPr="00BC180B">
        <w:rPr>
          <w:lang w:val="fr-FR"/>
        </w:rPr>
        <w:tab/>
      </w:r>
      <w:r w:rsidR="00B07F1B">
        <w:rPr>
          <w:i/>
          <w:iCs/>
          <w:lang w:val="fr-FR"/>
        </w:rPr>
        <w:t>Décide</w:t>
      </w:r>
      <w:r w:rsidR="00BC773D" w:rsidRPr="00BC180B">
        <w:rPr>
          <w:lang w:val="fr-FR"/>
        </w:rPr>
        <w:t xml:space="preserve"> </w:t>
      </w:r>
      <w:r w:rsidR="00B07F1B">
        <w:rPr>
          <w:lang w:val="fr-FR"/>
        </w:rPr>
        <w:t xml:space="preserve">que l’approche stratégique à long terme pour l’intégration de la diversité biologique </w:t>
      </w:r>
      <w:r w:rsidR="00CF16C8">
        <w:rPr>
          <w:lang w:val="fr-FR"/>
        </w:rPr>
        <w:t>est pleinement contenue</w:t>
      </w:r>
      <w:r w:rsidR="00B07F1B">
        <w:rPr>
          <w:lang w:val="fr-FR"/>
        </w:rPr>
        <w:t xml:space="preserve"> dans le Cadre mondial de la biodiversité de Kunming-Montréal, en particulier dans les cibles</w:t>
      </w:r>
      <w:r w:rsidR="0053193C">
        <w:rPr>
          <w:lang w:val="fr-FR"/>
        </w:rPr>
        <w:t> </w:t>
      </w:r>
      <w:r w:rsidR="00B07F1B">
        <w:rPr>
          <w:lang w:val="fr-FR"/>
        </w:rPr>
        <w:t>14, 15, 16 et 18, ainsi que dans les cibles</w:t>
      </w:r>
      <w:r w:rsidR="0053193C">
        <w:rPr>
          <w:lang w:val="fr-FR"/>
        </w:rPr>
        <w:t> </w:t>
      </w:r>
      <w:r w:rsidR="00B07F1B">
        <w:rPr>
          <w:lang w:val="fr-FR"/>
        </w:rPr>
        <w:t>19, 22 et 23, tandis que d’autres cibles et la section C du Cadre</w:t>
      </w:r>
      <w:r w:rsidR="00CF16C8">
        <w:rPr>
          <w:lang w:val="fr-FR"/>
        </w:rPr>
        <w:t xml:space="preserve"> traitent également de cette question </w:t>
      </w:r>
      <w:r w:rsidR="00217B51">
        <w:rPr>
          <w:lang w:val="fr-FR"/>
        </w:rPr>
        <w:t>;</w:t>
      </w:r>
    </w:p>
    <w:p w14:paraId="2C939822" w14:textId="4890F32D" w:rsidR="00B53DC0" w:rsidRPr="00BC180B" w:rsidRDefault="004B0C52" w:rsidP="004B0C52">
      <w:pPr>
        <w:pStyle w:val="Para2"/>
        <w:ind w:left="567" w:firstLine="556"/>
        <w:rPr>
          <w:lang w:val="fr-FR"/>
        </w:rPr>
      </w:pPr>
      <w:r w:rsidRPr="00BC180B">
        <w:rPr>
          <w:lang w:val="fr-FR"/>
        </w:rPr>
        <w:t>2.</w:t>
      </w:r>
      <w:r w:rsidRPr="00BC180B">
        <w:rPr>
          <w:lang w:val="fr-FR"/>
        </w:rPr>
        <w:tab/>
      </w:r>
      <w:r w:rsidR="00B07F1B">
        <w:rPr>
          <w:i/>
          <w:iCs/>
          <w:lang w:val="fr-FR"/>
        </w:rPr>
        <w:t>Invite</w:t>
      </w:r>
      <w:r w:rsidR="00B63227" w:rsidRPr="00BC180B">
        <w:rPr>
          <w:lang w:val="fr-FR"/>
        </w:rPr>
        <w:t xml:space="preserve"> </w:t>
      </w:r>
      <w:r w:rsidR="00B07F1B">
        <w:rPr>
          <w:lang w:val="fr-FR"/>
        </w:rPr>
        <w:t xml:space="preserve">les Parties et les autres gouvernements, avec le soutien des organisations internationales et d’autres organisations </w:t>
      </w:r>
      <w:r w:rsidR="005A18FC">
        <w:rPr>
          <w:lang w:val="fr-FR"/>
        </w:rPr>
        <w:t>concernées</w:t>
      </w:r>
      <w:r w:rsidR="00B07F1B">
        <w:rPr>
          <w:lang w:val="fr-FR"/>
        </w:rPr>
        <w:t xml:space="preserve">, le cas échéant, à </w:t>
      </w:r>
      <w:r w:rsidR="00CF16C8">
        <w:rPr>
          <w:lang w:val="fr-FR"/>
        </w:rPr>
        <w:t>mettre en œuvre</w:t>
      </w:r>
      <w:r w:rsidR="00B07F1B">
        <w:rPr>
          <w:lang w:val="fr-FR"/>
        </w:rPr>
        <w:t xml:space="preserve"> l’intégration</w:t>
      </w:r>
      <w:r w:rsidR="00217B51">
        <w:rPr>
          <w:lang w:val="fr-FR"/>
        </w:rPr>
        <w:t xml:space="preserve"> de la diversité biologique, telle que </w:t>
      </w:r>
      <w:r w:rsidR="00CF16C8">
        <w:rPr>
          <w:lang w:val="fr-FR"/>
        </w:rPr>
        <w:t>présentée</w:t>
      </w:r>
      <w:r w:rsidR="00217B51">
        <w:rPr>
          <w:lang w:val="fr-FR"/>
        </w:rPr>
        <w:t xml:space="preserve"> dans le Cadre mondial de la biodiversité de Kunming-Montréal, et, en particulier, à rendre possible l’intégration à tous les </w:t>
      </w:r>
      <w:r w:rsidR="00CF16C8">
        <w:rPr>
          <w:lang w:val="fr-FR"/>
        </w:rPr>
        <w:t>échelons des pouvoirs publics</w:t>
      </w:r>
      <w:r w:rsidR="00217B51">
        <w:rPr>
          <w:lang w:val="fr-FR"/>
        </w:rPr>
        <w:t xml:space="preserve">, </w:t>
      </w:r>
      <w:r w:rsidR="00CF16C8">
        <w:rPr>
          <w:lang w:val="fr-FR"/>
        </w:rPr>
        <w:t>en vue d’</w:t>
      </w:r>
      <w:r w:rsidR="00217B51">
        <w:rPr>
          <w:lang w:val="fr-FR"/>
        </w:rPr>
        <w:t xml:space="preserve">encourager la participation pleine et entière des femmes, de la jeunesse, des peuples </w:t>
      </w:r>
      <w:r w:rsidR="00217B51">
        <w:rPr>
          <w:lang w:val="fr-FR"/>
        </w:rPr>
        <w:lastRenderedPageBreak/>
        <w:t>autochtones et des communautés locales, des organisations de la société civile, des secteurs privés et financiers et des parties prenantes de tous les autres secteurs ;</w:t>
      </w:r>
    </w:p>
    <w:p w14:paraId="5409D373" w14:textId="3634E3CF" w:rsidR="00D46647" w:rsidRPr="00BC180B" w:rsidRDefault="004B0C52" w:rsidP="004B0C52">
      <w:pPr>
        <w:pStyle w:val="Para2"/>
        <w:ind w:left="567" w:firstLine="556"/>
        <w:rPr>
          <w:lang w:val="fr-FR"/>
        </w:rPr>
      </w:pPr>
      <w:r w:rsidRPr="00BC180B">
        <w:rPr>
          <w:lang w:val="fr-FR"/>
        </w:rPr>
        <w:t>3.</w:t>
      </w:r>
      <w:r w:rsidRPr="00BC180B">
        <w:rPr>
          <w:lang w:val="fr-FR"/>
        </w:rPr>
        <w:tab/>
      </w:r>
      <w:r w:rsidR="00217B51">
        <w:rPr>
          <w:rFonts w:asciiTheme="majorBidi" w:hAnsiTheme="majorBidi" w:cstheme="majorBidi"/>
          <w:i/>
          <w:iCs/>
          <w:snapToGrid w:val="0"/>
          <w:kern w:val="22"/>
          <w:szCs w:val="22"/>
          <w:lang w:val="fr-FR"/>
        </w:rPr>
        <w:t>Invite</w:t>
      </w:r>
      <w:r w:rsidR="002E6A73" w:rsidRPr="00BC180B">
        <w:rPr>
          <w:rFonts w:asciiTheme="majorBidi" w:hAnsiTheme="majorBidi" w:cstheme="majorBidi"/>
          <w:snapToGrid w:val="0"/>
          <w:kern w:val="22"/>
          <w:szCs w:val="22"/>
          <w:lang w:val="fr-FR"/>
        </w:rPr>
        <w:t xml:space="preserve"> </w:t>
      </w:r>
      <w:r w:rsidR="00217B51">
        <w:rPr>
          <w:rFonts w:asciiTheme="majorBidi" w:hAnsiTheme="majorBidi" w:cstheme="majorBidi"/>
          <w:snapToGrid w:val="0"/>
          <w:kern w:val="22"/>
          <w:szCs w:val="22"/>
          <w:lang w:val="fr-FR"/>
        </w:rPr>
        <w:t xml:space="preserve">les Parties, ainsi que les organisations, les initiatives et les parties prenantes concernées, à </w:t>
      </w:r>
      <w:r w:rsidR="005A18FC">
        <w:rPr>
          <w:rFonts w:asciiTheme="majorBidi" w:hAnsiTheme="majorBidi" w:cstheme="majorBidi"/>
          <w:snapToGrid w:val="0"/>
          <w:kern w:val="22"/>
          <w:szCs w:val="22"/>
          <w:lang w:val="fr-FR"/>
        </w:rPr>
        <w:t>présenter dans leur septième rapport national</w:t>
      </w:r>
      <w:r w:rsidR="00217B51">
        <w:rPr>
          <w:rFonts w:asciiTheme="majorBidi" w:hAnsiTheme="majorBidi" w:cstheme="majorBidi"/>
          <w:snapToGrid w:val="0"/>
          <w:kern w:val="22"/>
          <w:szCs w:val="22"/>
          <w:lang w:val="fr-FR"/>
        </w:rPr>
        <w:t xml:space="preserve"> </w:t>
      </w:r>
      <w:r w:rsidR="005A18FC">
        <w:rPr>
          <w:rFonts w:asciiTheme="majorBidi" w:hAnsiTheme="majorBidi" w:cstheme="majorBidi"/>
          <w:snapToGrid w:val="0"/>
          <w:kern w:val="22"/>
          <w:szCs w:val="22"/>
          <w:lang w:val="fr-FR"/>
        </w:rPr>
        <w:t>toute</w:t>
      </w:r>
      <w:r w:rsidR="00217B51">
        <w:rPr>
          <w:rFonts w:asciiTheme="majorBidi" w:hAnsiTheme="majorBidi" w:cstheme="majorBidi"/>
          <w:snapToGrid w:val="0"/>
          <w:kern w:val="22"/>
          <w:szCs w:val="22"/>
          <w:lang w:val="fr-FR"/>
        </w:rPr>
        <w:t xml:space="preserve"> information </w:t>
      </w:r>
      <w:r w:rsidR="005A18FC">
        <w:rPr>
          <w:rFonts w:asciiTheme="majorBidi" w:hAnsiTheme="majorBidi" w:cstheme="majorBidi"/>
          <w:snapToGrid w:val="0"/>
          <w:kern w:val="22"/>
          <w:szCs w:val="22"/>
          <w:lang w:val="fr-FR"/>
        </w:rPr>
        <w:t>utile</w:t>
      </w:r>
      <w:r w:rsidR="00217B51">
        <w:rPr>
          <w:rFonts w:asciiTheme="majorBidi" w:hAnsiTheme="majorBidi" w:cstheme="majorBidi"/>
          <w:snapToGrid w:val="0"/>
          <w:kern w:val="22"/>
          <w:szCs w:val="22"/>
          <w:lang w:val="fr-FR"/>
        </w:rPr>
        <w:t>, notamment relative aux bonnes pratiques, aux innovations, aux défis et aux leçons tirées en matière d’intégration de la biodiversité, conformément à la décision</w:t>
      </w:r>
      <w:r w:rsidR="0053193C">
        <w:rPr>
          <w:rFonts w:asciiTheme="majorBidi" w:hAnsiTheme="majorBidi" w:cstheme="majorBidi"/>
          <w:snapToGrid w:val="0"/>
          <w:kern w:val="22"/>
          <w:szCs w:val="22"/>
          <w:lang w:val="fr-FR"/>
        </w:rPr>
        <w:t> </w:t>
      </w:r>
      <w:r w:rsidR="00217B51">
        <w:rPr>
          <w:rFonts w:asciiTheme="majorBidi" w:hAnsiTheme="majorBidi" w:cstheme="majorBidi"/>
          <w:snapToGrid w:val="0"/>
          <w:kern w:val="22"/>
          <w:szCs w:val="22"/>
          <w:lang w:val="fr-FR"/>
        </w:rPr>
        <w:t>15/6 ;</w:t>
      </w:r>
    </w:p>
    <w:p w14:paraId="1C2D1AAA" w14:textId="67091F9C" w:rsidR="00B53DC0" w:rsidRPr="00BC180B" w:rsidRDefault="004B0C52" w:rsidP="004B0C52">
      <w:pPr>
        <w:pStyle w:val="Para2"/>
        <w:ind w:left="567" w:firstLine="556"/>
        <w:rPr>
          <w:lang w:val="fr-FR"/>
        </w:rPr>
      </w:pPr>
      <w:r w:rsidRPr="00BC180B">
        <w:rPr>
          <w:lang w:val="fr-FR"/>
        </w:rPr>
        <w:t>4.</w:t>
      </w:r>
      <w:r w:rsidRPr="00BC180B">
        <w:rPr>
          <w:lang w:val="fr-FR"/>
        </w:rPr>
        <w:tab/>
      </w:r>
      <w:r w:rsidR="00217B51">
        <w:rPr>
          <w:i/>
          <w:iCs/>
          <w:lang w:val="fr-FR"/>
        </w:rPr>
        <w:t>Prie</w:t>
      </w:r>
      <w:r w:rsidR="00B53DC0" w:rsidRPr="00BC180B">
        <w:rPr>
          <w:lang w:val="fr-FR"/>
        </w:rPr>
        <w:t xml:space="preserve"> </w:t>
      </w:r>
      <w:r w:rsidR="00217B51">
        <w:rPr>
          <w:lang w:val="fr-FR"/>
        </w:rPr>
        <w:t>la Secrétaire exécutive, sous réserve que des ressources suffisantes soient disponibles</w:t>
      </w:r>
      <w:r w:rsidR="00FF5DF7">
        <w:rPr>
          <w:lang w:val="fr-FR"/>
        </w:rPr>
        <w:t> </w:t>
      </w:r>
      <w:r w:rsidR="00217B51">
        <w:rPr>
          <w:lang w:val="fr-FR"/>
        </w:rPr>
        <w:t>:</w:t>
      </w:r>
    </w:p>
    <w:p w14:paraId="4BDF0F97" w14:textId="42E17834" w:rsidR="00B53DC0" w:rsidRPr="00BC180B" w:rsidRDefault="004B0C52" w:rsidP="003B0E38">
      <w:pPr>
        <w:pStyle w:val="Para3"/>
        <w:ind w:left="567" w:firstLine="567"/>
        <w:rPr>
          <w:lang w:val="fr-FR"/>
        </w:rPr>
      </w:pPr>
      <w:r w:rsidRPr="00BC180B">
        <w:rPr>
          <w:lang w:val="fr-FR"/>
        </w:rPr>
        <w:t>a</w:t>
      </w:r>
      <w:r w:rsidR="00FF597B" w:rsidRPr="00BC180B">
        <w:rPr>
          <w:lang w:val="fr-FR"/>
        </w:rPr>
        <w:t>)</w:t>
      </w:r>
      <w:r w:rsidR="00FF597B" w:rsidRPr="00BC180B">
        <w:rPr>
          <w:lang w:val="fr-FR"/>
        </w:rPr>
        <w:tab/>
      </w:r>
      <w:r w:rsidR="00FF5DF7">
        <w:rPr>
          <w:lang w:val="fr-FR"/>
        </w:rPr>
        <w:t>D’inclure</w:t>
      </w:r>
      <w:r w:rsidR="00217B51">
        <w:rPr>
          <w:lang w:val="fr-FR"/>
        </w:rPr>
        <w:t xml:space="preserve"> </w:t>
      </w:r>
      <w:r w:rsidR="008C16D8">
        <w:rPr>
          <w:lang w:val="fr-FR"/>
        </w:rPr>
        <w:t>la question de l’intégration de la diversité biologique dans les dialogues régionaux afin de favoriser la mise en œuvre du Cadre mondial de la biodiversité de Kunming-Montréal ;</w:t>
      </w:r>
    </w:p>
    <w:p w14:paraId="6A0C381F" w14:textId="24BF864E" w:rsidR="00CF47D9" w:rsidRPr="00BC180B" w:rsidRDefault="004B0C52" w:rsidP="003B0E38">
      <w:pPr>
        <w:pStyle w:val="Para3"/>
        <w:ind w:left="567" w:firstLine="567"/>
        <w:rPr>
          <w:lang w:val="fr-FR"/>
        </w:rPr>
      </w:pPr>
      <w:r w:rsidRPr="00BC180B">
        <w:rPr>
          <w:lang w:val="fr-FR"/>
        </w:rPr>
        <w:t>b</w:t>
      </w:r>
      <w:r w:rsidR="00FF597B" w:rsidRPr="00BC180B">
        <w:rPr>
          <w:lang w:val="fr-FR"/>
        </w:rPr>
        <w:t>)</w:t>
      </w:r>
      <w:r w:rsidR="00FF597B" w:rsidRPr="00BC180B">
        <w:rPr>
          <w:lang w:val="fr-FR"/>
        </w:rPr>
        <w:tab/>
      </w:r>
      <w:r w:rsidR="00FF5DF7">
        <w:rPr>
          <w:lang w:val="fr-FR"/>
        </w:rPr>
        <w:t>De c</w:t>
      </w:r>
      <w:r w:rsidR="008C16D8">
        <w:rPr>
          <w:lang w:val="fr-FR"/>
        </w:rPr>
        <w:t>ontinuer à collaborer avec les conventions, les organisations et les institutions concernées, et d’encourager les synergies entr</w:t>
      </w:r>
      <w:r w:rsidR="000804E9">
        <w:rPr>
          <w:lang w:val="fr-FR"/>
        </w:rPr>
        <w:t>e</w:t>
      </w:r>
      <w:r w:rsidR="008C16D8">
        <w:rPr>
          <w:lang w:val="fr-FR"/>
        </w:rPr>
        <w:t xml:space="preserve"> les processus et les programmes pertinents, afin de rendre accessibles les informations disponibles, l’expertise et les technologies nécessaires à l’intégration effective de la diversité biologique à tous les niveaux ;</w:t>
      </w:r>
    </w:p>
    <w:p w14:paraId="71D1E675" w14:textId="385CA8A4" w:rsidR="00CF47D9" w:rsidRPr="00BC180B" w:rsidRDefault="004B0C52" w:rsidP="003B0E38">
      <w:pPr>
        <w:pStyle w:val="Para3"/>
        <w:ind w:left="567" w:firstLine="567"/>
        <w:rPr>
          <w:lang w:val="fr-FR"/>
        </w:rPr>
      </w:pPr>
      <w:r w:rsidRPr="00BC180B">
        <w:rPr>
          <w:lang w:val="fr-FR"/>
        </w:rPr>
        <w:t>c</w:t>
      </w:r>
      <w:r w:rsidR="00FF597B" w:rsidRPr="00BC180B">
        <w:rPr>
          <w:lang w:val="fr-FR"/>
        </w:rPr>
        <w:t>)</w:t>
      </w:r>
      <w:r w:rsidR="00FF597B" w:rsidRPr="00BC180B">
        <w:rPr>
          <w:lang w:val="fr-FR"/>
        </w:rPr>
        <w:tab/>
      </w:r>
      <w:r w:rsidR="00FF5DF7">
        <w:rPr>
          <w:lang w:val="fr-FR"/>
        </w:rPr>
        <w:t>D’i</w:t>
      </w:r>
      <w:r w:rsidR="00CF47D9" w:rsidRPr="00BC180B">
        <w:rPr>
          <w:lang w:val="fr-FR"/>
        </w:rPr>
        <w:t>nvite</w:t>
      </w:r>
      <w:r w:rsidR="00B61C44">
        <w:rPr>
          <w:lang w:val="fr-FR"/>
        </w:rPr>
        <w:t>r</w:t>
      </w:r>
      <w:r w:rsidR="00CF47D9" w:rsidRPr="00BC180B">
        <w:rPr>
          <w:lang w:val="fr-FR"/>
        </w:rPr>
        <w:t xml:space="preserve"> </w:t>
      </w:r>
      <w:r w:rsidR="00B61C44">
        <w:rPr>
          <w:lang w:val="fr-FR"/>
        </w:rPr>
        <w:t xml:space="preserve">les </w:t>
      </w:r>
      <w:r w:rsidR="00CF47D9" w:rsidRPr="00BC180B">
        <w:rPr>
          <w:lang w:val="fr-FR"/>
        </w:rPr>
        <w:t xml:space="preserve">Parties </w:t>
      </w:r>
      <w:r w:rsidR="00B61C44">
        <w:rPr>
          <w:lang w:val="fr-FR"/>
        </w:rPr>
        <w:t xml:space="preserve">et les conventions, organisations et institutions concernées à partager des outils, mécanismes, conseils et solutions </w:t>
      </w:r>
      <w:r w:rsidR="00FF5DF7">
        <w:rPr>
          <w:lang w:val="fr-FR"/>
        </w:rPr>
        <w:t>utiles</w:t>
      </w:r>
      <w:r w:rsidR="00B61C44">
        <w:rPr>
          <w:lang w:val="fr-FR"/>
        </w:rPr>
        <w:t xml:space="preserve"> </w:t>
      </w:r>
      <w:r w:rsidR="00FF5DF7">
        <w:rPr>
          <w:lang w:val="fr-FR"/>
        </w:rPr>
        <w:t>pour</w:t>
      </w:r>
      <w:r w:rsidR="00B61C44">
        <w:rPr>
          <w:lang w:val="fr-FR"/>
        </w:rPr>
        <w:t xml:space="preserve"> </w:t>
      </w:r>
      <w:r w:rsidR="00FF5DF7">
        <w:rPr>
          <w:lang w:val="fr-FR"/>
        </w:rPr>
        <w:t>favoriser</w:t>
      </w:r>
      <w:r w:rsidR="00B61C44">
        <w:rPr>
          <w:lang w:val="fr-FR"/>
        </w:rPr>
        <w:t xml:space="preserve"> l’intégration de la diversité biologique et </w:t>
      </w:r>
      <w:r w:rsidR="00FF5DF7">
        <w:rPr>
          <w:lang w:val="fr-FR"/>
        </w:rPr>
        <w:t xml:space="preserve">à </w:t>
      </w:r>
      <w:r w:rsidR="00B61C44">
        <w:rPr>
          <w:lang w:val="fr-FR"/>
        </w:rPr>
        <w:t xml:space="preserve">rendre ces informations disponibles </w:t>
      </w:r>
      <w:r w:rsidR="00DE41B3">
        <w:rPr>
          <w:lang w:val="fr-FR"/>
        </w:rPr>
        <w:t>au moyen du centre</w:t>
      </w:r>
      <w:r w:rsidR="00B61C44">
        <w:rPr>
          <w:lang w:val="fr-FR"/>
        </w:rPr>
        <w:t xml:space="preserve"> d’échange d’informations pour qu’elles servent d’enseignements et d’inspiration à d’autres ;</w:t>
      </w:r>
      <w:r w:rsidR="00CF47D9" w:rsidRPr="00BC180B">
        <w:rPr>
          <w:lang w:val="fr-FR"/>
        </w:rPr>
        <w:t xml:space="preserve"> </w:t>
      </w:r>
    </w:p>
    <w:p w14:paraId="6C4887BD" w14:textId="317D354B" w:rsidR="0067583B" w:rsidRPr="00BC180B" w:rsidRDefault="004B0C52" w:rsidP="003B0E38">
      <w:pPr>
        <w:pStyle w:val="Para3"/>
        <w:ind w:left="567" w:firstLine="567"/>
        <w:rPr>
          <w:lang w:val="fr-FR"/>
        </w:rPr>
      </w:pPr>
      <w:r w:rsidRPr="00BC180B">
        <w:rPr>
          <w:lang w:val="fr-FR"/>
        </w:rPr>
        <w:t>d</w:t>
      </w:r>
      <w:r w:rsidR="00FF597B" w:rsidRPr="00BC180B">
        <w:rPr>
          <w:lang w:val="fr-FR"/>
        </w:rPr>
        <w:t>)</w:t>
      </w:r>
      <w:r w:rsidR="00FF597B" w:rsidRPr="00BC180B">
        <w:rPr>
          <w:lang w:val="fr-FR"/>
        </w:rPr>
        <w:tab/>
      </w:r>
      <w:r w:rsidR="00FF5DF7">
        <w:rPr>
          <w:lang w:val="fr-FR"/>
        </w:rPr>
        <w:t>De s</w:t>
      </w:r>
      <w:r w:rsidR="00B61C44">
        <w:rPr>
          <w:lang w:val="fr-FR"/>
        </w:rPr>
        <w:t xml:space="preserve">outenir les activités de renforcement des capacités relatives à l’intégration de la diversité biologique, en collaboration avec les Parties, les autres gouvernements, ainsi que </w:t>
      </w:r>
      <w:r w:rsidR="00164607">
        <w:rPr>
          <w:lang w:val="fr-FR"/>
        </w:rPr>
        <w:t>l</w:t>
      </w:r>
      <w:r w:rsidR="00B61C44">
        <w:rPr>
          <w:lang w:val="fr-FR"/>
        </w:rPr>
        <w:t xml:space="preserve">es organisations et </w:t>
      </w:r>
      <w:r w:rsidR="00164607">
        <w:rPr>
          <w:lang w:val="fr-FR"/>
        </w:rPr>
        <w:t>l</w:t>
      </w:r>
      <w:r w:rsidR="00B61C44">
        <w:rPr>
          <w:lang w:val="fr-FR"/>
        </w:rPr>
        <w:t>es initiatives concernées, y compris des coalitions et des réseaux existants de femmes, de jeunesse, de peuples autochtones et de communautés locales, d’organisations de la société civile, d’autorités infranationales, des secteurs privé et financier et d’autres parties prenantes concernées ;</w:t>
      </w:r>
    </w:p>
    <w:p w14:paraId="418E035B" w14:textId="0F62576F" w:rsidR="0021741E" w:rsidRPr="00BC180B" w:rsidRDefault="004B0C52" w:rsidP="003B0E38">
      <w:pPr>
        <w:pStyle w:val="Para3"/>
        <w:ind w:left="567" w:firstLine="567"/>
        <w:rPr>
          <w:lang w:val="fr-FR"/>
        </w:rPr>
      </w:pPr>
      <w:r w:rsidRPr="00BC180B">
        <w:rPr>
          <w:lang w:val="fr-FR"/>
        </w:rPr>
        <w:t>e</w:t>
      </w:r>
      <w:r w:rsidR="0067583B" w:rsidRPr="00BC180B">
        <w:rPr>
          <w:lang w:val="fr-FR"/>
        </w:rPr>
        <w:t>)</w:t>
      </w:r>
      <w:r w:rsidR="0067583B" w:rsidRPr="00BC180B">
        <w:rPr>
          <w:lang w:val="fr-FR"/>
        </w:rPr>
        <w:tab/>
      </w:r>
      <w:r w:rsidR="00FF5DF7">
        <w:rPr>
          <w:lang w:val="fr-FR"/>
        </w:rPr>
        <w:t>De c</w:t>
      </w:r>
      <w:r w:rsidR="00B61C44">
        <w:rPr>
          <w:lang w:val="fr-FR"/>
        </w:rPr>
        <w:t xml:space="preserve">onsidérer les progrès en matière d’intégration de la diversité biologique comme faisant partie des </w:t>
      </w:r>
      <w:r w:rsidR="00164607">
        <w:rPr>
          <w:lang w:val="fr-FR"/>
        </w:rPr>
        <w:t>préparatifs</w:t>
      </w:r>
      <w:r w:rsidR="00B61C44">
        <w:rPr>
          <w:lang w:val="fr-FR"/>
        </w:rPr>
        <w:t xml:space="preserve"> en vue de l’examen mondial des progrès collectifs </w:t>
      </w:r>
      <w:r w:rsidR="00686267">
        <w:rPr>
          <w:lang w:val="fr-FR"/>
        </w:rPr>
        <w:t>réalisés dans la</w:t>
      </w:r>
      <w:r w:rsidR="00B61C44">
        <w:rPr>
          <w:lang w:val="fr-FR"/>
        </w:rPr>
        <w:t xml:space="preserve"> mise en œuvre du Cadre mondial de la biodiversité de Kunming-Montréal</w:t>
      </w:r>
      <w:r w:rsidR="00686267">
        <w:rPr>
          <w:lang w:val="fr-FR"/>
        </w:rPr>
        <w:t xml:space="preserve"> qui sera entrepris par l’Organe subsidiaire en charge de </w:t>
      </w:r>
      <w:r w:rsidR="007952F4">
        <w:rPr>
          <w:lang w:val="fr-FR"/>
        </w:rPr>
        <w:t xml:space="preserve">l’application </w:t>
      </w:r>
      <w:r w:rsidR="00686267">
        <w:rPr>
          <w:lang w:val="fr-FR"/>
        </w:rPr>
        <w:t xml:space="preserve">lors d’une réunion devant se tenir avant la </w:t>
      </w:r>
      <w:r w:rsidR="000804E9">
        <w:rPr>
          <w:lang w:val="fr-FR"/>
        </w:rPr>
        <w:t>dix-septième</w:t>
      </w:r>
      <w:r w:rsidR="00686267">
        <w:rPr>
          <w:lang w:val="fr-FR"/>
        </w:rPr>
        <w:t xml:space="preserve"> réunion de la Conférence des Parties.</w:t>
      </w:r>
    </w:p>
    <w:p w14:paraId="56939EFE" w14:textId="2C9F8398" w:rsidR="006A71A9" w:rsidRPr="00BC180B" w:rsidRDefault="006A71A9">
      <w:pPr>
        <w:spacing w:after="160" w:line="259" w:lineRule="auto"/>
        <w:jc w:val="left"/>
        <w:rPr>
          <w:lang w:val="fr-FR"/>
        </w:rPr>
      </w:pPr>
      <w:r w:rsidRPr="00BC180B">
        <w:rPr>
          <w:lang w:val="fr-FR"/>
        </w:rPr>
        <w:br w:type="page"/>
      </w:r>
    </w:p>
    <w:p w14:paraId="7E881B48" w14:textId="77777777" w:rsidR="003C4961" w:rsidRPr="00BC180B" w:rsidRDefault="003C4961" w:rsidP="006168AC">
      <w:pPr>
        <w:spacing w:after="160" w:line="259" w:lineRule="auto"/>
        <w:jc w:val="left"/>
        <w:rPr>
          <w:lang w:val="fr-FR"/>
        </w:rPr>
        <w:sectPr w:rsidR="003C4961" w:rsidRPr="00BC180B" w:rsidSect="00BC4CF6">
          <w:headerReference w:type="even" r:id="rId29"/>
          <w:headerReference w:type="default" r:id="rId30"/>
          <w:footerReference w:type="even" r:id="rId31"/>
          <w:footerReference w:type="default" r:id="rId32"/>
          <w:headerReference w:type="first" r:id="rId33"/>
          <w:footerReference w:type="first" r:id="rId34"/>
          <w:pgSz w:w="12240" w:h="15840"/>
          <w:pgMar w:top="1134" w:right="1440" w:bottom="1134" w:left="1440" w:header="709" w:footer="709" w:gutter="0"/>
          <w:cols w:space="708"/>
          <w:titlePg/>
          <w:docGrid w:linePitch="360"/>
        </w:sectPr>
      </w:pPr>
    </w:p>
    <w:p w14:paraId="196E52CA" w14:textId="0481726B" w:rsidR="00C61330" w:rsidRPr="00BC180B" w:rsidRDefault="00C61330" w:rsidP="004B0C52">
      <w:pPr>
        <w:spacing w:after="160" w:line="259" w:lineRule="auto"/>
        <w:ind w:left="567"/>
        <w:jc w:val="left"/>
        <w:rPr>
          <w:b/>
          <w:bCs/>
          <w:sz w:val="28"/>
          <w:szCs w:val="28"/>
          <w:lang w:val="fr-FR"/>
        </w:rPr>
      </w:pPr>
      <w:r w:rsidRPr="00BC180B">
        <w:rPr>
          <w:b/>
          <w:bCs/>
          <w:sz w:val="28"/>
          <w:szCs w:val="28"/>
          <w:lang w:val="fr-FR"/>
        </w:rPr>
        <w:lastRenderedPageBreak/>
        <w:t>A</w:t>
      </w:r>
      <w:r w:rsidR="005745AF" w:rsidRPr="00BC180B">
        <w:rPr>
          <w:b/>
          <w:bCs/>
          <w:sz w:val="28"/>
          <w:szCs w:val="28"/>
          <w:lang w:val="fr-FR"/>
        </w:rPr>
        <w:t>nnex</w:t>
      </w:r>
      <w:r w:rsidR="008A401D">
        <w:rPr>
          <w:b/>
          <w:bCs/>
          <w:sz w:val="28"/>
          <w:szCs w:val="28"/>
          <w:lang w:val="fr-FR"/>
        </w:rPr>
        <w:t>e</w:t>
      </w:r>
    </w:p>
    <w:p w14:paraId="7DF7B910" w14:textId="26286A38" w:rsidR="00B12A96" w:rsidRPr="00BC180B" w:rsidRDefault="00686267" w:rsidP="004B0C52">
      <w:pPr>
        <w:ind w:left="567"/>
        <w:jc w:val="left"/>
        <w:rPr>
          <w:b/>
          <w:bCs/>
          <w:sz w:val="28"/>
          <w:szCs w:val="28"/>
          <w:lang w:val="fr-FR"/>
        </w:rPr>
      </w:pPr>
      <w:r>
        <w:rPr>
          <w:b/>
          <w:bCs/>
          <w:sz w:val="28"/>
          <w:szCs w:val="28"/>
          <w:lang w:val="fr-FR"/>
        </w:rPr>
        <w:t>Comparaison du projet d’approche stratégique à long terme pour l’intégration de la diversité biologique et du Cadre mondial de la biodiversité de Kunming-Montréal</w:t>
      </w:r>
    </w:p>
    <w:p w14:paraId="7EDA1C4B" w14:textId="77777777" w:rsidR="00C61330" w:rsidRPr="00BC180B" w:rsidRDefault="00C61330" w:rsidP="00C854F9">
      <w:pPr>
        <w:jc w:val="left"/>
        <w:rPr>
          <w:lang w:val="fr-FR"/>
        </w:rPr>
      </w:pPr>
    </w:p>
    <w:tbl>
      <w:tblPr>
        <w:tblStyle w:val="Grilledutableau"/>
        <w:tblW w:w="13585" w:type="dxa"/>
        <w:tblLook w:val="04A0" w:firstRow="1" w:lastRow="0" w:firstColumn="1" w:lastColumn="0" w:noHBand="0" w:noVBand="1"/>
      </w:tblPr>
      <w:tblGrid>
        <w:gridCol w:w="4135"/>
        <w:gridCol w:w="5130"/>
        <w:gridCol w:w="4320"/>
      </w:tblGrid>
      <w:tr w:rsidR="005750DC" w:rsidRPr="00BC180B" w14:paraId="44D10D51" w14:textId="77777777" w:rsidTr="007F06C9">
        <w:trPr>
          <w:tblHeader/>
        </w:trPr>
        <w:tc>
          <w:tcPr>
            <w:tcW w:w="4135" w:type="dxa"/>
          </w:tcPr>
          <w:p w14:paraId="7277554D" w14:textId="28A74957" w:rsidR="005750DC" w:rsidRPr="00BC180B" w:rsidRDefault="00686267" w:rsidP="007F224C">
            <w:pPr>
              <w:spacing w:before="40" w:after="40"/>
              <w:jc w:val="left"/>
              <w:rPr>
                <w:i/>
                <w:iCs/>
                <w:lang w:val="fr-FR"/>
              </w:rPr>
            </w:pPr>
            <w:r>
              <w:rPr>
                <w:i/>
                <w:iCs/>
                <w:lang w:val="fr-FR"/>
              </w:rPr>
              <w:t>Langage utilisé dans l’approche stratégique à long terme pour l’intégration</w:t>
            </w:r>
          </w:p>
        </w:tc>
        <w:tc>
          <w:tcPr>
            <w:tcW w:w="5130" w:type="dxa"/>
          </w:tcPr>
          <w:p w14:paraId="0F6E10C4" w14:textId="198895D9" w:rsidR="005750DC" w:rsidRPr="00BC180B" w:rsidRDefault="005750DC" w:rsidP="007F224C">
            <w:pPr>
              <w:tabs>
                <w:tab w:val="left" w:pos="890"/>
                <w:tab w:val="center" w:pos="1756"/>
              </w:tabs>
              <w:spacing w:before="40" w:after="40"/>
              <w:jc w:val="left"/>
              <w:rPr>
                <w:i/>
                <w:iCs/>
                <w:lang w:val="fr-FR"/>
              </w:rPr>
            </w:pPr>
            <w:r w:rsidRPr="00BC180B">
              <w:rPr>
                <w:i/>
                <w:iCs/>
                <w:lang w:val="fr-FR"/>
              </w:rPr>
              <w:t>Langage</w:t>
            </w:r>
            <w:r w:rsidR="00686267">
              <w:rPr>
                <w:i/>
                <w:iCs/>
                <w:lang w:val="fr-FR"/>
              </w:rPr>
              <w:t xml:space="preserve"> utilisé dans le Cadre</w:t>
            </w:r>
          </w:p>
          <w:p w14:paraId="67105465" w14:textId="417CA22A" w:rsidR="005750DC" w:rsidRPr="00BC180B" w:rsidRDefault="005750DC" w:rsidP="007F224C">
            <w:pPr>
              <w:spacing w:before="40" w:after="40"/>
              <w:jc w:val="left"/>
              <w:rPr>
                <w:i/>
                <w:iCs/>
                <w:lang w:val="fr-FR"/>
              </w:rPr>
            </w:pPr>
            <w:r w:rsidRPr="00BC180B">
              <w:rPr>
                <w:i/>
                <w:iCs/>
                <w:lang w:val="fr-FR"/>
              </w:rPr>
              <w:t>(</w:t>
            </w:r>
            <w:r w:rsidRPr="00BC180B">
              <w:rPr>
                <w:b/>
                <w:bCs/>
                <w:i/>
                <w:iCs/>
                <w:u w:val="thick"/>
                <w:lang w:val="fr-FR"/>
              </w:rPr>
              <w:t>direct</w:t>
            </w:r>
            <w:r w:rsidR="00686267">
              <w:rPr>
                <w:b/>
                <w:bCs/>
                <w:i/>
                <w:iCs/>
                <w:u w:val="thick"/>
                <w:lang w:val="fr-FR"/>
              </w:rPr>
              <w:t>ement pertinent</w:t>
            </w:r>
            <w:r w:rsidRPr="00BC180B">
              <w:rPr>
                <w:i/>
                <w:iCs/>
                <w:u w:val="thick"/>
                <w:lang w:val="fr-FR"/>
              </w:rPr>
              <w:t>)</w:t>
            </w:r>
          </w:p>
        </w:tc>
        <w:tc>
          <w:tcPr>
            <w:tcW w:w="4320" w:type="dxa"/>
          </w:tcPr>
          <w:p w14:paraId="3947ED03" w14:textId="570C13FE" w:rsidR="005750DC" w:rsidRPr="00BC180B" w:rsidRDefault="0040541B" w:rsidP="007F224C">
            <w:pPr>
              <w:spacing w:before="40" w:after="40"/>
              <w:jc w:val="left"/>
              <w:rPr>
                <w:i/>
                <w:iCs/>
                <w:lang w:val="fr-FR"/>
              </w:rPr>
            </w:pPr>
            <w:r w:rsidRPr="00BC180B">
              <w:rPr>
                <w:i/>
                <w:iCs/>
                <w:lang w:val="fr-FR"/>
              </w:rPr>
              <w:t>Langage</w:t>
            </w:r>
            <w:r w:rsidR="005750DC" w:rsidRPr="00BC180B">
              <w:rPr>
                <w:i/>
                <w:iCs/>
                <w:lang w:val="fr-FR"/>
              </w:rPr>
              <w:t xml:space="preserve"> </w:t>
            </w:r>
            <w:r w:rsidR="00686267">
              <w:rPr>
                <w:i/>
                <w:iCs/>
                <w:lang w:val="fr-FR"/>
              </w:rPr>
              <w:t>utilisé dans le Cadre</w:t>
            </w:r>
          </w:p>
          <w:p w14:paraId="78829668" w14:textId="09EE636C" w:rsidR="005750DC" w:rsidRPr="00BC180B" w:rsidRDefault="005750DC" w:rsidP="007F224C">
            <w:pPr>
              <w:spacing w:before="40" w:after="40"/>
              <w:jc w:val="left"/>
              <w:rPr>
                <w:i/>
                <w:iCs/>
                <w:lang w:val="fr-FR"/>
              </w:rPr>
            </w:pPr>
            <w:r w:rsidRPr="00BC180B">
              <w:rPr>
                <w:i/>
                <w:iCs/>
                <w:lang w:val="fr-FR"/>
              </w:rPr>
              <w:t>(</w:t>
            </w:r>
            <w:r w:rsidR="00686267">
              <w:rPr>
                <w:rFonts w:ascii="Times New Roman Bold" w:hAnsi="Times New Roman Bold" w:cs="Times New Roman Bold"/>
                <w:i/>
                <w:iCs/>
                <w:u w:val="double"/>
                <w:lang w:val="fr-FR"/>
              </w:rPr>
              <w:t>également pertinent</w:t>
            </w:r>
            <w:r w:rsidRPr="00BC180B">
              <w:rPr>
                <w:rFonts w:ascii="Times New Roman Bold" w:hAnsi="Times New Roman Bold" w:cs="Times New Roman Bold"/>
                <w:i/>
                <w:iCs/>
                <w:u w:val="double"/>
                <w:lang w:val="fr-FR"/>
              </w:rPr>
              <w:t>)</w:t>
            </w:r>
          </w:p>
        </w:tc>
      </w:tr>
      <w:tr w:rsidR="005750DC" w:rsidRPr="00BC180B" w14:paraId="2F10D761" w14:textId="77777777" w:rsidTr="007F224C">
        <w:trPr>
          <w:trHeight w:val="2627"/>
        </w:trPr>
        <w:tc>
          <w:tcPr>
            <w:tcW w:w="4135" w:type="dxa"/>
          </w:tcPr>
          <w:p w14:paraId="4CCF7DEE" w14:textId="43C9F718" w:rsidR="007A0F01" w:rsidRPr="00BC180B" w:rsidRDefault="008A573B" w:rsidP="007F224C">
            <w:pPr>
              <w:spacing w:before="40" w:after="40"/>
              <w:jc w:val="left"/>
              <w:rPr>
                <w:i/>
                <w:iCs/>
                <w:lang w:val="fr-FR"/>
              </w:rPr>
            </w:pPr>
            <w:r>
              <w:rPr>
                <w:i/>
                <w:iCs/>
                <w:lang w:val="fr-FR"/>
              </w:rPr>
              <w:t>Domaines stratégiques</w:t>
            </w:r>
            <w:r w:rsidR="005750DC" w:rsidRPr="00BC180B">
              <w:rPr>
                <w:i/>
                <w:iCs/>
                <w:lang w:val="fr-FR"/>
              </w:rPr>
              <w:t xml:space="preserve"> I </w:t>
            </w:r>
            <w:r>
              <w:rPr>
                <w:i/>
                <w:iCs/>
                <w:lang w:val="fr-FR"/>
              </w:rPr>
              <w:t>à</w:t>
            </w:r>
            <w:r w:rsidR="005750DC" w:rsidRPr="00BC180B">
              <w:rPr>
                <w:i/>
                <w:iCs/>
                <w:lang w:val="fr-FR"/>
              </w:rPr>
              <w:t xml:space="preserve"> III</w:t>
            </w:r>
          </w:p>
          <w:p w14:paraId="2FD699C9" w14:textId="4F253F99" w:rsidR="007A0F01" w:rsidRPr="00BC180B" w:rsidRDefault="008A573B" w:rsidP="007F224C">
            <w:pPr>
              <w:spacing w:before="40" w:after="40"/>
              <w:jc w:val="left"/>
              <w:rPr>
                <w:lang w:val="fr-FR"/>
              </w:rPr>
            </w:pPr>
            <w:r>
              <w:rPr>
                <w:lang w:val="fr-FR"/>
              </w:rPr>
              <w:t>Domaine stratégique</w:t>
            </w:r>
            <w:r w:rsidR="005750DC" w:rsidRPr="00BC180B">
              <w:rPr>
                <w:lang w:val="fr-FR"/>
              </w:rPr>
              <w:t xml:space="preserve"> I</w:t>
            </w:r>
            <w:r>
              <w:rPr>
                <w:lang w:val="fr-FR"/>
              </w:rPr>
              <w:t> </w:t>
            </w:r>
            <w:r w:rsidR="005750DC" w:rsidRPr="00BC180B">
              <w:rPr>
                <w:lang w:val="fr-FR"/>
              </w:rPr>
              <w:t xml:space="preserve">: </w:t>
            </w:r>
            <w:r>
              <w:rPr>
                <w:lang w:val="fr-FR"/>
              </w:rPr>
              <w:t xml:space="preserve">intégration de la biodiversité </w:t>
            </w:r>
            <w:r>
              <w:rPr>
                <w:u w:val="thick"/>
                <w:lang w:val="fr-FR"/>
              </w:rPr>
              <w:t>à tous les niveaux du gouvernement</w:t>
            </w:r>
            <w:r>
              <w:rPr>
                <w:lang w:val="fr-FR"/>
              </w:rPr>
              <w:t xml:space="preserve"> et dans sa politique</w:t>
            </w:r>
          </w:p>
          <w:p w14:paraId="5EF6A6FE" w14:textId="3CCA21EB" w:rsidR="008A573B" w:rsidRDefault="008A573B" w:rsidP="00AA061F">
            <w:pPr>
              <w:spacing w:before="40" w:after="40"/>
              <w:jc w:val="left"/>
              <w:rPr>
                <w:lang w:val="fr-FR"/>
              </w:rPr>
            </w:pPr>
            <w:r>
              <w:rPr>
                <w:lang w:val="fr-FR"/>
              </w:rPr>
              <w:t>Domaine stratégique</w:t>
            </w:r>
            <w:r w:rsidR="0053193C">
              <w:rPr>
                <w:lang w:val="fr-FR"/>
              </w:rPr>
              <w:t> </w:t>
            </w:r>
            <w:r w:rsidR="005750DC" w:rsidRPr="00BC180B">
              <w:rPr>
                <w:lang w:val="fr-FR"/>
              </w:rPr>
              <w:t>II</w:t>
            </w:r>
            <w:r>
              <w:rPr>
                <w:lang w:val="fr-FR"/>
              </w:rPr>
              <w:t> </w:t>
            </w:r>
            <w:r w:rsidR="005750DC" w:rsidRPr="00BC180B">
              <w:rPr>
                <w:lang w:val="fr-FR"/>
              </w:rPr>
              <w:t xml:space="preserve">: </w:t>
            </w:r>
            <w:r>
              <w:rPr>
                <w:lang w:val="fr-FR"/>
              </w:rPr>
              <w:t xml:space="preserve">intégrer la nature et la biodiversité dans les modèles d’entreprise, les activités et pratiques commerciales des </w:t>
            </w:r>
            <w:r>
              <w:rPr>
                <w:u w:val="thick"/>
                <w:lang w:val="fr-FR"/>
              </w:rPr>
              <w:t xml:space="preserve">principaux secteurs </w:t>
            </w:r>
            <w:r>
              <w:rPr>
                <w:lang w:val="fr-FR"/>
              </w:rPr>
              <w:t>économiques, y compris le secteur financier</w:t>
            </w:r>
          </w:p>
          <w:p w14:paraId="55D9F6FB" w14:textId="33ABCD93" w:rsidR="007A0F01" w:rsidRPr="00BC180B" w:rsidRDefault="008A573B" w:rsidP="00AA061F">
            <w:pPr>
              <w:spacing w:before="40" w:after="40"/>
              <w:jc w:val="left"/>
              <w:rPr>
                <w:lang w:val="fr-FR"/>
              </w:rPr>
            </w:pPr>
            <w:r>
              <w:rPr>
                <w:lang w:val="fr-FR"/>
              </w:rPr>
              <w:t>Domaine stratégique</w:t>
            </w:r>
            <w:r w:rsidR="0053193C">
              <w:rPr>
                <w:lang w:val="fr-FR"/>
              </w:rPr>
              <w:t> </w:t>
            </w:r>
            <w:r w:rsidR="005750DC" w:rsidRPr="00BC180B">
              <w:rPr>
                <w:lang w:val="fr-FR"/>
              </w:rPr>
              <w:t>III</w:t>
            </w:r>
            <w:r w:rsidR="00524E80">
              <w:rPr>
                <w:lang w:val="fr-FR"/>
              </w:rPr>
              <w:t> </w:t>
            </w:r>
            <w:r w:rsidR="005750DC" w:rsidRPr="00BC180B">
              <w:rPr>
                <w:lang w:val="fr-FR"/>
              </w:rPr>
              <w:t xml:space="preserve">: </w:t>
            </w:r>
            <w:r>
              <w:rPr>
                <w:lang w:val="fr-FR"/>
              </w:rPr>
              <w:t xml:space="preserve">intégrer la biodiversité </w:t>
            </w:r>
            <w:r>
              <w:rPr>
                <w:u w:val="thick"/>
                <w:lang w:val="fr-FR"/>
              </w:rPr>
              <w:t>à tous les niveaux de la société</w:t>
            </w:r>
          </w:p>
        </w:tc>
        <w:tc>
          <w:tcPr>
            <w:tcW w:w="5130" w:type="dxa"/>
          </w:tcPr>
          <w:p w14:paraId="5C065E29" w14:textId="77777777" w:rsidR="007A0F01" w:rsidRPr="00BC180B" w:rsidRDefault="005750DC" w:rsidP="007F224C">
            <w:pPr>
              <w:spacing w:before="40" w:after="40"/>
              <w:jc w:val="left"/>
              <w:rPr>
                <w:i/>
                <w:iCs/>
                <w:lang w:val="fr-FR"/>
              </w:rPr>
            </w:pPr>
            <w:r w:rsidRPr="00BC180B">
              <w:rPr>
                <w:i/>
                <w:iCs/>
                <w:lang w:val="fr-FR"/>
              </w:rPr>
              <w:t>Section C</w:t>
            </w:r>
          </w:p>
          <w:p w14:paraId="733A1558" w14:textId="10749823" w:rsidR="007A0F01" w:rsidRPr="00BC180B" w:rsidRDefault="00FA79A4" w:rsidP="007F224C">
            <w:pPr>
              <w:spacing w:before="40" w:after="40"/>
              <w:jc w:val="left"/>
              <w:rPr>
                <w:bCs/>
                <w:i/>
                <w:iCs/>
                <w:lang w:val="fr-FR"/>
              </w:rPr>
            </w:pPr>
            <w:r>
              <w:rPr>
                <w:bCs/>
                <w:i/>
                <w:iCs/>
                <w:lang w:val="fr-FR"/>
              </w:rPr>
              <w:t xml:space="preserve">Approche pangouvernementale et </w:t>
            </w:r>
            <w:proofErr w:type="spellStart"/>
            <w:r>
              <w:rPr>
                <w:bCs/>
                <w:i/>
                <w:iCs/>
                <w:lang w:val="fr-FR"/>
              </w:rPr>
              <w:t>pansociétale</w:t>
            </w:r>
            <w:proofErr w:type="spellEnd"/>
          </w:p>
          <w:p w14:paraId="25E4CC42" w14:textId="58BE488C" w:rsidR="005750DC" w:rsidRPr="00BC180B" w:rsidRDefault="005750DC" w:rsidP="007F224C">
            <w:pPr>
              <w:pStyle w:val="Para1"/>
              <w:numPr>
                <w:ilvl w:val="0"/>
                <w:numId w:val="0"/>
              </w:numPr>
              <w:tabs>
                <w:tab w:val="clear" w:pos="1080"/>
                <w:tab w:val="left" w:pos="346"/>
              </w:tabs>
              <w:spacing w:before="40" w:after="40"/>
              <w:ind w:hanging="14"/>
              <w:jc w:val="left"/>
              <w:rPr>
                <w:i/>
                <w:iCs/>
                <w:lang w:val="fr-FR"/>
              </w:rPr>
            </w:pPr>
            <w:r w:rsidRPr="00BC180B">
              <w:rPr>
                <w:color w:val="000000" w:themeColor="text1"/>
                <w:szCs w:val="22"/>
                <w:lang w:val="fr-FR"/>
              </w:rPr>
              <w:t>c)</w:t>
            </w:r>
            <w:r w:rsidRPr="00BC180B">
              <w:rPr>
                <w:color w:val="000000" w:themeColor="text1"/>
                <w:szCs w:val="22"/>
                <w:lang w:val="fr-FR"/>
              </w:rPr>
              <w:tab/>
            </w:r>
            <w:r w:rsidR="00FA79A4">
              <w:rPr>
                <w:color w:val="000000" w:themeColor="text1"/>
                <w:szCs w:val="22"/>
                <w:lang w:val="fr-FR"/>
              </w:rPr>
              <w:t xml:space="preserve">Il s’agit d’un cadre universel destiné à </w:t>
            </w:r>
            <w:r w:rsidR="00FA79A4">
              <w:rPr>
                <w:color w:val="000000" w:themeColor="text1"/>
                <w:szCs w:val="22"/>
                <w:u w:val="thick"/>
                <w:lang w:val="fr-FR"/>
              </w:rPr>
              <w:t>l’ensemble des pouvoirs publics et de la société</w:t>
            </w:r>
            <w:r w:rsidRPr="00BC180B">
              <w:rPr>
                <w:color w:val="000000" w:themeColor="text1"/>
                <w:szCs w:val="22"/>
                <w:lang w:val="fr-FR"/>
              </w:rPr>
              <w:t xml:space="preserve">. </w:t>
            </w:r>
            <w:r w:rsidR="00FA79A4">
              <w:rPr>
                <w:color w:val="000000" w:themeColor="text1"/>
                <w:szCs w:val="22"/>
                <w:lang w:val="fr-FR"/>
              </w:rPr>
              <w:t xml:space="preserve">La réussite de sa mise en œuvre suppose une volonté politique et une reconnaissance au plus haut niveau de gouvernance et </w:t>
            </w:r>
            <w:r w:rsidR="00FA79A4">
              <w:rPr>
                <w:color w:val="000000" w:themeColor="text1"/>
                <w:szCs w:val="22"/>
                <w:u w:val="thick"/>
                <w:lang w:val="fr-FR"/>
              </w:rPr>
              <w:t>dépend de l’action et de la coopération de tous les niveaux de gouvernance et de tous les acteurs de la société</w:t>
            </w:r>
            <w:r w:rsidR="00524E80">
              <w:rPr>
                <w:color w:val="000000" w:themeColor="text1"/>
                <w:szCs w:val="22"/>
                <w:u w:val="thick"/>
                <w:lang w:val="fr-FR"/>
              </w:rPr>
              <w:t> </w:t>
            </w:r>
            <w:r w:rsidRPr="00BC180B">
              <w:rPr>
                <w:color w:val="000000" w:themeColor="text1"/>
                <w:szCs w:val="22"/>
                <w:lang w:val="fr-FR"/>
              </w:rPr>
              <w:t>;</w:t>
            </w:r>
          </w:p>
        </w:tc>
        <w:tc>
          <w:tcPr>
            <w:tcW w:w="4320" w:type="dxa"/>
          </w:tcPr>
          <w:p w14:paraId="557CC7FB" w14:textId="0EBCA265" w:rsidR="005750DC" w:rsidRPr="00BC180B" w:rsidRDefault="005750DC" w:rsidP="007F224C">
            <w:pPr>
              <w:spacing w:before="40" w:after="40"/>
              <w:jc w:val="left"/>
              <w:rPr>
                <w:i/>
                <w:iCs/>
                <w:lang w:val="fr-FR"/>
              </w:rPr>
            </w:pPr>
          </w:p>
        </w:tc>
      </w:tr>
      <w:tr w:rsidR="005750DC" w:rsidRPr="00BC180B" w14:paraId="5E58EEAF" w14:textId="77777777" w:rsidTr="00453E3C">
        <w:tc>
          <w:tcPr>
            <w:tcW w:w="4135" w:type="dxa"/>
          </w:tcPr>
          <w:p w14:paraId="0B76FF34" w14:textId="7B349E6E" w:rsidR="005750DC" w:rsidRPr="00BC180B" w:rsidRDefault="008A573B" w:rsidP="007F224C">
            <w:pPr>
              <w:spacing w:before="40" w:after="40"/>
              <w:jc w:val="left"/>
              <w:rPr>
                <w:i/>
                <w:iCs/>
                <w:lang w:val="fr-FR"/>
              </w:rPr>
            </w:pPr>
            <w:r>
              <w:rPr>
                <w:i/>
                <w:iCs/>
                <w:lang w:val="fr-FR"/>
              </w:rPr>
              <w:t>Action principale</w:t>
            </w:r>
            <w:r w:rsidR="0053193C">
              <w:rPr>
                <w:i/>
                <w:iCs/>
                <w:lang w:val="fr-FR"/>
              </w:rPr>
              <w:t> </w:t>
            </w:r>
            <w:r w:rsidR="005750DC" w:rsidRPr="00BC180B">
              <w:rPr>
                <w:i/>
                <w:iCs/>
                <w:lang w:val="fr-FR"/>
              </w:rPr>
              <w:t>1</w:t>
            </w:r>
          </w:p>
          <w:p w14:paraId="443DC3FF" w14:textId="69654405" w:rsidR="005750DC" w:rsidRPr="00BC180B" w:rsidRDefault="008A573B" w:rsidP="008A573B">
            <w:pPr>
              <w:spacing w:before="40" w:after="40"/>
              <w:jc w:val="left"/>
              <w:rPr>
                <w:i/>
                <w:iCs/>
                <w:lang w:val="fr-FR"/>
              </w:rPr>
            </w:pPr>
            <w:r>
              <w:rPr>
                <w:u w:val="thick"/>
                <w:lang w:val="fr-FR"/>
              </w:rPr>
              <w:t>Intégrer pleinement les valeurs des écosystèmes et de la biodiversité dans les processus nationaux et locaux de planification, de développement, les stratégies de réduction de la pauvreté et la comptabilité,</w:t>
            </w:r>
            <w:r>
              <w:rPr>
                <w:u w:val="double"/>
                <w:lang w:val="fr-FR"/>
              </w:rPr>
              <w:t xml:space="preserve"> l’incorporation de la planification spatiale et l’application des principes de l’approche écosystémique.</w:t>
            </w:r>
          </w:p>
        </w:tc>
        <w:tc>
          <w:tcPr>
            <w:tcW w:w="5130" w:type="dxa"/>
          </w:tcPr>
          <w:p w14:paraId="050A3CFE" w14:textId="4C7A932E" w:rsidR="005750DC" w:rsidRPr="00BC180B" w:rsidRDefault="00FA79A4" w:rsidP="007F224C">
            <w:pPr>
              <w:spacing w:before="40" w:after="40"/>
              <w:jc w:val="left"/>
              <w:rPr>
                <w:i/>
                <w:iCs/>
                <w:lang w:val="fr-FR"/>
              </w:rPr>
            </w:pPr>
            <w:r>
              <w:rPr>
                <w:i/>
                <w:iCs/>
                <w:lang w:val="fr-FR"/>
              </w:rPr>
              <w:t>Cible</w:t>
            </w:r>
            <w:r w:rsidR="0053193C">
              <w:rPr>
                <w:i/>
                <w:iCs/>
                <w:lang w:val="fr-FR"/>
              </w:rPr>
              <w:t> </w:t>
            </w:r>
            <w:r w:rsidR="005750DC" w:rsidRPr="00BC180B">
              <w:rPr>
                <w:i/>
                <w:iCs/>
                <w:lang w:val="fr-FR"/>
              </w:rPr>
              <w:t>14</w:t>
            </w:r>
          </w:p>
          <w:p w14:paraId="7005E5EA" w14:textId="1229B2E5" w:rsidR="00931CA4" w:rsidRPr="00931CA4" w:rsidRDefault="00931CA4" w:rsidP="00931CA4">
            <w:pPr>
              <w:spacing w:before="40" w:after="40"/>
              <w:jc w:val="left"/>
              <w:rPr>
                <w:lang w:val="fr-FR"/>
              </w:rPr>
            </w:pPr>
            <w:r>
              <w:rPr>
                <w:lang w:val="fr-FR"/>
              </w:rPr>
              <w:t>Veiller à</w:t>
            </w:r>
            <w:r w:rsidR="005750DC" w:rsidRPr="00BC180B">
              <w:rPr>
                <w:lang w:val="fr-FR"/>
              </w:rPr>
              <w:t xml:space="preserve"> </w:t>
            </w:r>
            <w:r>
              <w:rPr>
                <w:u w:val="thick"/>
                <w:lang w:val="fr-FR"/>
              </w:rPr>
              <w:t>la pleine prise en compte de la biodiversité et de ses multiples valeurs dans</w:t>
            </w:r>
            <w:r w:rsidR="005750DC" w:rsidRPr="00BC180B">
              <w:rPr>
                <w:lang w:val="fr-FR"/>
              </w:rPr>
              <w:t xml:space="preserve"> </w:t>
            </w:r>
            <w:r>
              <w:rPr>
                <w:lang w:val="fr-FR"/>
              </w:rPr>
              <w:t>l’élaboration des politiques, des réglementations,</w:t>
            </w:r>
            <w:r w:rsidR="005750DC" w:rsidRPr="00BC180B">
              <w:rPr>
                <w:lang w:val="fr-FR"/>
              </w:rPr>
              <w:t xml:space="preserve"> </w:t>
            </w:r>
            <w:r>
              <w:rPr>
                <w:u w:val="thick"/>
                <w:lang w:val="fr-FR"/>
              </w:rPr>
              <w:t>des processus de planification et de développement des stratégies d’élimination de la pauvreté,</w:t>
            </w:r>
            <w:r w:rsidR="005750DC" w:rsidRPr="00BC180B">
              <w:rPr>
                <w:lang w:val="fr-FR"/>
              </w:rPr>
              <w:t xml:space="preserve"> </w:t>
            </w:r>
            <w:r>
              <w:rPr>
                <w:lang w:val="fr-FR"/>
              </w:rPr>
              <w:t xml:space="preserve">des évaluations environnementales stratégiques, des évaluations d’impact environnemental </w:t>
            </w:r>
            <w:r>
              <w:rPr>
                <w:u w:val="thick"/>
                <w:lang w:val="fr-FR"/>
              </w:rPr>
              <w:t>et</w:t>
            </w:r>
            <w:r w:rsidR="005750DC" w:rsidRPr="00BC180B">
              <w:rPr>
                <w:lang w:val="fr-FR"/>
              </w:rPr>
              <w:t xml:space="preserve">, </w:t>
            </w:r>
            <w:r>
              <w:rPr>
                <w:lang w:val="fr-FR"/>
              </w:rPr>
              <w:t>le cas échéant</w:t>
            </w:r>
            <w:r w:rsidR="005750DC" w:rsidRPr="00BC180B">
              <w:rPr>
                <w:lang w:val="fr-FR"/>
              </w:rPr>
              <w:t xml:space="preserve">, </w:t>
            </w:r>
            <w:r>
              <w:rPr>
                <w:u w:val="thick"/>
                <w:lang w:val="fr-FR"/>
              </w:rPr>
              <w:t>dans la comptabilité nationale</w:t>
            </w:r>
            <w:r w:rsidR="005750DC" w:rsidRPr="00BC180B">
              <w:rPr>
                <w:lang w:val="fr-FR"/>
              </w:rPr>
              <w:t xml:space="preserve">, </w:t>
            </w:r>
            <w:r w:rsidRPr="00931CA4">
              <w:rPr>
                <w:lang w:val="fr-FR"/>
              </w:rPr>
              <w:t>à tous les niveaux de gouvernement et dans tous les secteurs, en particulier dans ceux qui ont d</w:t>
            </w:r>
            <w:r w:rsidR="0053193C">
              <w:rPr>
                <w:lang w:val="fr-FR"/>
              </w:rPr>
              <w:t>’</w:t>
            </w:r>
            <w:r w:rsidRPr="00931CA4">
              <w:rPr>
                <w:lang w:val="fr-FR"/>
              </w:rPr>
              <w:t>importantes incidences sur la biodiversité, et aligner progressivement toutes les activités publiques et privées concernées, ainsi que les flux fiscaux et financiers, sur les objectifs et les cibles du présent cadre.</w:t>
            </w:r>
          </w:p>
          <w:p w14:paraId="3CFC73EC" w14:textId="2D5225D0" w:rsidR="005750DC" w:rsidRPr="00BC180B" w:rsidRDefault="005750DC" w:rsidP="007F224C">
            <w:pPr>
              <w:spacing w:before="40" w:after="40"/>
              <w:jc w:val="left"/>
              <w:rPr>
                <w:lang w:val="fr-FR"/>
              </w:rPr>
            </w:pPr>
          </w:p>
        </w:tc>
        <w:tc>
          <w:tcPr>
            <w:tcW w:w="4320" w:type="dxa"/>
          </w:tcPr>
          <w:p w14:paraId="3BF7F73B" w14:textId="168B8C4E" w:rsidR="005750DC" w:rsidRPr="00BC180B" w:rsidRDefault="00FA79A4" w:rsidP="007F224C">
            <w:pPr>
              <w:spacing w:before="40" w:after="40"/>
              <w:jc w:val="left"/>
              <w:rPr>
                <w:i/>
                <w:iCs/>
                <w:lang w:val="fr-FR"/>
              </w:rPr>
            </w:pPr>
            <w:r>
              <w:rPr>
                <w:i/>
                <w:iCs/>
                <w:lang w:val="fr-FR"/>
              </w:rPr>
              <w:t>Cible</w:t>
            </w:r>
            <w:r w:rsidR="0053193C">
              <w:rPr>
                <w:i/>
                <w:iCs/>
                <w:lang w:val="fr-FR"/>
              </w:rPr>
              <w:t> </w:t>
            </w:r>
            <w:r w:rsidR="005750DC" w:rsidRPr="00BC180B">
              <w:rPr>
                <w:i/>
                <w:iCs/>
                <w:lang w:val="fr-FR"/>
              </w:rPr>
              <w:t>1</w:t>
            </w:r>
          </w:p>
          <w:p w14:paraId="1F36A4C2" w14:textId="2D46A0B3" w:rsidR="00931CA4" w:rsidRPr="00931CA4" w:rsidRDefault="00931CA4" w:rsidP="00931CA4">
            <w:pPr>
              <w:spacing w:before="40" w:after="40"/>
              <w:jc w:val="left"/>
              <w:rPr>
                <w:lang w:val="fr-FR"/>
              </w:rPr>
            </w:pPr>
            <w:r w:rsidRPr="00931CA4">
              <w:rPr>
                <w:lang w:val="fr-FR"/>
              </w:rPr>
              <w:t>Veiller à ce que toutes les zones fassent l</w:t>
            </w:r>
            <w:r w:rsidR="0053193C">
              <w:rPr>
                <w:lang w:val="fr-FR"/>
              </w:rPr>
              <w:t>’</w:t>
            </w:r>
            <w:r w:rsidRPr="00931CA4">
              <w:rPr>
                <w:lang w:val="fr-FR"/>
              </w:rPr>
              <w:t>objet d</w:t>
            </w:r>
            <w:r w:rsidR="0053193C">
              <w:rPr>
                <w:lang w:val="fr-FR"/>
              </w:rPr>
              <w:t>’</w:t>
            </w:r>
            <w:r w:rsidRPr="00931CA4">
              <w:rPr>
                <w:lang w:val="fr-FR"/>
              </w:rPr>
              <w:t xml:space="preserve">une </w:t>
            </w:r>
            <w:r>
              <w:rPr>
                <w:u w:val="double"/>
                <w:lang w:val="fr-FR"/>
              </w:rPr>
              <w:t>planification spatiale</w:t>
            </w:r>
            <w:r w:rsidRPr="00931CA4">
              <w:rPr>
                <w:lang w:val="fr-FR"/>
              </w:rPr>
              <w:t xml:space="preserve"> participative, </w:t>
            </w:r>
            <w:r>
              <w:rPr>
                <w:u w:val="double"/>
                <w:lang w:val="fr-FR"/>
              </w:rPr>
              <w:t>intégrée</w:t>
            </w:r>
            <w:r w:rsidRPr="00931CA4">
              <w:rPr>
                <w:lang w:val="fr-FR"/>
              </w:rPr>
              <w:t xml:space="preserve"> et respectueuse de la biodiversité et/ou soient gérées efficacement dans le cadre de processus de changement d</w:t>
            </w:r>
            <w:r w:rsidR="0053193C">
              <w:rPr>
                <w:lang w:val="fr-FR"/>
              </w:rPr>
              <w:t>’</w:t>
            </w:r>
            <w:r w:rsidRPr="00931CA4">
              <w:rPr>
                <w:lang w:val="fr-FR"/>
              </w:rPr>
              <w:t>affectation des terres et des mers, afin de réduire la perte de zones de grande importance pour la biodiversité, y compris d</w:t>
            </w:r>
            <w:r w:rsidR="0053193C">
              <w:rPr>
                <w:lang w:val="fr-FR"/>
              </w:rPr>
              <w:t>’</w:t>
            </w:r>
            <w:r w:rsidRPr="00931CA4">
              <w:rPr>
                <w:lang w:val="fr-FR"/>
              </w:rPr>
              <w:t>écosystèmes de grande intégrité écologique, à un niveau proche de zéro d</w:t>
            </w:r>
            <w:r w:rsidR="0053193C">
              <w:rPr>
                <w:lang w:val="fr-FR"/>
              </w:rPr>
              <w:t>’</w:t>
            </w:r>
            <w:r w:rsidRPr="00931CA4">
              <w:rPr>
                <w:lang w:val="fr-FR"/>
              </w:rPr>
              <w:t>ici à 2030, dans le respect des droits des peuples autochtones et des communautés locales.</w:t>
            </w:r>
          </w:p>
          <w:p w14:paraId="07438FA2" w14:textId="3F7BC22D" w:rsidR="005750DC" w:rsidRPr="00BC180B" w:rsidRDefault="00FA79A4" w:rsidP="007F224C">
            <w:pPr>
              <w:spacing w:before="120" w:after="40"/>
              <w:jc w:val="left"/>
              <w:rPr>
                <w:i/>
                <w:iCs/>
                <w:lang w:val="fr-FR"/>
              </w:rPr>
            </w:pPr>
            <w:r>
              <w:rPr>
                <w:i/>
                <w:iCs/>
                <w:lang w:val="fr-FR"/>
              </w:rPr>
              <w:t>Cible</w:t>
            </w:r>
            <w:r w:rsidR="0053193C">
              <w:rPr>
                <w:i/>
                <w:iCs/>
                <w:lang w:val="fr-FR"/>
              </w:rPr>
              <w:t> </w:t>
            </w:r>
            <w:r w:rsidR="005750DC" w:rsidRPr="00BC180B">
              <w:rPr>
                <w:i/>
                <w:iCs/>
                <w:lang w:val="fr-FR"/>
              </w:rPr>
              <w:t xml:space="preserve">5 </w:t>
            </w:r>
          </w:p>
          <w:p w14:paraId="17A7D2C3" w14:textId="689CE165" w:rsidR="00931CA4" w:rsidRPr="00931CA4" w:rsidRDefault="00931CA4" w:rsidP="00931CA4">
            <w:pPr>
              <w:spacing w:before="40" w:after="40"/>
              <w:jc w:val="left"/>
              <w:rPr>
                <w:lang w:val="fr-FR"/>
              </w:rPr>
            </w:pPr>
            <w:r w:rsidRPr="00931CA4">
              <w:rPr>
                <w:lang w:val="fr-FR"/>
              </w:rPr>
              <w:t xml:space="preserve">Assurer une utilisation, des prélèvements et </w:t>
            </w:r>
            <w:proofErr w:type="gramStart"/>
            <w:r w:rsidRPr="00931CA4">
              <w:rPr>
                <w:lang w:val="fr-FR"/>
              </w:rPr>
              <w:t>un commerce durables</w:t>
            </w:r>
            <w:proofErr w:type="gramEnd"/>
            <w:r w:rsidRPr="00931CA4">
              <w:rPr>
                <w:lang w:val="fr-FR"/>
              </w:rPr>
              <w:t xml:space="preserve">, sûrs et légaux des </w:t>
            </w:r>
            <w:r w:rsidRPr="00931CA4">
              <w:rPr>
                <w:lang w:val="fr-FR"/>
              </w:rPr>
              <w:lastRenderedPageBreak/>
              <w:t>espèces sauvages, en évitant la surexploitation, en minimisant les incidences sur les espèces et les écosystèmes non visés et en réduisant le risque de propagation des agents pathogènes</w:t>
            </w:r>
            <w:r w:rsidR="005750DC" w:rsidRPr="00BC180B">
              <w:rPr>
                <w:lang w:val="fr-FR"/>
              </w:rPr>
              <w:t xml:space="preserve">, </w:t>
            </w:r>
            <w:r>
              <w:rPr>
                <w:u w:val="double"/>
                <w:lang w:val="fr-FR"/>
              </w:rPr>
              <w:t>conformément à l’approche écosystémique</w:t>
            </w:r>
            <w:r w:rsidR="005750DC" w:rsidRPr="00BC180B">
              <w:rPr>
                <w:lang w:val="fr-FR"/>
              </w:rPr>
              <w:t xml:space="preserve">, </w:t>
            </w:r>
            <w:r w:rsidRPr="00931CA4">
              <w:rPr>
                <w:lang w:val="fr-FR"/>
              </w:rPr>
              <w:t>tout en respectant et en protégeant les pratiques traditionnelles des peuples autochtones et des communautés locales en matière d</w:t>
            </w:r>
            <w:r w:rsidR="0053193C">
              <w:rPr>
                <w:lang w:val="fr-FR"/>
              </w:rPr>
              <w:t>’</w:t>
            </w:r>
            <w:r w:rsidRPr="00931CA4">
              <w:rPr>
                <w:lang w:val="fr-FR"/>
              </w:rPr>
              <w:t>utilisation durable.</w:t>
            </w:r>
          </w:p>
          <w:p w14:paraId="4B189C2B" w14:textId="1C4D47DA" w:rsidR="005750DC" w:rsidRPr="00BC180B" w:rsidRDefault="005750DC" w:rsidP="00FC2D54">
            <w:pPr>
              <w:spacing w:before="40" w:after="40"/>
              <w:jc w:val="left"/>
              <w:rPr>
                <w:lang w:val="fr-FR"/>
              </w:rPr>
            </w:pPr>
          </w:p>
          <w:p w14:paraId="3785D78C" w14:textId="4BDA5EA0" w:rsidR="005750DC" w:rsidRPr="00BC180B" w:rsidRDefault="00FA79A4" w:rsidP="00FC2D54">
            <w:pPr>
              <w:spacing w:before="120" w:after="40"/>
              <w:jc w:val="left"/>
              <w:rPr>
                <w:i/>
                <w:iCs/>
                <w:lang w:val="fr-FR"/>
              </w:rPr>
            </w:pPr>
            <w:r>
              <w:rPr>
                <w:i/>
                <w:iCs/>
                <w:lang w:val="fr-FR"/>
              </w:rPr>
              <w:t>Cible</w:t>
            </w:r>
            <w:r w:rsidR="0053193C">
              <w:rPr>
                <w:i/>
                <w:iCs/>
                <w:lang w:val="fr-FR"/>
              </w:rPr>
              <w:t> </w:t>
            </w:r>
            <w:r w:rsidR="005750DC" w:rsidRPr="00BC180B">
              <w:rPr>
                <w:i/>
                <w:iCs/>
                <w:lang w:val="fr-FR"/>
              </w:rPr>
              <w:t>12</w:t>
            </w:r>
          </w:p>
          <w:p w14:paraId="748793A7" w14:textId="5C0C09F3" w:rsidR="00931CA4" w:rsidRPr="00931CA4" w:rsidRDefault="00931CA4" w:rsidP="00931CA4">
            <w:pPr>
              <w:spacing w:before="40" w:after="40"/>
              <w:jc w:val="left"/>
              <w:rPr>
                <w:lang w:val="fr-FR"/>
              </w:rPr>
            </w:pPr>
            <w:r w:rsidRPr="00931CA4">
              <w:rPr>
                <w:lang w:val="fr-FR"/>
              </w:rPr>
              <w:t>Augmenter significativement la superficie, la qualité et la connectivité des espaces verts et bleus dans les zones urbaines et densément peuplées, ainsi que l</w:t>
            </w:r>
            <w:r w:rsidR="0053193C">
              <w:rPr>
                <w:lang w:val="fr-FR"/>
              </w:rPr>
              <w:t>’</w:t>
            </w:r>
            <w:r w:rsidRPr="00931CA4">
              <w:rPr>
                <w:lang w:val="fr-FR"/>
              </w:rPr>
              <w:t>accès à ces espaces et les avantages qu</w:t>
            </w:r>
            <w:r w:rsidR="0053193C">
              <w:rPr>
                <w:lang w:val="fr-FR"/>
              </w:rPr>
              <w:t>’</w:t>
            </w:r>
            <w:r w:rsidRPr="00931CA4">
              <w:rPr>
                <w:lang w:val="fr-FR"/>
              </w:rPr>
              <w:t>ils procurent, en systématisant la conservation et l</w:t>
            </w:r>
            <w:r w:rsidR="0053193C">
              <w:rPr>
                <w:lang w:val="fr-FR"/>
              </w:rPr>
              <w:t>’</w:t>
            </w:r>
            <w:r w:rsidRPr="00931CA4">
              <w:rPr>
                <w:lang w:val="fr-FR"/>
              </w:rPr>
              <w:t>utilisation durable de la biodiversité</w:t>
            </w:r>
            <w:r w:rsidR="005750DC" w:rsidRPr="00BC180B">
              <w:rPr>
                <w:lang w:val="fr-FR"/>
              </w:rPr>
              <w:t>,</w:t>
            </w:r>
            <w:r>
              <w:rPr>
                <w:lang w:val="fr-FR"/>
              </w:rPr>
              <w:t xml:space="preserve"> en tenant compte de celle-ci dans </w:t>
            </w:r>
            <w:r>
              <w:rPr>
                <w:u w:val="double"/>
                <w:lang w:val="fr-FR"/>
              </w:rPr>
              <w:t>l’aménagement urbain,</w:t>
            </w:r>
            <w:r w:rsidR="005750DC" w:rsidRPr="00BC180B">
              <w:rPr>
                <w:lang w:val="fr-FR"/>
              </w:rPr>
              <w:t xml:space="preserve"> </w:t>
            </w:r>
            <w:r w:rsidRPr="00931CA4">
              <w:rPr>
                <w:lang w:val="fr-FR"/>
              </w:rPr>
              <w:t>en améliorant la biodiversité ainsi que la connectivité et l</w:t>
            </w:r>
            <w:r w:rsidR="0053193C">
              <w:rPr>
                <w:lang w:val="fr-FR"/>
              </w:rPr>
              <w:t>’</w:t>
            </w:r>
            <w:r w:rsidRPr="00931CA4">
              <w:rPr>
                <w:lang w:val="fr-FR"/>
              </w:rPr>
              <w:t>intégrité écologiques indigènes, en améliorant la santé et le bien-être des personnes et leur lien avec la nature, ainsi qu</w:t>
            </w:r>
            <w:r w:rsidR="0053193C">
              <w:rPr>
                <w:lang w:val="fr-FR"/>
              </w:rPr>
              <w:t>’</w:t>
            </w:r>
            <w:r w:rsidRPr="00931CA4">
              <w:rPr>
                <w:lang w:val="fr-FR"/>
              </w:rPr>
              <w:t>en favorisant une urbanisation durable et inclusive et en soutenant la fourniture de fonctions et de services écosystémiques.</w:t>
            </w:r>
          </w:p>
          <w:p w14:paraId="65573A00" w14:textId="10386196" w:rsidR="005750DC" w:rsidRPr="00BC180B" w:rsidRDefault="005750DC" w:rsidP="00FC2D54">
            <w:pPr>
              <w:spacing w:before="40" w:after="40"/>
              <w:jc w:val="left"/>
              <w:rPr>
                <w:lang w:val="fr-FR"/>
              </w:rPr>
            </w:pPr>
          </w:p>
        </w:tc>
      </w:tr>
      <w:tr w:rsidR="005750DC" w:rsidRPr="00BC180B" w14:paraId="2086F16B" w14:textId="77777777" w:rsidTr="00453E3C">
        <w:tc>
          <w:tcPr>
            <w:tcW w:w="4135" w:type="dxa"/>
          </w:tcPr>
          <w:p w14:paraId="1DF0C752" w14:textId="5570D967" w:rsidR="005750DC" w:rsidRPr="00BC180B" w:rsidRDefault="0053193C" w:rsidP="007F224C">
            <w:pPr>
              <w:spacing w:before="40" w:after="40"/>
              <w:jc w:val="left"/>
              <w:rPr>
                <w:i/>
                <w:iCs/>
                <w:lang w:val="fr-FR"/>
              </w:rPr>
            </w:pPr>
            <w:r>
              <w:rPr>
                <w:i/>
                <w:iCs/>
                <w:lang w:val="fr-FR"/>
              </w:rPr>
              <w:lastRenderedPageBreak/>
              <w:t>Action principale </w:t>
            </w:r>
            <w:r w:rsidR="005750DC" w:rsidRPr="00BC180B">
              <w:rPr>
                <w:i/>
                <w:iCs/>
                <w:lang w:val="fr-FR"/>
              </w:rPr>
              <w:t>2</w:t>
            </w:r>
          </w:p>
          <w:p w14:paraId="19B2B682" w14:textId="29843395" w:rsidR="005750DC" w:rsidRPr="00BC180B" w:rsidRDefault="008A573B" w:rsidP="007F224C">
            <w:pPr>
              <w:spacing w:before="40" w:after="40"/>
              <w:jc w:val="left"/>
              <w:rPr>
                <w:i/>
                <w:iCs/>
                <w:lang w:val="fr-FR"/>
              </w:rPr>
            </w:pPr>
            <w:r>
              <w:rPr>
                <w:u w:val="double"/>
                <w:lang w:val="fr-FR"/>
              </w:rPr>
              <w:t>Intégrer la biodiversité dans les instruments fiscaux, budgétaires et financiers</w:t>
            </w:r>
            <w:r w:rsidR="005750DC" w:rsidRPr="00BC180B">
              <w:rPr>
                <w:lang w:val="fr-FR"/>
              </w:rPr>
              <w:t xml:space="preserve">, </w:t>
            </w:r>
            <w:r>
              <w:rPr>
                <w:lang w:val="fr-FR"/>
              </w:rPr>
              <w:t xml:space="preserve">en particulier </w:t>
            </w:r>
            <w:r w:rsidR="005750DC" w:rsidRPr="00BC180B">
              <w:rPr>
                <w:u w:val="thick"/>
                <w:lang w:val="fr-FR"/>
              </w:rPr>
              <w:t>e</w:t>
            </w:r>
            <w:r>
              <w:rPr>
                <w:u w:val="thick"/>
                <w:lang w:val="fr-FR"/>
              </w:rPr>
              <w:t xml:space="preserve">n éliminant, en supprimant progressivement et/ou en réformant les </w:t>
            </w:r>
            <w:r>
              <w:rPr>
                <w:u w:val="thick"/>
                <w:lang w:val="fr-FR"/>
              </w:rPr>
              <w:lastRenderedPageBreak/>
              <w:t>mesures d’incitation, y compris les subventions qui nuisent à la biodiversité</w:t>
            </w:r>
            <w:r w:rsidR="005750DC" w:rsidRPr="00BC180B">
              <w:rPr>
                <w:u w:val="double"/>
                <w:lang w:val="fr-FR"/>
              </w:rPr>
              <w:t xml:space="preserve"> </w:t>
            </w:r>
            <w:r>
              <w:rPr>
                <w:u w:val="double"/>
                <w:lang w:val="fr-FR"/>
              </w:rPr>
              <w:t>dan</w:t>
            </w:r>
            <w:r w:rsidR="00F72703">
              <w:rPr>
                <w:u w:val="double"/>
                <w:lang w:val="fr-FR"/>
              </w:rPr>
              <w:t>s</w:t>
            </w:r>
            <w:r>
              <w:rPr>
                <w:u w:val="double"/>
                <w:lang w:val="fr-FR"/>
              </w:rPr>
              <w:t xml:space="preserve"> les secteurs économiques clés, en utilisant des technologies innovantes</w:t>
            </w:r>
            <w:r w:rsidR="005750DC" w:rsidRPr="00BC180B">
              <w:rPr>
                <w:lang w:val="fr-FR"/>
              </w:rPr>
              <w:t xml:space="preserve">, </w:t>
            </w:r>
            <w:r w:rsidR="00F72703">
              <w:rPr>
                <w:u w:val="thick"/>
                <w:lang w:val="fr-FR"/>
              </w:rPr>
              <w:t>et en élaborant et en appliquant des mesures d’incitation positives pour la conservation, la restauration et l’utilisation durable de la biodiversité</w:t>
            </w:r>
            <w:r w:rsidR="005750DC" w:rsidRPr="00BC180B">
              <w:rPr>
                <w:lang w:val="fr-FR"/>
              </w:rPr>
              <w:t xml:space="preserve">, </w:t>
            </w:r>
            <w:r w:rsidR="00F72703">
              <w:rPr>
                <w:u w:val="double"/>
                <w:lang w:val="fr-FR"/>
              </w:rPr>
              <w:t>en cohérence</w:t>
            </w:r>
            <w:r w:rsidR="00F72703">
              <w:rPr>
                <w:lang w:val="fr-FR"/>
              </w:rPr>
              <w:t xml:space="preserve"> et en harmonie </w:t>
            </w:r>
            <w:r w:rsidR="00F72703">
              <w:rPr>
                <w:u w:val="double"/>
                <w:lang w:val="fr-FR"/>
              </w:rPr>
              <w:t>avec</w:t>
            </w:r>
            <w:r w:rsidR="00F72703">
              <w:rPr>
                <w:lang w:val="fr-FR"/>
              </w:rPr>
              <w:t xml:space="preserve"> la Convention et</w:t>
            </w:r>
            <w:r w:rsidR="005750DC" w:rsidRPr="00BC180B">
              <w:rPr>
                <w:lang w:val="fr-FR"/>
              </w:rPr>
              <w:t xml:space="preserve"> </w:t>
            </w:r>
            <w:r w:rsidR="00F72703">
              <w:rPr>
                <w:u w:val="double"/>
                <w:lang w:val="fr-FR"/>
              </w:rPr>
              <w:t>les autres obligations internationales pertinentes, compte tenu des priorités et des conditions socioéconomiques nationales.</w:t>
            </w:r>
          </w:p>
        </w:tc>
        <w:tc>
          <w:tcPr>
            <w:tcW w:w="5130" w:type="dxa"/>
          </w:tcPr>
          <w:p w14:paraId="0D60C046" w14:textId="7697BDE7"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18</w:t>
            </w:r>
          </w:p>
          <w:p w14:paraId="7810523E" w14:textId="333D351F" w:rsidR="005750DC" w:rsidRPr="00BC180B" w:rsidRDefault="0069767F" w:rsidP="007F224C">
            <w:pPr>
              <w:spacing w:before="40" w:after="40"/>
              <w:jc w:val="left"/>
              <w:rPr>
                <w:lang w:val="fr-FR"/>
              </w:rPr>
            </w:pPr>
            <w:r>
              <w:rPr>
                <w:lang w:val="fr-FR"/>
              </w:rPr>
              <w:t xml:space="preserve">Recenser, d’ici à 2025, </w:t>
            </w:r>
            <w:r>
              <w:rPr>
                <w:u w:val="thick"/>
                <w:lang w:val="fr-FR"/>
              </w:rPr>
              <w:t>les incitations, y compris les subventions préjudiciables à la biodiversité et les éliminer, les supprimer progressivement ou les modifier</w:t>
            </w:r>
            <w:r>
              <w:rPr>
                <w:lang w:val="fr-FR"/>
              </w:rPr>
              <w:t xml:space="preserve"> de manière proportionnée, juste, efficace et </w:t>
            </w:r>
            <w:r>
              <w:rPr>
                <w:lang w:val="fr-FR"/>
              </w:rPr>
              <w:lastRenderedPageBreak/>
              <w:t xml:space="preserve">équitable, tout en les réduisant substantiellement et progressivement d’au moins 500 milliards de dollars par an d’ici à 2030, en commençant par les incitations les plus préjudiciables, </w:t>
            </w:r>
            <w:r>
              <w:rPr>
                <w:u w:val="thick"/>
                <w:lang w:val="fr-FR"/>
              </w:rPr>
              <w:t>et renforcer les incitations positives en faveur de la conservation et de l’utilisation durable de la biodiversité</w:t>
            </w:r>
            <w:r w:rsidR="005750DC" w:rsidRPr="00BC180B">
              <w:rPr>
                <w:lang w:val="fr-FR"/>
              </w:rPr>
              <w:t>.</w:t>
            </w:r>
          </w:p>
        </w:tc>
        <w:tc>
          <w:tcPr>
            <w:tcW w:w="4320" w:type="dxa"/>
          </w:tcPr>
          <w:p w14:paraId="118D671D" w14:textId="2F5C719A"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14</w:t>
            </w:r>
          </w:p>
          <w:p w14:paraId="62F5510F" w14:textId="6ED4F5FD" w:rsidR="005750DC" w:rsidRPr="00BC180B" w:rsidRDefault="0069767F" w:rsidP="00FC2D54">
            <w:pPr>
              <w:spacing w:before="40" w:after="40"/>
              <w:jc w:val="left"/>
              <w:rPr>
                <w:i/>
                <w:iCs/>
                <w:lang w:val="fr-FR"/>
              </w:rPr>
            </w:pPr>
            <w:r>
              <w:rPr>
                <w:lang w:val="fr-FR"/>
              </w:rPr>
              <w:t xml:space="preserve">Veiller à la </w:t>
            </w:r>
            <w:r>
              <w:rPr>
                <w:u w:val="double"/>
                <w:lang w:val="fr-FR"/>
              </w:rPr>
              <w:t xml:space="preserve">pleine prise en compte de la biodiversité et de ses multiples valeurs dans l’élaboration des politiques, des réglementations, des processus de </w:t>
            </w:r>
            <w:r>
              <w:rPr>
                <w:u w:val="double"/>
                <w:lang w:val="fr-FR"/>
              </w:rPr>
              <w:lastRenderedPageBreak/>
              <w:t>planification et de développement</w:t>
            </w:r>
            <w:r w:rsidR="005750DC" w:rsidRPr="00BC180B">
              <w:rPr>
                <w:lang w:val="fr-FR"/>
              </w:rPr>
              <w:t xml:space="preserve">, </w:t>
            </w:r>
            <w:r>
              <w:rPr>
                <w:lang w:val="fr-FR"/>
              </w:rPr>
              <w:t xml:space="preserve">des </w:t>
            </w:r>
            <w:r w:rsidRPr="0069767F">
              <w:rPr>
                <w:lang w:val="fr-FR"/>
              </w:rPr>
              <w:t>d</w:t>
            </w:r>
            <w:r w:rsidR="0053193C">
              <w:rPr>
                <w:lang w:val="fr-FR"/>
              </w:rPr>
              <w:t>’</w:t>
            </w:r>
            <w:r w:rsidRPr="0069767F">
              <w:rPr>
                <w:lang w:val="fr-FR"/>
              </w:rPr>
              <w:t>élimination de la pauvreté, des évaluations environnementales stratégiques, des évaluations d’impact environnemental et, le cas échéant, dans la comptabilité nationale, à tous les niveaux de gouvernement et dans tous les secteurs, en particulier dans ceux qui ont d</w:t>
            </w:r>
            <w:r w:rsidR="0053193C">
              <w:rPr>
                <w:lang w:val="fr-FR"/>
              </w:rPr>
              <w:t>’</w:t>
            </w:r>
            <w:r w:rsidRPr="0069767F">
              <w:rPr>
                <w:lang w:val="fr-FR"/>
              </w:rPr>
              <w:t xml:space="preserve">importantes incidences sur la biodiversité, </w:t>
            </w:r>
            <w:r>
              <w:rPr>
                <w:lang w:val="fr-FR"/>
              </w:rPr>
              <w:t xml:space="preserve">et </w:t>
            </w:r>
            <w:r>
              <w:rPr>
                <w:u w:val="double"/>
                <w:lang w:val="fr-FR"/>
              </w:rPr>
              <w:t>aligner progressivement toutes</w:t>
            </w:r>
            <w:r w:rsidR="005750DC" w:rsidRPr="00BC180B">
              <w:rPr>
                <w:lang w:val="fr-FR"/>
              </w:rPr>
              <w:t xml:space="preserve"> </w:t>
            </w:r>
            <w:r>
              <w:rPr>
                <w:lang w:val="fr-FR"/>
              </w:rPr>
              <w:t xml:space="preserve">les activités publiques et privées concernées, ainsi que les </w:t>
            </w:r>
            <w:r>
              <w:rPr>
                <w:u w:val="double"/>
                <w:lang w:val="fr-FR"/>
              </w:rPr>
              <w:t>flux fiscaux et financiers,</w:t>
            </w:r>
            <w:r w:rsidR="005750DC" w:rsidRPr="00BC180B">
              <w:rPr>
                <w:lang w:val="fr-FR"/>
              </w:rPr>
              <w:t xml:space="preserve"> </w:t>
            </w:r>
            <w:r>
              <w:rPr>
                <w:lang w:val="fr-FR"/>
              </w:rPr>
              <w:t>sur les objectifs et le cibles du présent cadre.</w:t>
            </w:r>
          </w:p>
          <w:p w14:paraId="25301D7F" w14:textId="08AFF67B" w:rsidR="005750DC" w:rsidRPr="00BC180B" w:rsidRDefault="00FA79A4" w:rsidP="00FC2D54">
            <w:pPr>
              <w:keepNext/>
              <w:spacing w:before="120" w:after="40"/>
              <w:jc w:val="left"/>
              <w:rPr>
                <w:i/>
                <w:iCs/>
                <w:lang w:val="fr-FR"/>
              </w:rPr>
            </w:pPr>
            <w:r>
              <w:rPr>
                <w:i/>
                <w:iCs/>
                <w:lang w:val="fr-FR"/>
              </w:rPr>
              <w:t>Cible</w:t>
            </w:r>
            <w:r w:rsidR="0053193C">
              <w:rPr>
                <w:i/>
                <w:iCs/>
                <w:lang w:val="fr-FR"/>
              </w:rPr>
              <w:t> </w:t>
            </w:r>
            <w:r w:rsidR="005750DC" w:rsidRPr="00BC180B">
              <w:rPr>
                <w:i/>
                <w:iCs/>
                <w:lang w:val="fr-FR"/>
              </w:rPr>
              <w:t xml:space="preserve">10 </w:t>
            </w:r>
          </w:p>
          <w:p w14:paraId="2297984B" w14:textId="1687C7B7" w:rsidR="0069767F" w:rsidRPr="0069767F" w:rsidRDefault="0069767F" w:rsidP="0069767F">
            <w:pPr>
              <w:spacing w:before="40" w:after="40"/>
              <w:jc w:val="left"/>
              <w:rPr>
                <w:lang w:val="fr-FR"/>
              </w:rPr>
            </w:pPr>
            <w:r>
              <w:rPr>
                <w:lang w:val="fr-FR"/>
              </w:rPr>
              <w:t xml:space="preserve">Assurer une gestion durable </w:t>
            </w:r>
            <w:r w:rsidRPr="0069767F">
              <w:rPr>
                <w:u w:val="double"/>
                <w:lang w:val="fr-FR"/>
              </w:rPr>
              <w:t>des zones agricoles, aquacoles, halieutiques et forestières</w:t>
            </w:r>
            <w:r>
              <w:rPr>
                <w:u w:val="double"/>
                <w:lang w:val="fr-FR"/>
              </w:rPr>
              <w:t>,</w:t>
            </w:r>
            <w:r>
              <w:rPr>
                <w:lang w:val="fr-FR"/>
              </w:rPr>
              <w:t xml:space="preserve"> en particulier grâce à l’utilisation durable de la biodiversité, notamment en augmentant significativement </w:t>
            </w:r>
            <w:r w:rsidRPr="0069767F">
              <w:rPr>
                <w:u w:val="double"/>
                <w:lang w:val="fr-FR"/>
              </w:rPr>
              <w:t>le recours à des pratiques respectueuses de la biodiversité, telles que l</w:t>
            </w:r>
            <w:r w:rsidR="0053193C">
              <w:rPr>
                <w:u w:val="double"/>
                <w:lang w:val="fr-FR"/>
              </w:rPr>
              <w:t>’</w:t>
            </w:r>
            <w:r w:rsidRPr="0069767F">
              <w:rPr>
                <w:u w:val="double"/>
                <w:lang w:val="fr-FR"/>
              </w:rPr>
              <w:t>intensification durable, l</w:t>
            </w:r>
            <w:r w:rsidR="0053193C">
              <w:rPr>
                <w:u w:val="double"/>
                <w:lang w:val="fr-FR"/>
              </w:rPr>
              <w:t>’</w:t>
            </w:r>
            <w:r w:rsidRPr="0069767F">
              <w:rPr>
                <w:u w:val="double"/>
                <w:lang w:val="fr-FR"/>
              </w:rPr>
              <w:t>agroécologie et d</w:t>
            </w:r>
            <w:r w:rsidR="0053193C">
              <w:rPr>
                <w:u w:val="double"/>
                <w:lang w:val="fr-FR"/>
              </w:rPr>
              <w:t>’</w:t>
            </w:r>
            <w:r w:rsidRPr="0069767F">
              <w:rPr>
                <w:u w:val="double"/>
                <w:lang w:val="fr-FR"/>
              </w:rPr>
              <w:t>autres approches innovantes</w:t>
            </w:r>
            <w:r w:rsidR="005750DC" w:rsidRPr="00BC180B">
              <w:rPr>
                <w:lang w:val="fr-FR"/>
              </w:rPr>
              <w:t xml:space="preserve">, </w:t>
            </w:r>
            <w:r w:rsidRPr="0069767F">
              <w:rPr>
                <w:lang w:val="fr-FR"/>
              </w:rPr>
              <w:t>contribuant ainsi à améliorer la résilience, l</w:t>
            </w:r>
            <w:r w:rsidR="0053193C">
              <w:rPr>
                <w:lang w:val="fr-FR"/>
              </w:rPr>
              <w:t>’</w:t>
            </w:r>
            <w:r w:rsidRPr="0069767F">
              <w:rPr>
                <w:lang w:val="fr-FR"/>
              </w:rPr>
              <w:t>efficacité et la productivité à long terme de ces systèmes de production, ainsi qu</w:t>
            </w:r>
            <w:r w:rsidR="0053193C">
              <w:rPr>
                <w:lang w:val="fr-FR"/>
              </w:rPr>
              <w:t>’</w:t>
            </w:r>
            <w:r w:rsidRPr="0069767F">
              <w:rPr>
                <w:lang w:val="fr-FR"/>
              </w:rPr>
              <w:t>à renforcer la sécurité alimentaire, à conserver et à restaurer la biodiversité et à préserver les contributions de la nature aux populations, y compris les fonctions et les services écosystémiques.</w:t>
            </w:r>
          </w:p>
          <w:p w14:paraId="3FE3CF40" w14:textId="5BA43A80" w:rsidR="005750DC" w:rsidRPr="00BC180B" w:rsidRDefault="00FA79A4" w:rsidP="00FC2D54">
            <w:pPr>
              <w:spacing w:before="120" w:after="40"/>
              <w:jc w:val="left"/>
              <w:rPr>
                <w:i/>
                <w:iCs/>
                <w:lang w:val="fr-FR"/>
              </w:rPr>
            </w:pPr>
            <w:r>
              <w:rPr>
                <w:i/>
                <w:iCs/>
                <w:lang w:val="fr-FR"/>
              </w:rPr>
              <w:t>Cible</w:t>
            </w:r>
            <w:r w:rsidR="0053193C">
              <w:rPr>
                <w:i/>
                <w:iCs/>
                <w:lang w:val="fr-FR"/>
              </w:rPr>
              <w:t> </w:t>
            </w:r>
            <w:r w:rsidR="005750DC" w:rsidRPr="00BC180B">
              <w:rPr>
                <w:i/>
                <w:iCs/>
                <w:lang w:val="fr-FR"/>
              </w:rPr>
              <w:t xml:space="preserve">20 </w:t>
            </w:r>
          </w:p>
          <w:p w14:paraId="59FD713E" w14:textId="30C93514" w:rsidR="00DF5754" w:rsidRPr="00BC180B" w:rsidRDefault="00524E80" w:rsidP="00FC2D54">
            <w:pPr>
              <w:spacing w:before="40" w:after="40"/>
              <w:jc w:val="left"/>
              <w:rPr>
                <w:lang w:val="fr-FR"/>
              </w:rPr>
            </w:pPr>
            <w:r>
              <w:rPr>
                <w:lang w:val="fr-FR"/>
              </w:rPr>
              <w:t xml:space="preserve">Accroître le renforcement et le développement des capacités, l’accès aux technologies et leur transfert, et </w:t>
            </w:r>
            <w:r w:rsidR="005750DC" w:rsidRPr="00BC180B">
              <w:rPr>
                <w:u w:val="double"/>
                <w:lang w:val="fr-FR"/>
              </w:rPr>
              <w:t>promo</w:t>
            </w:r>
            <w:r>
              <w:rPr>
                <w:u w:val="double"/>
                <w:lang w:val="fr-FR"/>
              </w:rPr>
              <w:t>uvoir l’innovation</w:t>
            </w:r>
            <w:r>
              <w:rPr>
                <w:lang w:val="fr-FR"/>
              </w:rPr>
              <w:t xml:space="preserve"> et la </w:t>
            </w:r>
            <w:r>
              <w:rPr>
                <w:lang w:val="fr-FR"/>
              </w:rPr>
              <w:lastRenderedPageBreak/>
              <w:t xml:space="preserve">coopération technique et scientifique et </w:t>
            </w:r>
            <w:r>
              <w:rPr>
                <w:u w:val="double"/>
                <w:lang w:val="fr-FR"/>
              </w:rPr>
              <w:t>l’accès à celles-ci</w:t>
            </w:r>
            <w:r w:rsidRPr="00BC180B">
              <w:rPr>
                <w:lang w:val="fr-FR"/>
              </w:rPr>
              <w:t xml:space="preserve"> </w:t>
            </w:r>
            <w:r w:rsidRPr="00524E80">
              <w:rPr>
                <w:lang w:val="fr-FR"/>
              </w:rPr>
              <w:t xml:space="preserve">notamment dans le cadre de la coopération Sud-Sud, Nord-Sud et triangulaire, afin </w:t>
            </w:r>
            <w:r w:rsidR="0053193C">
              <w:rPr>
                <w:lang w:val="fr-FR"/>
              </w:rPr>
              <w:t xml:space="preserve">de </w:t>
            </w:r>
            <w:r w:rsidRPr="00524E80">
              <w:rPr>
                <w:lang w:val="fr-FR"/>
              </w:rPr>
              <w:t>favoriser une mise en œuvre efficace, en particulier dans les pays en développement, en encourageant la collaboration dans le développement de technologies et l</w:t>
            </w:r>
            <w:r w:rsidR="0053193C">
              <w:rPr>
                <w:lang w:val="fr-FR"/>
              </w:rPr>
              <w:t>’</w:t>
            </w:r>
            <w:r w:rsidRPr="00524E80">
              <w:rPr>
                <w:lang w:val="fr-FR"/>
              </w:rPr>
              <w:t>élaboration de programmes de recherche scientifique en matière de conservation et d</w:t>
            </w:r>
            <w:r w:rsidR="0053193C">
              <w:rPr>
                <w:lang w:val="fr-FR"/>
              </w:rPr>
              <w:t>’</w:t>
            </w:r>
            <w:r w:rsidRPr="00524E80">
              <w:rPr>
                <w:lang w:val="fr-FR"/>
              </w:rPr>
              <w:t>utilisation durable de la biodiversité et en renforçant les capacités de recherche scientifique</w:t>
            </w:r>
            <w:r>
              <w:rPr>
                <w:lang w:val="fr-FR"/>
              </w:rPr>
              <w:t>.</w:t>
            </w:r>
          </w:p>
          <w:p w14:paraId="39579C1B" w14:textId="2BCFB271" w:rsidR="005750DC" w:rsidRPr="00BC180B" w:rsidRDefault="005750DC" w:rsidP="00FC2D54">
            <w:pPr>
              <w:spacing w:before="120" w:after="40"/>
              <w:jc w:val="left"/>
              <w:rPr>
                <w:i/>
                <w:iCs/>
                <w:lang w:val="fr-FR"/>
              </w:rPr>
            </w:pPr>
            <w:r w:rsidRPr="00BC180B">
              <w:rPr>
                <w:i/>
                <w:iCs/>
                <w:lang w:val="fr-FR"/>
              </w:rPr>
              <w:t>Section C</w:t>
            </w:r>
          </w:p>
          <w:p w14:paraId="502C4773" w14:textId="0525BE9D" w:rsidR="005750DC" w:rsidRPr="00BC180B" w:rsidRDefault="00524E80" w:rsidP="007F224C">
            <w:pPr>
              <w:pStyle w:val="Para1"/>
              <w:keepNext/>
              <w:numPr>
                <w:ilvl w:val="0"/>
                <w:numId w:val="0"/>
              </w:numPr>
              <w:spacing w:before="40" w:after="40"/>
              <w:jc w:val="left"/>
              <w:rPr>
                <w:bCs/>
                <w:i/>
                <w:iCs/>
                <w:color w:val="000000" w:themeColor="text1"/>
                <w:szCs w:val="22"/>
                <w:lang w:val="fr-FR"/>
              </w:rPr>
            </w:pPr>
            <w:r>
              <w:rPr>
                <w:bCs/>
                <w:i/>
                <w:iCs/>
                <w:lang w:val="fr-FR"/>
              </w:rPr>
              <w:t>Contexte, priorités et capacités nationales</w:t>
            </w:r>
          </w:p>
          <w:p w14:paraId="4DBDEF14" w14:textId="2DD87028" w:rsidR="005750DC" w:rsidRPr="00BC180B" w:rsidRDefault="005750DC" w:rsidP="007F224C">
            <w:pPr>
              <w:pStyle w:val="Para1"/>
              <w:numPr>
                <w:ilvl w:val="0"/>
                <w:numId w:val="0"/>
              </w:numPr>
              <w:spacing w:before="40" w:after="40"/>
              <w:ind w:firstLine="720"/>
              <w:jc w:val="left"/>
              <w:rPr>
                <w:color w:val="000000" w:themeColor="text1"/>
                <w:szCs w:val="22"/>
                <w:lang w:val="fr-FR"/>
              </w:rPr>
            </w:pPr>
            <w:r w:rsidRPr="00BC180B">
              <w:rPr>
                <w:lang w:val="fr-FR"/>
              </w:rPr>
              <w:t>d)</w:t>
            </w:r>
            <w:r w:rsidRPr="00BC180B">
              <w:rPr>
                <w:lang w:val="fr-FR"/>
              </w:rPr>
              <w:tab/>
            </w:r>
            <w:bookmarkStart w:id="3" w:name="_Hlk121072425"/>
            <w:r w:rsidR="00524E80">
              <w:rPr>
                <w:lang w:val="fr-FR"/>
              </w:rPr>
              <w:t xml:space="preserve">Les objectifs du cadre sont de nature mondiale. Chaque Partie contribuera à leur réalisation </w:t>
            </w:r>
            <w:bookmarkEnd w:id="3"/>
            <w:r w:rsidR="00524E80">
              <w:rPr>
                <w:color w:val="000000" w:themeColor="text1"/>
                <w:szCs w:val="22"/>
                <w:u w:val="double"/>
                <w:lang w:val="fr-FR"/>
              </w:rPr>
              <w:t>en tenant compte du contexte, des priorités et des capacités nationales</w:t>
            </w:r>
            <w:r w:rsidR="00DF5754" w:rsidRPr="00BC180B">
              <w:rPr>
                <w:lang w:val="fr-FR"/>
              </w:rPr>
              <w:t>.</w:t>
            </w:r>
          </w:p>
          <w:p w14:paraId="42619F89" w14:textId="5FE942DB" w:rsidR="005750DC" w:rsidRPr="00BC180B" w:rsidRDefault="00524E80" w:rsidP="007F224C">
            <w:pPr>
              <w:pStyle w:val="Para1"/>
              <w:numPr>
                <w:ilvl w:val="0"/>
                <w:numId w:val="0"/>
              </w:numPr>
              <w:tabs>
                <w:tab w:val="left" w:pos="720"/>
              </w:tabs>
              <w:spacing w:before="40" w:after="40"/>
              <w:jc w:val="left"/>
              <w:rPr>
                <w:bCs/>
                <w:i/>
                <w:iCs/>
                <w:lang w:val="fr-FR"/>
              </w:rPr>
            </w:pPr>
            <w:r>
              <w:rPr>
                <w:bCs/>
                <w:i/>
                <w:iCs/>
                <w:lang w:val="fr-FR"/>
              </w:rPr>
              <w:t>Cohérence avec les accords ou instruments internationaux</w:t>
            </w:r>
          </w:p>
          <w:p w14:paraId="0F28851A" w14:textId="2D24A680" w:rsidR="005750DC" w:rsidRPr="00BC180B" w:rsidRDefault="005750DC" w:rsidP="007F224C">
            <w:pPr>
              <w:pStyle w:val="Para1"/>
              <w:numPr>
                <w:ilvl w:val="0"/>
                <w:numId w:val="0"/>
              </w:numPr>
              <w:tabs>
                <w:tab w:val="left" w:pos="720"/>
              </w:tabs>
              <w:spacing w:before="40" w:after="40"/>
              <w:ind w:firstLine="709"/>
              <w:jc w:val="left"/>
              <w:rPr>
                <w:lang w:val="fr-FR"/>
              </w:rPr>
            </w:pPr>
            <w:r w:rsidRPr="00BC180B">
              <w:rPr>
                <w:color w:val="000000" w:themeColor="text1"/>
                <w:szCs w:val="22"/>
                <w:lang w:val="fr-FR"/>
              </w:rPr>
              <w:t>j)</w:t>
            </w:r>
            <w:r w:rsidRPr="00BC180B">
              <w:rPr>
                <w:color w:val="000000" w:themeColor="text1"/>
                <w:szCs w:val="22"/>
                <w:lang w:val="fr-FR"/>
              </w:rPr>
              <w:tab/>
            </w:r>
            <w:r w:rsidR="00524E80">
              <w:rPr>
                <w:color w:val="000000" w:themeColor="text1"/>
                <w:szCs w:val="22"/>
                <w:lang w:val="fr-FR"/>
              </w:rPr>
              <w:t xml:space="preserve">Le cadre doit être mis en œuvre </w:t>
            </w:r>
            <w:r w:rsidR="00524E80">
              <w:rPr>
                <w:color w:val="000000" w:themeColor="text1"/>
                <w:szCs w:val="22"/>
                <w:u w:val="double"/>
                <w:lang w:val="fr-FR"/>
              </w:rPr>
              <w:t>conformément aux obligations internationales pertinentes</w:t>
            </w:r>
            <w:r w:rsidRPr="00BC180B">
              <w:rPr>
                <w:color w:val="000000" w:themeColor="text1"/>
                <w:szCs w:val="22"/>
                <w:lang w:val="fr-FR"/>
              </w:rPr>
              <w:t xml:space="preserve">. </w:t>
            </w:r>
            <w:r w:rsidR="00524E80" w:rsidRPr="00524E80">
              <w:rPr>
                <w:color w:val="000000" w:themeColor="text1"/>
                <w:szCs w:val="22"/>
                <w:lang w:val="fr-FR"/>
              </w:rPr>
              <w:t>Rien dans ce cadre ne doit être interprété comme constituant un accord visant à modifier les droits et obligations d</w:t>
            </w:r>
            <w:r w:rsidR="0053193C">
              <w:rPr>
                <w:color w:val="000000" w:themeColor="text1"/>
                <w:szCs w:val="22"/>
                <w:lang w:val="fr-FR"/>
              </w:rPr>
              <w:t>’</w:t>
            </w:r>
            <w:r w:rsidR="00524E80" w:rsidRPr="00524E80">
              <w:rPr>
                <w:color w:val="000000" w:themeColor="text1"/>
                <w:szCs w:val="22"/>
                <w:lang w:val="fr-FR"/>
              </w:rPr>
              <w:t>une Partie en vertu de la Convention ou de tout autre accord international</w:t>
            </w:r>
            <w:r w:rsidR="00524E80">
              <w:rPr>
                <w:color w:val="000000" w:themeColor="text1"/>
                <w:szCs w:val="22"/>
                <w:lang w:val="fr-FR"/>
              </w:rPr>
              <w:t>.</w:t>
            </w:r>
          </w:p>
        </w:tc>
      </w:tr>
      <w:tr w:rsidR="005750DC" w:rsidRPr="00BC180B" w14:paraId="2C46A2CD" w14:textId="77777777" w:rsidTr="00453E3C">
        <w:tc>
          <w:tcPr>
            <w:tcW w:w="4135" w:type="dxa"/>
          </w:tcPr>
          <w:p w14:paraId="3673B03E" w14:textId="41CDA456" w:rsidR="005750DC" w:rsidRPr="00BC180B" w:rsidRDefault="00F72703" w:rsidP="007F224C">
            <w:pPr>
              <w:spacing w:before="40" w:after="40"/>
              <w:jc w:val="left"/>
              <w:rPr>
                <w:i/>
                <w:iCs/>
                <w:lang w:val="fr-FR"/>
              </w:rPr>
            </w:pPr>
            <w:r>
              <w:rPr>
                <w:i/>
                <w:iCs/>
                <w:lang w:val="fr-FR"/>
              </w:rPr>
              <w:lastRenderedPageBreak/>
              <w:t>Action principale </w:t>
            </w:r>
            <w:r w:rsidR="005750DC" w:rsidRPr="00BC180B">
              <w:rPr>
                <w:i/>
                <w:iCs/>
                <w:lang w:val="fr-FR"/>
              </w:rPr>
              <w:t>3</w:t>
            </w:r>
          </w:p>
          <w:p w14:paraId="06E38191" w14:textId="4C268E38" w:rsidR="005750DC" w:rsidRPr="00BC180B" w:rsidRDefault="00F72703" w:rsidP="007F224C">
            <w:pPr>
              <w:spacing w:before="40" w:after="40"/>
              <w:jc w:val="left"/>
              <w:rPr>
                <w:lang w:val="fr-FR"/>
              </w:rPr>
            </w:pPr>
            <w:r>
              <w:rPr>
                <w:lang w:val="fr-FR"/>
              </w:rPr>
              <w:t xml:space="preserve">Les entreprises des secteurs économiques concernés et aux niveaux des </w:t>
            </w:r>
            <w:r>
              <w:rPr>
                <w:lang w:val="fr-FR"/>
              </w:rPr>
              <w:lastRenderedPageBreak/>
              <w:t>micro</w:t>
            </w:r>
            <w:r w:rsidR="00BA526C">
              <w:rPr>
                <w:lang w:val="fr-FR"/>
              </w:rPr>
              <w:noBreakHyphen/>
            </w:r>
            <w:r>
              <w:rPr>
                <w:lang w:val="fr-FR"/>
              </w:rPr>
              <w:t xml:space="preserve">entreprises, petites et moyennes entreprises, </w:t>
            </w:r>
            <w:r>
              <w:rPr>
                <w:u w:val="thick"/>
                <w:lang w:val="fr-FR"/>
              </w:rPr>
              <w:t>et en particulier les grandes sociétés et les multinationales</w:t>
            </w:r>
            <w:r w:rsidR="005750DC" w:rsidRPr="00BC180B">
              <w:rPr>
                <w:lang w:val="fr-FR"/>
              </w:rPr>
              <w:t xml:space="preserve">, </w:t>
            </w:r>
            <w:r>
              <w:rPr>
                <w:lang w:val="fr-FR"/>
              </w:rPr>
              <w:t>et celles qui ont</w:t>
            </w:r>
            <w:r w:rsidR="005750DC" w:rsidRPr="00BC180B">
              <w:rPr>
                <w:lang w:val="fr-FR"/>
              </w:rPr>
              <w:t xml:space="preserve"> </w:t>
            </w:r>
            <w:r>
              <w:rPr>
                <w:u w:val="thick"/>
                <w:lang w:val="fr-FR"/>
              </w:rPr>
              <w:t>les impacts les plus importants sur la biodiversité</w:t>
            </w:r>
            <w:r w:rsidR="005750DC" w:rsidRPr="00BC180B">
              <w:rPr>
                <w:lang w:val="fr-FR"/>
              </w:rPr>
              <w:t xml:space="preserve">, </w:t>
            </w:r>
            <w:r>
              <w:rPr>
                <w:lang w:val="fr-FR"/>
              </w:rPr>
              <w:t xml:space="preserve">passent activement à des technologies et des pratiques durables et équitables, y compris au sein de leurs </w:t>
            </w:r>
            <w:r>
              <w:rPr>
                <w:u w:val="thick"/>
                <w:lang w:val="fr-FR"/>
              </w:rPr>
              <w:t>chaînes d’approvisionnement, d’échanges commerciaux et de valeur, en démontrant une réduction des impacts négatifs et une augmentation des impacts positifs sur les écosystèmes</w:t>
            </w:r>
            <w:r w:rsidR="005750DC" w:rsidRPr="00BC180B">
              <w:rPr>
                <w:lang w:val="fr-FR"/>
              </w:rPr>
              <w:t xml:space="preserve"> </w:t>
            </w:r>
            <w:r>
              <w:rPr>
                <w:lang w:val="fr-FR"/>
              </w:rPr>
              <w:t xml:space="preserve">et leurs services aux personnes, la biodiversité et le bien-être et la santé des êtres humains, d’une manière qui soit </w:t>
            </w:r>
            <w:r w:rsidR="005750DC" w:rsidRPr="00BC180B">
              <w:rPr>
                <w:u w:val="double"/>
                <w:lang w:val="fr-FR"/>
              </w:rPr>
              <w:t>co</w:t>
            </w:r>
            <w:r>
              <w:rPr>
                <w:u w:val="double"/>
                <w:lang w:val="fr-FR"/>
              </w:rPr>
              <w:t>hérente</w:t>
            </w:r>
            <w:r>
              <w:rPr>
                <w:lang w:val="fr-FR"/>
              </w:rPr>
              <w:t xml:space="preserve"> et en harmonie </w:t>
            </w:r>
            <w:r>
              <w:rPr>
                <w:u w:val="double"/>
                <w:lang w:val="fr-FR"/>
              </w:rPr>
              <w:t>avec</w:t>
            </w:r>
            <w:r w:rsidRPr="00BC180B">
              <w:rPr>
                <w:lang w:val="fr-FR"/>
              </w:rPr>
              <w:t xml:space="preserve"> </w:t>
            </w:r>
            <w:r>
              <w:rPr>
                <w:lang w:val="fr-FR"/>
              </w:rPr>
              <w:t xml:space="preserve">la Convention et les </w:t>
            </w:r>
            <w:r>
              <w:rPr>
                <w:u w:val="double"/>
                <w:lang w:val="fr-FR"/>
              </w:rPr>
              <w:t>autres obligations internationales.</w:t>
            </w:r>
          </w:p>
        </w:tc>
        <w:tc>
          <w:tcPr>
            <w:tcW w:w="5130" w:type="dxa"/>
          </w:tcPr>
          <w:p w14:paraId="4249B914" w14:textId="3395C067"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15</w:t>
            </w:r>
          </w:p>
          <w:p w14:paraId="2EAC6106" w14:textId="549BC37E" w:rsidR="005750DC" w:rsidRPr="00BC180B" w:rsidRDefault="00615F84" w:rsidP="00923E71">
            <w:pPr>
              <w:spacing w:before="40" w:after="40"/>
              <w:jc w:val="left"/>
              <w:rPr>
                <w:lang w:val="fr-FR"/>
              </w:rPr>
            </w:pPr>
            <w:r>
              <w:rPr>
                <w:lang w:val="fr-FR"/>
              </w:rPr>
              <w:t xml:space="preserve">Prendre des mesures juridiques, administratives ou de politique générale visant à inciter les entreprises à agir </w:t>
            </w:r>
            <w:r>
              <w:rPr>
                <w:lang w:val="fr-FR"/>
              </w:rPr>
              <w:lastRenderedPageBreak/>
              <w:t xml:space="preserve">et à leur donner les moyens de le faire, </w:t>
            </w:r>
            <w:r>
              <w:rPr>
                <w:u w:val="thick"/>
                <w:lang w:val="fr-FR"/>
              </w:rPr>
              <w:t>notamment en veillant à ce que les grandes entreprises et les entreprises transnationales</w:t>
            </w:r>
            <w:r>
              <w:rPr>
                <w:lang w:val="fr-FR"/>
              </w:rPr>
              <w:t>, ainsi que les institutions financières :</w:t>
            </w:r>
          </w:p>
          <w:p w14:paraId="2612FFF1" w14:textId="11E2120A" w:rsidR="005750DC" w:rsidRPr="00BC180B" w:rsidRDefault="005750DC" w:rsidP="00923E71">
            <w:pPr>
              <w:spacing w:before="40" w:after="40"/>
              <w:ind w:firstLine="292"/>
              <w:jc w:val="left"/>
              <w:rPr>
                <w:lang w:val="fr-FR"/>
              </w:rPr>
            </w:pPr>
            <w:r w:rsidRPr="00BC180B">
              <w:rPr>
                <w:lang w:val="fr-FR"/>
              </w:rPr>
              <w:t xml:space="preserve">a) </w:t>
            </w:r>
            <w:r w:rsidR="00615F84" w:rsidRPr="00615F84">
              <w:rPr>
                <w:lang w:val="fr-FR"/>
              </w:rPr>
              <w:t>Contrôlent, évaluent et communiquent régulièrement et de manière transparente leurs risques, dépendances et incidences sur la biodiversité, y compris en prévoyant des dispositions applicables à toutes les grandes entreprises ainsi qu</w:t>
            </w:r>
            <w:r w:rsidR="0053193C">
              <w:rPr>
                <w:lang w:val="fr-FR"/>
              </w:rPr>
              <w:t>’</w:t>
            </w:r>
            <w:r w:rsidR="00615F84" w:rsidRPr="00615F84">
              <w:rPr>
                <w:lang w:val="fr-FR"/>
              </w:rPr>
              <w:t>aux entreprises transnationales et aux institutions financières concernant leurs opérations</w:t>
            </w:r>
            <w:r w:rsidR="00615F84">
              <w:rPr>
                <w:lang w:val="fr-FR"/>
              </w:rPr>
              <w:t xml:space="preserve">, </w:t>
            </w:r>
            <w:r w:rsidR="00615F84">
              <w:rPr>
                <w:u w:val="thick"/>
                <w:lang w:val="fr-FR"/>
              </w:rPr>
              <w:t>leurs chaînes d’approvisionnement et de valeur</w:t>
            </w:r>
            <w:r w:rsidRPr="00BC180B">
              <w:rPr>
                <w:lang w:val="fr-FR"/>
              </w:rPr>
              <w:t xml:space="preserve">, </w:t>
            </w:r>
            <w:r w:rsidR="00615F84">
              <w:rPr>
                <w:lang w:val="fr-FR"/>
              </w:rPr>
              <w:t>ainsi que leurs portefeuilles </w:t>
            </w:r>
            <w:r w:rsidR="00923E71" w:rsidRPr="00BC180B">
              <w:rPr>
                <w:lang w:val="fr-FR"/>
              </w:rPr>
              <w:t>;</w:t>
            </w:r>
          </w:p>
          <w:p w14:paraId="6BFF0888" w14:textId="68A3CD06" w:rsidR="005750DC" w:rsidRPr="00BC180B" w:rsidRDefault="005750DC" w:rsidP="00923E71">
            <w:pPr>
              <w:spacing w:before="40" w:after="40"/>
              <w:ind w:firstLine="292"/>
              <w:jc w:val="left"/>
              <w:rPr>
                <w:lang w:val="fr-FR"/>
              </w:rPr>
            </w:pPr>
            <w:r w:rsidRPr="00BC180B">
              <w:rPr>
                <w:lang w:val="fr-FR"/>
              </w:rPr>
              <w:t xml:space="preserve">b) </w:t>
            </w:r>
            <w:r w:rsidR="00615F84" w:rsidRPr="00615F84">
              <w:rPr>
                <w:lang w:val="fr-FR"/>
              </w:rPr>
              <w:t>Informent les consommateurs en vue de promouvoir des modes de consommation durables</w:t>
            </w:r>
            <w:r w:rsidR="00615F84">
              <w:rPr>
                <w:lang w:val="fr-FR"/>
              </w:rPr>
              <w:t> ;</w:t>
            </w:r>
          </w:p>
          <w:p w14:paraId="31F74C9B" w14:textId="5DE953CB" w:rsidR="005750DC" w:rsidRPr="00BC180B" w:rsidRDefault="005750DC" w:rsidP="00615F84">
            <w:pPr>
              <w:spacing w:before="40" w:after="40"/>
              <w:ind w:firstLine="292"/>
              <w:jc w:val="left"/>
              <w:rPr>
                <w:lang w:val="fr-FR"/>
              </w:rPr>
            </w:pPr>
            <w:r w:rsidRPr="00BC180B">
              <w:rPr>
                <w:lang w:val="fr-FR"/>
              </w:rPr>
              <w:t xml:space="preserve">c) </w:t>
            </w:r>
            <w:r w:rsidR="00615F84" w:rsidRPr="00615F84">
              <w:rPr>
                <w:lang w:val="fr-FR"/>
              </w:rPr>
              <w:t>Rendent compte du respect des dispositions et mesures relatives à l</w:t>
            </w:r>
            <w:r w:rsidR="0053193C">
              <w:rPr>
                <w:lang w:val="fr-FR"/>
              </w:rPr>
              <w:t>’</w:t>
            </w:r>
            <w:r w:rsidR="00615F84" w:rsidRPr="00615F84">
              <w:rPr>
                <w:lang w:val="fr-FR"/>
              </w:rPr>
              <w:t>accès et au partage des avantages, en tant que de besoin</w:t>
            </w:r>
            <w:r w:rsidR="0053193C">
              <w:rPr>
                <w:lang w:val="fr-FR"/>
              </w:rPr>
              <w:t> </w:t>
            </w:r>
            <w:r w:rsidR="00615F84" w:rsidRPr="00615F84">
              <w:rPr>
                <w:lang w:val="fr-FR"/>
              </w:rPr>
              <w:t>;</w:t>
            </w:r>
          </w:p>
          <w:p w14:paraId="54BCEFDB" w14:textId="568ABD65" w:rsidR="005750DC" w:rsidRPr="00BC180B" w:rsidRDefault="00615F84" w:rsidP="007F224C">
            <w:pPr>
              <w:spacing w:before="40" w:after="40"/>
              <w:jc w:val="left"/>
              <w:rPr>
                <w:lang w:val="fr-FR"/>
              </w:rPr>
            </w:pPr>
            <w:r>
              <w:rPr>
                <w:lang w:val="fr-FR"/>
              </w:rPr>
              <w:t>afin de</w:t>
            </w:r>
            <w:r w:rsidR="005750DC" w:rsidRPr="00BC180B">
              <w:rPr>
                <w:lang w:val="fr-FR"/>
              </w:rPr>
              <w:t xml:space="preserve"> </w:t>
            </w:r>
            <w:r>
              <w:rPr>
                <w:u w:val="thick"/>
                <w:lang w:val="fr-FR"/>
              </w:rPr>
              <w:t>réduire progressivement les incidences négatives sur la biodiversité, d’accroître les incidences positives</w:t>
            </w:r>
            <w:r w:rsidR="005750DC" w:rsidRPr="00BC180B">
              <w:rPr>
                <w:lang w:val="fr-FR"/>
              </w:rPr>
              <w:t xml:space="preserve">, </w:t>
            </w:r>
            <w:r w:rsidRPr="00615F84">
              <w:rPr>
                <w:lang w:val="fr-FR"/>
              </w:rPr>
              <w:t>de réduire les risques liés à la biodiversité pour les entreprises et les institutions financières, et de promouvoir des mesures propres à garantir des modes de production durables.</w:t>
            </w:r>
          </w:p>
        </w:tc>
        <w:tc>
          <w:tcPr>
            <w:tcW w:w="4320" w:type="dxa"/>
          </w:tcPr>
          <w:p w14:paraId="6F4A7DCC" w14:textId="74E06DA8" w:rsidR="005750DC" w:rsidRPr="00BC180B" w:rsidRDefault="00FA79A4" w:rsidP="007F224C">
            <w:pPr>
              <w:spacing w:before="40" w:after="40"/>
              <w:jc w:val="left"/>
              <w:rPr>
                <w:lang w:val="fr-FR"/>
              </w:rPr>
            </w:pPr>
            <w:r>
              <w:rPr>
                <w:i/>
                <w:iCs/>
                <w:lang w:val="fr-FR"/>
              </w:rPr>
              <w:lastRenderedPageBreak/>
              <w:t>Cible</w:t>
            </w:r>
            <w:r w:rsidR="0053193C">
              <w:rPr>
                <w:i/>
                <w:iCs/>
                <w:lang w:val="fr-FR"/>
              </w:rPr>
              <w:t> </w:t>
            </w:r>
            <w:r w:rsidR="005750DC" w:rsidRPr="00BC180B">
              <w:rPr>
                <w:i/>
                <w:iCs/>
                <w:lang w:val="fr-FR"/>
              </w:rPr>
              <w:t>7</w:t>
            </w:r>
            <w:r w:rsidR="00AA061F" w:rsidRPr="00BC180B">
              <w:rPr>
                <w:rStyle w:val="Appelnotedebasdep"/>
                <w:lang w:val="fr-FR"/>
              </w:rPr>
              <w:footnoteReference w:id="10"/>
            </w:r>
          </w:p>
          <w:p w14:paraId="7667D1D8" w14:textId="0AB4560D" w:rsidR="00B05390" w:rsidRPr="00BC180B" w:rsidRDefault="00615F84" w:rsidP="00923E71">
            <w:pPr>
              <w:spacing w:before="40" w:after="40"/>
              <w:jc w:val="left"/>
              <w:rPr>
                <w:i/>
                <w:iCs/>
                <w:lang w:val="fr-FR"/>
              </w:rPr>
            </w:pPr>
            <w:r>
              <w:rPr>
                <w:u w:val="double"/>
                <w:lang w:val="fr-FR"/>
              </w:rPr>
              <w:t>Réduire les risques liés à la pollution et les incidences négatives de la pollution</w:t>
            </w:r>
            <w:r w:rsidR="005750DC" w:rsidRPr="00BC180B">
              <w:rPr>
                <w:lang w:val="fr-FR"/>
              </w:rPr>
              <w:t xml:space="preserve"> </w:t>
            </w:r>
            <w:r w:rsidRPr="00615F84">
              <w:rPr>
                <w:lang w:val="fr-FR"/>
              </w:rPr>
              <w:t xml:space="preserve">provenant </w:t>
            </w:r>
            <w:r w:rsidRPr="00615F84">
              <w:rPr>
                <w:lang w:val="fr-FR"/>
              </w:rPr>
              <w:lastRenderedPageBreak/>
              <w:t>de toutes les sources d</w:t>
            </w:r>
            <w:r w:rsidR="0053193C">
              <w:rPr>
                <w:lang w:val="fr-FR"/>
              </w:rPr>
              <w:t>’</w:t>
            </w:r>
            <w:r w:rsidRPr="00615F84">
              <w:rPr>
                <w:lang w:val="fr-FR"/>
              </w:rPr>
              <w:t>ici à 2030, en les portant à des niveaux sans danger pour la biodiversité et les fonctions et services écosystémiques, en tenant compte des effets cumulatifs, notamment</w:t>
            </w:r>
            <w:r>
              <w:rPr>
                <w:lang w:val="fr-FR"/>
              </w:rPr>
              <w:t xml:space="preserve"> : </w:t>
            </w:r>
            <w:r w:rsidR="005750DC" w:rsidRPr="00BC180B">
              <w:rPr>
                <w:lang w:val="fr-FR"/>
              </w:rPr>
              <w:t xml:space="preserve">a) </w:t>
            </w:r>
            <w:r>
              <w:rPr>
                <w:u w:val="double"/>
                <w:lang w:val="fr-FR"/>
              </w:rPr>
              <w:t>en réduisant</w:t>
            </w:r>
            <w:r w:rsidR="005750DC" w:rsidRPr="00BC180B">
              <w:rPr>
                <w:lang w:val="fr-FR"/>
              </w:rPr>
              <w:t xml:space="preserve"> </w:t>
            </w:r>
            <w:r w:rsidRPr="00615F84">
              <w:rPr>
                <w:lang w:val="fr-FR"/>
              </w:rPr>
              <w:t>au moins de moitié l</w:t>
            </w:r>
            <w:r w:rsidR="0053193C">
              <w:rPr>
                <w:lang w:val="fr-FR"/>
              </w:rPr>
              <w:t>’</w:t>
            </w:r>
            <w:r w:rsidRPr="00615F84">
              <w:rPr>
                <w:lang w:val="fr-FR"/>
              </w:rPr>
              <w:t>excès de nutriments perdus dans l</w:t>
            </w:r>
            <w:r w:rsidR="0053193C">
              <w:rPr>
                <w:lang w:val="fr-FR"/>
              </w:rPr>
              <w:t>’</w:t>
            </w:r>
            <w:r w:rsidRPr="00615F84">
              <w:rPr>
                <w:lang w:val="fr-FR"/>
              </w:rPr>
              <w:t>environnement, notamment grâce à un cycle et à une utilisation plus efficaces des nutriments</w:t>
            </w:r>
            <w:r>
              <w:rPr>
                <w:lang w:val="fr-FR"/>
              </w:rPr>
              <w:t xml:space="preserve"> ; </w:t>
            </w:r>
            <w:r w:rsidR="005750DC" w:rsidRPr="00BC180B">
              <w:rPr>
                <w:lang w:val="fr-FR"/>
              </w:rPr>
              <w:t xml:space="preserve">b) </w:t>
            </w:r>
            <w:r>
              <w:rPr>
                <w:u w:val="double"/>
                <w:lang w:val="fr-FR"/>
              </w:rPr>
              <w:t>en réduisant</w:t>
            </w:r>
            <w:r w:rsidR="005750DC" w:rsidRPr="00BC180B">
              <w:rPr>
                <w:lang w:val="fr-FR"/>
              </w:rPr>
              <w:t xml:space="preserve"> </w:t>
            </w:r>
            <w:r w:rsidRPr="00615F84">
              <w:rPr>
                <w:lang w:val="fr-FR"/>
              </w:rPr>
              <w:t>au moins de moitié les risques globaux liés aux pesticides et aux produits chimiques particulièrement dangereux, notamment grâce à des mesures intégrées de contrôle des ravageurs, sur la base de données scientifiques, en tenant compte des questions de sécurité alimentaire et de moyens d</w:t>
            </w:r>
            <w:r w:rsidR="0053193C">
              <w:rPr>
                <w:lang w:val="fr-FR"/>
              </w:rPr>
              <w:t>’</w:t>
            </w:r>
            <w:r w:rsidRPr="00615F84">
              <w:rPr>
                <w:lang w:val="fr-FR"/>
              </w:rPr>
              <w:t>existence</w:t>
            </w:r>
            <w:r>
              <w:rPr>
                <w:lang w:val="fr-FR"/>
              </w:rPr>
              <w:t xml:space="preserve"> ; </w:t>
            </w:r>
            <w:r w:rsidR="005750DC" w:rsidRPr="00BC180B">
              <w:rPr>
                <w:lang w:val="fr-FR"/>
              </w:rPr>
              <w:t xml:space="preserve">c) </w:t>
            </w:r>
            <w:r>
              <w:rPr>
                <w:lang w:val="fr-FR"/>
              </w:rPr>
              <w:t xml:space="preserve">en prévenant la pollution plastique, </w:t>
            </w:r>
            <w:r>
              <w:rPr>
                <w:u w:val="double"/>
                <w:lang w:val="fr-FR"/>
              </w:rPr>
              <w:t>en la réduisant</w:t>
            </w:r>
            <w:r w:rsidR="005750DC" w:rsidRPr="00BC180B">
              <w:rPr>
                <w:lang w:val="fr-FR"/>
              </w:rPr>
              <w:t xml:space="preserve"> </w:t>
            </w:r>
            <w:r>
              <w:rPr>
                <w:lang w:val="fr-FR"/>
              </w:rPr>
              <w:t>et en s’employant à l’éliminer.</w:t>
            </w:r>
          </w:p>
          <w:p w14:paraId="0330D25C" w14:textId="15EB13EB" w:rsidR="005750DC" w:rsidRPr="00BC180B" w:rsidRDefault="005750DC" w:rsidP="00923E71">
            <w:pPr>
              <w:keepNext/>
              <w:spacing w:before="120" w:after="40"/>
              <w:jc w:val="left"/>
              <w:rPr>
                <w:i/>
                <w:iCs/>
                <w:lang w:val="fr-FR"/>
              </w:rPr>
            </w:pPr>
            <w:r w:rsidRPr="00BC180B">
              <w:rPr>
                <w:i/>
                <w:iCs/>
                <w:lang w:val="fr-FR"/>
              </w:rPr>
              <w:t>Section C</w:t>
            </w:r>
          </w:p>
          <w:p w14:paraId="05EA3EF7" w14:textId="77777777" w:rsidR="00615F84" w:rsidRPr="00BC180B" w:rsidRDefault="00615F84" w:rsidP="00615F84">
            <w:pPr>
              <w:pStyle w:val="Para1"/>
              <w:numPr>
                <w:ilvl w:val="0"/>
                <w:numId w:val="0"/>
              </w:numPr>
              <w:tabs>
                <w:tab w:val="left" w:pos="720"/>
              </w:tabs>
              <w:spacing w:before="40" w:after="40"/>
              <w:jc w:val="left"/>
              <w:rPr>
                <w:bCs/>
                <w:i/>
                <w:iCs/>
                <w:lang w:val="fr-FR"/>
              </w:rPr>
            </w:pPr>
            <w:r>
              <w:rPr>
                <w:bCs/>
                <w:i/>
                <w:iCs/>
                <w:lang w:val="fr-FR"/>
              </w:rPr>
              <w:t>Cohérence avec les accords ou instruments internationaux</w:t>
            </w:r>
          </w:p>
          <w:p w14:paraId="31BDC1C3" w14:textId="53313267" w:rsidR="00615F84" w:rsidRPr="00BC180B" w:rsidRDefault="00615F84" w:rsidP="00615F84">
            <w:pPr>
              <w:pStyle w:val="Para1"/>
              <w:numPr>
                <w:ilvl w:val="0"/>
                <w:numId w:val="0"/>
              </w:numPr>
              <w:tabs>
                <w:tab w:val="left" w:pos="720"/>
              </w:tabs>
              <w:spacing w:before="40" w:after="40"/>
              <w:jc w:val="left"/>
              <w:rPr>
                <w:color w:val="000000" w:themeColor="text1"/>
                <w:szCs w:val="22"/>
                <w:lang w:val="fr-FR"/>
              </w:rPr>
            </w:pPr>
            <w:r w:rsidRPr="00BC180B">
              <w:rPr>
                <w:color w:val="000000" w:themeColor="text1"/>
                <w:szCs w:val="22"/>
                <w:lang w:val="fr-FR"/>
              </w:rPr>
              <w:t>j)</w:t>
            </w:r>
            <w:r w:rsidRPr="00BC180B">
              <w:rPr>
                <w:color w:val="000000" w:themeColor="text1"/>
                <w:szCs w:val="22"/>
                <w:lang w:val="fr-FR"/>
              </w:rPr>
              <w:tab/>
            </w:r>
            <w:r>
              <w:rPr>
                <w:color w:val="000000" w:themeColor="text1"/>
                <w:szCs w:val="22"/>
                <w:lang w:val="fr-FR"/>
              </w:rPr>
              <w:t xml:space="preserve">Le cadre doit être mis en œuvre </w:t>
            </w:r>
            <w:r>
              <w:rPr>
                <w:color w:val="000000" w:themeColor="text1"/>
                <w:szCs w:val="22"/>
                <w:u w:val="double"/>
                <w:lang w:val="fr-FR"/>
              </w:rPr>
              <w:t>conformément aux obligations internationales pertinentes</w:t>
            </w:r>
            <w:r w:rsidRPr="00BC180B">
              <w:rPr>
                <w:color w:val="000000" w:themeColor="text1"/>
                <w:szCs w:val="22"/>
                <w:lang w:val="fr-FR"/>
              </w:rPr>
              <w:t xml:space="preserve">. </w:t>
            </w:r>
            <w:r w:rsidRPr="00524E80">
              <w:rPr>
                <w:color w:val="000000" w:themeColor="text1"/>
                <w:szCs w:val="22"/>
                <w:lang w:val="fr-FR"/>
              </w:rPr>
              <w:t>Rien dans ce cadre ne doit être interprété comme constituant un accord visant à modifier les droits et obligations d</w:t>
            </w:r>
            <w:r w:rsidR="0053193C">
              <w:rPr>
                <w:color w:val="000000" w:themeColor="text1"/>
                <w:szCs w:val="22"/>
                <w:lang w:val="fr-FR"/>
              </w:rPr>
              <w:t>’</w:t>
            </w:r>
            <w:r w:rsidRPr="00524E80">
              <w:rPr>
                <w:color w:val="000000" w:themeColor="text1"/>
                <w:szCs w:val="22"/>
                <w:lang w:val="fr-FR"/>
              </w:rPr>
              <w:t>une Partie en vertu de la Convention ou de tout autre accord international</w:t>
            </w:r>
            <w:r>
              <w:rPr>
                <w:color w:val="000000" w:themeColor="text1"/>
                <w:szCs w:val="22"/>
                <w:lang w:val="fr-FR"/>
              </w:rPr>
              <w:t>.</w:t>
            </w:r>
          </w:p>
          <w:p w14:paraId="1116A1B7" w14:textId="34D4E698" w:rsidR="005750DC" w:rsidRPr="00BC180B" w:rsidRDefault="005750DC" w:rsidP="007F224C">
            <w:pPr>
              <w:pStyle w:val="Para1"/>
              <w:numPr>
                <w:ilvl w:val="0"/>
                <w:numId w:val="0"/>
              </w:numPr>
              <w:tabs>
                <w:tab w:val="left" w:pos="720"/>
              </w:tabs>
              <w:spacing w:before="40" w:after="40"/>
              <w:ind w:firstLine="709"/>
              <w:jc w:val="left"/>
              <w:rPr>
                <w:color w:val="000000" w:themeColor="text1"/>
                <w:szCs w:val="22"/>
                <w:lang w:val="fr-FR"/>
              </w:rPr>
            </w:pPr>
          </w:p>
        </w:tc>
      </w:tr>
      <w:tr w:rsidR="005750DC" w:rsidRPr="00BC180B" w14:paraId="52B358CE" w14:textId="77777777" w:rsidTr="00453E3C">
        <w:tc>
          <w:tcPr>
            <w:tcW w:w="4135" w:type="dxa"/>
          </w:tcPr>
          <w:p w14:paraId="5C2FCFEB" w14:textId="690BEC3B" w:rsidR="005750DC" w:rsidRPr="00BC180B" w:rsidRDefault="00F72703" w:rsidP="007F224C">
            <w:pPr>
              <w:spacing w:before="40" w:after="40"/>
              <w:jc w:val="left"/>
              <w:rPr>
                <w:i/>
                <w:iCs/>
                <w:lang w:val="fr-FR"/>
              </w:rPr>
            </w:pPr>
            <w:r>
              <w:rPr>
                <w:i/>
                <w:iCs/>
                <w:lang w:val="fr-FR"/>
              </w:rPr>
              <w:lastRenderedPageBreak/>
              <w:t>Action principale</w:t>
            </w:r>
            <w:r w:rsidR="0053193C">
              <w:rPr>
                <w:i/>
                <w:iCs/>
                <w:lang w:val="fr-FR"/>
              </w:rPr>
              <w:t> </w:t>
            </w:r>
            <w:r w:rsidR="005750DC" w:rsidRPr="00BC180B">
              <w:rPr>
                <w:i/>
                <w:iCs/>
                <w:lang w:val="fr-FR"/>
              </w:rPr>
              <w:t>4</w:t>
            </w:r>
          </w:p>
          <w:p w14:paraId="395D2434" w14:textId="37BD7DF2" w:rsidR="005750DC" w:rsidRPr="00BC180B" w:rsidRDefault="00F72703" w:rsidP="007F224C">
            <w:pPr>
              <w:spacing w:before="40" w:after="40"/>
              <w:jc w:val="left"/>
              <w:rPr>
                <w:lang w:val="fr-FR"/>
              </w:rPr>
            </w:pPr>
            <w:r>
              <w:rPr>
                <w:u w:val="thick"/>
                <w:lang w:val="fr-FR"/>
              </w:rPr>
              <w:t>Les institutions financières</w:t>
            </w:r>
            <w:r w:rsidR="005750DC" w:rsidRPr="00BC180B">
              <w:rPr>
                <w:lang w:val="fr-FR"/>
              </w:rPr>
              <w:t xml:space="preserve"> </w:t>
            </w:r>
            <w:r>
              <w:rPr>
                <w:lang w:val="fr-FR"/>
              </w:rPr>
              <w:t>à tous les niveaux</w:t>
            </w:r>
            <w:r w:rsidR="005750DC" w:rsidRPr="00BC180B">
              <w:rPr>
                <w:lang w:val="fr-FR"/>
              </w:rPr>
              <w:t xml:space="preserve"> </w:t>
            </w:r>
            <w:r>
              <w:rPr>
                <w:u w:val="thick"/>
                <w:lang w:val="fr-FR"/>
              </w:rPr>
              <w:t>applique</w:t>
            </w:r>
            <w:r w:rsidR="00BA526C">
              <w:rPr>
                <w:u w:val="thick"/>
                <w:lang w:val="fr-FR"/>
              </w:rPr>
              <w:t>nt</w:t>
            </w:r>
            <w:r>
              <w:rPr>
                <w:u w:val="thick"/>
                <w:lang w:val="fr-FR"/>
              </w:rPr>
              <w:t xml:space="preserve"> des politiques et des </w:t>
            </w:r>
            <w:r>
              <w:rPr>
                <w:u w:val="thick"/>
                <w:lang w:val="fr-FR"/>
              </w:rPr>
              <w:lastRenderedPageBreak/>
              <w:t>processus d’évaluation des risques et des répercussions pour la biodiversité</w:t>
            </w:r>
            <w:r w:rsidR="005750DC" w:rsidRPr="00BC180B">
              <w:rPr>
                <w:lang w:val="fr-FR"/>
              </w:rPr>
              <w:t xml:space="preserve">, </w:t>
            </w:r>
            <w:r>
              <w:rPr>
                <w:lang w:val="fr-FR"/>
              </w:rPr>
              <w:t xml:space="preserve">ont mis au point des </w:t>
            </w:r>
            <w:r>
              <w:rPr>
                <w:u w:val="double"/>
                <w:lang w:val="fr-FR"/>
              </w:rPr>
              <w:t>outils de financement de la biodiversité</w:t>
            </w:r>
            <w:r w:rsidR="005750DC" w:rsidRPr="00BC180B">
              <w:rPr>
                <w:lang w:val="fr-FR"/>
              </w:rPr>
              <w:t xml:space="preserve"> </w:t>
            </w:r>
            <w:r>
              <w:rPr>
                <w:lang w:val="fr-FR"/>
              </w:rPr>
              <w:t xml:space="preserve">visant à présenter une diminution des impacts négatifs sur les écosystèmes et la biodiversité dans leurs portefeuilles et </w:t>
            </w:r>
            <w:r>
              <w:rPr>
                <w:u w:val="double"/>
                <w:lang w:val="fr-FR"/>
              </w:rPr>
              <w:t>une augmentation du montant des financements déd</w:t>
            </w:r>
            <w:r w:rsidR="00FA79A4">
              <w:rPr>
                <w:u w:val="double"/>
                <w:lang w:val="fr-FR"/>
              </w:rPr>
              <w:t>iés</w:t>
            </w:r>
            <w:r w:rsidR="005750DC" w:rsidRPr="00BC180B">
              <w:rPr>
                <w:lang w:val="fr-FR"/>
              </w:rPr>
              <w:t xml:space="preserve">, </w:t>
            </w:r>
            <w:r w:rsidR="00FA79A4">
              <w:rPr>
                <w:lang w:val="fr-FR"/>
              </w:rPr>
              <w:t>afin de soutenir des modèles d’entreprise durables et favoriser la conservation et l’utilisation durable de la biodiversité.</w:t>
            </w:r>
          </w:p>
        </w:tc>
        <w:tc>
          <w:tcPr>
            <w:tcW w:w="5130" w:type="dxa"/>
          </w:tcPr>
          <w:p w14:paraId="4490D397" w14:textId="08A867A5"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15</w:t>
            </w:r>
          </w:p>
          <w:p w14:paraId="25060B07" w14:textId="72A6FF98" w:rsidR="005750DC" w:rsidRPr="00BC180B" w:rsidRDefault="00360F03" w:rsidP="00923E71">
            <w:pPr>
              <w:spacing w:before="40" w:after="40"/>
              <w:jc w:val="left"/>
              <w:rPr>
                <w:lang w:val="fr-FR"/>
              </w:rPr>
            </w:pPr>
            <w:r>
              <w:rPr>
                <w:lang w:val="fr-FR"/>
              </w:rPr>
              <w:t xml:space="preserve">Prendre des mesures juridiques, administratives ou de politique générale visant à inciter les entreprises à agir </w:t>
            </w:r>
            <w:r>
              <w:rPr>
                <w:lang w:val="fr-FR"/>
              </w:rPr>
              <w:lastRenderedPageBreak/>
              <w:t xml:space="preserve">et à leur donner les moyens de le faire, </w:t>
            </w:r>
            <w:r>
              <w:rPr>
                <w:u w:val="thick"/>
                <w:lang w:val="fr-FR"/>
              </w:rPr>
              <w:t>notamment en veillant à ce que</w:t>
            </w:r>
            <w:r>
              <w:rPr>
                <w:lang w:val="fr-FR"/>
              </w:rPr>
              <w:t xml:space="preserve"> les grandes entreprises et les entreprises transnationales, ainsi que </w:t>
            </w:r>
            <w:r>
              <w:rPr>
                <w:u w:val="thick"/>
                <w:lang w:val="fr-FR"/>
              </w:rPr>
              <w:t>les institutions financières </w:t>
            </w:r>
            <w:r w:rsidR="005750DC" w:rsidRPr="00BC180B">
              <w:rPr>
                <w:lang w:val="fr-FR"/>
              </w:rPr>
              <w:t>:</w:t>
            </w:r>
          </w:p>
          <w:p w14:paraId="73E1D8A4" w14:textId="591BE2A5" w:rsidR="005750DC" w:rsidRPr="00BC180B" w:rsidRDefault="005750DC" w:rsidP="00923E71">
            <w:pPr>
              <w:spacing w:before="40" w:after="40"/>
              <w:ind w:firstLine="292"/>
              <w:jc w:val="left"/>
              <w:rPr>
                <w:lang w:val="fr-FR"/>
              </w:rPr>
            </w:pPr>
            <w:r w:rsidRPr="00BC180B">
              <w:rPr>
                <w:lang w:val="fr-FR"/>
              </w:rPr>
              <w:t xml:space="preserve">a) </w:t>
            </w:r>
            <w:r w:rsidR="00360F03">
              <w:rPr>
                <w:lang w:val="fr-FR"/>
              </w:rPr>
              <w:t>Contrôlent,</w:t>
            </w:r>
            <w:r w:rsidRPr="00BC180B">
              <w:rPr>
                <w:lang w:val="fr-FR"/>
              </w:rPr>
              <w:t xml:space="preserve"> </w:t>
            </w:r>
            <w:r w:rsidR="00360F03">
              <w:rPr>
                <w:u w:val="thick"/>
                <w:lang w:val="fr-FR"/>
              </w:rPr>
              <w:t>évaluent et communiquent régulièrement et de manière transparente leurs risques,</w:t>
            </w:r>
            <w:r w:rsidRPr="00BC180B">
              <w:rPr>
                <w:u w:val="thick"/>
                <w:lang w:val="fr-FR"/>
              </w:rPr>
              <w:t xml:space="preserve"> </w:t>
            </w:r>
            <w:r w:rsidR="00360F03">
              <w:rPr>
                <w:lang w:val="fr-FR"/>
              </w:rPr>
              <w:t>dépendances</w:t>
            </w:r>
            <w:r w:rsidRPr="00BC180B">
              <w:rPr>
                <w:lang w:val="fr-FR"/>
              </w:rPr>
              <w:t xml:space="preserve"> </w:t>
            </w:r>
            <w:r w:rsidR="00360F03">
              <w:rPr>
                <w:u w:val="thick"/>
                <w:lang w:val="fr-FR"/>
              </w:rPr>
              <w:t>et incidences sur la biodiversité</w:t>
            </w:r>
            <w:r w:rsidRPr="00BC180B">
              <w:rPr>
                <w:lang w:val="fr-FR"/>
              </w:rPr>
              <w:t xml:space="preserve">, </w:t>
            </w:r>
            <w:r w:rsidR="00360F03">
              <w:rPr>
                <w:lang w:val="fr-FR"/>
              </w:rPr>
              <w:t xml:space="preserve">y compris en prévoyant des dispositions applicables à toutes les grandes entreprises ainsi qu’aux entreprises transnationales et </w:t>
            </w:r>
            <w:r w:rsidR="00360F03">
              <w:rPr>
                <w:u w:val="thick"/>
                <w:lang w:val="fr-FR"/>
              </w:rPr>
              <w:t>aux institutions financières</w:t>
            </w:r>
            <w:r w:rsidR="00360F03">
              <w:rPr>
                <w:lang w:val="fr-FR"/>
              </w:rPr>
              <w:t xml:space="preserve"> concernant leurs opérations, leurs chaînes d’approvisionnement et de valeur, ainsi que </w:t>
            </w:r>
            <w:r w:rsidR="00360F03">
              <w:rPr>
                <w:u w:val="thick"/>
                <w:lang w:val="fr-FR"/>
              </w:rPr>
              <w:t>leurs portefeuilles </w:t>
            </w:r>
            <w:r w:rsidR="00B82D55" w:rsidRPr="00BC180B">
              <w:rPr>
                <w:lang w:val="fr-FR"/>
              </w:rPr>
              <w:t>;</w:t>
            </w:r>
          </w:p>
          <w:p w14:paraId="6BE6AF67" w14:textId="14E7DE54" w:rsidR="005750DC" w:rsidRPr="00BC180B" w:rsidRDefault="005750DC" w:rsidP="00360F03">
            <w:pPr>
              <w:spacing w:before="40" w:after="40"/>
              <w:ind w:firstLine="292"/>
              <w:jc w:val="left"/>
              <w:rPr>
                <w:lang w:val="fr-FR"/>
              </w:rPr>
            </w:pPr>
            <w:r w:rsidRPr="00BC180B">
              <w:rPr>
                <w:lang w:val="fr-FR"/>
              </w:rPr>
              <w:t xml:space="preserve">b) </w:t>
            </w:r>
            <w:r w:rsidR="00360F03" w:rsidRPr="00360F03">
              <w:rPr>
                <w:lang w:val="fr-FR"/>
              </w:rPr>
              <w:t>Informent les consommateurs en vue de promouvoir des modes de consommation durables ;</w:t>
            </w:r>
          </w:p>
          <w:p w14:paraId="0194878B" w14:textId="549205A2" w:rsidR="00360F03" w:rsidRDefault="00360F03" w:rsidP="007F224C">
            <w:pPr>
              <w:spacing w:before="40" w:after="40"/>
              <w:jc w:val="left"/>
              <w:rPr>
                <w:lang w:val="fr-FR"/>
              </w:rPr>
            </w:pPr>
            <w:r>
              <w:rPr>
                <w:lang w:val="fr-FR"/>
              </w:rPr>
              <w:t xml:space="preserve">     </w:t>
            </w:r>
            <w:r w:rsidR="005750DC" w:rsidRPr="00BC180B">
              <w:rPr>
                <w:lang w:val="fr-FR"/>
              </w:rPr>
              <w:t xml:space="preserve">c) </w:t>
            </w:r>
            <w:r w:rsidRPr="00360F03">
              <w:rPr>
                <w:lang w:val="fr-FR"/>
              </w:rPr>
              <w:t>Rendent compte du respect des dispositions et mesures relatives à l</w:t>
            </w:r>
            <w:r w:rsidR="0053193C">
              <w:rPr>
                <w:lang w:val="fr-FR"/>
              </w:rPr>
              <w:t>’</w:t>
            </w:r>
            <w:r w:rsidRPr="00360F03">
              <w:rPr>
                <w:lang w:val="fr-FR"/>
              </w:rPr>
              <w:t>accès et au partage des avantages, en tant que de besoin</w:t>
            </w:r>
            <w:r w:rsidR="0053193C">
              <w:rPr>
                <w:lang w:val="fr-FR"/>
              </w:rPr>
              <w:t> </w:t>
            </w:r>
            <w:r w:rsidRPr="00360F03">
              <w:rPr>
                <w:lang w:val="fr-FR"/>
              </w:rPr>
              <w:t>;</w:t>
            </w:r>
          </w:p>
          <w:p w14:paraId="28AD9286" w14:textId="3286B0E1" w:rsidR="005750DC" w:rsidRDefault="00360F03" w:rsidP="007F224C">
            <w:pPr>
              <w:spacing w:before="40" w:after="40"/>
              <w:jc w:val="left"/>
              <w:rPr>
                <w:lang w:val="fr-FR"/>
              </w:rPr>
            </w:pPr>
            <w:r>
              <w:rPr>
                <w:lang w:val="fr-FR"/>
              </w:rPr>
              <w:t>afin de</w:t>
            </w:r>
            <w:r w:rsidR="005750DC" w:rsidRPr="00BC180B">
              <w:rPr>
                <w:lang w:val="fr-FR"/>
              </w:rPr>
              <w:t xml:space="preserve"> </w:t>
            </w:r>
            <w:r>
              <w:rPr>
                <w:u w:val="thick"/>
                <w:lang w:val="fr-FR"/>
              </w:rPr>
              <w:t xml:space="preserve">réduire progressivement les incidences négatives sur la </w:t>
            </w:r>
            <w:r w:rsidR="00CA3C99">
              <w:rPr>
                <w:u w:val="thick"/>
                <w:lang w:val="fr-FR"/>
              </w:rPr>
              <w:t>biodiversité</w:t>
            </w:r>
            <w:r>
              <w:rPr>
                <w:u w:val="thick"/>
                <w:lang w:val="fr-FR"/>
              </w:rPr>
              <w:t>, d’accroître les incidences positives, de réduire les risques liés à la biodiversité</w:t>
            </w:r>
            <w:r w:rsidR="005750DC" w:rsidRPr="00BC180B">
              <w:rPr>
                <w:lang w:val="fr-FR"/>
              </w:rPr>
              <w:t xml:space="preserve"> </w:t>
            </w:r>
            <w:r>
              <w:rPr>
                <w:lang w:val="fr-FR"/>
              </w:rPr>
              <w:t xml:space="preserve">pour les entreprises et </w:t>
            </w:r>
            <w:r>
              <w:rPr>
                <w:u w:val="thick"/>
                <w:lang w:val="fr-FR"/>
              </w:rPr>
              <w:t>les institutions financières</w:t>
            </w:r>
            <w:r w:rsidR="005750DC" w:rsidRPr="00BC180B">
              <w:rPr>
                <w:lang w:val="fr-FR"/>
              </w:rPr>
              <w:t xml:space="preserve">, </w:t>
            </w:r>
            <w:r w:rsidRPr="00360F03">
              <w:rPr>
                <w:lang w:val="fr-FR"/>
              </w:rPr>
              <w:t>et de promouvoir des mesures propres à garantir des modes de production durables.</w:t>
            </w:r>
          </w:p>
          <w:p w14:paraId="5D35FE79" w14:textId="77777777" w:rsidR="00360F03" w:rsidRPr="00BC180B" w:rsidRDefault="00360F03" w:rsidP="007F224C">
            <w:pPr>
              <w:spacing w:before="40" w:after="40"/>
              <w:jc w:val="left"/>
              <w:rPr>
                <w:lang w:val="fr-FR"/>
              </w:rPr>
            </w:pPr>
          </w:p>
          <w:p w14:paraId="25DAF839" w14:textId="77777777" w:rsidR="005750DC" w:rsidRPr="00BC180B" w:rsidRDefault="005750DC" w:rsidP="007F224C">
            <w:pPr>
              <w:spacing w:before="40" w:after="40"/>
              <w:jc w:val="left"/>
              <w:rPr>
                <w:lang w:val="fr-FR"/>
              </w:rPr>
            </w:pPr>
          </w:p>
        </w:tc>
        <w:tc>
          <w:tcPr>
            <w:tcW w:w="4320" w:type="dxa"/>
          </w:tcPr>
          <w:p w14:paraId="5C715881" w14:textId="7F4CB0DC"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19</w:t>
            </w:r>
          </w:p>
          <w:p w14:paraId="5887C1FA" w14:textId="2C62207A" w:rsidR="005750DC" w:rsidRPr="00BC180B" w:rsidRDefault="00360F03" w:rsidP="00923E71">
            <w:pPr>
              <w:spacing w:before="40" w:after="40"/>
              <w:jc w:val="left"/>
              <w:rPr>
                <w:lang w:val="fr-FR"/>
              </w:rPr>
            </w:pPr>
            <w:r>
              <w:rPr>
                <w:u w:val="double"/>
                <w:lang w:val="fr-FR"/>
              </w:rPr>
              <w:t>Augmenter</w:t>
            </w:r>
            <w:r>
              <w:rPr>
                <w:lang w:val="fr-FR"/>
              </w:rPr>
              <w:t xml:space="preserve"> sensiblement et progressivement </w:t>
            </w:r>
            <w:r>
              <w:rPr>
                <w:u w:val="double"/>
                <w:lang w:val="fr-FR"/>
              </w:rPr>
              <w:t xml:space="preserve">les ressources financières provenant de toutes </w:t>
            </w:r>
            <w:r>
              <w:rPr>
                <w:u w:val="double"/>
                <w:lang w:val="fr-FR"/>
              </w:rPr>
              <w:lastRenderedPageBreak/>
              <w:t>les sources</w:t>
            </w:r>
            <w:r w:rsidR="005750DC" w:rsidRPr="00BC180B">
              <w:rPr>
                <w:lang w:val="fr-FR"/>
              </w:rPr>
              <w:t xml:space="preserve">, </w:t>
            </w:r>
            <w:r w:rsidRPr="00360F03">
              <w:rPr>
                <w:lang w:val="fr-FR"/>
              </w:rPr>
              <w:t>de manière efficace, opportune et en facilitant leur accès, y compris les ressources nationales, internationales, publiques et privées, conformément à l</w:t>
            </w:r>
            <w:r w:rsidR="0053193C">
              <w:rPr>
                <w:lang w:val="fr-FR"/>
              </w:rPr>
              <w:t>’</w:t>
            </w:r>
            <w:r w:rsidRPr="00360F03">
              <w:rPr>
                <w:lang w:val="fr-FR"/>
              </w:rPr>
              <w:t>article</w:t>
            </w:r>
            <w:r w:rsidR="0053193C">
              <w:rPr>
                <w:lang w:val="fr-FR"/>
              </w:rPr>
              <w:t> </w:t>
            </w:r>
            <w:r w:rsidRPr="00360F03">
              <w:rPr>
                <w:lang w:val="fr-FR"/>
              </w:rPr>
              <w:t>20 de la Convention, afin de mettre en œuvre les stratégies et plans d</w:t>
            </w:r>
            <w:r w:rsidR="0053193C">
              <w:rPr>
                <w:lang w:val="fr-FR"/>
              </w:rPr>
              <w:t>’</w:t>
            </w:r>
            <w:r w:rsidRPr="00360F03">
              <w:rPr>
                <w:lang w:val="fr-FR"/>
              </w:rPr>
              <w:t>action nationaux pour la diversité biologique, en mobilisant au moins 200</w:t>
            </w:r>
            <w:r w:rsidR="0053193C">
              <w:rPr>
                <w:lang w:val="fr-FR"/>
              </w:rPr>
              <w:t> </w:t>
            </w:r>
            <w:r w:rsidRPr="00360F03">
              <w:rPr>
                <w:lang w:val="fr-FR"/>
              </w:rPr>
              <w:t>milliards de dollars par an d</w:t>
            </w:r>
            <w:r w:rsidR="0053193C">
              <w:rPr>
                <w:lang w:val="fr-FR"/>
              </w:rPr>
              <w:t>’</w:t>
            </w:r>
            <w:r w:rsidRPr="00360F03">
              <w:rPr>
                <w:lang w:val="fr-FR"/>
              </w:rPr>
              <w:t>ici à 2030, et notamment en s’employant à</w:t>
            </w:r>
            <w:r w:rsidR="005750DC" w:rsidRPr="00BC180B">
              <w:rPr>
                <w:rStyle w:val="Appelnotedebasdep"/>
                <w:lang w:val="fr-FR"/>
              </w:rPr>
              <w:footnoteReference w:id="11"/>
            </w:r>
            <w:r w:rsidR="005750DC" w:rsidRPr="00BC180B">
              <w:rPr>
                <w:lang w:val="fr-FR"/>
              </w:rPr>
              <w:t>…</w:t>
            </w:r>
          </w:p>
          <w:p w14:paraId="0015C3A2" w14:textId="6B7E30AB" w:rsidR="005750DC" w:rsidRPr="00BC180B" w:rsidRDefault="00360F03" w:rsidP="00923E71">
            <w:pPr>
              <w:spacing w:before="40" w:after="40"/>
              <w:ind w:firstLine="259"/>
              <w:jc w:val="left"/>
              <w:rPr>
                <w:u w:val="double"/>
                <w:lang w:val="fr-FR"/>
              </w:rPr>
            </w:pPr>
            <w:r>
              <w:rPr>
                <w:lang w:val="fr-FR"/>
              </w:rPr>
              <w:t>c</w:t>
            </w:r>
            <w:r w:rsidR="005750DC" w:rsidRPr="00BC180B">
              <w:rPr>
                <w:lang w:val="fr-FR"/>
              </w:rPr>
              <w:t xml:space="preserve">) </w:t>
            </w:r>
            <w:r w:rsidRPr="00360F03">
              <w:rPr>
                <w:u w:val="double"/>
                <w:lang w:val="fr-FR"/>
              </w:rPr>
              <w:t>Tirer parti des financements privés, promouvoir les financements mixtes, mettre en œuvre des stratégies de mobilisation de ressources nouvelles et supplémentaires, et encourager le secteur privé à investir dans la biodiversité, notamment grâce à des fonds à impact et à d</w:t>
            </w:r>
            <w:r w:rsidR="0053193C">
              <w:rPr>
                <w:u w:val="double"/>
                <w:lang w:val="fr-FR"/>
              </w:rPr>
              <w:t>’</w:t>
            </w:r>
            <w:r w:rsidRPr="00360F03">
              <w:rPr>
                <w:u w:val="double"/>
                <w:lang w:val="fr-FR"/>
              </w:rPr>
              <w:t>autres instruments</w:t>
            </w:r>
            <w:r w:rsidR="0053193C">
              <w:rPr>
                <w:u w:val="double"/>
                <w:lang w:val="fr-FR"/>
              </w:rPr>
              <w:t> </w:t>
            </w:r>
            <w:r w:rsidRPr="00360F03">
              <w:rPr>
                <w:u w:val="double"/>
                <w:lang w:val="fr-FR"/>
              </w:rPr>
              <w:t>;</w:t>
            </w:r>
          </w:p>
          <w:p w14:paraId="2A09BD63" w14:textId="0E5A776F" w:rsidR="005750DC" w:rsidRPr="00BC180B" w:rsidRDefault="005750DC" w:rsidP="00923E71">
            <w:pPr>
              <w:spacing w:before="40" w:after="40"/>
              <w:ind w:firstLine="259"/>
              <w:jc w:val="left"/>
              <w:rPr>
                <w:lang w:val="fr-FR"/>
              </w:rPr>
            </w:pPr>
            <w:r w:rsidRPr="00BC180B">
              <w:rPr>
                <w:u w:val="double"/>
                <w:lang w:val="fr-FR"/>
              </w:rPr>
              <w:t>d)</w:t>
            </w:r>
            <w:r w:rsidR="00360F03" w:rsidRPr="00360F03">
              <w:rPr>
                <w:lang w:val="fr-FR"/>
                <w14:ligatures w14:val="none"/>
              </w:rPr>
              <w:t xml:space="preserve"> </w:t>
            </w:r>
            <w:r w:rsidR="00360F03" w:rsidRPr="00360F03">
              <w:rPr>
                <w:u w:val="double"/>
                <w:lang w:val="fr-FR"/>
              </w:rPr>
              <w:t>Promouvoir des systèmes innovants tels que le paiement des services écosystémiques, les obligations vertes, les crédits et compensations en matière de biodiversité et les mécanismes de partage des avantages, grâce à</w:t>
            </w:r>
            <w:r w:rsidR="0053193C">
              <w:rPr>
                <w:u w:val="double"/>
                <w:lang w:val="fr-FR"/>
              </w:rPr>
              <w:t xml:space="preserve"> des</w:t>
            </w:r>
            <w:r w:rsidR="00360F03" w:rsidRPr="00360F03">
              <w:rPr>
                <w:u w:val="double"/>
                <w:lang w:val="fr-FR"/>
              </w:rPr>
              <w:t xml:space="preserve"> mesures de protection environnementales et sociales</w:t>
            </w:r>
            <w:r w:rsidR="0053193C">
              <w:rPr>
                <w:u w:val="double"/>
                <w:lang w:val="fr-FR"/>
              </w:rPr>
              <w:t> </w:t>
            </w:r>
            <w:r w:rsidR="00360F03" w:rsidRPr="00360F03">
              <w:rPr>
                <w:u w:val="double"/>
                <w:lang w:val="fr-FR"/>
              </w:rPr>
              <w:t>;</w:t>
            </w:r>
          </w:p>
        </w:tc>
      </w:tr>
      <w:tr w:rsidR="005750DC" w:rsidRPr="00BC180B" w14:paraId="549A6337" w14:textId="77777777" w:rsidTr="00453E3C">
        <w:tc>
          <w:tcPr>
            <w:tcW w:w="4135" w:type="dxa"/>
          </w:tcPr>
          <w:p w14:paraId="6B3B4825" w14:textId="3DF71DA1" w:rsidR="005750DC" w:rsidRPr="00BC180B" w:rsidRDefault="00FA79A4" w:rsidP="007F224C">
            <w:pPr>
              <w:spacing w:before="40" w:after="40"/>
              <w:jc w:val="left"/>
              <w:rPr>
                <w:i/>
                <w:iCs/>
                <w:lang w:val="fr-FR"/>
              </w:rPr>
            </w:pPr>
            <w:r>
              <w:rPr>
                <w:i/>
                <w:iCs/>
                <w:lang w:val="fr-FR"/>
              </w:rPr>
              <w:lastRenderedPageBreak/>
              <w:t>Action principale</w:t>
            </w:r>
            <w:r w:rsidR="0053193C">
              <w:rPr>
                <w:i/>
                <w:iCs/>
                <w:lang w:val="fr-FR"/>
              </w:rPr>
              <w:t> </w:t>
            </w:r>
            <w:r w:rsidR="005750DC" w:rsidRPr="00BC180B">
              <w:rPr>
                <w:i/>
                <w:iCs/>
                <w:lang w:val="fr-FR"/>
              </w:rPr>
              <w:t>5</w:t>
            </w:r>
          </w:p>
          <w:p w14:paraId="6AD8E79F" w14:textId="0D37FCFA" w:rsidR="005750DC" w:rsidRPr="00BC180B" w:rsidRDefault="00FA79A4" w:rsidP="007F224C">
            <w:pPr>
              <w:spacing w:before="40" w:after="40"/>
              <w:jc w:val="left"/>
              <w:rPr>
                <w:lang w:val="fr-FR"/>
              </w:rPr>
            </w:pPr>
            <w:r>
              <w:rPr>
                <w:u w:val="thick"/>
                <w:lang w:val="fr-FR"/>
              </w:rPr>
              <w:t xml:space="preserve">Les populations du monde entier disposent d’informations pertinentes, ont été sensibilisées en conséquence et son dotées </w:t>
            </w:r>
            <w:r>
              <w:rPr>
                <w:u w:val="thick"/>
                <w:lang w:val="fr-FR"/>
              </w:rPr>
              <w:lastRenderedPageBreak/>
              <w:t>de capacités suffisantes en ce qui concerne le développement durable et les modes de vie en harmonie avec la nature</w:t>
            </w:r>
            <w:r w:rsidR="005750DC" w:rsidRPr="00BC180B">
              <w:rPr>
                <w:lang w:val="fr-FR"/>
              </w:rPr>
              <w:t xml:space="preserve">, </w:t>
            </w:r>
            <w:r>
              <w:rPr>
                <w:lang w:val="fr-FR"/>
              </w:rPr>
              <w:t xml:space="preserve">reflétant les valeurs aux multiples facettes de la diversité biologique et de ses éléments constitutifs, </w:t>
            </w:r>
            <w:r>
              <w:rPr>
                <w:u w:val="double"/>
                <w:lang w:val="fr-FR"/>
              </w:rPr>
              <w:t>et leur rôle central dans les vies et les moyens de subsistance des populations, et prennent des mesures quantifiables spécifiques à l’égalité des sexes en vue d’une consommation et de modes de vie durables, compte tenu des conditions socioéconomiques individuelles et nationales.</w:t>
            </w:r>
          </w:p>
        </w:tc>
        <w:tc>
          <w:tcPr>
            <w:tcW w:w="5130" w:type="dxa"/>
          </w:tcPr>
          <w:p w14:paraId="39E7D4BA" w14:textId="2E2469EC"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16</w:t>
            </w:r>
          </w:p>
          <w:p w14:paraId="665BEA44" w14:textId="77777777" w:rsidR="007D3953" w:rsidRPr="007D3953" w:rsidRDefault="007D3953" w:rsidP="007D3953">
            <w:pPr>
              <w:spacing w:before="40" w:after="40"/>
              <w:jc w:val="left"/>
              <w:rPr>
                <w:lang w:val="fr-FR"/>
              </w:rPr>
            </w:pPr>
            <w:r w:rsidRPr="007D3953">
              <w:rPr>
                <w:u w:val="thick"/>
                <w:lang w:val="fr-FR"/>
              </w:rPr>
              <w:t>Encourager les populations à faire des choix de consommation durables et à leur donner les moyens de le faire</w:t>
            </w:r>
            <w:r w:rsidR="005750DC" w:rsidRPr="00BC180B">
              <w:rPr>
                <w:lang w:val="fr-FR"/>
              </w:rPr>
              <w:t xml:space="preserve">, </w:t>
            </w:r>
            <w:r>
              <w:rPr>
                <w:lang w:val="fr-FR"/>
              </w:rPr>
              <w:t xml:space="preserve">notamment en créant des cadres politiques, </w:t>
            </w:r>
            <w:r>
              <w:rPr>
                <w:lang w:val="fr-FR"/>
              </w:rPr>
              <w:lastRenderedPageBreak/>
              <w:t xml:space="preserve">législatifs ou réglementaires propices, en améliorant l’éducation ainsi que l’accès à des informations pertinents et précises et à des solutions de substitution, et, d’ici à 2030, </w:t>
            </w:r>
            <w:r>
              <w:rPr>
                <w:u w:val="thick"/>
                <w:lang w:val="fr-FR"/>
              </w:rPr>
              <w:t>réduire l’empreinte mondiale de la consommation</w:t>
            </w:r>
            <w:r w:rsidR="005750DC" w:rsidRPr="00BC180B">
              <w:rPr>
                <w:lang w:val="fr-FR"/>
              </w:rPr>
              <w:t xml:space="preserve"> </w:t>
            </w:r>
            <w:r>
              <w:rPr>
                <w:lang w:val="fr-FR"/>
              </w:rPr>
              <w:t xml:space="preserve">de manière équitable, notamment en réduisant de moitié le gaspillage alimentaire mondial, </w:t>
            </w:r>
            <w:r>
              <w:rPr>
                <w:u w:val="thick"/>
                <w:lang w:val="fr-FR"/>
              </w:rPr>
              <w:t>en limitant significativement la surconsommation</w:t>
            </w:r>
            <w:r w:rsidR="005750DC" w:rsidRPr="00BC180B">
              <w:rPr>
                <w:lang w:val="fr-FR"/>
              </w:rPr>
              <w:t xml:space="preserve"> </w:t>
            </w:r>
            <w:r w:rsidRPr="007D3953">
              <w:rPr>
                <w:lang w:val="fr-FR"/>
              </w:rPr>
              <w:t>et en diminuant considérablement la production de déchets, de manière à permettre à tous de vivre agréablement en harmonie avec la Terre nourricière.</w:t>
            </w:r>
          </w:p>
          <w:p w14:paraId="1E3AB0E1" w14:textId="6F371CA6" w:rsidR="005750DC" w:rsidRPr="00BC180B" w:rsidRDefault="005750DC" w:rsidP="007F224C">
            <w:pPr>
              <w:spacing w:before="40" w:after="40"/>
              <w:jc w:val="left"/>
              <w:rPr>
                <w:lang w:val="fr-FR"/>
              </w:rPr>
            </w:pPr>
          </w:p>
          <w:p w14:paraId="4CA073CA" w14:textId="77777777" w:rsidR="005750DC" w:rsidRPr="00BC180B" w:rsidRDefault="005750DC" w:rsidP="007F224C">
            <w:pPr>
              <w:spacing w:before="40" w:after="40"/>
              <w:jc w:val="left"/>
              <w:rPr>
                <w:lang w:val="fr-FR"/>
              </w:rPr>
            </w:pPr>
          </w:p>
        </w:tc>
        <w:tc>
          <w:tcPr>
            <w:tcW w:w="4320" w:type="dxa"/>
          </w:tcPr>
          <w:p w14:paraId="4286F43C" w14:textId="165F6B6A" w:rsidR="005750DC" w:rsidRPr="00BC180B" w:rsidRDefault="00FA79A4" w:rsidP="007F224C">
            <w:pPr>
              <w:spacing w:before="40" w:after="40"/>
              <w:jc w:val="left"/>
              <w:rPr>
                <w:i/>
                <w:iCs/>
                <w:lang w:val="fr-FR"/>
              </w:rPr>
            </w:pPr>
            <w:r>
              <w:rPr>
                <w:i/>
                <w:iCs/>
                <w:lang w:val="fr-FR"/>
              </w:rPr>
              <w:lastRenderedPageBreak/>
              <w:t>Cible</w:t>
            </w:r>
            <w:r w:rsidR="0053193C">
              <w:rPr>
                <w:i/>
                <w:iCs/>
                <w:lang w:val="fr-FR"/>
              </w:rPr>
              <w:t> </w:t>
            </w:r>
            <w:r w:rsidR="005750DC" w:rsidRPr="00BC180B">
              <w:rPr>
                <w:i/>
                <w:iCs/>
                <w:lang w:val="fr-FR"/>
              </w:rPr>
              <w:t>9</w:t>
            </w:r>
          </w:p>
          <w:p w14:paraId="5C65D8A1" w14:textId="5456F822" w:rsidR="005750DC" w:rsidRPr="007D3953" w:rsidRDefault="007D3953" w:rsidP="005771BF">
            <w:pPr>
              <w:spacing w:before="40" w:after="40"/>
              <w:jc w:val="left"/>
              <w:rPr>
                <w:bCs/>
                <w:lang w:val="fr-FR"/>
              </w:rPr>
            </w:pPr>
            <w:r>
              <w:rPr>
                <w:lang w:val="fr-FR"/>
              </w:rPr>
              <w:t xml:space="preserve">Garantir une gestion et une utilisation durables des espèces sauvages, de façon à </w:t>
            </w:r>
            <w:r w:rsidRPr="007D3953">
              <w:rPr>
                <w:bCs/>
                <w:u w:val="double"/>
                <w:lang w:val="fr-FR"/>
              </w:rPr>
              <w:t xml:space="preserve">procurer des avantages sociaux, économiques </w:t>
            </w:r>
            <w:r w:rsidRPr="007D3953">
              <w:rPr>
                <w:bCs/>
                <w:u w:val="double"/>
                <w:lang w:val="fr-FR"/>
              </w:rPr>
              <w:lastRenderedPageBreak/>
              <w:t>et environnementaux aux populations, en particulier aux populations vulnérables et à celles qui dépendent le plus de la biodiversité</w:t>
            </w:r>
            <w:r w:rsidR="005750DC" w:rsidRPr="00BC180B">
              <w:rPr>
                <w:lang w:val="fr-FR"/>
              </w:rPr>
              <w:t xml:space="preserve">, </w:t>
            </w:r>
            <w:r w:rsidRPr="007D3953">
              <w:rPr>
                <w:bCs/>
                <w:lang w:val="fr-FR"/>
              </w:rPr>
              <w:t>notamment grâce à des activités, des produits et des services durables liés à la biodiversité qui contribuent à son amélioration, et protéger et promouvoir les pratiques traditionnelles d</w:t>
            </w:r>
            <w:r w:rsidR="0053193C">
              <w:rPr>
                <w:bCs/>
                <w:lang w:val="fr-FR"/>
              </w:rPr>
              <w:t>’</w:t>
            </w:r>
            <w:r w:rsidRPr="007D3953">
              <w:rPr>
                <w:bCs/>
                <w:lang w:val="fr-FR"/>
              </w:rPr>
              <w:t>utilisation durable des peuples autochtones et des communautés locales.</w:t>
            </w:r>
          </w:p>
          <w:p w14:paraId="4A34843C" w14:textId="0C0F888A" w:rsidR="005750DC" w:rsidRPr="00BC180B" w:rsidRDefault="00FA79A4" w:rsidP="005771BF">
            <w:pPr>
              <w:spacing w:before="120" w:after="40"/>
              <w:jc w:val="left"/>
              <w:rPr>
                <w:i/>
                <w:iCs/>
                <w:lang w:val="fr-FR"/>
              </w:rPr>
            </w:pPr>
            <w:r>
              <w:rPr>
                <w:i/>
                <w:iCs/>
                <w:lang w:val="fr-FR"/>
              </w:rPr>
              <w:t>Cible</w:t>
            </w:r>
            <w:r w:rsidR="0053193C">
              <w:rPr>
                <w:i/>
                <w:iCs/>
                <w:lang w:val="fr-FR"/>
              </w:rPr>
              <w:t> </w:t>
            </w:r>
            <w:r w:rsidR="005750DC" w:rsidRPr="00BC180B">
              <w:rPr>
                <w:i/>
                <w:iCs/>
                <w:lang w:val="fr-FR"/>
              </w:rPr>
              <w:t>22</w:t>
            </w:r>
          </w:p>
          <w:p w14:paraId="248B3D5C" w14:textId="687F3285" w:rsidR="007D3953" w:rsidRDefault="007D3953" w:rsidP="005771BF">
            <w:pPr>
              <w:spacing w:before="120" w:after="40"/>
              <w:jc w:val="left"/>
              <w:rPr>
                <w:iCs/>
                <w:lang w:val="fr-FR"/>
              </w:rPr>
            </w:pPr>
            <w:r>
              <w:rPr>
                <w:lang w:val="fr-FR"/>
              </w:rPr>
              <w:t xml:space="preserve">Assurer une </w:t>
            </w:r>
            <w:r>
              <w:rPr>
                <w:u w:val="double"/>
                <w:lang w:val="fr-FR"/>
              </w:rPr>
              <w:t>représentation et une participation</w:t>
            </w:r>
            <w:r w:rsidRPr="00BC180B">
              <w:rPr>
                <w:lang w:val="fr-FR"/>
              </w:rPr>
              <w:t xml:space="preserve"> </w:t>
            </w:r>
            <w:r>
              <w:rPr>
                <w:lang w:val="fr-FR"/>
              </w:rPr>
              <w:t xml:space="preserve">pleines et entières, </w:t>
            </w:r>
            <w:r w:rsidRPr="007D3953">
              <w:rPr>
                <w:iCs/>
                <w:u w:val="double"/>
                <w:lang w:val="fr-FR"/>
              </w:rPr>
              <w:t>équitables, inclusives, efficaces et tenant compte du genre</w:t>
            </w:r>
            <w:r>
              <w:rPr>
                <w:lang w:val="fr-FR"/>
              </w:rPr>
              <w:t xml:space="preserve"> des peuples autochtones et des communautés locales </w:t>
            </w:r>
            <w:r>
              <w:rPr>
                <w:u w:val="double"/>
                <w:lang w:val="fr-FR"/>
              </w:rPr>
              <w:t>aux processus décisionnels</w:t>
            </w:r>
            <w:r w:rsidRPr="00BC180B">
              <w:rPr>
                <w:lang w:val="fr-FR"/>
              </w:rPr>
              <w:t xml:space="preserve"> </w:t>
            </w:r>
            <w:r w:rsidRPr="007D3953">
              <w:rPr>
                <w:iCs/>
                <w:lang w:val="fr-FR"/>
              </w:rPr>
              <w:t>ainsi que leur accès à la justice et aux informations relatives à la biodiversité, dans le respect de leurs cultures et de leurs droits sur leurs terres, territoires, ressources et connaissances traditionnelles, tout en veillant à inclure les femmes et les filles, les enfants et les jeunes, ainsi que les personnes handicapées, et garantir la pleine protection des défenseurs et défenseuses des droits de l</w:t>
            </w:r>
            <w:r w:rsidR="0053193C">
              <w:rPr>
                <w:iCs/>
                <w:lang w:val="fr-FR"/>
              </w:rPr>
              <w:t>’</w:t>
            </w:r>
            <w:r w:rsidRPr="007D3953">
              <w:rPr>
                <w:iCs/>
                <w:lang w:val="fr-FR"/>
              </w:rPr>
              <w:t>homme en matière d</w:t>
            </w:r>
            <w:r w:rsidR="0053193C">
              <w:rPr>
                <w:iCs/>
                <w:lang w:val="fr-FR"/>
              </w:rPr>
              <w:t>’</w:t>
            </w:r>
            <w:r w:rsidRPr="007D3953">
              <w:rPr>
                <w:iCs/>
                <w:lang w:val="fr-FR"/>
              </w:rPr>
              <w:t>environnement.</w:t>
            </w:r>
          </w:p>
          <w:p w14:paraId="53CE8277" w14:textId="5304CEAE" w:rsidR="005750DC" w:rsidRPr="00BC180B" w:rsidRDefault="00FA79A4" w:rsidP="005771BF">
            <w:pPr>
              <w:spacing w:before="120" w:after="40"/>
              <w:jc w:val="left"/>
              <w:rPr>
                <w:i/>
                <w:iCs/>
                <w:lang w:val="fr-FR"/>
              </w:rPr>
            </w:pPr>
            <w:r>
              <w:rPr>
                <w:i/>
                <w:iCs/>
                <w:lang w:val="fr-FR"/>
              </w:rPr>
              <w:t>Cible</w:t>
            </w:r>
            <w:r w:rsidR="0053193C">
              <w:rPr>
                <w:i/>
                <w:iCs/>
                <w:lang w:val="fr-FR"/>
              </w:rPr>
              <w:t> </w:t>
            </w:r>
            <w:r w:rsidR="005750DC" w:rsidRPr="00BC180B">
              <w:rPr>
                <w:i/>
                <w:iCs/>
                <w:lang w:val="fr-FR"/>
              </w:rPr>
              <w:t>23</w:t>
            </w:r>
          </w:p>
          <w:p w14:paraId="76E0037C" w14:textId="2F91D6EE" w:rsidR="005750DC" w:rsidRPr="00BC180B" w:rsidRDefault="007D3953" w:rsidP="005771BF">
            <w:pPr>
              <w:spacing w:before="40" w:after="40"/>
              <w:jc w:val="left"/>
              <w:rPr>
                <w:lang w:val="fr-FR"/>
              </w:rPr>
            </w:pPr>
            <w:r>
              <w:rPr>
                <w:lang w:val="fr-FR"/>
              </w:rPr>
              <w:t>Assurer</w:t>
            </w:r>
            <w:r w:rsidR="005750DC" w:rsidRPr="00BC180B">
              <w:rPr>
                <w:lang w:val="fr-FR"/>
              </w:rPr>
              <w:t xml:space="preserve"> </w:t>
            </w:r>
            <w:r>
              <w:rPr>
                <w:u w:val="double"/>
                <w:lang w:val="fr-FR"/>
              </w:rPr>
              <w:t>l’égalité des genres</w:t>
            </w:r>
            <w:r w:rsidR="005750DC" w:rsidRPr="00BC180B">
              <w:rPr>
                <w:lang w:val="fr-FR"/>
              </w:rPr>
              <w:t xml:space="preserve"> </w:t>
            </w:r>
            <w:r>
              <w:rPr>
                <w:lang w:val="fr-FR"/>
              </w:rPr>
              <w:t xml:space="preserve">dans la mise en œuvre du cadre grâce à une approche </w:t>
            </w:r>
            <w:r>
              <w:rPr>
                <w:u w:val="double"/>
                <w:lang w:val="fr-FR"/>
              </w:rPr>
              <w:t>tenant compte du genre,</w:t>
            </w:r>
            <w:r w:rsidR="005750DC" w:rsidRPr="00BC180B">
              <w:rPr>
                <w:lang w:val="fr-FR"/>
              </w:rPr>
              <w:t xml:space="preserve"> </w:t>
            </w:r>
            <w:r w:rsidRPr="007D3953">
              <w:rPr>
                <w:lang w:val="fr-FR"/>
              </w:rPr>
              <w:t xml:space="preserve">permettant à toutes les femmes et à toutes les filles de bénéficier des mêmes possibilités et capacités de contribuer à la réalisation des trois objectifs de la </w:t>
            </w:r>
            <w:r w:rsidRPr="007D3953">
              <w:rPr>
                <w:lang w:val="fr-FR"/>
              </w:rPr>
              <w:lastRenderedPageBreak/>
              <w:t>Convention, notamment en reconnaissant l</w:t>
            </w:r>
            <w:r w:rsidR="0053193C">
              <w:rPr>
                <w:lang w:val="fr-FR"/>
              </w:rPr>
              <w:t>’</w:t>
            </w:r>
            <w:r w:rsidRPr="007D3953">
              <w:rPr>
                <w:lang w:val="fr-FR"/>
              </w:rPr>
              <w:t>égalité de leurs droits et de leur accès aux terres et aux ressources naturelles, ainsi qu’en favorisant leur participation et leur leadership pleins, équitables, significatifs et éclairés à tous les niveaux de l</w:t>
            </w:r>
            <w:r w:rsidR="0053193C">
              <w:rPr>
                <w:lang w:val="fr-FR"/>
              </w:rPr>
              <w:t>’</w:t>
            </w:r>
            <w:r w:rsidRPr="007D3953">
              <w:rPr>
                <w:lang w:val="fr-FR"/>
              </w:rPr>
              <w:t>action, de la participation, de l</w:t>
            </w:r>
            <w:r w:rsidR="0053193C">
              <w:rPr>
                <w:lang w:val="fr-FR"/>
              </w:rPr>
              <w:t>’</w:t>
            </w:r>
            <w:r w:rsidRPr="007D3953">
              <w:rPr>
                <w:lang w:val="fr-FR"/>
              </w:rPr>
              <w:t>élaboration des politiques et de la prise de décision en matière de biodiversité.</w:t>
            </w:r>
          </w:p>
          <w:p w14:paraId="0AF2A6C8" w14:textId="77777777" w:rsidR="005750DC" w:rsidRPr="00BC180B" w:rsidRDefault="005750DC" w:rsidP="005771BF">
            <w:pPr>
              <w:spacing w:before="120" w:after="40"/>
              <w:jc w:val="left"/>
              <w:rPr>
                <w:i/>
                <w:iCs/>
                <w:lang w:val="fr-FR"/>
              </w:rPr>
            </w:pPr>
            <w:r w:rsidRPr="00BC180B">
              <w:rPr>
                <w:i/>
                <w:iCs/>
                <w:lang w:val="fr-FR"/>
              </w:rPr>
              <w:t>Section C</w:t>
            </w:r>
          </w:p>
          <w:p w14:paraId="19F50E84" w14:textId="24A2A6B4" w:rsidR="005750DC" w:rsidRPr="00BC180B" w:rsidRDefault="007D3953" w:rsidP="007F224C">
            <w:pPr>
              <w:pStyle w:val="Para1"/>
              <w:keepNext/>
              <w:numPr>
                <w:ilvl w:val="0"/>
                <w:numId w:val="0"/>
              </w:numPr>
              <w:spacing w:before="40" w:after="40"/>
              <w:jc w:val="left"/>
              <w:rPr>
                <w:bCs/>
                <w:i/>
                <w:iCs/>
                <w:color w:val="000000" w:themeColor="text1"/>
                <w:szCs w:val="22"/>
                <w:lang w:val="fr-FR"/>
              </w:rPr>
            </w:pPr>
            <w:r>
              <w:rPr>
                <w:bCs/>
                <w:i/>
                <w:iCs/>
                <w:lang w:val="fr-FR"/>
              </w:rPr>
              <w:t>Contexte, priorités et capacités nationales</w:t>
            </w:r>
          </w:p>
          <w:p w14:paraId="45D9EE5E" w14:textId="5573DA10" w:rsidR="005750DC" w:rsidRPr="00BC180B" w:rsidRDefault="005750DC" w:rsidP="007F224C">
            <w:pPr>
              <w:pStyle w:val="Para1"/>
              <w:numPr>
                <w:ilvl w:val="0"/>
                <w:numId w:val="0"/>
              </w:numPr>
              <w:spacing w:before="40" w:after="40"/>
              <w:ind w:firstLine="720"/>
              <w:jc w:val="left"/>
              <w:rPr>
                <w:color w:val="000000" w:themeColor="text1"/>
                <w:szCs w:val="22"/>
                <w:lang w:val="fr-FR"/>
              </w:rPr>
            </w:pPr>
            <w:r w:rsidRPr="00BC180B">
              <w:rPr>
                <w:lang w:val="fr-FR"/>
              </w:rPr>
              <w:t>d)</w:t>
            </w:r>
            <w:r w:rsidRPr="00BC180B">
              <w:rPr>
                <w:lang w:val="fr-FR"/>
              </w:rPr>
              <w:tab/>
            </w:r>
            <w:r w:rsidR="007D3953" w:rsidRPr="007D3953">
              <w:rPr>
                <w:color w:val="000000" w:themeColor="text1"/>
                <w:szCs w:val="22"/>
                <w:lang w:val="fr-FR"/>
              </w:rPr>
              <w:t xml:space="preserve">Les objectifs du cadre sont de nature mondiale. Chaque Partie contribuera à leur réalisation </w:t>
            </w:r>
            <w:r w:rsidR="007D3953">
              <w:rPr>
                <w:color w:val="000000" w:themeColor="text1"/>
                <w:szCs w:val="22"/>
                <w:u w:val="double"/>
                <w:lang w:val="fr-FR"/>
              </w:rPr>
              <w:t>en tenant compte du contexte, des priorités et des capacités nationales</w:t>
            </w:r>
            <w:r w:rsidR="00DF5754" w:rsidRPr="00BC180B">
              <w:rPr>
                <w:lang w:val="fr-FR"/>
              </w:rPr>
              <w:t>.</w:t>
            </w:r>
          </w:p>
        </w:tc>
      </w:tr>
    </w:tbl>
    <w:p w14:paraId="44CAE143" w14:textId="77777777" w:rsidR="00FD1616" w:rsidRPr="00BC180B" w:rsidRDefault="00FD1616" w:rsidP="00C854F9">
      <w:pPr>
        <w:jc w:val="left"/>
        <w:rPr>
          <w:lang w:val="fr-FR"/>
        </w:rPr>
      </w:pPr>
    </w:p>
    <w:p w14:paraId="072ACD27" w14:textId="50531AE0" w:rsidR="009D5D20" w:rsidRPr="00BC180B" w:rsidRDefault="009D2571" w:rsidP="00E82D12">
      <w:pPr>
        <w:jc w:val="center"/>
        <w:rPr>
          <w:lang w:val="fr-FR"/>
        </w:rPr>
      </w:pPr>
      <w:r w:rsidRPr="00BC180B">
        <w:rPr>
          <w:lang w:val="fr-FR"/>
        </w:rPr>
        <w:t>__________</w:t>
      </w:r>
    </w:p>
    <w:sectPr w:rsidR="009D5D20" w:rsidRPr="00BC180B" w:rsidSect="00BC4CF6">
      <w:footnotePr>
        <w:numRestart w:val="eachSect"/>
      </w:footnotePr>
      <w:pgSz w:w="15840" w:h="12240"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7636D5" w14:textId="77777777" w:rsidR="00BC4CF6" w:rsidRDefault="00BC4CF6" w:rsidP="00A96B21">
      <w:r>
        <w:separator/>
      </w:r>
    </w:p>
  </w:endnote>
  <w:endnote w:type="continuationSeparator" w:id="0">
    <w:p w14:paraId="5ED9F840" w14:textId="77777777" w:rsidR="00BC4CF6" w:rsidRDefault="00BC4CF6" w:rsidP="00A96B21">
      <w:r>
        <w:continuationSeparator/>
      </w:r>
    </w:p>
  </w:endnote>
  <w:endnote w:type="continuationNotice" w:id="1">
    <w:p w14:paraId="352A7E2A" w14:textId="77777777" w:rsidR="00BC4CF6" w:rsidRDefault="00BC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6603556"/>
      <w:docPartObj>
        <w:docPartGallery w:val="Page Numbers (Bottom of Page)"/>
        <w:docPartUnique/>
      </w:docPartObj>
    </w:sdtPr>
    <w:sdtContent>
      <w:sdt>
        <w:sdtPr>
          <w:id w:val="-1705238520"/>
          <w:docPartObj>
            <w:docPartGallery w:val="Page Numbers (Top of Page)"/>
            <w:docPartUnique/>
          </w:docPartObj>
        </w:sdtPr>
        <w:sdtContent>
          <w:p w14:paraId="79C306F4" w14:textId="77777777" w:rsidR="00A3425F" w:rsidRDefault="00A3425F">
            <w:pPr>
              <w:pStyle w:val="Pieddepage"/>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63959ED2" w14:textId="77777777" w:rsidR="00A3425F" w:rsidRDefault="00A3425F" w:rsidP="002B559C">
            <w:pPr>
              <w:pStyle w:val="Pieddepage"/>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10D57" w14:textId="77777777" w:rsidR="000804E9" w:rsidRDefault="000804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35CE0" w14:textId="77777777" w:rsidR="00BC4CF6" w:rsidRDefault="00BC4CF6" w:rsidP="00A96B21">
      <w:r>
        <w:separator/>
      </w:r>
    </w:p>
  </w:footnote>
  <w:footnote w:type="continuationSeparator" w:id="0">
    <w:p w14:paraId="62820662" w14:textId="77777777" w:rsidR="00BC4CF6" w:rsidRDefault="00BC4CF6" w:rsidP="00A96B21">
      <w:r>
        <w:continuationSeparator/>
      </w:r>
    </w:p>
  </w:footnote>
  <w:footnote w:type="continuationNotice" w:id="1">
    <w:p w14:paraId="5D85BE5D" w14:textId="77777777" w:rsidR="00BC4CF6" w:rsidRDefault="00BC4CF6"/>
  </w:footnote>
  <w:footnote w:id="2">
    <w:p w14:paraId="740B2B74" w14:textId="13C71710" w:rsidR="00A3425F" w:rsidRPr="00A96B21" w:rsidRDefault="00A3425F" w:rsidP="00D71FFB">
      <w:pPr>
        <w:pStyle w:val="Footnote"/>
      </w:pPr>
      <w:r>
        <w:rPr>
          <w:rStyle w:val="Appelnotedebasdep"/>
        </w:rPr>
        <w:t>*</w:t>
      </w:r>
      <w:r>
        <w:t xml:space="preserve"> </w:t>
      </w:r>
      <w:r w:rsidRPr="00A96B21">
        <w:t>CBD/</w:t>
      </w:r>
      <w:r w:rsidR="00532798">
        <w:t>SBI/4/1</w:t>
      </w:r>
      <w:r w:rsidR="00203AA5">
        <w:t>.</w:t>
      </w:r>
    </w:p>
  </w:footnote>
  <w:footnote w:id="3">
    <w:p w14:paraId="4DA50FD4" w14:textId="31CE388B" w:rsidR="008057DA" w:rsidRPr="00CA3C99" w:rsidRDefault="008057DA">
      <w:pPr>
        <w:pStyle w:val="Notedebasdepage"/>
        <w:rPr>
          <w:lang w:val="fr-FR"/>
        </w:rPr>
      </w:pPr>
      <w:r w:rsidRPr="00CA3C99">
        <w:rPr>
          <w:rStyle w:val="Appelnotedebasdep"/>
          <w:sz w:val="18"/>
          <w:szCs w:val="18"/>
          <w:lang w:val="fr-FR"/>
        </w:rPr>
        <w:footnoteRef/>
      </w:r>
      <w:r w:rsidRPr="00CA3C99">
        <w:rPr>
          <w:sz w:val="18"/>
          <w:szCs w:val="18"/>
          <w:lang w:val="fr-FR"/>
        </w:rPr>
        <w:t xml:space="preserve"> </w:t>
      </w:r>
      <w:r w:rsidR="00CA3C99" w:rsidRPr="00CA3C99">
        <w:rPr>
          <w:sz w:val="18"/>
          <w:szCs w:val="18"/>
          <w:lang w:val="fr-FR"/>
        </w:rPr>
        <w:t xml:space="preserve">Les Parties suivantes ont soumis des </w:t>
      </w:r>
      <w:r w:rsidR="003D1CB8">
        <w:rPr>
          <w:sz w:val="18"/>
          <w:szCs w:val="18"/>
          <w:lang w:val="fr-FR"/>
        </w:rPr>
        <w:t>points de vue</w:t>
      </w:r>
      <w:r w:rsidR="00CA3C99" w:rsidRPr="00CA3C99">
        <w:rPr>
          <w:sz w:val="18"/>
          <w:szCs w:val="18"/>
          <w:lang w:val="fr-FR"/>
        </w:rPr>
        <w:t> :</w:t>
      </w:r>
      <w:r w:rsidRPr="00CA3C99">
        <w:rPr>
          <w:sz w:val="18"/>
          <w:szCs w:val="18"/>
          <w:lang w:val="fr-FR"/>
        </w:rPr>
        <w:t xml:space="preserve"> B</w:t>
      </w:r>
      <w:r w:rsidR="00CA3C99">
        <w:rPr>
          <w:sz w:val="18"/>
          <w:szCs w:val="18"/>
          <w:lang w:val="fr-FR"/>
        </w:rPr>
        <w:t>é</w:t>
      </w:r>
      <w:r w:rsidRPr="00CA3C99">
        <w:rPr>
          <w:sz w:val="18"/>
          <w:szCs w:val="18"/>
          <w:lang w:val="fr-FR"/>
        </w:rPr>
        <w:t>larus, Bolivi</w:t>
      </w:r>
      <w:r w:rsidR="00CA3C99">
        <w:rPr>
          <w:sz w:val="18"/>
          <w:szCs w:val="18"/>
          <w:lang w:val="fr-FR"/>
        </w:rPr>
        <w:t>e</w:t>
      </w:r>
      <w:r w:rsidR="000F2CB8" w:rsidRPr="00CA3C99">
        <w:rPr>
          <w:sz w:val="18"/>
          <w:szCs w:val="18"/>
          <w:lang w:val="fr-FR"/>
        </w:rPr>
        <w:t xml:space="preserve"> (</w:t>
      </w:r>
      <w:r w:rsidR="00CA3C99">
        <w:rPr>
          <w:sz w:val="18"/>
          <w:szCs w:val="18"/>
          <w:lang w:val="fr-FR"/>
        </w:rPr>
        <w:t>État plurinational de</w:t>
      </w:r>
      <w:r w:rsidR="000F2CB8" w:rsidRPr="00CA3C99">
        <w:rPr>
          <w:sz w:val="18"/>
          <w:szCs w:val="18"/>
          <w:lang w:val="fr-FR"/>
        </w:rPr>
        <w:t>)</w:t>
      </w:r>
      <w:r w:rsidRPr="00CA3C99">
        <w:rPr>
          <w:sz w:val="18"/>
          <w:szCs w:val="18"/>
          <w:lang w:val="fr-FR"/>
        </w:rPr>
        <w:t>, Br</w:t>
      </w:r>
      <w:r w:rsidR="00CA3C99">
        <w:rPr>
          <w:sz w:val="18"/>
          <w:szCs w:val="18"/>
          <w:lang w:val="fr-FR"/>
        </w:rPr>
        <w:t>ésil</w:t>
      </w:r>
      <w:r w:rsidRPr="00CA3C99">
        <w:rPr>
          <w:sz w:val="18"/>
          <w:szCs w:val="18"/>
          <w:lang w:val="fr-FR"/>
        </w:rPr>
        <w:t>, Canada, Chil</w:t>
      </w:r>
      <w:r w:rsidR="00CA3C99">
        <w:rPr>
          <w:sz w:val="18"/>
          <w:szCs w:val="18"/>
          <w:lang w:val="fr-FR"/>
        </w:rPr>
        <w:t>i</w:t>
      </w:r>
      <w:r w:rsidRPr="00CA3C99">
        <w:rPr>
          <w:sz w:val="18"/>
          <w:szCs w:val="18"/>
          <w:lang w:val="fr-FR"/>
        </w:rPr>
        <w:t>, Colombi</w:t>
      </w:r>
      <w:r w:rsidR="00CA3C99">
        <w:rPr>
          <w:sz w:val="18"/>
          <w:szCs w:val="18"/>
          <w:lang w:val="fr-FR"/>
        </w:rPr>
        <w:t>e</w:t>
      </w:r>
      <w:r w:rsidRPr="00CA3C99">
        <w:rPr>
          <w:sz w:val="18"/>
          <w:szCs w:val="18"/>
          <w:lang w:val="fr-FR"/>
        </w:rPr>
        <w:t>, Ha</w:t>
      </w:r>
      <w:r w:rsidR="00CA3C99">
        <w:rPr>
          <w:sz w:val="18"/>
          <w:szCs w:val="18"/>
          <w:lang w:val="fr-FR"/>
        </w:rPr>
        <w:t>ï</w:t>
      </w:r>
      <w:r w:rsidRPr="00CA3C99">
        <w:rPr>
          <w:sz w:val="18"/>
          <w:szCs w:val="18"/>
          <w:lang w:val="fr-FR"/>
        </w:rPr>
        <w:t>ti, Jap</w:t>
      </w:r>
      <w:r w:rsidR="00CA3C99">
        <w:rPr>
          <w:sz w:val="18"/>
          <w:szCs w:val="18"/>
          <w:lang w:val="fr-FR"/>
        </w:rPr>
        <w:t>o</w:t>
      </w:r>
      <w:r w:rsidRPr="00CA3C99">
        <w:rPr>
          <w:sz w:val="18"/>
          <w:szCs w:val="18"/>
          <w:lang w:val="fr-FR"/>
        </w:rPr>
        <w:t>n, Mexi</w:t>
      </w:r>
      <w:r w:rsidR="00CA3C99">
        <w:rPr>
          <w:sz w:val="18"/>
          <w:szCs w:val="18"/>
          <w:lang w:val="fr-FR"/>
        </w:rPr>
        <w:t>que</w:t>
      </w:r>
      <w:r w:rsidRPr="00CA3C99">
        <w:rPr>
          <w:sz w:val="18"/>
          <w:szCs w:val="18"/>
          <w:lang w:val="fr-FR"/>
        </w:rPr>
        <w:t xml:space="preserve">, </w:t>
      </w:r>
      <w:r w:rsidR="00CA3C99">
        <w:rPr>
          <w:sz w:val="18"/>
          <w:szCs w:val="18"/>
          <w:lang w:val="fr-FR"/>
        </w:rPr>
        <w:t>Ou</w:t>
      </w:r>
      <w:r w:rsidR="00CA3C99" w:rsidRPr="00CA3C99">
        <w:rPr>
          <w:sz w:val="18"/>
          <w:szCs w:val="18"/>
          <w:lang w:val="fr-FR"/>
        </w:rPr>
        <w:t>ganda</w:t>
      </w:r>
      <w:r w:rsidR="00CA3C99">
        <w:rPr>
          <w:sz w:val="18"/>
          <w:szCs w:val="18"/>
          <w:lang w:val="fr-FR"/>
        </w:rPr>
        <w:t xml:space="preserve">, </w:t>
      </w:r>
      <w:r w:rsidRPr="00CA3C99">
        <w:rPr>
          <w:sz w:val="18"/>
          <w:szCs w:val="18"/>
          <w:lang w:val="fr-FR"/>
        </w:rPr>
        <w:t>Philippines,</w:t>
      </w:r>
      <w:r w:rsidR="00CA3C99">
        <w:rPr>
          <w:sz w:val="18"/>
          <w:szCs w:val="18"/>
          <w:lang w:val="fr-FR"/>
        </w:rPr>
        <w:t xml:space="preserve"> Royaume-Uni de Grande-Bretagne et d’Irlande du Nord, </w:t>
      </w:r>
      <w:r w:rsidRPr="00CA3C99">
        <w:rPr>
          <w:sz w:val="18"/>
          <w:szCs w:val="18"/>
          <w:lang w:val="fr-FR"/>
        </w:rPr>
        <w:t xml:space="preserve">Seychelles, </w:t>
      </w:r>
      <w:r w:rsidR="00CA3C99">
        <w:rPr>
          <w:sz w:val="18"/>
          <w:szCs w:val="18"/>
          <w:lang w:val="fr-FR"/>
        </w:rPr>
        <w:t>Suisse et Union européenne et ses États membres.</w:t>
      </w:r>
    </w:p>
  </w:footnote>
  <w:footnote w:id="4">
    <w:p w14:paraId="1914503E" w14:textId="6A64FF4C" w:rsidR="00A3425F" w:rsidRPr="00B31125" w:rsidRDefault="00A3425F">
      <w:pPr>
        <w:pStyle w:val="Notedebasdepage"/>
        <w:rPr>
          <w:sz w:val="18"/>
          <w:szCs w:val="18"/>
        </w:rPr>
      </w:pPr>
      <w:r w:rsidRPr="00CA3C99">
        <w:rPr>
          <w:rStyle w:val="Appelnotedebasdep"/>
          <w:sz w:val="18"/>
          <w:szCs w:val="18"/>
          <w:lang w:val="fr-FR"/>
        </w:rPr>
        <w:footnoteRef/>
      </w:r>
      <w:r w:rsidRPr="00CA3C99">
        <w:rPr>
          <w:sz w:val="18"/>
          <w:szCs w:val="18"/>
          <w:lang w:val="fr-FR"/>
        </w:rPr>
        <w:t xml:space="preserve"> </w:t>
      </w:r>
      <w:r w:rsidR="00CA3C99" w:rsidRPr="00CA3C99">
        <w:rPr>
          <w:sz w:val="18"/>
          <w:szCs w:val="18"/>
          <w:lang w:val="fr-FR"/>
        </w:rPr>
        <w:t xml:space="preserve">Les Parties suivantes ont soumis des </w:t>
      </w:r>
      <w:r w:rsidR="003D1CB8">
        <w:rPr>
          <w:sz w:val="18"/>
          <w:szCs w:val="18"/>
          <w:lang w:val="fr-FR"/>
        </w:rPr>
        <w:t>points de vue</w:t>
      </w:r>
      <w:r w:rsidR="00CA3C99" w:rsidRPr="00CA3C99">
        <w:rPr>
          <w:sz w:val="18"/>
          <w:szCs w:val="18"/>
          <w:lang w:val="fr-FR"/>
        </w:rPr>
        <w:t xml:space="preserve"> : </w:t>
      </w:r>
      <w:r w:rsidR="003D7D72">
        <w:rPr>
          <w:sz w:val="18"/>
          <w:szCs w:val="18"/>
          <w:lang w:val="fr-FR"/>
        </w:rPr>
        <w:t xml:space="preserve">Afrique du Sud, </w:t>
      </w:r>
      <w:r w:rsidRPr="00CA3C99">
        <w:rPr>
          <w:sz w:val="18"/>
          <w:szCs w:val="18"/>
          <w:lang w:val="fr-FR"/>
        </w:rPr>
        <w:t>Argentin</w:t>
      </w:r>
      <w:r w:rsidR="003D7D72">
        <w:rPr>
          <w:sz w:val="18"/>
          <w:szCs w:val="18"/>
          <w:lang w:val="fr-FR"/>
        </w:rPr>
        <w:t>e</w:t>
      </w:r>
      <w:r w:rsidRPr="00CA3C99">
        <w:rPr>
          <w:sz w:val="18"/>
          <w:szCs w:val="18"/>
          <w:lang w:val="fr-FR"/>
        </w:rPr>
        <w:t xml:space="preserve">, </w:t>
      </w:r>
      <w:r w:rsidR="001570C8" w:rsidRPr="00CA3C99">
        <w:rPr>
          <w:sz w:val="18"/>
          <w:szCs w:val="18"/>
          <w:lang w:val="fr-FR"/>
        </w:rPr>
        <w:t>Chin</w:t>
      </w:r>
      <w:r w:rsidR="003D7D72">
        <w:rPr>
          <w:sz w:val="18"/>
          <w:szCs w:val="18"/>
          <w:lang w:val="fr-FR"/>
        </w:rPr>
        <w:t>e</w:t>
      </w:r>
      <w:r w:rsidR="001570C8" w:rsidRPr="00CA3C99">
        <w:rPr>
          <w:sz w:val="18"/>
          <w:szCs w:val="18"/>
          <w:lang w:val="fr-FR"/>
        </w:rPr>
        <w:t xml:space="preserve">, </w:t>
      </w:r>
      <w:r w:rsidRPr="00CA3C99">
        <w:rPr>
          <w:sz w:val="18"/>
          <w:szCs w:val="18"/>
          <w:lang w:val="fr-FR"/>
        </w:rPr>
        <w:t>Mexi</w:t>
      </w:r>
      <w:r w:rsidR="003D7D72">
        <w:rPr>
          <w:sz w:val="18"/>
          <w:szCs w:val="18"/>
          <w:lang w:val="fr-FR"/>
        </w:rPr>
        <w:t>que</w:t>
      </w:r>
      <w:r w:rsidRPr="00CA3C99">
        <w:rPr>
          <w:sz w:val="18"/>
          <w:szCs w:val="18"/>
          <w:lang w:val="fr-FR"/>
        </w:rPr>
        <w:t>,</w:t>
      </w:r>
      <w:r w:rsidR="003D7D72">
        <w:rPr>
          <w:sz w:val="18"/>
          <w:szCs w:val="18"/>
          <w:lang w:val="fr-FR"/>
        </w:rPr>
        <w:t xml:space="preserve"> Royaume-Uni de Grande-Bretagne et d’Irlande du Nord,</w:t>
      </w:r>
      <w:r w:rsidRPr="00CA3C99">
        <w:rPr>
          <w:sz w:val="18"/>
          <w:szCs w:val="18"/>
          <w:lang w:val="fr-FR"/>
        </w:rPr>
        <w:t xml:space="preserve"> </w:t>
      </w:r>
      <w:r w:rsidR="003D7D72">
        <w:rPr>
          <w:sz w:val="18"/>
          <w:szCs w:val="18"/>
          <w:lang w:val="fr-FR"/>
        </w:rPr>
        <w:t>Suisse</w:t>
      </w:r>
      <w:r w:rsidRPr="00CA3C99">
        <w:rPr>
          <w:sz w:val="18"/>
          <w:szCs w:val="18"/>
          <w:lang w:val="fr-FR"/>
        </w:rPr>
        <w:t xml:space="preserve">, Türkiye </w:t>
      </w:r>
      <w:r w:rsidR="003D7D72">
        <w:rPr>
          <w:sz w:val="18"/>
          <w:szCs w:val="18"/>
          <w:lang w:val="fr-FR"/>
        </w:rPr>
        <w:t>et Union européenne et ses États membres.</w:t>
      </w:r>
    </w:p>
  </w:footnote>
  <w:footnote w:id="5">
    <w:p w14:paraId="6137A6EE" w14:textId="26E1ECF3" w:rsidR="00A3425F" w:rsidRPr="00BB6C47" w:rsidRDefault="00A3425F">
      <w:pPr>
        <w:pStyle w:val="Notedebasdepage"/>
        <w:rPr>
          <w:lang w:val="fr-FR"/>
        </w:rPr>
      </w:pPr>
      <w:r w:rsidRPr="00BB6C47">
        <w:rPr>
          <w:rStyle w:val="Appelnotedebasdep"/>
          <w:sz w:val="18"/>
          <w:szCs w:val="18"/>
          <w:lang w:val="fr-FR"/>
        </w:rPr>
        <w:footnoteRef/>
      </w:r>
      <w:r w:rsidRPr="00BB6C47">
        <w:rPr>
          <w:sz w:val="18"/>
          <w:szCs w:val="18"/>
          <w:lang w:val="fr-FR"/>
        </w:rPr>
        <w:t xml:space="preserve"> </w:t>
      </w:r>
      <w:r w:rsidR="00BB6C47" w:rsidRPr="00BB6C47">
        <w:rPr>
          <w:sz w:val="18"/>
          <w:szCs w:val="18"/>
          <w:lang w:val="fr-FR"/>
        </w:rPr>
        <w:t>Les Parties suivantes ont participé au forum en ligne à composition non limitée</w:t>
      </w:r>
      <w:r w:rsidR="00BB6C47">
        <w:rPr>
          <w:sz w:val="18"/>
          <w:szCs w:val="18"/>
          <w:lang w:val="fr-FR"/>
        </w:rPr>
        <w:t> </w:t>
      </w:r>
      <w:r w:rsidR="00BB6C47" w:rsidRPr="00BB6C47">
        <w:rPr>
          <w:sz w:val="18"/>
          <w:szCs w:val="18"/>
          <w:lang w:val="fr-FR"/>
        </w:rPr>
        <w:t xml:space="preserve">: </w:t>
      </w:r>
      <w:r w:rsidR="00BB6C47">
        <w:rPr>
          <w:sz w:val="18"/>
          <w:szCs w:val="18"/>
          <w:lang w:val="fr-FR"/>
        </w:rPr>
        <w:t>Allemagne, Belgique</w:t>
      </w:r>
      <w:r w:rsidRPr="00BB6C47">
        <w:rPr>
          <w:sz w:val="18"/>
          <w:szCs w:val="18"/>
          <w:lang w:val="fr-FR"/>
        </w:rPr>
        <w:t xml:space="preserve">, Canada, </w:t>
      </w:r>
      <w:r w:rsidR="00BB6C47">
        <w:rPr>
          <w:sz w:val="18"/>
          <w:szCs w:val="18"/>
          <w:lang w:val="fr-FR"/>
        </w:rPr>
        <w:t>Espagne, Pays-Bas, Union européenne.</w:t>
      </w:r>
    </w:p>
  </w:footnote>
  <w:footnote w:id="6">
    <w:p w14:paraId="5A3CACC8" w14:textId="25E28028" w:rsidR="00A3425F" w:rsidRPr="00BB6C47" w:rsidRDefault="00A3425F" w:rsidP="00930501">
      <w:pPr>
        <w:pStyle w:val="Notedebasdepage"/>
        <w:rPr>
          <w:sz w:val="18"/>
          <w:szCs w:val="18"/>
          <w:lang w:val="fr-FR"/>
        </w:rPr>
      </w:pPr>
      <w:r w:rsidRPr="00BB6C47">
        <w:rPr>
          <w:rStyle w:val="Appelnotedebasdep"/>
          <w:sz w:val="18"/>
          <w:szCs w:val="18"/>
          <w:lang w:val="fr-FR"/>
        </w:rPr>
        <w:footnoteRef/>
      </w:r>
      <w:r w:rsidRPr="00BB6C47">
        <w:rPr>
          <w:sz w:val="18"/>
          <w:szCs w:val="18"/>
          <w:lang w:val="fr-FR"/>
        </w:rPr>
        <w:t xml:space="preserve"> </w:t>
      </w:r>
      <w:r w:rsidR="00D61B0A" w:rsidRPr="00BB6C47">
        <w:rPr>
          <w:sz w:val="18"/>
          <w:szCs w:val="18"/>
          <w:lang w:val="fr-FR"/>
        </w:rPr>
        <w:t>Document</w:t>
      </w:r>
      <w:r w:rsidR="0053193C">
        <w:rPr>
          <w:sz w:val="18"/>
          <w:szCs w:val="18"/>
          <w:lang w:val="fr-FR"/>
        </w:rPr>
        <w:t> </w:t>
      </w:r>
      <w:r w:rsidR="002B2BDE" w:rsidRPr="00BB6C47">
        <w:rPr>
          <w:sz w:val="18"/>
          <w:szCs w:val="18"/>
          <w:lang w:val="fr-FR"/>
        </w:rPr>
        <w:t>CBD/SBI/REC/3/15</w:t>
      </w:r>
      <w:r w:rsidR="007F7230" w:rsidRPr="00BB6C47">
        <w:rPr>
          <w:sz w:val="18"/>
          <w:szCs w:val="18"/>
          <w:lang w:val="fr-FR"/>
        </w:rPr>
        <w:t>, annex</w:t>
      </w:r>
      <w:r w:rsidR="00BB6C47">
        <w:rPr>
          <w:sz w:val="18"/>
          <w:szCs w:val="18"/>
          <w:lang w:val="fr-FR"/>
        </w:rPr>
        <w:t>e</w:t>
      </w:r>
      <w:r w:rsidR="00B904D6" w:rsidRPr="00BB6C47">
        <w:rPr>
          <w:rStyle w:val="Lienhypertexte"/>
          <w:sz w:val="18"/>
          <w:szCs w:val="18"/>
          <w:shd w:val="clear" w:color="auto" w:fill="FFFFFF"/>
          <w:lang w:val="fr-FR"/>
        </w:rPr>
        <w:t>.</w:t>
      </w:r>
    </w:p>
  </w:footnote>
  <w:footnote w:id="7">
    <w:p w14:paraId="74197019" w14:textId="1356BF58" w:rsidR="00A3425F" w:rsidRPr="00583A90" w:rsidRDefault="00A3425F" w:rsidP="006F14A6">
      <w:pPr>
        <w:pStyle w:val="Notedebasdepage"/>
        <w:rPr>
          <w:sz w:val="18"/>
          <w:szCs w:val="18"/>
          <w:lang w:val="en-CA"/>
        </w:rPr>
      </w:pPr>
      <w:r w:rsidRPr="00BB6C47">
        <w:rPr>
          <w:rStyle w:val="Appelnotedebasdep"/>
          <w:sz w:val="18"/>
          <w:szCs w:val="18"/>
          <w:lang w:val="fr-FR"/>
        </w:rPr>
        <w:footnoteRef/>
      </w:r>
      <w:r w:rsidRPr="00BB6C47">
        <w:rPr>
          <w:sz w:val="18"/>
          <w:szCs w:val="18"/>
          <w:lang w:val="fr-FR"/>
        </w:rPr>
        <w:t xml:space="preserve"> </w:t>
      </w:r>
      <w:r w:rsidR="00123A2E" w:rsidRPr="00BB6C47">
        <w:rPr>
          <w:sz w:val="18"/>
          <w:szCs w:val="18"/>
          <w:lang w:val="fr-FR"/>
        </w:rPr>
        <w:t>D</w:t>
      </w:r>
      <w:r w:rsidRPr="00BB6C47">
        <w:rPr>
          <w:sz w:val="18"/>
          <w:szCs w:val="18"/>
          <w:lang w:val="fr-FR"/>
        </w:rPr>
        <w:t>ocument</w:t>
      </w:r>
      <w:r w:rsidR="0053193C">
        <w:rPr>
          <w:sz w:val="18"/>
          <w:szCs w:val="18"/>
          <w:lang w:val="fr-FR"/>
        </w:rPr>
        <w:t> </w:t>
      </w:r>
      <w:hyperlink r:id="rId1" w:history="1">
        <w:r w:rsidRPr="00BB6C47">
          <w:rPr>
            <w:rStyle w:val="Lienhypertexte"/>
            <w:sz w:val="18"/>
            <w:szCs w:val="18"/>
            <w:lang w:val="fr-FR"/>
          </w:rPr>
          <w:t>CBD/SBI/3/13/Add.1</w:t>
        </w:r>
      </w:hyperlink>
      <w:r w:rsidR="00D61B0A" w:rsidRPr="00BB6C47">
        <w:rPr>
          <w:rStyle w:val="Lienhypertexte"/>
          <w:sz w:val="18"/>
          <w:szCs w:val="18"/>
          <w:lang w:val="fr-FR"/>
        </w:rPr>
        <w:t>.</w:t>
      </w:r>
      <w:r w:rsidRPr="00583A90">
        <w:rPr>
          <w:sz w:val="18"/>
          <w:szCs w:val="18"/>
        </w:rPr>
        <w:t xml:space="preserve"> </w:t>
      </w:r>
    </w:p>
  </w:footnote>
  <w:footnote w:id="8">
    <w:p w14:paraId="77DD468C" w14:textId="2B09093C" w:rsidR="002A15E2" w:rsidRPr="00BB6C47" w:rsidRDefault="002A15E2">
      <w:pPr>
        <w:pStyle w:val="Notedebasdepage"/>
        <w:rPr>
          <w:lang w:val="fr-FR"/>
        </w:rPr>
      </w:pPr>
      <w:r w:rsidRPr="00BB6C47">
        <w:rPr>
          <w:rStyle w:val="Appelnotedebasdep"/>
          <w:lang w:val="fr-FR"/>
        </w:rPr>
        <w:footnoteRef/>
      </w:r>
      <w:r w:rsidRPr="00BB6C47">
        <w:rPr>
          <w:lang w:val="fr-FR"/>
        </w:rPr>
        <w:t xml:space="preserve"> D</w:t>
      </w:r>
      <w:r w:rsidR="00B07F1B" w:rsidRPr="00BB6C47">
        <w:rPr>
          <w:lang w:val="fr-FR"/>
        </w:rPr>
        <w:t>é</w:t>
      </w:r>
      <w:r w:rsidRPr="00BB6C47">
        <w:rPr>
          <w:lang w:val="fr-FR"/>
        </w:rPr>
        <w:t>cision</w:t>
      </w:r>
      <w:r w:rsidR="0053193C">
        <w:rPr>
          <w:lang w:val="fr-FR"/>
        </w:rPr>
        <w:t> </w:t>
      </w:r>
      <w:r w:rsidRPr="00BB6C47">
        <w:rPr>
          <w:lang w:val="fr-FR"/>
        </w:rPr>
        <w:t>14/</w:t>
      </w:r>
      <w:r w:rsidR="00040C11" w:rsidRPr="00BB6C47">
        <w:rPr>
          <w:lang w:val="fr-FR"/>
        </w:rPr>
        <w:t>3, par</w:t>
      </w:r>
      <w:r w:rsidR="00277E26" w:rsidRPr="00BB6C47">
        <w:rPr>
          <w:lang w:val="fr-FR"/>
        </w:rPr>
        <w:t>.</w:t>
      </w:r>
      <w:r w:rsidR="00040C11" w:rsidRPr="00BB6C47">
        <w:rPr>
          <w:lang w:val="fr-FR"/>
        </w:rPr>
        <w:t xml:space="preserve"> 17.</w:t>
      </w:r>
    </w:p>
  </w:footnote>
  <w:footnote w:id="9">
    <w:p w14:paraId="1FD091B8" w14:textId="59C48D07" w:rsidR="005733A2" w:rsidRPr="00837D4C" w:rsidRDefault="005733A2">
      <w:pPr>
        <w:pStyle w:val="Notedebasdepage"/>
        <w:rPr>
          <w:lang w:val="en-US"/>
        </w:rPr>
      </w:pPr>
      <w:r w:rsidRPr="00BB6C47">
        <w:rPr>
          <w:rStyle w:val="Appelnotedebasdep"/>
          <w:lang w:val="fr-FR"/>
        </w:rPr>
        <w:footnoteRef/>
      </w:r>
      <w:r w:rsidRPr="00BB6C47">
        <w:rPr>
          <w:lang w:val="fr-FR"/>
        </w:rPr>
        <w:t xml:space="preserve"> D</w:t>
      </w:r>
      <w:r w:rsidR="00B07F1B" w:rsidRPr="00BB6C47">
        <w:rPr>
          <w:lang w:val="fr-FR"/>
        </w:rPr>
        <w:t>é</w:t>
      </w:r>
      <w:r w:rsidRPr="00BB6C47">
        <w:rPr>
          <w:lang w:val="fr-FR"/>
        </w:rPr>
        <w:t>cision</w:t>
      </w:r>
      <w:r w:rsidR="0053193C">
        <w:rPr>
          <w:lang w:val="fr-FR"/>
        </w:rPr>
        <w:t> </w:t>
      </w:r>
      <w:r w:rsidRPr="00BB6C47">
        <w:rPr>
          <w:lang w:val="fr-FR"/>
        </w:rPr>
        <w:t>15/4, par</w:t>
      </w:r>
      <w:r w:rsidR="00277E26" w:rsidRPr="00BB6C47">
        <w:rPr>
          <w:lang w:val="fr-FR"/>
        </w:rPr>
        <w:t>.</w:t>
      </w:r>
      <w:r w:rsidRPr="00BB6C47">
        <w:rPr>
          <w:lang w:val="fr-FR"/>
        </w:rPr>
        <w:t xml:space="preserve"> </w:t>
      </w:r>
      <w:r w:rsidR="00AB484C" w:rsidRPr="00BB6C47">
        <w:rPr>
          <w:lang w:val="fr-FR"/>
        </w:rPr>
        <w:t>8.</w:t>
      </w:r>
    </w:p>
  </w:footnote>
  <w:footnote w:id="10">
    <w:p w14:paraId="6B1A4709" w14:textId="4BB76D41" w:rsidR="00AA061F" w:rsidRPr="00AA061F" w:rsidRDefault="00AA061F">
      <w:pPr>
        <w:pStyle w:val="Notedebasdepage"/>
        <w:rPr>
          <w:lang w:val="en-US"/>
        </w:rPr>
      </w:pPr>
      <w:r>
        <w:rPr>
          <w:rStyle w:val="Appelnotedebasdep"/>
        </w:rPr>
        <w:footnoteRef/>
      </w:r>
      <w:r>
        <w:t xml:space="preserve"> </w:t>
      </w:r>
      <w:r w:rsidR="0083228C" w:rsidRPr="0083228C">
        <w:rPr>
          <w:sz w:val="18"/>
          <w:szCs w:val="18"/>
          <w:lang w:val="fr-FR"/>
        </w:rPr>
        <w:t>E</w:t>
      </w:r>
      <w:r w:rsidRPr="0083228C">
        <w:rPr>
          <w:sz w:val="18"/>
          <w:szCs w:val="18"/>
          <w:lang w:val="fr-FR"/>
        </w:rPr>
        <w:t>n</w:t>
      </w:r>
      <w:r w:rsidR="0083228C" w:rsidRPr="0083228C">
        <w:rPr>
          <w:sz w:val="18"/>
          <w:szCs w:val="18"/>
          <w:lang w:val="fr-FR"/>
        </w:rPr>
        <w:t xml:space="preserve"> outre, la mise en œuvre d’autres cibles qui traitent des facteurs directs d</w:t>
      </w:r>
      <w:r w:rsidR="0083228C">
        <w:rPr>
          <w:sz w:val="18"/>
          <w:szCs w:val="18"/>
          <w:lang w:val="fr-FR"/>
        </w:rPr>
        <w:t xml:space="preserve">’appauvrissement </w:t>
      </w:r>
      <w:r w:rsidR="0083228C" w:rsidRPr="0083228C">
        <w:rPr>
          <w:sz w:val="18"/>
          <w:szCs w:val="18"/>
          <w:lang w:val="fr-FR"/>
        </w:rPr>
        <w:t xml:space="preserve">de </w:t>
      </w:r>
      <w:r w:rsidR="0083228C">
        <w:rPr>
          <w:sz w:val="18"/>
          <w:szCs w:val="18"/>
          <w:lang w:val="fr-FR"/>
        </w:rPr>
        <w:t xml:space="preserve">la </w:t>
      </w:r>
      <w:r w:rsidR="0083228C" w:rsidRPr="0083228C">
        <w:rPr>
          <w:sz w:val="18"/>
          <w:szCs w:val="18"/>
          <w:lang w:val="fr-FR"/>
        </w:rPr>
        <w:t>biodiversité, notamment les cibles</w:t>
      </w:r>
      <w:r w:rsidR="0053193C">
        <w:rPr>
          <w:sz w:val="18"/>
          <w:szCs w:val="18"/>
          <w:lang w:val="fr-FR"/>
        </w:rPr>
        <w:t> </w:t>
      </w:r>
      <w:r w:rsidR="0083228C" w:rsidRPr="0083228C">
        <w:rPr>
          <w:sz w:val="18"/>
          <w:szCs w:val="18"/>
          <w:lang w:val="fr-FR"/>
        </w:rPr>
        <w:t>6 et 8, requiert l’intégration de la biodiversité dans les secteurs concernés.</w:t>
      </w:r>
    </w:p>
  </w:footnote>
  <w:footnote w:id="11">
    <w:p w14:paraId="5D926974" w14:textId="595F705D" w:rsidR="005750DC" w:rsidRPr="0083228C" w:rsidRDefault="00F041DC" w:rsidP="006A71A9">
      <w:pPr>
        <w:pStyle w:val="Notedebasdepage"/>
        <w:rPr>
          <w:lang w:val="fr-FR"/>
        </w:rPr>
      </w:pPr>
      <w:r w:rsidRPr="0083228C">
        <w:rPr>
          <w:vertAlign w:val="superscript"/>
          <w:lang w:val="fr-FR"/>
        </w:rPr>
        <w:t>2</w:t>
      </w:r>
      <w:r w:rsidR="00AA061F" w:rsidRPr="0083228C">
        <w:rPr>
          <w:vertAlign w:val="superscript"/>
          <w:lang w:val="fr-FR"/>
        </w:rPr>
        <w:t xml:space="preserve"> </w:t>
      </w:r>
      <w:r w:rsidR="0083228C" w:rsidRPr="0083228C">
        <w:rPr>
          <w:sz w:val="18"/>
          <w:szCs w:val="18"/>
          <w:lang w:val="fr-FR"/>
        </w:rPr>
        <w:t xml:space="preserve">Pour consulter l’intégralité du contenu de la cible 19, </w:t>
      </w:r>
      <w:proofErr w:type="spellStart"/>
      <w:r w:rsidR="0083228C" w:rsidRPr="0083228C">
        <w:rPr>
          <w:sz w:val="18"/>
          <w:szCs w:val="18"/>
          <w:lang w:val="fr-FR"/>
        </w:rPr>
        <w:t>veuillez vous</w:t>
      </w:r>
      <w:proofErr w:type="spellEnd"/>
      <w:r w:rsidR="0083228C" w:rsidRPr="0083228C">
        <w:rPr>
          <w:sz w:val="18"/>
          <w:szCs w:val="18"/>
          <w:lang w:val="fr-FR"/>
        </w:rPr>
        <w:t xml:space="preserve"> reporter au Cadre mondial de la biodiversité de Kunming-Montréal, disponible à l’adresse suivante</w:t>
      </w:r>
      <w:r w:rsidR="0083228C">
        <w:rPr>
          <w:sz w:val="18"/>
          <w:szCs w:val="18"/>
          <w:lang w:val="fr-FR"/>
        </w:rPr>
        <w:t> : </w:t>
      </w:r>
      <w:hyperlink r:id="rId2" w:history="1">
        <w:r w:rsidR="0083228C">
          <w:rPr>
            <w:rStyle w:val="Lienhypertexte"/>
            <w:sz w:val="18"/>
            <w:szCs w:val="18"/>
            <w:lang w:val="fr-FR"/>
          </w:rPr>
          <w:t>www.cbd.int/doc/decisions/cop-15/cop-15-dec-04-fr.pdf</w:t>
        </w:r>
      </w:hyperlink>
      <w:r w:rsidR="005750DC" w:rsidRPr="0083228C">
        <w:rPr>
          <w:sz w:val="18"/>
          <w:szCs w:val="18"/>
          <w:lang w:val="fr-FR"/>
        </w:rPr>
        <w:t>.</w:t>
      </w:r>
      <w:r w:rsidR="005750DC" w:rsidRPr="0083228C">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137802784"/>
  <w:bookmarkStart w:id="2" w:name="_Hlk137802785"/>
  <w:p w14:paraId="78024F04" w14:textId="5312FEB3" w:rsidR="00A3425F" w:rsidRPr="002B559C" w:rsidRDefault="00000000" w:rsidP="002B559C">
    <w:pPr>
      <w:pStyle w:val="En-tte"/>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A3425F" w:rsidRPr="002B559C">
          <w:rPr>
            <w:sz w:val="20"/>
            <w:szCs w:val="20"/>
            <w:lang w:val="fr-FR"/>
          </w:rPr>
          <w:t>CBD/</w:t>
        </w:r>
      </w:sdtContent>
    </w:sdt>
    <w:bookmarkEnd w:id="1"/>
    <w:bookmarkEnd w:id="2"/>
    <w:r w:rsidR="00203AA5">
      <w:rPr>
        <w:sz w:val="20"/>
        <w:szCs w:val="20"/>
        <w:lang w:val="fr-FR"/>
      </w:rPr>
      <w:t>SBI/4/13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CA607" w14:textId="29B71A45" w:rsidR="00A3425F" w:rsidRPr="002B559C" w:rsidRDefault="00000000" w:rsidP="002B559C">
    <w:pPr>
      <w:pStyle w:val="En-tte"/>
      <w:pBdr>
        <w:bottom w:val="single" w:sz="4" w:space="1" w:color="auto"/>
      </w:pBdr>
      <w:spacing w:after="240"/>
      <w:jc w:val="right"/>
      <w:rPr>
        <w:sz w:val="20"/>
        <w:szCs w:val="20"/>
        <w:lang w:val="fr-FR"/>
      </w:rPr>
    </w:pPr>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r w:rsidR="00A3425F">
          <w:rPr>
            <w:sz w:val="20"/>
            <w:szCs w:val="20"/>
            <w:lang w:val="fr-FR"/>
          </w:rPr>
          <w:t>CBD/</w:t>
        </w:r>
      </w:sdtContent>
    </w:sdt>
    <w:r w:rsidR="00203AA5">
      <w:rPr>
        <w:sz w:val="20"/>
        <w:szCs w:val="20"/>
        <w:lang w:val="fr-FR"/>
      </w:rPr>
      <w:t>SBI/4/13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50D3C" w14:textId="77777777" w:rsidR="000804E9" w:rsidRDefault="000804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4D37"/>
    <w:multiLevelType w:val="hybridMultilevel"/>
    <w:tmpl w:val="501E0F7E"/>
    <w:lvl w:ilvl="0" w:tplc="8EFAAF8E">
      <w:start w:val="1"/>
      <w:numFmt w:val="decimal"/>
      <w:lvlText w:val="%1."/>
      <w:lvlJc w:val="left"/>
      <w:pPr>
        <w:ind w:left="567" w:hanging="360"/>
      </w:pPr>
      <w:rPr>
        <w:rFonts w:hint="default"/>
      </w:rPr>
    </w:lvl>
    <w:lvl w:ilvl="1" w:tplc="10090019" w:tentative="1">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1" w15:restartNumberingAfterBreak="0">
    <w:nsid w:val="04E4407B"/>
    <w:multiLevelType w:val="hybridMultilevel"/>
    <w:tmpl w:val="895E7714"/>
    <w:lvl w:ilvl="0" w:tplc="080C10E6">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C2922CA"/>
    <w:multiLevelType w:val="hybridMultilevel"/>
    <w:tmpl w:val="99783E34"/>
    <w:lvl w:ilvl="0" w:tplc="E64A6496">
      <w:start w:val="1"/>
      <w:numFmt w:val="decimal"/>
      <w:lvlText w:val="%1."/>
      <w:lvlJc w:val="left"/>
      <w:pPr>
        <w:ind w:left="927" w:hanging="360"/>
      </w:pPr>
      <w:rPr>
        <w:rFonts w:hint="default"/>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15:restartNumberingAfterBreak="0">
    <w:nsid w:val="1E9D343A"/>
    <w:multiLevelType w:val="multilevel"/>
    <w:tmpl w:val="1E9D343A"/>
    <w:lvl w:ilvl="0">
      <w:start w:val="1"/>
      <w:numFmt w:val="lowerLetter"/>
      <w:lvlText w:val="(%1)"/>
      <w:lvlJc w:val="left"/>
      <w:pPr>
        <w:tabs>
          <w:tab w:val="left" w:pos="720"/>
        </w:tabs>
        <w:ind w:left="720" w:hanging="360"/>
      </w:pPr>
      <w:rPr>
        <w:rFonts w:asciiTheme="majorBidi" w:eastAsia="Times New Roman" w:hAnsiTheme="majorBidi" w:cstheme="majorBid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21CF2CA6"/>
    <w:multiLevelType w:val="hybridMultilevel"/>
    <w:tmpl w:val="526452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7"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34BD05D9"/>
    <w:multiLevelType w:val="hybridMultilevel"/>
    <w:tmpl w:val="2138D6CC"/>
    <w:lvl w:ilvl="0" w:tplc="49861078">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37DB7B35"/>
    <w:multiLevelType w:val="hybridMultilevel"/>
    <w:tmpl w:val="BED69FC4"/>
    <w:lvl w:ilvl="0" w:tplc="C472D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7785A"/>
    <w:multiLevelType w:val="hybridMultilevel"/>
    <w:tmpl w:val="BBA05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961CE"/>
    <w:multiLevelType w:val="hybridMultilevel"/>
    <w:tmpl w:val="AFDCF908"/>
    <w:lvl w:ilvl="0" w:tplc="371C7C0E">
      <w:start w:val="1"/>
      <w:numFmt w:val="upperRoman"/>
      <w:pStyle w:val="Titre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D7612D"/>
    <w:multiLevelType w:val="hybridMultilevel"/>
    <w:tmpl w:val="866AFEE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442B4"/>
    <w:multiLevelType w:val="multilevel"/>
    <w:tmpl w:val="4E0442B4"/>
    <w:lvl w:ilvl="0">
      <w:start w:val="1"/>
      <w:numFmt w:val="decimal"/>
      <w:pStyle w:val="Para1"/>
      <w:lvlText w:val="%1."/>
      <w:lvlJc w:val="left"/>
      <w:pPr>
        <w:tabs>
          <w:tab w:val="left" w:pos="1080"/>
        </w:tabs>
        <w:ind w:left="720" w:firstLine="0"/>
      </w:pPr>
      <w:rPr>
        <w:rFonts w:ascii="Times New Roman" w:hAnsi="Times New Roman" w:cs="Times New Roman" w:hint="default"/>
        <w:b w:val="0"/>
        <w:i w:val="0"/>
        <w:sz w:val="22"/>
      </w:rPr>
    </w:lvl>
    <w:lvl w:ilvl="1">
      <w:start w:val="1"/>
      <w:numFmt w:val="lowerLetter"/>
      <w:lvlText w:val="(%2)"/>
      <w:lvlJc w:val="left"/>
      <w:pPr>
        <w:tabs>
          <w:tab w:val="left" w:pos="2160"/>
        </w:tabs>
        <w:ind w:left="720" w:firstLine="720"/>
      </w:pPr>
      <w:rPr>
        <w:b w:val="0"/>
        <w:i w:val="0"/>
      </w:rPr>
    </w:lvl>
    <w:lvl w:ilvl="2">
      <w:start w:val="1"/>
      <w:numFmt w:val="lowerRoman"/>
      <w:lvlText w:val="(%3)"/>
      <w:lvlJc w:val="right"/>
      <w:pPr>
        <w:tabs>
          <w:tab w:val="left" w:pos="2160"/>
        </w:tabs>
        <w:ind w:left="2160" w:hanging="360"/>
      </w:pPr>
    </w:lvl>
    <w:lvl w:ilvl="3">
      <w:start w:val="1"/>
      <w:numFmt w:val="bullet"/>
      <w:lvlText w:val=""/>
      <w:lvlJc w:val="left"/>
      <w:pPr>
        <w:tabs>
          <w:tab w:val="left" w:pos="2880"/>
        </w:tabs>
        <w:ind w:left="2880" w:hanging="720"/>
      </w:pPr>
      <w:rPr>
        <w:rFonts w:ascii="Symbol" w:hAnsi="Symbol" w:hint="default"/>
        <w:color w:val="auto"/>
        <w:sz w:val="28"/>
      </w:rPr>
    </w:lvl>
    <w:lvl w:ilvl="4">
      <w:start w:val="1"/>
      <w:numFmt w:val="lowerLetter"/>
      <w:lvlText w:val="(%5)"/>
      <w:lvlJc w:val="left"/>
      <w:pPr>
        <w:tabs>
          <w:tab w:val="left" w:pos="2520"/>
        </w:tabs>
        <w:ind w:left="2520" w:hanging="360"/>
      </w:pPr>
    </w:lvl>
    <w:lvl w:ilvl="5">
      <w:start w:val="1"/>
      <w:numFmt w:val="lowerRoman"/>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lowerLetter"/>
      <w:lvlText w:val="%8."/>
      <w:lvlJc w:val="left"/>
      <w:pPr>
        <w:tabs>
          <w:tab w:val="left" w:pos="3600"/>
        </w:tabs>
        <w:ind w:left="3600" w:hanging="360"/>
      </w:pPr>
    </w:lvl>
    <w:lvl w:ilvl="8">
      <w:start w:val="1"/>
      <w:numFmt w:val="lowerRoman"/>
      <w:lvlText w:val="%9."/>
      <w:lvlJc w:val="left"/>
      <w:pPr>
        <w:tabs>
          <w:tab w:val="left" w:pos="3960"/>
        </w:tabs>
        <w:ind w:left="3960" w:hanging="360"/>
      </w:pPr>
    </w:lvl>
  </w:abstractNum>
  <w:abstractNum w:abstractNumId="15"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55427EDD"/>
    <w:multiLevelType w:val="hybridMultilevel"/>
    <w:tmpl w:val="4BC0742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9F7710"/>
    <w:multiLevelType w:val="hybridMultilevel"/>
    <w:tmpl w:val="1D280138"/>
    <w:lvl w:ilvl="0" w:tplc="3DF4418A">
      <w:start w:val="1"/>
      <w:numFmt w:val="decimal"/>
      <w:pStyle w:val="Titre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180578"/>
    <w:multiLevelType w:val="hybridMultilevel"/>
    <w:tmpl w:val="251AB796"/>
    <w:lvl w:ilvl="0" w:tplc="8862B882">
      <w:start w:val="1"/>
      <w:numFmt w:val="lowerLetter"/>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19"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0"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1" w15:restartNumberingAfterBreak="0">
    <w:nsid w:val="68B70991"/>
    <w:multiLevelType w:val="hybridMultilevel"/>
    <w:tmpl w:val="900A58B2"/>
    <w:lvl w:ilvl="0" w:tplc="1EF4DB82">
      <w:start w:val="1"/>
      <w:numFmt w:val="decimal"/>
      <w:pStyle w:val="Para10"/>
      <w:lvlText w:val="%1."/>
      <w:lvlJc w:val="left"/>
      <w:pPr>
        <w:ind w:left="927" w:hanging="360"/>
      </w:pPr>
      <w:rPr>
        <w:rFonts w:hint="default"/>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2" w15:restartNumberingAfterBreak="0">
    <w:nsid w:val="6EFB6AA6"/>
    <w:multiLevelType w:val="hybridMultilevel"/>
    <w:tmpl w:val="28FE0CF6"/>
    <w:lvl w:ilvl="0" w:tplc="3104B51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74BD4250"/>
    <w:multiLevelType w:val="hybridMultilevel"/>
    <w:tmpl w:val="C374E8C0"/>
    <w:lvl w:ilvl="0" w:tplc="1764A3B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7BFF494A"/>
    <w:multiLevelType w:val="hybridMultilevel"/>
    <w:tmpl w:val="B8C27F8A"/>
    <w:lvl w:ilvl="0" w:tplc="48DEED9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9276499">
    <w:abstractNumId w:val="12"/>
  </w:num>
  <w:num w:numId="2" w16cid:durableId="1586763562">
    <w:abstractNumId w:val="21"/>
  </w:num>
  <w:num w:numId="3" w16cid:durableId="1383751462">
    <w:abstractNumId w:val="24"/>
  </w:num>
  <w:num w:numId="4" w16cid:durableId="1935548822">
    <w:abstractNumId w:val="4"/>
  </w:num>
  <w:num w:numId="5" w16cid:durableId="1967928965">
    <w:abstractNumId w:val="6"/>
  </w:num>
  <w:num w:numId="6" w16cid:durableId="1467314364">
    <w:abstractNumId w:val="6"/>
  </w:num>
  <w:num w:numId="7" w16cid:durableId="2028752739">
    <w:abstractNumId w:val="8"/>
  </w:num>
  <w:num w:numId="8" w16cid:durableId="1502042742">
    <w:abstractNumId w:val="17"/>
  </w:num>
  <w:num w:numId="9" w16cid:durableId="2138138854">
    <w:abstractNumId w:val="20"/>
  </w:num>
  <w:num w:numId="10" w16cid:durableId="166676691">
    <w:abstractNumId w:val="19"/>
  </w:num>
  <w:num w:numId="11" w16cid:durableId="1520507653">
    <w:abstractNumId w:val="15"/>
  </w:num>
  <w:num w:numId="12" w16cid:durableId="1628508764">
    <w:abstractNumId w:val="7"/>
  </w:num>
  <w:num w:numId="13" w16cid:durableId="1110709152">
    <w:abstractNumId w:val="7"/>
    <w:lvlOverride w:ilvl="0">
      <w:startOverride w:val="1"/>
    </w:lvlOverride>
  </w:num>
  <w:num w:numId="14" w16cid:durableId="1863130743">
    <w:abstractNumId w:val="18"/>
  </w:num>
  <w:num w:numId="15" w16cid:durableId="2133009976">
    <w:abstractNumId w:val="18"/>
    <w:lvlOverride w:ilvl="0">
      <w:startOverride w:val="1"/>
    </w:lvlOverride>
  </w:num>
  <w:num w:numId="16" w16cid:durableId="415052944">
    <w:abstractNumId w:val="21"/>
    <w:lvlOverride w:ilvl="0">
      <w:startOverride w:val="1"/>
    </w:lvlOverride>
  </w:num>
  <w:num w:numId="17" w16cid:durableId="121773076">
    <w:abstractNumId w:val="18"/>
    <w:lvlOverride w:ilvl="0">
      <w:startOverride w:val="1"/>
    </w:lvlOverride>
  </w:num>
  <w:num w:numId="18" w16cid:durableId="1966277625">
    <w:abstractNumId w:val="25"/>
  </w:num>
  <w:num w:numId="19" w16cid:durableId="1929803794">
    <w:abstractNumId w:val="21"/>
    <w:lvlOverride w:ilvl="0">
      <w:startOverride w:val="1"/>
    </w:lvlOverride>
  </w:num>
  <w:num w:numId="20" w16cid:durableId="1543711887">
    <w:abstractNumId w:val="21"/>
    <w:lvlOverride w:ilvl="0">
      <w:startOverride w:val="1"/>
    </w:lvlOverride>
  </w:num>
  <w:num w:numId="21" w16cid:durableId="169515434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3014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6373749">
    <w:abstractNumId w:val="16"/>
  </w:num>
  <w:num w:numId="24" w16cid:durableId="425342728">
    <w:abstractNumId w:val="5"/>
  </w:num>
  <w:num w:numId="25" w16cid:durableId="1009022137">
    <w:abstractNumId w:val="22"/>
  </w:num>
  <w:num w:numId="26" w16cid:durableId="448857198">
    <w:abstractNumId w:val="1"/>
  </w:num>
  <w:num w:numId="27" w16cid:durableId="478498228">
    <w:abstractNumId w:val="0"/>
  </w:num>
  <w:num w:numId="28" w16cid:durableId="1448424379">
    <w:abstractNumId w:val="2"/>
  </w:num>
  <w:num w:numId="29" w16cid:durableId="786394346">
    <w:abstractNumId w:val="23"/>
  </w:num>
  <w:num w:numId="30" w16cid:durableId="1288972997">
    <w:abstractNumId w:val="10"/>
  </w:num>
  <w:num w:numId="31" w16cid:durableId="380641388">
    <w:abstractNumId w:val="12"/>
  </w:num>
  <w:num w:numId="32" w16cid:durableId="58096685">
    <w:abstractNumId w:val="9"/>
  </w:num>
  <w:num w:numId="33" w16cid:durableId="1765875234">
    <w:abstractNumId w:val="11"/>
  </w:num>
  <w:num w:numId="34" w16cid:durableId="953750813">
    <w:abstractNumId w:val="13"/>
  </w:num>
  <w:num w:numId="35" w16cid:durableId="6371480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55"/>
    <w:rsid w:val="00000382"/>
    <w:rsid w:val="00001A49"/>
    <w:rsid w:val="00004CBD"/>
    <w:rsid w:val="000062FD"/>
    <w:rsid w:val="000067ED"/>
    <w:rsid w:val="0000736E"/>
    <w:rsid w:val="000077FF"/>
    <w:rsid w:val="00007FA7"/>
    <w:rsid w:val="000155AE"/>
    <w:rsid w:val="0001756A"/>
    <w:rsid w:val="000203FC"/>
    <w:rsid w:val="00021BAB"/>
    <w:rsid w:val="00025F38"/>
    <w:rsid w:val="00031617"/>
    <w:rsid w:val="00033754"/>
    <w:rsid w:val="000366BA"/>
    <w:rsid w:val="00037616"/>
    <w:rsid w:val="00040598"/>
    <w:rsid w:val="00040C11"/>
    <w:rsid w:val="00044B56"/>
    <w:rsid w:val="00047C3B"/>
    <w:rsid w:val="000517BF"/>
    <w:rsid w:val="000559F2"/>
    <w:rsid w:val="0005778A"/>
    <w:rsid w:val="0006003A"/>
    <w:rsid w:val="000665CC"/>
    <w:rsid w:val="00071130"/>
    <w:rsid w:val="00074668"/>
    <w:rsid w:val="000765F1"/>
    <w:rsid w:val="000771DE"/>
    <w:rsid w:val="000804E9"/>
    <w:rsid w:val="0008438E"/>
    <w:rsid w:val="00084811"/>
    <w:rsid w:val="000851BE"/>
    <w:rsid w:val="000868CE"/>
    <w:rsid w:val="00086D75"/>
    <w:rsid w:val="0009295D"/>
    <w:rsid w:val="00095108"/>
    <w:rsid w:val="00095C98"/>
    <w:rsid w:val="00095EAE"/>
    <w:rsid w:val="000A39DA"/>
    <w:rsid w:val="000A631C"/>
    <w:rsid w:val="000B091A"/>
    <w:rsid w:val="000B0E91"/>
    <w:rsid w:val="000B27E9"/>
    <w:rsid w:val="000B57C0"/>
    <w:rsid w:val="000C0D8B"/>
    <w:rsid w:val="000C1664"/>
    <w:rsid w:val="000C61A4"/>
    <w:rsid w:val="000D1724"/>
    <w:rsid w:val="000D4085"/>
    <w:rsid w:val="000E0923"/>
    <w:rsid w:val="000F2BDD"/>
    <w:rsid w:val="000F2CB8"/>
    <w:rsid w:val="000F474C"/>
    <w:rsid w:val="000F7AD4"/>
    <w:rsid w:val="000F7E35"/>
    <w:rsid w:val="001024DA"/>
    <w:rsid w:val="001039AE"/>
    <w:rsid w:val="00103AA1"/>
    <w:rsid w:val="0010616C"/>
    <w:rsid w:val="00106E9D"/>
    <w:rsid w:val="00110210"/>
    <w:rsid w:val="00114752"/>
    <w:rsid w:val="001175D4"/>
    <w:rsid w:val="001177DC"/>
    <w:rsid w:val="00123A2E"/>
    <w:rsid w:val="00124FBD"/>
    <w:rsid w:val="001304DD"/>
    <w:rsid w:val="00132581"/>
    <w:rsid w:val="001336F8"/>
    <w:rsid w:val="0013528A"/>
    <w:rsid w:val="00137374"/>
    <w:rsid w:val="00137A59"/>
    <w:rsid w:val="00137D32"/>
    <w:rsid w:val="001449B9"/>
    <w:rsid w:val="00145294"/>
    <w:rsid w:val="00145A1F"/>
    <w:rsid w:val="001465A5"/>
    <w:rsid w:val="00151DDD"/>
    <w:rsid w:val="001570C8"/>
    <w:rsid w:val="00157A55"/>
    <w:rsid w:val="00164607"/>
    <w:rsid w:val="001668F8"/>
    <w:rsid w:val="00166C40"/>
    <w:rsid w:val="0017267E"/>
    <w:rsid w:val="0018098E"/>
    <w:rsid w:val="00184473"/>
    <w:rsid w:val="00184909"/>
    <w:rsid w:val="00186009"/>
    <w:rsid w:val="00191AD8"/>
    <w:rsid w:val="00195FF7"/>
    <w:rsid w:val="00197E2F"/>
    <w:rsid w:val="001A0001"/>
    <w:rsid w:val="001A0843"/>
    <w:rsid w:val="001A107C"/>
    <w:rsid w:val="001A2BF2"/>
    <w:rsid w:val="001A2E52"/>
    <w:rsid w:val="001A3F78"/>
    <w:rsid w:val="001B0544"/>
    <w:rsid w:val="001B7B5D"/>
    <w:rsid w:val="001C0142"/>
    <w:rsid w:val="001C0E94"/>
    <w:rsid w:val="001C3C5D"/>
    <w:rsid w:val="001C7B5B"/>
    <w:rsid w:val="001D2C63"/>
    <w:rsid w:val="001D5F48"/>
    <w:rsid w:val="001D7253"/>
    <w:rsid w:val="001D7501"/>
    <w:rsid w:val="001D7866"/>
    <w:rsid w:val="001F0235"/>
    <w:rsid w:val="001F0F80"/>
    <w:rsid w:val="001F1815"/>
    <w:rsid w:val="001F51CD"/>
    <w:rsid w:val="001F54B7"/>
    <w:rsid w:val="001F6023"/>
    <w:rsid w:val="001F7113"/>
    <w:rsid w:val="00201D53"/>
    <w:rsid w:val="00203AA5"/>
    <w:rsid w:val="002042BB"/>
    <w:rsid w:val="00210FFF"/>
    <w:rsid w:val="002124A3"/>
    <w:rsid w:val="00214224"/>
    <w:rsid w:val="00216248"/>
    <w:rsid w:val="0021626E"/>
    <w:rsid w:val="0021741E"/>
    <w:rsid w:val="00217B51"/>
    <w:rsid w:val="00220C2A"/>
    <w:rsid w:val="00221627"/>
    <w:rsid w:val="002223F3"/>
    <w:rsid w:val="0023175A"/>
    <w:rsid w:val="00234913"/>
    <w:rsid w:val="0023688C"/>
    <w:rsid w:val="00236BA5"/>
    <w:rsid w:val="00236BDE"/>
    <w:rsid w:val="0024096D"/>
    <w:rsid w:val="0024297B"/>
    <w:rsid w:val="00244F8E"/>
    <w:rsid w:val="0024544B"/>
    <w:rsid w:val="00257E4F"/>
    <w:rsid w:val="0026446C"/>
    <w:rsid w:val="0026567A"/>
    <w:rsid w:val="00267638"/>
    <w:rsid w:val="00275102"/>
    <w:rsid w:val="00277E26"/>
    <w:rsid w:val="00281610"/>
    <w:rsid w:val="00283862"/>
    <w:rsid w:val="002849DE"/>
    <w:rsid w:val="00284E82"/>
    <w:rsid w:val="00285728"/>
    <w:rsid w:val="00286E3A"/>
    <w:rsid w:val="002923AC"/>
    <w:rsid w:val="00294D34"/>
    <w:rsid w:val="00296E57"/>
    <w:rsid w:val="002A15E2"/>
    <w:rsid w:val="002A435B"/>
    <w:rsid w:val="002B00CA"/>
    <w:rsid w:val="002B0685"/>
    <w:rsid w:val="002B1F6D"/>
    <w:rsid w:val="002B2BDE"/>
    <w:rsid w:val="002B2E71"/>
    <w:rsid w:val="002B315F"/>
    <w:rsid w:val="002B559C"/>
    <w:rsid w:val="002C2F22"/>
    <w:rsid w:val="002C2F9B"/>
    <w:rsid w:val="002C5F31"/>
    <w:rsid w:val="002D21E3"/>
    <w:rsid w:val="002D2A99"/>
    <w:rsid w:val="002D3341"/>
    <w:rsid w:val="002D5AAB"/>
    <w:rsid w:val="002E0EF6"/>
    <w:rsid w:val="002E1B6D"/>
    <w:rsid w:val="002E3DDC"/>
    <w:rsid w:val="002E46AE"/>
    <w:rsid w:val="002E52BD"/>
    <w:rsid w:val="002E6A73"/>
    <w:rsid w:val="002F0DF6"/>
    <w:rsid w:val="002F1802"/>
    <w:rsid w:val="002F4390"/>
    <w:rsid w:val="002F7ECF"/>
    <w:rsid w:val="003006CE"/>
    <w:rsid w:val="00302058"/>
    <w:rsid w:val="003029BE"/>
    <w:rsid w:val="00303D93"/>
    <w:rsid w:val="00305E16"/>
    <w:rsid w:val="0031019F"/>
    <w:rsid w:val="00310608"/>
    <w:rsid w:val="00312B84"/>
    <w:rsid w:val="00313A38"/>
    <w:rsid w:val="00320C67"/>
    <w:rsid w:val="00320D45"/>
    <w:rsid w:val="00321464"/>
    <w:rsid w:val="00321B15"/>
    <w:rsid w:val="003226FC"/>
    <w:rsid w:val="00323E73"/>
    <w:rsid w:val="00323F22"/>
    <w:rsid w:val="00330388"/>
    <w:rsid w:val="00330975"/>
    <w:rsid w:val="00332A35"/>
    <w:rsid w:val="00334F7E"/>
    <w:rsid w:val="003425CC"/>
    <w:rsid w:val="003476A9"/>
    <w:rsid w:val="0035181D"/>
    <w:rsid w:val="00354C46"/>
    <w:rsid w:val="00355909"/>
    <w:rsid w:val="00356E1F"/>
    <w:rsid w:val="00360F03"/>
    <w:rsid w:val="0036107B"/>
    <w:rsid w:val="00366508"/>
    <w:rsid w:val="00367815"/>
    <w:rsid w:val="003702AD"/>
    <w:rsid w:val="0037556C"/>
    <w:rsid w:val="00376ACA"/>
    <w:rsid w:val="00376F99"/>
    <w:rsid w:val="003771C5"/>
    <w:rsid w:val="00381FB0"/>
    <w:rsid w:val="003838C7"/>
    <w:rsid w:val="003853E4"/>
    <w:rsid w:val="003854C8"/>
    <w:rsid w:val="003917E6"/>
    <w:rsid w:val="003924E8"/>
    <w:rsid w:val="00392B20"/>
    <w:rsid w:val="00396CDD"/>
    <w:rsid w:val="003A0507"/>
    <w:rsid w:val="003A0EB5"/>
    <w:rsid w:val="003A1897"/>
    <w:rsid w:val="003A3C87"/>
    <w:rsid w:val="003A4F43"/>
    <w:rsid w:val="003A612C"/>
    <w:rsid w:val="003B05C9"/>
    <w:rsid w:val="003B0E38"/>
    <w:rsid w:val="003B3F8D"/>
    <w:rsid w:val="003B41F6"/>
    <w:rsid w:val="003B620A"/>
    <w:rsid w:val="003C0747"/>
    <w:rsid w:val="003C0BAF"/>
    <w:rsid w:val="003C4961"/>
    <w:rsid w:val="003C4ECC"/>
    <w:rsid w:val="003C6F10"/>
    <w:rsid w:val="003D0EAB"/>
    <w:rsid w:val="003D0F3B"/>
    <w:rsid w:val="003D1CB8"/>
    <w:rsid w:val="003D237B"/>
    <w:rsid w:val="003D63CA"/>
    <w:rsid w:val="003D7D72"/>
    <w:rsid w:val="003E0327"/>
    <w:rsid w:val="003E1F95"/>
    <w:rsid w:val="003E36F1"/>
    <w:rsid w:val="003E472A"/>
    <w:rsid w:val="003E6CB6"/>
    <w:rsid w:val="003F0073"/>
    <w:rsid w:val="003F2115"/>
    <w:rsid w:val="003F2F12"/>
    <w:rsid w:val="00400430"/>
    <w:rsid w:val="0040077A"/>
    <w:rsid w:val="0040439F"/>
    <w:rsid w:val="004043F1"/>
    <w:rsid w:val="00404479"/>
    <w:rsid w:val="0040541B"/>
    <w:rsid w:val="00405ECC"/>
    <w:rsid w:val="00406AA0"/>
    <w:rsid w:val="0041076E"/>
    <w:rsid w:val="00411002"/>
    <w:rsid w:val="00415A8E"/>
    <w:rsid w:val="00426BCB"/>
    <w:rsid w:val="0042761D"/>
    <w:rsid w:val="00431E99"/>
    <w:rsid w:val="00432126"/>
    <w:rsid w:val="00433072"/>
    <w:rsid w:val="004373F5"/>
    <w:rsid w:val="00441498"/>
    <w:rsid w:val="004424BC"/>
    <w:rsid w:val="00446332"/>
    <w:rsid w:val="0045071F"/>
    <w:rsid w:val="00450881"/>
    <w:rsid w:val="00453E3C"/>
    <w:rsid w:val="00462119"/>
    <w:rsid w:val="00464EB1"/>
    <w:rsid w:val="004701EE"/>
    <w:rsid w:val="004723C9"/>
    <w:rsid w:val="0047332F"/>
    <w:rsid w:val="00473B72"/>
    <w:rsid w:val="004741C2"/>
    <w:rsid w:val="004751CC"/>
    <w:rsid w:val="00480A8D"/>
    <w:rsid w:val="0048717F"/>
    <w:rsid w:val="004876FF"/>
    <w:rsid w:val="00487E3D"/>
    <w:rsid w:val="0049010E"/>
    <w:rsid w:val="004901E8"/>
    <w:rsid w:val="00493F15"/>
    <w:rsid w:val="00494CF3"/>
    <w:rsid w:val="00496A6D"/>
    <w:rsid w:val="004975B6"/>
    <w:rsid w:val="004A0919"/>
    <w:rsid w:val="004A1AAB"/>
    <w:rsid w:val="004A2519"/>
    <w:rsid w:val="004A2A2D"/>
    <w:rsid w:val="004A44CD"/>
    <w:rsid w:val="004B0C52"/>
    <w:rsid w:val="004B2625"/>
    <w:rsid w:val="004B4B6E"/>
    <w:rsid w:val="004B67C8"/>
    <w:rsid w:val="004B7150"/>
    <w:rsid w:val="004C3ACE"/>
    <w:rsid w:val="004C6099"/>
    <w:rsid w:val="004D00F3"/>
    <w:rsid w:val="004D2983"/>
    <w:rsid w:val="004D43A9"/>
    <w:rsid w:val="004D46C8"/>
    <w:rsid w:val="004D500B"/>
    <w:rsid w:val="004E261F"/>
    <w:rsid w:val="004E48C3"/>
    <w:rsid w:val="004F1D2A"/>
    <w:rsid w:val="004F29D6"/>
    <w:rsid w:val="00505C5A"/>
    <w:rsid w:val="005066F1"/>
    <w:rsid w:val="00507009"/>
    <w:rsid w:val="00507F85"/>
    <w:rsid w:val="00511187"/>
    <w:rsid w:val="00517C73"/>
    <w:rsid w:val="00524E80"/>
    <w:rsid w:val="00531842"/>
    <w:rsid w:val="0053193C"/>
    <w:rsid w:val="00531C81"/>
    <w:rsid w:val="0053236B"/>
    <w:rsid w:val="00532798"/>
    <w:rsid w:val="00533045"/>
    <w:rsid w:val="00537248"/>
    <w:rsid w:val="00537511"/>
    <w:rsid w:val="00540D8B"/>
    <w:rsid w:val="00541514"/>
    <w:rsid w:val="00542066"/>
    <w:rsid w:val="00546A6E"/>
    <w:rsid w:val="00555EAB"/>
    <w:rsid w:val="00556ADD"/>
    <w:rsid w:val="00557535"/>
    <w:rsid w:val="005624D6"/>
    <w:rsid w:val="00563529"/>
    <w:rsid w:val="0056362C"/>
    <w:rsid w:val="005641A1"/>
    <w:rsid w:val="00564D46"/>
    <w:rsid w:val="0056562C"/>
    <w:rsid w:val="005663C1"/>
    <w:rsid w:val="00566A86"/>
    <w:rsid w:val="005733A2"/>
    <w:rsid w:val="005745AF"/>
    <w:rsid w:val="005750DC"/>
    <w:rsid w:val="005771BF"/>
    <w:rsid w:val="00580000"/>
    <w:rsid w:val="00582FF0"/>
    <w:rsid w:val="00583A90"/>
    <w:rsid w:val="0058400E"/>
    <w:rsid w:val="005853D3"/>
    <w:rsid w:val="005857F6"/>
    <w:rsid w:val="00585A23"/>
    <w:rsid w:val="00593A3A"/>
    <w:rsid w:val="0059478C"/>
    <w:rsid w:val="0059539D"/>
    <w:rsid w:val="005974B2"/>
    <w:rsid w:val="005A0829"/>
    <w:rsid w:val="005A188E"/>
    <w:rsid w:val="005A18FC"/>
    <w:rsid w:val="005A1C41"/>
    <w:rsid w:val="005A1D1B"/>
    <w:rsid w:val="005A206E"/>
    <w:rsid w:val="005A38DD"/>
    <w:rsid w:val="005A5032"/>
    <w:rsid w:val="005B6F91"/>
    <w:rsid w:val="005C0058"/>
    <w:rsid w:val="005C7F41"/>
    <w:rsid w:val="005D2438"/>
    <w:rsid w:val="005D3934"/>
    <w:rsid w:val="005D4F4C"/>
    <w:rsid w:val="005D5B1B"/>
    <w:rsid w:val="005E0E3A"/>
    <w:rsid w:val="005E1C36"/>
    <w:rsid w:val="005E2605"/>
    <w:rsid w:val="005E7B21"/>
    <w:rsid w:val="005F054C"/>
    <w:rsid w:val="0060178F"/>
    <w:rsid w:val="0061187E"/>
    <w:rsid w:val="0061425E"/>
    <w:rsid w:val="00614DE4"/>
    <w:rsid w:val="00615F84"/>
    <w:rsid w:val="006168AC"/>
    <w:rsid w:val="0062300C"/>
    <w:rsid w:val="00632893"/>
    <w:rsid w:val="00633F34"/>
    <w:rsid w:val="006370B6"/>
    <w:rsid w:val="00641595"/>
    <w:rsid w:val="0064234E"/>
    <w:rsid w:val="00642C59"/>
    <w:rsid w:val="0064708B"/>
    <w:rsid w:val="006477DF"/>
    <w:rsid w:val="006503DE"/>
    <w:rsid w:val="0065152B"/>
    <w:rsid w:val="00651DE2"/>
    <w:rsid w:val="00651F98"/>
    <w:rsid w:val="00652CCE"/>
    <w:rsid w:val="00655CCA"/>
    <w:rsid w:val="00655DD7"/>
    <w:rsid w:val="00657ED6"/>
    <w:rsid w:val="00663E25"/>
    <w:rsid w:val="00665BF8"/>
    <w:rsid w:val="00670146"/>
    <w:rsid w:val="006708DC"/>
    <w:rsid w:val="00671450"/>
    <w:rsid w:val="00671659"/>
    <w:rsid w:val="006731D8"/>
    <w:rsid w:val="006732F2"/>
    <w:rsid w:val="006733E6"/>
    <w:rsid w:val="00673F92"/>
    <w:rsid w:val="006745F0"/>
    <w:rsid w:val="006747CD"/>
    <w:rsid w:val="0067583B"/>
    <w:rsid w:val="00676783"/>
    <w:rsid w:val="00676E17"/>
    <w:rsid w:val="00676F67"/>
    <w:rsid w:val="00681D6F"/>
    <w:rsid w:val="00685308"/>
    <w:rsid w:val="00685380"/>
    <w:rsid w:val="00686267"/>
    <w:rsid w:val="00687E03"/>
    <w:rsid w:val="00690C67"/>
    <w:rsid w:val="0069767F"/>
    <w:rsid w:val="006A3734"/>
    <w:rsid w:val="006A618F"/>
    <w:rsid w:val="006A6218"/>
    <w:rsid w:val="006A71A9"/>
    <w:rsid w:val="006A7707"/>
    <w:rsid w:val="006A7748"/>
    <w:rsid w:val="006B0AAD"/>
    <w:rsid w:val="006B218C"/>
    <w:rsid w:val="006B293D"/>
    <w:rsid w:val="006B3261"/>
    <w:rsid w:val="006B372C"/>
    <w:rsid w:val="006B4D55"/>
    <w:rsid w:val="006B4E8F"/>
    <w:rsid w:val="006B7C3F"/>
    <w:rsid w:val="006C1181"/>
    <w:rsid w:val="006C3114"/>
    <w:rsid w:val="006C4478"/>
    <w:rsid w:val="006C625D"/>
    <w:rsid w:val="006D11A7"/>
    <w:rsid w:val="006D174A"/>
    <w:rsid w:val="006D76F8"/>
    <w:rsid w:val="006D7C37"/>
    <w:rsid w:val="006E1E7C"/>
    <w:rsid w:val="006E27FF"/>
    <w:rsid w:val="006E4290"/>
    <w:rsid w:val="006F14A6"/>
    <w:rsid w:val="006F6D74"/>
    <w:rsid w:val="007009B7"/>
    <w:rsid w:val="00705675"/>
    <w:rsid w:val="00705B90"/>
    <w:rsid w:val="007068FC"/>
    <w:rsid w:val="0071667A"/>
    <w:rsid w:val="00717095"/>
    <w:rsid w:val="007212A3"/>
    <w:rsid w:val="00725F91"/>
    <w:rsid w:val="0072620E"/>
    <w:rsid w:val="007271A1"/>
    <w:rsid w:val="00730595"/>
    <w:rsid w:val="00731577"/>
    <w:rsid w:val="00731E30"/>
    <w:rsid w:val="00734BCC"/>
    <w:rsid w:val="0073672C"/>
    <w:rsid w:val="00740686"/>
    <w:rsid w:val="00743BFB"/>
    <w:rsid w:val="00744280"/>
    <w:rsid w:val="00744F9A"/>
    <w:rsid w:val="00745B90"/>
    <w:rsid w:val="007521A0"/>
    <w:rsid w:val="007556CB"/>
    <w:rsid w:val="007570F3"/>
    <w:rsid w:val="00757C9B"/>
    <w:rsid w:val="007611FE"/>
    <w:rsid w:val="00761633"/>
    <w:rsid w:val="007638FE"/>
    <w:rsid w:val="0076622F"/>
    <w:rsid w:val="00766D27"/>
    <w:rsid w:val="00767F02"/>
    <w:rsid w:val="00771431"/>
    <w:rsid w:val="007719F2"/>
    <w:rsid w:val="00773F3C"/>
    <w:rsid w:val="007808D3"/>
    <w:rsid w:val="00785876"/>
    <w:rsid w:val="007864A1"/>
    <w:rsid w:val="00792A42"/>
    <w:rsid w:val="0079480F"/>
    <w:rsid w:val="007952F4"/>
    <w:rsid w:val="007957E8"/>
    <w:rsid w:val="007A0F01"/>
    <w:rsid w:val="007A13F6"/>
    <w:rsid w:val="007A1D24"/>
    <w:rsid w:val="007A3B5B"/>
    <w:rsid w:val="007A6541"/>
    <w:rsid w:val="007A76F1"/>
    <w:rsid w:val="007B2504"/>
    <w:rsid w:val="007B2B04"/>
    <w:rsid w:val="007B52ED"/>
    <w:rsid w:val="007B6D09"/>
    <w:rsid w:val="007C0406"/>
    <w:rsid w:val="007C1584"/>
    <w:rsid w:val="007C1BD9"/>
    <w:rsid w:val="007C21E4"/>
    <w:rsid w:val="007C2D5D"/>
    <w:rsid w:val="007C77BC"/>
    <w:rsid w:val="007C7D30"/>
    <w:rsid w:val="007D3622"/>
    <w:rsid w:val="007D3953"/>
    <w:rsid w:val="007D3E5D"/>
    <w:rsid w:val="007D4306"/>
    <w:rsid w:val="007D68C1"/>
    <w:rsid w:val="007D6A52"/>
    <w:rsid w:val="007D6FA9"/>
    <w:rsid w:val="007E05A2"/>
    <w:rsid w:val="007E12E7"/>
    <w:rsid w:val="007E1C84"/>
    <w:rsid w:val="007E1C87"/>
    <w:rsid w:val="007E25F1"/>
    <w:rsid w:val="007E5C43"/>
    <w:rsid w:val="007F06C9"/>
    <w:rsid w:val="007F07F1"/>
    <w:rsid w:val="007F0EE3"/>
    <w:rsid w:val="007F224C"/>
    <w:rsid w:val="007F5B4A"/>
    <w:rsid w:val="007F5E23"/>
    <w:rsid w:val="007F6E86"/>
    <w:rsid w:val="007F7230"/>
    <w:rsid w:val="007F7619"/>
    <w:rsid w:val="00800682"/>
    <w:rsid w:val="008022CE"/>
    <w:rsid w:val="0080271E"/>
    <w:rsid w:val="008057DA"/>
    <w:rsid w:val="00810419"/>
    <w:rsid w:val="00811A46"/>
    <w:rsid w:val="00812E37"/>
    <w:rsid w:val="0081585F"/>
    <w:rsid w:val="00822303"/>
    <w:rsid w:val="00825358"/>
    <w:rsid w:val="00825FC1"/>
    <w:rsid w:val="00826194"/>
    <w:rsid w:val="008265D4"/>
    <w:rsid w:val="00831180"/>
    <w:rsid w:val="0083228C"/>
    <w:rsid w:val="0083658E"/>
    <w:rsid w:val="008366B7"/>
    <w:rsid w:val="00836F8B"/>
    <w:rsid w:val="008370B4"/>
    <w:rsid w:val="00837D4C"/>
    <w:rsid w:val="008400E7"/>
    <w:rsid w:val="00844796"/>
    <w:rsid w:val="00847FD9"/>
    <w:rsid w:val="00855128"/>
    <w:rsid w:val="008634C8"/>
    <w:rsid w:val="00863DA4"/>
    <w:rsid w:val="008659FF"/>
    <w:rsid w:val="008660F1"/>
    <w:rsid w:val="008733FB"/>
    <w:rsid w:val="00873805"/>
    <w:rsid w:val="00874541"/>
    <w:rsid w:val="00877676"/>
    <w:rsid w:val="00880F15"/>
    <w:rsid w:val="00883687"/>
    <w:rsid w:val="008869A2"/>
    <w:rsid w:val="008942C6"/>
    <w:rsid w:val="00895F8F"/>
    <w:rsid w:val="00897197"/>
    <w:rsid w:val="008A1DE5"/>
    <w:rsid w:val="008A30D5"/>
    <w:rsid w:val="008A38A2"/>
    <w:rsid w:val="008A401D"/>
    <w:rsid w:val="008A4DC5"/>
    <w:rsid w:val="008A51C6"/>
    <w:rsid w:val="008A573B"/>
    <w:rsid w:val="008B075F"/>
    <w:rsid w:val="008B427F"/>
    <w:rsid w:val="008B5586"/>
    <w:rsid w:val="008C09AB"/>
    <w:rsid w:val="008C16D8"/>
    <w:rsid w:val="008C1812"/>
    <w:rsid w:val="008C1AFC"/>
    <w:rsid w:val="008C2322"/>
    <w:rsid w:val="008C2FE2"/>
    <w:rsid w:val="008C4506"/>
    <w:rsid w:val="008C47A3"/>
    <w:rsid w:val="008C5974"/>
    <w:rsid w:val="008C5FC0"/>
    <w:rsid w:val="008C7223"/>
    <w:rsid w:val="008D0B74"/>
    <w:rsid w:val="008D21BC"/>
    <w:rsid w:val="008D478D"/>
    <w:rsid w:val="008D5944"/>
    <w:rsid w:val="008D5C1E"/>
    <w:rsid w:val="008D6D12"/>
    <w:rsid w:val="008D7A15"/>
    <w:rsid w:val="008E0581"/>
    <w:rsid w:val="008E43E7"/>
    <w:rsid w:val="008E71E4"/>
    <w:rsid w:val="008F07F3"/>
    <w:rsid w:val="008F1320"/>
    <w:rsid w:val="008F1E5B"/>
    <w:rsid w:val="008F3989"/>
    <w:rsid w:val="008F474B"/>
    <w:rsid w:val="008F7B89"/>
    <w:rsid w:val="009006A5"/>
    <w:rsid w:val="00902F33"/>
    <w:rsid w:val="00902F37"/>
    <w:rsid w:val="009118A0"/>
    <w:rsid w:val="00914CD8"/>
    <w:rsid w:val="0091620A"/>
    <w:rsid w:val="00921482"/>
    <w:rsid w:val="00923E71"/>
    <w:rsid w:val="00925A37"/>
    <w:rsid w:val="009275AA"/>
    <w:rsid w:val="00930501"/>
    <w:rsid w:val="00931CA4"/>
    <w:rsid w:val="00935443"/>
    <w:rsid w:val="00935461"/>
    <w:rsid w:val="00936EBD"/>
    <w:rsid w:val="00940F43"/>
    <w:rsid w:val="00944CAE"/>
    <w:rsid w:val="009459CF"/>
    <w:rsid w:val="009459E3"/>
    <w:rsid w:val="00946512"/>
    <w:rsid w:val="009465DF"/>
    <w:rsid w:val="00950B1D"/>
    <w:rsid w:val="00957400"/>
    <w:rsid w:val="00964450"/>
    <w:rsid w:val="00970920"/>
    <w:rsid w:val="00976010"/>
    <w:rsid w:val="00976AFD"/>
    <w:rsid w:val="0098024B"/>
    <w:rsid w:val="00980774"/>
    <w:rsid w:val="00980A0A"/>
    <w:rsid w:val="00980F04"/>
    <w:rsid w:val="00981342"/>
    <w:rsid w:val="00984BD2"/>
    <w:rsid w:val="00986406"/>
    <w:rsid w:val="009876D7"/>
    <w:rsid w:val="00990546"/>
    <w:rsid w:val="00995DDC"/>
    <w:rsid w:val="009962E5"/>
    <w:rsid w:val="00997E3C"/>
    <w:rsid w:val="009A04FA"/>
    <w:rsid w:val="009A0EC5"/>
    <w:rsid w:val="009A345D"/>
    <w:rsid w:val="009A4556"/>
    <w:rsid w:val="009A5A79"/>
    <w:rsid w:val="009A5B9E"/>
    <w:rsid w:val="009A7919"/>
    <w:rsid w:val="009C0F4B"/>
    <w:rsid w:val="009C1114"/>
    <w:rsid w:val="009C3BF2"/>
    <w:rsid w:val="009C4B84"/>
    <w:rsid w:val="009C70B7"/>
    <w:rsid w:val="009C76BF"/>
    <w:rsid w:val="009D1130"/>
    <w:rsid w:val="009D2571"/>
    <w:rsid w:val="009D414C"/>
    <w:rsid w:val="009D5D20"/>
    <w:rsid w:val="009E4B97"/>
    <w:rsid w:val="009E5AFB"/>
    <w:rsid w:val="009E5D19"/>
    <w:rsid w:val="009E604D"/>
    <w:rsid w:val="009E6AE6"/>
    <w:rsid w:val="009F0E2C"/>
    <w:rsid w:val="009F198F"/>
    <w:rsid w:val="009F539E"/>
    <w:rsid w:val="00A0325B"/>
    <w:rsid w:val="00A05302"/>
    <w:rsid w:val="00A0654B"/>
    <w:rsid w:val="00A07E5B"/>
    <w:rsid w:val="00A11432"/>
    <w:rsid w:val="00A1565D"/>
    <w:rsid w:val="00A17C48"/>
    <w:rsid w:val="00A21306"/>
    <w:rsid w:val="00A2595E"/>
    <w:rsid w:val="00A27202"/>
    <w:rsid w:val="00A3047A"/>
    <w:rsid w:val="00A30961"/>
    <w:rsid w:val="00A30CCE"/>
    <w:rsid w:val="00A31E29"/>
    <w:rsid w:val="00A3280B"/>
    <w:rsid w:val="00A3425F"/>
    <w:rsid w:val="00A37E4E"/>
    <w:rsid w:val="00A442B0"/>
    <w:rsid w:val="00A5043A"/>
    <w:rsid w:val="00A51242"/>
    <w:rsid w:val="00A52AA4"/>
    <w:rsid w:val="00A52F7B"/>
    <w:rsid w:val="00A537E5"/>
    <w:rsid w:val="00A53E58"/>
    <w:rsid w:val="00A54FA0"/>
    <w:rsid w:val="00A5653A"/>
    <w:rsid w:val="00A575B0"/>
    <w:rsid w:val="00A579AE"/>
    <w:rsid w:val="00A62296"/>
    <w:rsid w:val="00A674BC"/>
    <w:rsid w:val="00A67C83"/>
    <w:rsid w:val="00A67F21"/>
    <w:rsid w:val="00A73799"/>
    <w:rsid w:val="00A75C40"/>
    <w:rsid w:val="00A77E8B"/>
    <w:rsid w:val="00A83E03"/>
    <w:rsid w:val="00A84461"/>
    <w:rsid w:val="00A850FC"/>
    <w:rsid w:val="00A91DEA"/>
    <w:rsid w:val="00A9261B"/>
    <w:rsid w:val="00A954A8"/>
    <w:rsid w:val="00A96B21"/>
    <w:rsid w:val="00A9733C"/>
    <w:rsid w:val="00AA061F"/>
    <w:rsid w:val="00AA0B16"/>
    <w:rsid w:val="00AA4015"/>
    <w:rsid w:val="00AA4F06"/>
    <w:rsid w:val="00AA6A85"/>
    <w:rsid w:val="00AB481B"/>
    <w:rsid w:val="00AB484C"/>
    <w:rsid w:val="00AB4BED"/>
    <w:rsid w:val="00AB6401"/>
    <w:rsid w:val="00AB72B9"/>
    <w:rsid w:val="00AC04D0"/>
    <w:rsid w:val="00AC12DB"/>
    <w:rsid w:val="00AC1EA7"/>
    <w:rsid w:val="00AC74D3"/>
    <w:rsid w:val="00AD05A0"/>
    <w:rsid w:val="00AD2CA4"/>
    <w:rsid w:val="00AD427E"/>
    <w:rsid w:val="00AE1A95"/>
    <w:rsid w:val="00AE22E6"/>
    <w:rsid w:val="00AF72C8"/>
    <w:rsid w:val="00B00749"/>
    <w:rsid w:val="00B0492D"/>
    <w:rsid w:val="00B0515A"/>
    <w:rsid w:val="00B05390"/>
    <w:rsid w:val="00B05ECE"/>
    <w:rsid w:val="00B06DD3"/>
    <w:rsid w:val="00B06F72"/>
    <w:rsid w:val="00B07F1B"/>
    <w:rsid w:val="00B10E76"/>
    <w:rsid w:val="00B124A1"/>
    <w:rsid w:val="00B12A96"/>
    <w:rsid w:val="00B15796"/>
    <w:rsid w:val="00B15C1F"/>
    <w:rsid w:val="00B164B3"/>
    <w:rsid w:val="00B239DD"/>
    <w:rsid w:val="00B24304"/>
    <w:rsid w:val="00B2462A"/>
    <w:rsid w:val="00B303D2"/>
    <w:rsid w:val="00B307D5"/>
    <w:rsid w:val="00B31125"/>
    <w:rsid w:val="00B32C46"/>
    <w:rsid w:val="00B36EA9"/>
    <w:rsid w:val="00B41E94"/>
    <w:rsid w:val="00B429E2"/>
    <w:rsid w:val="00B44362"/>
    <w:rsid w:val="00B4532B"/>
    <w:rsid w:val="00B45363"/>
    <w:rsid w:val="00B462E4"/>
    <w:rsid w:val="00B5363D"/>
    <w:rsid w:val="00B53DC0"/>
    <w:rsid w:val="00B56CB2"/>
    <w:rsid w:val="00B57922"/>
    <w:rsid w:val="00B6166A"/>
    <w:rsid w:val="00B61C44"/>
    <w:rsid w:val="00B6284D"/>
    <w:rsid w:val="00B63227"/>
    <w:rsid w:val="00B6596F"/>
    <w:rsid w:val="00B65A46"/>
    <w:rsid w:val="00B65C3E"/>
    <w:rsid w:val="00B65C77"/>
    <w:rsid w:val="00B75E60"/>
    <w:rsid w:val="00B76A45"/>
    <w:rsid w:val="00B81E53"/>
    <w:rsid w:val="00B82B59"/>
    <w:rsid w:val="00B82D55"/>
    <w:rsid w:val="00B8438E"/>
    <w:rsid w:val="00B85067"/>
    <w:rsid w:val="00B904D6"/>
    <w:rsid w:val="00B9578F"/>
    <w:rsid w:val="00B95F93"/>
    <w:rsid w:val="00B97A52"/>
    <w:rsid w:val="00BA37A8"/>
    <w:rsid w:val="00BA526C"/>
    <w:rsid w:val="00BB1C2E"/>
    <w:rsid w:val="00BB29B2"/>
    <w:rsid w:val="00BB475D"/>
    <w:rsid w:val="00BB6C47"/>
    <w:rsid w:val="00BC0952"/>
    <w:rsid w:val="00BC14A2"/>
    <w:rsid w:val="00BC180B"/>
    <w:rsid w:val="00BC1D14"/>
    <w:rsid w:val="00BC4CF6"/>
    <w:rsid w:val="00BC5057"/>
    <w:rsid w:val="00BC602A"/>
    <w:rsid w:val="00BC773D"/>
    <w:rsid w:val="00BC7F55"/>
    <w:rsid w:val="00BD07B0"/>
    <w:rsid w:val="00BD3E19"/>
    <w:rsid w:val="00BD66BF"/>
    <w:rsid w:val="00BD7FEB"/>
    <w:rsid w:val="00BE0B03"/>
    <w:rsid w:val="00BE1563"/>
    <w:rsid w:val="00BF0679"/>
    <w:rsid w:val="00BF310D"/>
    <w:rsid w:val="00C02129"/>
    <w:rsid w:val="00C03E56"/>
    <w:rsid w:val="00C0603A"/>
    <w:rsid w:val="00C10FAE"/>
    <w:rsid w:val="00C11974"/>
    <w:rsid w:val="00C226F0"/>
    <w:rsid w:val="00C2354A"/>
    <w:rsid w:val="00C241A9"/>
    <w:rsid w:val="00C24566"/>
    <w:rsid w:val="00C25194"/>
    <w:rsid w:val="00C2784B"/>
    <w:rsid w:val="00C33C37"/>
    <w:rsid w:val="00C3665A"/>
    <w:rsid w:val="00C369D9"/>
    <w:rsid w:val="00C40E7F"/>
    <w:rsid w:val="00C41A3D"/>
    <w:rsid w:val="00C4323C"/>
    <w:rsid w:val="00C43B24"/>
    <w:rsid w:val="00C45E06"/>
    <w:rsid w:val="00C53C5E"/>
    <w:rsid w:val="00C56439"/>
    <w:rsid w:val="00C57E03"/>
    <w:rsid w:val="00C61330"/>
    <w:rsid w:val="00C61DAA"/>
    <w:rsid w:val="00C61F57"/>
    <w:rsid w:val="00C70DC4"/>
    <w:rsid w:val="00C70FD4"/>
    <w:rsid w:val="00C7126C"/>
    <w:rsid w:val="00C81ABF"/>
    <w:rsid w:val="00C854F9"/>
    <w:rsid w:val="00C85C49"/>
    <w:rsid w:val="00C87FB1"/>
    <w:rsid w:val="00CA3C99"/>
    <w:rsid w:val="00CA51A7"/>
    <w:rsid w:val="00CA5789"/>
    <w:rsid w:val="00CA586F"/>
    <w:rsid w:val="00CA6223"/>
    <w:rsid w:val="00CA7A08"/>
    <w:rsid w:val="00CB0AAA"/>
    <w:rsid w:val="00CB3254"/>
    <w:rsid w:val="00CB68B3"/>
    <w:rsid w:val="00CC19F3"/>
    <w:rsid w:val="00CC3FCB"/>
    <w:rsid w:val="00CC6F0B"/>
    <w:rsid w:val="00CD0300"/>
    <w:rsid w:val="00CD0670"/>
    <w:rsid w:val="00CD2E5E"/>
    <w:rsid w:val="00CD40EC"/>
    <w:rsid w:val="00CD5139"/>
    <w:rsid w:val="00CD6E7A"/>
    <w:rsid w:val="00CE019B"/>
    <w:rsid w:val="00CE046F"/>
    <w:rsid w:val="00CE05D6"/>
    <w:rsid w:val="00CE0D4F"/>
    <w:rsid w:val="00CE4654"/>
    <w:rsid w:val="00CE606F"/>
    <w:rsid w:val="00CE636F"/>
    <w:rsid w:val="00CE6621"/>
    <w:rsid w:val="00CF16C8"/>
    <w:rsid w:val="00CF47D9"/>
    <w:rsid w:val="00CF4AE3"/>
    <w:rsid w:val="00CF57CE"/>
    <w:rsid w:val="00CF70AB"/>
    <w:rsid w:val="00D05177"/>
    <w:rsid w:val="00D058E9"/>
    <w:rsid w:val="00D07042"/>
    <w:rsid w:val="00D100DC"/>
    <w:rsid w:val="00D11479"/>
    <w:rsid w:val="00D1237F"/>
    <w:rsid w:val="00D13343"/>
    <w:rsid w:val="00D15C11"/>
    <w:rsid w:val="00D173B4"/>
    <w:rsid w:val="00D20F88"/>
    <w:rsid w:val="00D215A7"/>
    <w:rsid w:val="00D25F2A"/>
    <w:rsid w:val="00D260B6"/>
    <w:rsid w:val="00D3059B"/>
    <w:rsid w:val="00D33CC8"/>
    <w:rsid w:val="00D346BE"/>
    <w:rsid w:val="00D35072"/>
    <w:rsid w:val="00D40418"/>
    <w:rsid w:val="00D42AA1"/>
    <w:rsid w:val="00D42FAF"/>
    <w:rsid w:val="00D43FE8"/>
    <w:rsid w:val="00D4421E"/>
    <w:rsid w:val="00D46647"/>
    <w:rsid w:val="00D46C66"/>
    <w:rsid w:val="00D53981"/>
    <w:rsid w:val="00D53A27"/>
    <w:rsid w:val="00D56CFF"/>
    <w:rsid w:val="00D577CA"/>
    <w:rsid w:val="00D60046"/>
    <w:rsid w:val="00D608F0"/>
    <w:rsid w:val="00D61756"/>
    <w:rsid w:val="00D61B0A"/>
    <w:rsid w:val="00D66F42"/>
    <w:rsid w:val="00D717BA"/>
    <w:rsid w:val="00D71FFB"/>
    <w:rsid w:val="00D73758"/>
    <w:rsid w:val="00D765F3"/>
    <w:rsid w:val="00D8080D"/>
    <w:rsid w:val="00D83914"/>
    <w:rsid w:val="00D91DE1"/>
    <w:rsid w:val="00D94C11"/>
    <w:rsid w:val="00D95DC9"/>
    <w:rsid w:val="00DA21E6"/>
    <w:rsid w:val="00DA2B08"/>
    <w:rsid w:val="00DA2D29"/>
    <w:rsid w:val="00DA42CD"/>
    <w:rsid w:val="00DA5008"/>
    <w:rsid w:val="00DA5A8A"/>
    <w:rsid w:val="00DA6CC2"/>
    <w:rsid w:val="00DA70D6"/>
    <w:rsid w:val="00DD24C5"/>
    <w:rsid w:val="00DD39DE"/>
    <w:rsid w:val="00DD6978"/>
    <w:rsid w:val="00DD7309"/>
    <w:rsid w:val="00DE0D99"/>
    <w:rsid w:val="00DE39DF"/>
    <w:rsid w:val="00DE41B3"/>
    <w:rsid w:val="00DF35FD"/>
    <w:rsid w:val="00DF37A9"/>
    <w:rsid w:val="00DF5754"/>
    <w:rsid w:val="00E00182"/>
    <w:rsid w:val="00E031B4"/>
    <w:rsid w:val="00E07382"/>
    <w:rsid w:val="00E1597C"/>
    <w:rsid w:val="00E2043C"/>
    <w:rsid w:val="00E207AE"/>
    <w:rsid w:val="00E22622"/>
    <w:rsid w:val="00E23823"/>
    <w:rsid w:val="00E2598E"/>
    <w:rsid w:val="00E26097"/>
    <w:rsid w:val="00E275E4"/>
    <w:rsid w:val="00E2767D"/>
    <w:rsid w:val="00E40276"/>
    <w:rsid w:val="00E42C06"/>
    <w:rsid w:val="00E4302D"/>
    <w:rsid w:val="00E43B8A"/>
    <w:rsid w:val="00E464A0"/>
    <w:rsid w:val="00E536E9"/>
    <w:rsid w:val="00E53AEC"/>
    <w:rsid w:val="00E55919"/>
    <w:rsid w:val="00E637E1"/>
    <w:rsid w:val="00E649C6"/>
    <w:rsid w:val="00E661F7"/>
    <w:rsid w:val="00E6725D"/>
    <w:rsid w:val="00E70E8E"/>
    <w:rsid w:val="00E70F0E"/>
    <w:rsid w:val="00E7362E"/>
    <w:rsid w:val="00E75FF9"/>
    <w:rsid w:val="00E82D12"/>
    <w:rsid w:val="00E83150"/>
    <w:rsid w:val="00E84CBA"/>
    <w:rsid w:val="00E853F3"/>
    <w:rsid w:val="00E90327"/>
    <w:rsid w:val="00E91974"/>
    <w:rsid w:val="00E92886"/>
    <w:rsid w:val="00E93121"/>
    <w:rsid w:val="00EA007B"/>
    <w:rsid w:val="00EA2FDD"/>
    <w:rsid w:val="00EB02C2"/>
    <w:rsid w:val="00EB1AFC"/>
    <w:rsid w:val="00EB5AAA"/>
    <w:rsid w:val="00EB7B06"/>
    <w:rsid w:val="00EC0D23"/>
    <w:rsid w:val="00EC299F"/>
    <w:rsid w:val="00EC3EBA"/>
    <w:rsid w:val="00EC6AF9"/>
    <w:rsid w:val="00ED13E1"/>
    <w:rsid w:val="00ED3849"/>
    <w:rsid w:val="00ED489A"/>
    <w:rsid w:val="00EE1DE0"/>
    <w:rsid w:val="00EE2645"/>
    <w:rsid w:val="00EE5BAD"/>
    <w:rsid w:val="00EE692D"/>
    <w:rsid w:val="00EF2F69"/>
    <w:rsid w:val="00EF2FE2"/>
    <w:rsid w:val="00EF6683"/>
    <w:rsid w:val="00F01656"/>
    <w:rsid w:val="00F024AB"/>
    <w:rsid w:val="00F041DC"/>
    <w:rsid w:val="00F07149"/>
    <w:rsid w:val="00F10E95"/>
    <w:rsid w:val="00F1182E"/>
    <w:rsid w:val="00F118C7"/>
    <w:rsid w:val="00F12BD7"/>
    <w:rsid w:val="00F12E4E"/>
    <w:rsid w:val="00F13DDA"/>
    <w:rsid w:val="00F13EDE"/>
    <w:rsid w:val="00F179BC"/>
    <w:rsid w:val="00F20F7A"/>
    <w:rsid w:val="00F2154F"/>
    <w:rsid w:val="00F22438"/>
    <w:rsid w:val="00F258FB"/>
    <w:rsid w:val="00F268AA"/>
    <w:rsid w:val="00F35D2D"/>
    <w:rsid w:val="00F3652B"/>
    <w:rsid w:val="00F37120"/>
    <w:rsid w:val="00F42F15"/>
    <w:rsid w:val="00F43BA5"/>
    <w:rsid w:val="00F51636"/>
    <w:rsid w:val="00F53276"/>
    <w:rsid w:val="00F55761"/>
    <w:rsid w:val="00F55A97"/>
    <w:rsid w:val="00F62BB0"/>
    <w:rsid w:val="00F6404E"/>
    <w:rsid w:val="00F65627"/>
    <w:rsid w:val="00F666F2"/>
    <w:rsid w:val="00F72703"/>
    <w:rsid w:val="00F75F90"/>
    <w:rsid w:val="00F767DC"/>
    <w:rsid w:val="00F77FA0"/>
    <w:rsid w:val="00F807DC"/>
    <w:rsid w:val="00F80BF6"/>
    <w:rsid w:val="00F83627"/>
    <w:rsid w:val="00F84DB1"/>
    <w:rsid w:val="00F85381"/>
    <w:rsid w:val="00F91B2D"/>
    <w:rsid w:val="00F91F9C"/>
    <w:rsid w:val="00F9414C"/>
    <w:rsid w:val="00F97B8B"/>
    <w:rsid w:val="00FA18C9"/>
    <w:rsid w:val="00FA3598"/>
    <w:rsid w:val="00FA35B5"/>
    <w:rsid w:val="00FA4816"/>
    <w:rsid w:val="00FA5E7B"/>
    <w:rsid w:val="00FA60FB"/>
    <w:rsid w:val="00FA79A4"/>
    <w:rsid w:val="00FB377D"/>
    <w:rsid w:val="00FB436F"/>
    <w:rsid w:val="00FB7172"/>
    <w:rsid w:val="00FB7F83"/>
    <w:rsid w:val="00FC2291"/>
    <w:rsid w:val="00FC2D54"/>
    <w:rsid w:val="00FC34AD"/>
    <w:rsid w:val="00FC3F3D"/>
    <w:rsid w:val="00FC53E1"/>
    <w:rsid w:val="00FD1616"/>
    <w:rsid w:val="00FD1659"/>
    <w:rsid w:val="00FD1707"/>
    <w:rsid w:val="00FD1C9B"/>
    <w:rsid w:val="00FE05F2"/>
    <w:rsid w:val="00FE3C95"/>
    <w:rsid w:val="00FE5C00"/>
    <w:rsid w:val="00FE624B"/>
    <w:rsid w:val="00FF1C11"/>
    <w:rsid w:val="00FF5149"/>
    <w:rsid w:val="00FF557E"/>
    <w:rsid w:val="00FF597B"/>
    <w:rsid w:val="00FF5C07"/>
    <w:rsid w:val="00FF5DF7"/>
    <w:rsid w:val="00FF7A5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D65B2"/>
  <w15:docId w15:val="{B6B2CF14-51CF-40A0-BCFF-9E74AA1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rPr>
  </w:style>
  <w:style w:type="paragraph" w:styleId="Titre1">
    <w:name w:val="heading 1"/>
    <w:basedOn w:val="Normal"/>
    <w:next w:val="Normal"/>
    <w:link w:val="Titre1Car"/>
    <w:uiPriority w:val="9"/>
    <w:qFormat/>
    <w:rsid w:val="007C77BC"/>
    <w:pPr>
      <w:keepNext/>
      <w:keepLines/>
      <w:numPr>
        <w:numId w:val="1"/>
      </w:numPr>
      <w:spacing w:before="240" w:after="120"/>
      <w:jc w:val="left"/>
      <w:outlineLvl w:val="0"/>
    </w:pPr>
    <w:rPr>
      <w:rFonts w:eastAsiaTheme="majorEastAsia" w:cstheme="majorBidi"/>
      <w:b/>
      <w:bCs/>
      <w:kern w:val="2"/>
      <w:sz w:val="28"/>
      <w:szCs w:val="32"/>
      <w:lang w:val="en-CA"/>
    </w:rPr>
  </w:style>
  <w:style w:type="paragraph" w:styleId="Titre2">
    <w:name w:val="heading 2"/>
    <w:basedOn w:val="Normal"/>
    <w:next w:val="Normal"/>
    <w:link w:val="Titre2C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Titre4">
    <w:name w:val="heading 4"/>
    <w:basedOn w:val="Normal"/>
    <w:next w:val="Normal"/>
    <w:link w:val="Titre4Car"/>
    <w:uiPriority w:val="9"/>
    <w:unhideWhenUsed/>
    <w:qFormat/>
    <w:rsid w:val="00310608"/>
    <w:pPr>
      <w:keepNext/>
      <w:spacing w:before="120" w:after="120"/>
      <w:ind w:left="567" w:hanging="567"/>
      <w:outlineLvl w:val="3"/>
    </w:pPr>
    <w:rPr>
      <w:rFonts w:eastAsiaTheme="majorEastAsia"/>
      <w:b/>
      <w:bCs/>
    </w:rPr>
  </w:style>
  <w:style w:type="paragraph" w:styleId="Titre5">
    <w:name w:val="heading 5"/>
    <w:basedOn w:val="Normal"/>
    <w:next w:val="Normal"/>
    <w:link w:val="Titre5Car"/>
    <w:uiPriority w:val="9"/>
    <w:unhideWhenUsed/>
    <w:qFormat/>
    <w:rsid w:val="00310608"/>
    <w:pPr>
      <w:keepNext/>
      <w:spacing w:before="120" w:after="120"/>
      <w:ind w:left="567" w:hanging="567"/>
      <w:outlineLvl w:val="4"/>
    </w:pPr>
    <w:rPr>
      <w:rFonts w:eastAsiaTheme="majorEastAsia"/>
      <w:i/>
      <w:iCs/>
    </w:rPr>
  </w:style>
  <w:style w:type="paragraph" w:styleId="Titre9">
    <w:name w:val="heading 9"/>
    <w:basedOn w:val="Normal"/>
    <w:next w:val="Normal"/>
    <w:link w:val="Titre9Car"/>
    <w:uiPriority w:val="9"/>
    <w:semiHidden/>
    <w:unhideWhenUsed/>
    <w:qFormat/>
    <w:rsid w:val="0023688C"/>
    <w:pPr>
      <w:keepNext/>
      <w:keepLines/>
      <w:spacing w:line="278" w:lineRule="auto"/>
      <w:jc w:val="left"/>
      <w:outlineLvl w:val="8"/>
    </w:pPr>
    <w:rPr>
      <w:rFonts w:asciiTheme="minorHAnsi" w:eastAsiaTheme="majorEastAsia" w:hAnsiTheme="minorHAnsi" w:cstheme="majorBidi"/>
      <w:color w:val="272727" w:themeColor="text1" w:themeTint="D8"/>
      <w:kern w:val="2"/>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tem">
    <w:name w:val="Item"/>
    <w:basedOn w:val="Corpsdetexte"/>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rPr>
  </w:style>
  <w:style w:type="paragraph" w:styleId="Corpsdetexte">
    <w:name w:val="Body Text"/>
    <w:basedOn w:val="Normal"/>
    <w:link w:val="CorpsdetexteCar"/>
    <w:uiPriority w:val="99"/>
    <w:semiHidden/>
    <w:unhideWhenUsed/>
    <w:rsid w:val="00657ED6"/>
    <w:pPr>
      <w:spacing w:after="120" w:line="259" w:lineRule="auto"/>
      <w:jc w:val="left"/>
    </w:pPr>
    <w:rPr>
      <w:rFonts w:asciiTheme="minorHAnsi" w:eastAsiaTheme="minorHAnsi" w:hAnsiTheme="minorHAnsi" w:cstheme="minorBidi"/>
      <w:kern w:val="2"/>
      <w:szCs w:val="22"/>
      <w:lang w:val="en-CA"/>
    </w:rPr>
  </w:style>
  <w:style w:type="character" w:customStyle="1" w:styleId="CorpsdetexteCar">
    <w:name w:val="Corps de texte Car"/>
    <w:basedOn w:val="Policepardfaut"/>
    <w:link w:val="Corpsdetexte"/>
    <w:uiPriority w:val="99"/>
    <w:semiHidden/>
    <w:rsid w:val="00657ED6"/>
  </w:style>
  <w:style w:type="paragraph" w:styleId="Titre">
    <w:name w:val="Title"/>
    <w:basedOn w:val="Normal"/>
    <w:next w:val="Normal"/>
    <w:link w:val="TitreCar"/>
    <w:uiPriority w:val="10"/>
    <w:qFormat/>
    <w:rsid w:val="00ED3849"/>
    <w:pPr>
      <w:keepNext/>
      <w:spacing w:before="240" w:after="240"/>
      <w:ind w:left="567"/>
    </w:pPr>
    <w:rPr>
      <w:rFonts w:ascii="Times New Roman Bold" w:eastAsiaTheme="majorEastAsia" w:hAnsi="Times New Roman Bold"/>
      <w:b/>
      <w:bCs/>
      <w:spacing w:val="5"/>
      <w:kern w:val="28"/>
      <w:sz w:val="28"/>
      <w:szCs w:val="28"/>
    </w:rPr>
  </w:style>
  <w:style w:type="character" w:customStyle="1" w:styleId="TitreCar">
    <w:name w:val="Titre Car"/>
    <w:basedOn w:val="Policepardfaut"/>
    <w:link w:val="Titr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Titre1Car">
    <w:name w:val="Titre 1 Car"/>
    <w:basedOn w:val="Policepardfaut"/>
    <w:link w:val="Titre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auNormal"/>
    <w:next w:val="Grilledutableau"/>
    <w:uiPriority w:val="59"/>
    <w:rsid w:val="00A96B21"/>
    <w:pPr>
      <w:spacing w:after="0" w:line="240" w:lineRule="auto"/>
    </w:pPr>
    <w:rPr>
      <w:rFonts w:eastAsiaTheme="minorEastAsi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Notedebasdepage">
    <w:name w:val="footnote text"/>
    <w:basedOn w:val="Normal"/>
    <w:link w:val="NotedebasdepageCar"/>
    <w:uiPriority w:val="99"/>
    <w:semiHidden/>
    <w:unhideWhenUsed/>
    <w:rsid w:val="00A96B21"/>
    <w:rPr>
      <w:sz w:val="20"/>
      <w:szCs w:val="20"/>
    </w:rPr>
  </w:style>
  <w:style w:type="character" w:customStyle="1" w:styleId="NotedebasdepageCar">
    <w:name w:val="Note de bas de page Car"/>
    <w:basedOn w:val="Policepardfaut"/>
    <w:link w:val="Notedebasdepage"/>
    <w:uiPriority w:val="99"/>
    <w:semiHidden/>
    <w:rsid w:val="00A96B21"/>
    <w:rPr>
      <w:rFonts w:ascii="Times New Roman" w:eastAsia="Times New Roman" w:hAnsi="Times New Roman" w:cs="Times New Roman"/>
      <w:kern w:val="0"/>
      <w:sz w:val="20"/>
      <w:szCs w:val="20"/>
      <w:lang w:val="en-GB"/>
    </w:rPr>
  </w:style>
  <w:style w:type="character" w:styleId="Appelnotedebasdep">
    <w:name w:val="footnote reference"/>
    <w:basedOn w:val="Policepardfaut"/>
    <w:uiPriority w:val="99"/>
    <w:semiHidden/>
    <w:unhideWhenUsed/>
    <w:rsid w:val="00A96B21"/>
    <w:rPr>
      <w:vertAlign w:val="superscript"/>
    </w:rPr>
  </w:style>
  <w:style w:type="paragraph" w:customStyle="1" w:styleId="Footnote">
    <w:name w:val="Footnote"/>
    <w:basedOn w:val="Notedebasdepage"/>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ous-titre">
    <w:name w:val="Subtitle"/>
    <w:basedOn w:val="Normal"/>
    <w:next w:val="Normal"/>
    <w:link w:val="Sous-titreC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ous-titreCar">
    <w:name w:val="Sous-titre Car"/>
    <w:basedOn w:val="Policepardfaut"/>
    <w:link w:val="Sous-titre"/>
    <w:uiPriority w:val="11"/>
    <w:rsid w:val="00A96B21"/>
    <w:rPr>
      <w:rFonts w:ascii="Times New Roman Bold" w:eastAsiaTheme="minorEastAsia" w:hAnsi="Times New Roman Bold"/>
      <w:b/>
      <w:color w:val="5A5A5A" w:themeColor="text1" w:themeTint="A5"/>
      <w:kern w:val="0"/>
      <w:lang w:val="en-GB"/>
    </w:rPr>
  </w:style>
  <w:style w:type="paragraph" w:customStyle="1" w:styleId="Para10">
    <w:name w:val="Para 1"/>
    <w:basedOn w:val="Normal"/>
    <w:qFormat/>
    <w:rsid w:val="00480A8D"/>
    <w:pPr>
      <w:numPr>
        <w:numId w:val="2"/>
      </w:numPr>
      <w:tabs>
        <w:tab w:val="left" w:pos="1134"/>
      </w:tabs>
      <w:spacing w:before="120" w:after="120"/>
      <w:ind w:left="567" w:firstLine="0"/>
    </w:pPr>
    <w:rPr>
      <w:lang w:val="en-CA"/>
    </w:rPr>
  </w:style>
  <w:style w:type="character" w:customStyle="1" w:styleId="Titre2Car">
    <w:name w:val="Titre 2 Car"/>
    <w:basedOn w:val="Policepardfaut"/>
    <w:link w:val="Titre2"/>
    <w:uiPriority w:val="9"/>
    <w:rsid w:val="007C77BC"/>
    <w:rPr>
      <w:rFonts w:ascii="Times New Roman" w:eastAsiaTheme="majorEastAsia" w:hAnsi="Times New Roman" w:cstheme="majorBidi"/>
      <w:b/>
      <w:kern w:val="0"/>
      <w:sz w:val="24"/>
      <w:szCs w:val="26"/>
      <w:lang w:val="en-GB"/>
    </w:rPr>
  </w:style>
  <w:style w:type="character" w:styleId="Textedelespacerserv">
    <w:name w:val="Placeholder Text"/>
    <w:basedOn w:val="Policepardfaut"/>
    <w:uiPriority w:val="99"/>
    <w:semiHidden/>
    <w:rsid w:val="00995DDC"/>
    <w:rPr>
      <w:color w:val="808080"/>
    </w:rPr>
  </w:style>
  <w:style w:type="paragraph" w:styleId="En-tte">
    <w:name w:val="header"/>
    <w:basedOn w:val="Normal"/>
    <w:link w:val="En-tteCar"/>
    <w:unhideWhenUsed/>
    <w:rsid w:val="00D71FFB"/>
    <w:pPr>
      <w:tabs>
        <w:tab w:val="center" w:pos="4680"/>
        <w:tab w:val="right" w:pos="9360"/>
      </w:tabs>
    </w:pPr>
    <w:rPr>
      <w:caps/>
    </w:rPr>
  </w:style>
  <w:style w:type="character" w:customStyle="1" w:styleId="En-tteCar">
    <w:name w:val="En-tête Car"/>
    <w:basedOn w:val="Policepardfaut"/>
    <w:link w:val="En-tte"/>
    <w:rsid w:val="00D71FFB"/>
    <w:rPr>
      <w:rFonts w:ascii="Times New Roman" w:eastAsia="Times New Roman" w:hAnsi="Times New Roman" w:cs="Times New Roman"/>
      <w:caps/>
      <w:kern w:val="0"/>
      <w:szCs w:val="24"/>
      <w:lang w:val="en-GB"/>
    </w:rPr>
  </w:style>
  <w:style w:type="paragraph" w:styleId="Pieddepage">
    <w:name w:val="footer"/>
    <w:basedOn w:val="Normal"/>
    <w:link w:val="PieddepageCar"/>
    <w:uiPriority w:val="99"/>
    <w:unhideWhenUsed/>
    <w:rsid w:val="002B559C"/>
    <w:pPr>
      <w:tabs>
        <w:tab w:val="center" w:pos="4680"/>
        <w:tab w:val="right" w:pos="9360"/>
      </w:tabs>
    </w:pPr>
  </w:style>
  <w:style w:type="character" w:customStyle="1" w:styleId="PieddepageCar">
    <w:name w:val="Pied de page Car"/>
    <w:basedOn w:val="Policepardfaut"/>
    <w:link w:val="Pieddepage"/>
    <w:uiPriority w:val="99"/>
    <w:rsid w:val="002B559C"/>
    <w:rPr>
      <w:rFonts w:ascii="Times New Roman" w:eastAsia="Times New Roman" w:hAnsi="Times New Roman" w:cs="Times New Roman"/>
      <w:kern w:val="0"/>
      <w:szCs w:val="24"/>
      <w:lang w:val="en-GB"/>
    </w:rPr>
  </w:style>
  <w:style w:type="character" w:customStyle="1" w:styleId="Titre3Car">
    <w:name w:val="Titre 3 Car"/>
    <w:basedOn w:val="Policepardfaut"/>
    <w:link w:val="Titre3"/>
    <w:uiPriority w:val="9"/>
    <w:rsid w:val="007C77BC"/>
    <w:rPr>
      <w:rFonts w:ascii="Times New Roman" w:eastAsiaTheme="majorEastAsia" w:hAnsi="Times New Roman" w:cs="Times New Roman"/>
      <w:b/>
      <w:bCs/>
      <w:kern w:val="0"/>
      <w:lang w:val="en-GB"/>
    </w:rPr>
  </w:style>
  <w:style w:type="paragraph" w:customStyle="1" w:styleId="Para2">
    <w:name w:val="Para 2"/>
    <w:qFormat/>
    <w:rsid w:val="005C0058"/>
    <w:pPr>
      <w:tabs>
        <w:tab w:val="left" w:pos="1701"/>
      </w:tabs>
      <w:spacing w:before="120" w:after="120" w:line="240" w:lineRule="auto"/>
      <w:ind w:left="1134"/>
      <w:jc w:val="both"/>
    </w:pPr>
    <w:rPr>
      <w:rFonts w:ascii="Times New Roman" w:eastAsia="Times New Roman" w:hAnsi="Times New Roman" w:cs="Times New Roman"/>
      <w:kern w:val="0"/>
      <w:szCs w:val="24"/>
    </w:rPr>
  </w:style>
  <w:style w:type="paragraph" w:customStyle="1" w:styleId="Annex">
    <w:name w:val="Annex"/>
    <w:basedOn w:val="Normal"/>
    <w:qFormat/>
    <w:rsid w:val="003C6F10"/>
    <w:rPr>
      <w:b/>
      <w:sz w:val="28"/>
    </w:rPr>
  </w:style>
  <w:style w:type="paragraph" w:customStyle="1" w:styleId="Para3">
    <w:name w:val="Para 3"/>
    <w:basedOn w:val="Normal"/>
    <w:qFormat/>
    <w:rsid w:val="005C0058"/>
    <w:pPr>
      <w:tabs>
        <w:tab w:val="left" w:pos="1701"/>
      </w:tabs>
      <w:spacing w:before="120" w:after="120"/>
      <w:ind w:left="1134"/>
    </w:pPr>
  </w:style>
  <w:style w:type="character" w:customStyle="1" w:styleId="Titre4Car">
    <w:name w:val="Titre 4 Car"/>
    <w:basedOn w:val="Policepardfaut"/>
    <w:link w:val="Titre4"/>
    <w:uiPriority w:val="9"/>
    <w:rsid w:val="00310608"/>
    <w:rPr>
      <w:rFonts w:ascii="Times New Roman" w:eastAsiaTheme="majorEastAsia" w:hAnsi="Times New Roman" w:cs="Times New Roman"/>
      <w:b/>
      <w:bCs/>
      <w:kern w:val="0"/>
      <w:szCs w:val="24"/>
      <w:lang w:val="en-GB"/>
    </w:rPr>
  </w:style>
  <w:style w:type="character" w:customStyle="1" w:styleId="Titre5Car">
    <w:name w:val="Titre 5 Car"/>
    <w:basedOn w:val="Policepardfaut"/>
    <w:link w:val="Titre5"/>
    <w:uiPriority w:val="9"/>
    <w:rsid w:val="00310608"/>
    <w:rPr>
      <w:rFonts w:ascii="Times New Roman" w:eastAsiaTheme="majorEastAsia" w:hAnsi="Times New Roman" w:cs="Times New Roman"/>
      <w:i/>
      <w:iCs/>
      <w:kern w:val="0"/>
      <w:szCs w:val="24"/>
      <w:lang w:val="en-GB"/>
    </w:rPr>
  </w:style>
  <w:style w:type="character" w:styleId="Marquedecommentaire">
    <w:name w:val="annotation reference"/>
    <w:basedOn w:val="Policepardfaut"/>
    <w:uiPriority w:val="99"/>
    <w:semiHidden/>
    <w:unhideWhenUsed/>
    <w:rsid w:val="00CF70AB"/>
    <w:rPr>
      <w:sz w:val="16"/>
      <w:szCs w:val="16"/>
    </w:rPr>
  </w:style>
  <w:style w:type="paragraph" w:styleId="Commentaire">
    <w:name w:val="annotation text"/>
    <w:basedOn w:val="Normal"/>
    <w:link w:val="CommentaireCar"/>
    <w:uiPriority w:val="99"/>
    <w:unhideWhenUsed/>
    <w:rsid w:val="00CF70AB"/>
    <w:rPr>
      <w:sz w:val="20"/>
      <w:szCs w:val="20"/>
    </w:rPr>
  </w:style>
  <w:style w:type="character" w:customStyle="1" w:styleId="CommentaireCar">
    <w:name w:val="Commentaire Car"/>
    <w:basedOn w:val="Policepardfaut"/>
    <w:link w:val="Commentaire"/>
    <w:uiPriority w:val="99"/>
    <w:rsid w:val="00CF70AB"/>
    <w:rPr>
      <w:rFonts w:ascii="Times New Roman" w:eastAsia="Times New Roman" w:hAnsi="Times New Roman" w:cs="Times New Roman"/>
      <w:kern w:val="0"/>
      <w:sz w:val="20"/>
      <w:szCs w:val="20"/>
      <w:lang w:val="en-GB"/>
    </w:rPr>
  </w:style>
  <w:style w:type="paragraph" w:styleId="Objetducommentaire">
    <w:name w:val="annotation subject"/>
    <w:basedOn w:val="Commentaire"/>
    <w:next w:val="Commentaire"/>
    <w:link w:val="ObjetducommentaireCar"/>
    <w:uiPriority w:val="99"/>
    <w:semiHidden/>
    <w:unhideWhenUsed/>
    <w:rsid w:val="00CF70AB"/>
    <w:rPr>
      <w:b/>
      <w:bCs/>
    </w:rPr>
  </w:style>
  <w:style w:type="character" w:customStyle="1" w:styleId="ObjetducommentaireCar">
    <w:name w:val="Objet du commentaire Car"/>
    <w:basedOn w:val="CommentaireCar"/>
    <w:link w:val="Objetducommentaire"/>
    <w:uiPriority w:val="99"/>
    <w:semiHidden/>
    <w:rsid w:val="00CF70AB"/>
    <w:rPr>
      <w:rFonts w:ascii="Times New Roman" w:eastAsia="Times New Roman" w:hAnsi="Times New Roman" w:cs="Times New Roman"/>
      <w:b/>
      <w:bCs/>
      <w:kern w:val="0"/>
      <w:sz w:val="20"/>
      <w:szCs w:val="20"/>
      <w:lang w:val="en-GB"/>
    </w:rPr>
  </w:style>
  <w:style w:type="character" w:styleId="Lienhypertexte">
    <w:name w:val="Hyperlink"/>
    <w:basedOn w:val="Policepardfaut"/>
    <w:uiPriority w:val="99"/>
    <w:unhideWhenUsed/>
    <w:rsid w:val="000077FF"/>
    <w:rPr>
      <w:color w:val="0000FF"/>
      <w:u w:val="single"/>
    </w:rPr>
  </w:style>
  <w:style w:type="character" w:styleId="Mentionnonrsolue">
    <w:name w:val="Unresolved Mention"/>
    <w:basedOn w:val="Policepardfaut"/>
    <w:uiPriority w:val="99"/>
    <w:semiHidden/>
    <w:unhideWhenUsed/>
    <w:rsid w:val="0031019F"/>
    <w:rPr>
      <w:color w:val="605E5C"/>
      <w:shd w:val="clear" w:color="auto" w:fill="E1DFDD"/>
    </w:rPr>
  </w:style>
  <w:style w:type="character" w:customStyle="1" w:styleId="Para1Char">
    <w:name w:val="Para1 Char"/>
    <w:link w:val="Para1"/>
    <w:qFormat/>
    <w:locked/>
    <w:rsid w:val="008F1E5B"/>
    <w:rPr>
      <w:rFonts w:ascii="Times New Roman" w:eastAsia="Times New Roman" w:hAnsi="Times New Roman" w:cs="Times New Roman"/>
      <w:szCs w:val="18"/>
      <w:lang w:val="en-GB"/>
    </w:rPr>
  </w:style>
  <w:style w:type="paragraph" w:customStyle="1" w:styleId="Para1">
    <w:name w:val="Para1"/>
    <w:basedOn w:val="Normal"/>
    <w:link w:val="Para1Char"/>
    <w:qFormat/>
    <w:rsid w:val="008F1E5B"/>
    <w:pPr>
      <w:numPr>
        <w:numId w:val="21"/>
      </w:numPr>
      <w:snapToGrid w:val="0"/>
      <w:spacing w:before="120" w:after="120"/>
    </w:pPr>
    <w:rPr>
      <w:kern w:val="2"/>
      <w:szCs w:val="18"/>
    </w:rPr>
  </w:style>
  <w:style w:type="character" w:styleId="Lienhypertextesuivivisit">
    <w:name w:val="FollowedHyperlink"/>
    <w:basedOn w:val="Policepardfaut"/>
    <w:uiPriority w:val="99"/>
    <w:semiHidden/>
    <w:unhideWhenUsed/>
    <w:rsid w:val="008F3989"/>
    <w:rPr>
      <w:color w:val="954F72" w:themeColor="followedHyperlink"/>
      <w:u w:val="single"/>
    </w:rPr>
  </w:style>
  <w:style w:type="paragraph" w:styleId="Rvision">
    <w:name w:val="Revision"/>
    <w:hidden/>
    <w:uiPriority w:val="99"/>
    <w:semiHidden/>
    <w:rsid w:val="008F3989"/>
    <w:pPr>
      <w:spacing w:after="0" w:line="240" w:lineRule="auto"/>
    </w:pPr>
    <w:rPr>
      <w:rFonts w:ascii="Times New Roman" w:eastAsia="Times New Roman" w:hAnsi="Times New Roman" w:cs="Times New Roman"/>
      <w:kern w:val="0"/>
      <w:szCs w:val="24"/>
      <w:lang w:val="en-GB"/>
    </w:rPr>
  </w:style>
  <w:style w:type="paragraph" w:customStyle="1" w:styleId="Default">
    <w:name w:val="Default"/>
    <w:rsid w:val="008F3989"/>
    <w:pPr>
      <w:autoSpaceDE w:val="0"/>
      <w:autoSpaceDN w:val="0"/>
      <w:adjustRightInd w:val="0"/>
      <w:spacing w:after="0" w:line="240" w:lineRule="auto"/>
    </w:pPr>
    <w:rPr>
      <w:rFonts w:ascii="Times New Roman" w:hAnsi="Times New Roman" w:cs="Times New Roman"/>
      <w:color w:val="000000"/>
      <w:kern w:val="0"/>
      <w:sz w:val="24"/>
      <w:szCs w:val="24"/>
      <w:lang w:val="en-US"/>
    </w:rPr>
  </w:style>
  <w:style w:type="paragraph" w:styleId="Paragraphedeliste">
    <w:name w:val="List Paragraph"/>
    <w:basedOn w:val="Normal"/>
    <w:uiPriority w:val="34"/>
    <w:qFormat/>
    <w:rsid w:val="00566A86"/>
    <w:pPr>
      <w:ind w:left="720"/>
      <w:contextualSpacing/>
    </w:pPr>
  </w:style>
  <w:style w:type="paragraph" w:styleId="NormalWeb">
    <w:name w:val="Normal (Web)"/>
    <w:basedOn w:val="Normal"/>
    <w:uiPriority w:val="99"/>
    <w:unhideWhenUsed/>
    <w:rsid w:val="00FD1616"/>
    <w:pPr>
      <w:spacing w:before="100" w:beforeAutospacing="1" w:after="100" w:afterAutospacing="1"/>
      <w:jc w:val="left"/>
    </w:pPr>
    <w:rPr>
      <w:sz w:val="24"/>
      <w:lang w:val="en-US" w:eastAsia="zh-CN"/>
    </w:rPr>
  </w:style>
  <w:style w:type="paragraph" w:customStyle="1" w:styleId="StylePara1Kernat11pt">
    <w:name w:val="Style Para1 + Kern at 11 pt"/>
    <w:basedOn w:val="Normal"/>
    <w:rsid w:val="00FD1616"/>
    <w:pPr>
      <w:spacing w:before="120" w:after="120"/>
      <w:jc w:val="left"/>
    </w:pPr>
    <w:rPr>
      <w:snapToGrid w:val="0"/>
      <w:kern w:val="22"/>
      <w:sz w:val="24"/>
      <w:szCs w:val="18"/>
      <w:lang w:val="en-CA"/>
    </w:rPr>
  </w:style>
  <w:style w:type="character" w:customStyle="1" w:styleId="cf01">
    <w:name w:val="cf01"/>
    <w:basedOn w:val="Policepardfaut"/>
    <w:rsid w:val="00B53DC0"/>
    <w:rPr>
      <w:rFonts w:ascii="Segoe UI" w:hAnsi="Segoe UI" w:cs="Segoe UI" w:hint="default"/>
      <w:sz w:val="18"/>
      <w:szCs w:val="18"/>
    </w:rPr>
  </w:style>
  <w:style w:type="paragraph" w:styleId="Textedebulles">
    <w:name w:val="Balloon Text"/>
    <w:basedOn w:val="Normal"/>
    <w:link w:val="TextedebullesCar"/>
    <w:uiPriority w:val="99"/>
    <w:semiHidden/>
    <w:unhideWhenUsed/>
    <w:rsid w:val="003D0F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F3B"/>
    <w:rPr>
      <w:rFonts w:ascii="Segoe UI" w:eastAsia="Times New Roman" w:hAnsi="Segoe UI" w:cs="Segoe UI"/>
      <w:kern w:val="0"/>
      <w:sz w:val="18"/>
      <w:szCs w:val="18"/>
      <w:lang w:val="en-GB"/>
    </w:rPr>
  </w:style>
  <w:style w:type="character" w:customStyle="1" w:styleId="Titre9Car">
    <w:name w:val="Titre 9 Car"/>
    <w:basedOn w:val="Policepardfaut"/>
    <w:link w:val="Titre9"/>
    <w:uiPriority w:val="9"/>
    <w:semiHidden/>
    <w:rsid w:val="0023688C"/>
    <w:rPr>
      <w:rFonts w:eastAsiaTheme="majorEastAsia" w:cstheme="majorBidi"/>
      <w:color w:val="272727" w:themeColor="text1" w:themeTint="D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269725">
      <w:bodyDiv w:val="1"/>
      <w:marLeft w:val="0"/>
      <w:marRight w:val="0"/>
      <w:marTop w:val="0"/>
      <w:marBottom w:val="0"/>
      <w:divBdr>
        <w:top w:val="none" w:sz="0" w:space="0" w:color="auto"/>
        <w:left w:val="none" w:sz="0" w:space="0" w:color="auto"/>
        <w:bottom w:val="none" w:sz="0" w:space="0" w:color="auto"/>
        <w:right w:val="none" w:sz="0" w:space="0" w:color="auto"/>
      </w:divBdr>
    </w:div>
    <w:div w:id="89293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notifications/2022-025" TargetMode="External"/><Relationship Id="rId26" Type="http://schemas.openxmlformats.org/officeDocument/2006/relationships/hyperlink" Target="https://www.cbd.int/doc/notifications/2023/ntf-2023-122-mainstreaming-en.pdf" TargetMode="External"/><Relationship Id="rId21" Type="http://schemas.openxmlformats.org/officeDocument/2006/relationships/hyperlink" Target="https://www.cbd.int/doc/c/2206/0fc5/525d3c0842a7f8fdb3688f81/cop-15-inf-12-en.pdf"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recommendations/sbi-03/sbi-03-rec-15-fr.pdf" TargetMode="External"/><Relationship Id="rId25" Type="http://schemas.openxmlformats.org/officeDocument/2006/relationships/hyperlink" Target="https://www.cbd.int/notifications/2023-028"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doc/c/67e7/8754/563edd8fe4bedc963e59931b/sbi-03-13-add1-fr.pdf" TargetMode="External"/><Relationship Id="rId20" Type="http://schemas.openxmlformats.org/officeDocument/2006/relationships/hyperlink" Target="https://www.cbd.int/doc/c/c1db/418e/9caf4112ced23ce822b8f683/cop-15-inf-11-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notifications/2023-048"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bd.int/doc/c/d23c/a357/b3749388245a41cf1e1a6ec3/sbi-03-13-fr.pdf" TargetMode="External"/><Relationship Id="rId23" Type="http://schemas.openxmlformats.org/officeDocument/2006/relationships/hyperlink" Target="https://www.cbd.int/notifications/2023-028" TargetMode="External"/><Relationship Id="rId28" Type="http://schemas.openxmlformats.org/officeDocument/2006/relationships/hyperlink" Target="http://www.cbd.int/mainstreaming/LTAM/"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bd.int/doc/c/c7d4/7f58/c17e1e37c2324335ef9bab48/cop-15-inf-10-en.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03-fr.pdf" TargetMode="External"/><Relationship Id="rId22" Type="http://schemas.openxmlformats.org/officeDocument/2006/relationships/hyperlink" Target="https://www.cbd.int/doc/decisions/cop-15/cop-15-dec-17-fr.pdf" TargetMode="External"/><Relationship Id="rId27" Type="http://schemas.openxmlformats.org/officeDocument/2006/relationships/hyperlink" Target="https://www.cbd.int/notifications/2023-136"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file:///C:\Users\veronique.lefebvre\AppData\Local\Microsoft\Windows\INetCache\Content.Outlook\EO4ITRC9\www.cbd.int\doc\decisions\cop-15\cop-15-dec-04-fr.pdf" TargetMode="External"/><Relationship Id="rId1" Type="http://schemas.openxmlformats.org/officeDocument/2006/relationships/hyperlink" Target="https://www.cbd.int/doc/c/67e7/8754/563edd8fe4bedc963e59931b/sbi-03-13-add1-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herme.patury\Downloads\template-general%20(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51C0FA1D0554B83BCB4938450864E55"/>
        <w:category>
          <w:name w:val="General"/>
          <w:gallery w:val="placeholder"/>
        </w:category>
        <w:types>
          <w:type w:val="bbPlcHdr"/>
        </w:types>
        <w:behaviors>
          <w:behavior w:val="content"/>
        </w:behaviors>
        <w:guid w:val="{4459CD8C-5EDB-47CE-B8B3-3BAE7883A3A4}"/>
      </w:docPartPr>
      <w:docPartBody>
        <w:p w:rsidR="00B66E6D" w:rsidRDefault="00B66E6D">
          <w:pPr>
            <w:pStyle w:val="E51C0FA1D0554B83BCB4938450864E55"/>
          </w:pPr>
          <w:r w:rsidRPr="009B5A4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6D"/>
    <w:rsid w:val="0003620A"/>
    <w:rsid w:val="0015477D"/>
    <w:rsid w:val="001A0C0C"/>
    <w:rsid w:val="002A1374"/>
    <w:rsid w:val="003846A3"/>
    <w:rsid w:val="003D5223"/>
    <w:rsid w:val="005A0008"/>
    <w:rsid w:val="005F457A"/>
    <w:rsid w:val="00652B43"/>
    <w:rsid w:val="00667170"/>
    <w:rsid w:val="00703153"/>
    <w:rsid w:val="00782F03"/>
    <w:rsid w:val="007C0000"/>
    <w:rsid w:val="00816E46"/>
    <w:rsid w:val="008E455F"/>
    <w:rsid w:val="009558BB"/>
    <w:rsid w:val="00AF7032"/>
    <w:rsid w:val="00B620CA"/>
    <w:rsid w:val="00B66E6D"/>
    <w:rsid w:val="00C41DC1"/>
    <w:rsid w:val="00E43272"/>
    <w:rsid w:val="00E734D8"/>
    <w:rsid w:val="00EC406D"/>
    <w:rsid w:val="00FE6D3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F7032"/>
    <w:rPr>
      <w:color w:val="808080"/>
    </w:rPr>
  </w:style>
  <w:style w:type="paragraph" w:customStyle="1" w:styleId="E51C0FA1D0554B83BCB4938450864E55">
    <w:name w:val="E51C0FA1D0554B83BCB493845086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8" ma:contentTypeDescription="Create a new document." ma:contentTypeScope="" ma:versionID="56574a3974fe322614c82150facde942">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9d58c0d7a53d6fd8413434503c3e2c1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EFF0A-1538-4E12-AEB6-6413300E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78C5BD-60BE-4123-955B-0C3BBA7D677A}">
  <ds:schemaRefs>
    <ds:schemaRef ds:uri="http://schemas.openxmlformats.org/officeDocument/2006/bibliography"/>
  </ds:schemaRefs>
</ds:datastoreItem>
</file>

<file path=customXml/itemProps3.xml><?xml version="1.0" encoding="utf-8"?>
<ds:datastoreItem xmlns:ds="http://schemas.openxmlformats.org/officeDocument/2006/customXml" ds:itemID="{CC6DB38F-6781-44C7-B621-657C66222F9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(3).dotm</Template>
  <TotalTime>0</TotalTime>
  <Pages>13</Pages>
  <Words>5275</Words>
  <Characters>29014</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Approche stratégique à long terme pour l’intégration de la diversité</vt:lpstr>
      <vt:lpstr>Long-term strategic approach to mainstreaming biodiversity</vt:lpstr>
    </vt:vector>
  </TitlesOfParts>
  <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Approche stratégique à long terme pour l’intégration de la diversité</dc:title>
  <dc:subject>CBD/</dc:subject>
  <dc:creator>guilherme.patury</dc:creator>
  <cp:keywords/>
  <dc:description/>
  <cp:lastModifiedBy>Gorge Adele</cp:lastModifiedBy>
  <cp:revision>50</cp:revision>
  <cp:lastPrinted>2024-03-28T20:39:00Z</cp:lastPrinted>
  <dcterms:created xsi:type="dcterms:W3CDTF">2024-04-09T14:35:00Z</dcterms:created>
  <dcterms:modified xsi:type="dcterms:W3CDTF">2024-04-17T11:53:00Z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