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51007" w14:paraId="56D96532" w14:textId="77777777" w:rsidTr="00B60E5F">
        <w:trPr>
          <w:trHeight w:val="851"/>
        </w:trPr>
        <w:tc>
          <w:tcPr>
            <w:tcW w:w="465" w:type="pct"/>
            <w:tcBorders>
              <w:bottom w:val="single" w:sz="8" w:space="0" w:color="auto"/>
            </w:tcBorders>
            <w:vAlign w:val="bottom"/>
          </w:tcPr>
          <w:p w14:paraId="3F37FFD4" w14:textId="77777777" w:rsidR="00A96B21" w:rsidRPr="00F51007" w:rsidRDefault="00A96B21" w:rsidP="00B60E5F">
            <w:pPr>
              <w:spacing w:after="120"/>
              <w:jc w:val="left"/>
            </w:pPr>
            <w:bookmarkStart w:id="0" w:name="_Hlk173334437"/>
            <w:bookmarkStart w:id="1" w:name="_Hlk137651738"/>
            <w:bookmarkEnd w:id="0"/>
            <w:r>
              <w:rPr>
                <w:noProof/>
              </w:rPr>
              <w:drawing>
                <wp:inline distT="0" distB="0" distL="0" distR="0" wp14:anchorId="012D30CD" wp14:editId="3DB5D68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25E3EDB" w14:textId="2D6DD114" w:rsidR="00A96B21" w:rsidRPr="00F51007" w:rsidRDefault="00B72CD5" w:rsidP="00B60E5F">
            <w:pPr>
              <w:spacing w:after="120"/>
              <w:jc w:val="left"/>
            </w:pPr>
            <w:r>
              <w:rPr>
                <w:noProof/>
              </w:rPr>
              <w:drawing>
                <wp:inline distT="0" distB="0" distL="0" distR="0" wp14:anchorId="68FAB7A4" wp14:editId="75640470">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549E4567" w14:textId="74C9AED4" w:rsidR="00A96B21" w:rsidRPr="00F51007" w:rsidRDefault="00A96B21" w:rsidP="00184909">
            <w:pPr>
              <w:spacing w:after="120"/>
              <w:ind w:left="2021"/>
              <w:jc w:val="right"/>
              <w:rPr>
                <w:szCs w:val="22"/>
              </w:rPr>
            </w:pPr>
            <w:r>
              <w:t>CBD/COP/16/12</w:t>
            </w:r>
          </w:p>
        </w:tc>
      </w:tr>
      <w:tr w:rsidR="00A96B21" w:rsidRPr="00F51007" w14:paraId="153068F7" w14:textId="77777777" w:rsidTr="00B60E5F">
        <w:tc>
          <w:tcPr>
            <w:tcW w:w="2297" w:type="pct"/>
            <w:gridSpan w:val="2"/>
            <w:tcBorders>
              <w:top w:val="single" w:sz="8" w:space="0" w:color="auto"/>
              <w:bottom w:val="single" w:sz="12" w:space="0" w:color="auto"/>
            </w:tcBorders>
          </w:tcPr>
          <w:p w14:paraId="6D0C14C4" w14:textId="6B1E80FD" w:rsidR="00A96B21" w:rsidRPr="00F51007" w:rsidRDefault="00B72CD5" w:rsidP="00B60E5F">
            <w:pPr>
              <w:pStyle w:val="Cornernotation"/>
              <w:suppressLineNumbers/>
              <w:suppressAutoHyphens/>
              <w:spacing w:before="120" w:after="120"/>
              <w:ind w:left="0" w:right="0" w:firstLine="0"/>
            </w:pPr>
            <w:r>
              <w:rPr>
                <w:noProof/>
              </w:rPr>
              <w:drawing>
                <wp:inline distT="0" distB="0" distL="0" distR="0" wp14:anchorId="0C476578" wp14:editId="2A0C744D">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38588BC" w14:textId="39C8CFDD" w:rsidR="00A96B21" w:rsidRPr="00F51007" w:rsidRDefault="00A96B21" w:rsidP="003C6F10">
            <w:pPr>
              <w:ind w:left="2584"/>
              <w:rPr>
                <w:sz w:val="22"/>
                <w:szCs w:val="22"/>
              </w:rPr>
            </w:pPr>
            <w:proofErr w:type="spellStart"/>
            <w:r>
              <w:rPr>
                <w:sz w:val="22"/>
              </w:rPr>
              <w:t>Distr</w:t>
            </w:r>
            <w:proofErr w:type="spellEnd"/>
            <w:r>
              <w:rPr>
                <w:sz w:val="22"/>
              </w:rPr>
              <w:t>.: general</w:t>
            </w:r>
          </w:p>
          <w:p w14:paraId="34DB4C92" w14:textId="4FB56FDA" w:rsidR="00A96B21" w:rsidRPr="00F51007" w:rsidRDefault="00A96B21" w:rsidP="003C6F10">
            <w:pPr>
              <w:ind w:left="2584"/>
              <w:rPr>
                <w:sz w:val="22"/>
                <w:szCs w:val="22"/>
              </w:rPr>
            </w:pPr>
            <w:r>
              <w:rPr>
                <w:sz w:val="22"/>
              </w:rPr>
              <w:t>16 de septiembre de 2024</w:t>
            </w:r>
          </w:p>
          <w:p w14:paraId="5C154053" w14:textId="7404C02D" w:rsidR="00A96B21" w:rsidRPr="00F51007" w:rsidRDefault="00B72CD5" w:rsidP="003C6F10">
            <w:pPr>
              <w:ind w:left="2584"/>
              <w:rPr>
                <w:sz w:val="22"/>
                <w:szCs w:val="22"/>
              </w:rPr>
            </w:pPr>
            <w:r>
              <w:rPr>
                <w:sz w:val="22"/>
              </w:rPr>
              <w:t>Español</w:t>
            </w:r>
          </w:p>
          <w:p w14:paraId="36518E57" w14:textId="77777777" w:rsidR="00A96B21" w:rsidRPr="00F51007" w:rsidRDefault="00A96B21" w:rsidP="003C6F10">
            <w:pPr>
              <w:ind w:left="2584"/>
              <w:rPr>
                <w:sz w:val="22"/>
                <w:szCs w:val="22"/>
              </w:rPr>
            </w:pPr>
            <w:r>
              <w:rPr>
                <w:sz w:val="22"/>
              </w:rPr>
              <w:t>Original: inglés</w:t>
            </w:r>
          </w:p>
          <w:p w14:paraId="71CE5F71" w14:textId="77777777" w:rsidR="00A96B21" w:rsidRPr="00F51007" w:rsidRDefault="00A96B21" w:rsidP="00B60E5F"/>
        </w:tc>
      </w:tr>
    </w:tbl>
    <w:p w14:paraId="78A77F90" w14:textId="77777777" w:rsidR="00541478" w:rsidRDefault="00541478" w:rsidP="00BA19C5">
      <w:pPr>
        <w:pStyle w:val="AFCorNot12Bold"/>
      </w:pPr>
      <w:bookmarkStart w:id="2" w:name="_Hlk177137772"/>
      <w:r>
        <w:t>C</w:t>
      </w:r>
      <w:r w:rsidR="002B5CCB">
        <w:t xml:space="preserve">onferencia de las </w:t>
      </w:r>
      <w:r>
        <w:t>P</w:t>
      </w:r>
      <w:r w:rsidR="002B5CCB">
        <w:t>artes en el</w:t>
      </w:r>
    </w:p>
    <w:p w14:paraId="7D378965" w14:textId="4EA059F2" w:rsidR="00874541" w:rsidRPr="00F51007" w:rsidRDefault="00541478" w:rsidP="00BA19C5">
      <w:pPr>
        <w:pStyle w:val="AFCorNot12Bold"/>
      </w:pPr>
      <w:r>
        <w:t>C</w:t>
      </w:r>
      <w:r w:rsidR="002B5CCB">
        <w:t xml:space="preserve">onvenio sobre la </w:t>
      </w:r>
      <w:r>
        <w:t>D</w:t>
      </w:r>
      <w:r w:rsidR="002B5CCB">
        <w:t xml:space="preserve">iversidad </w:t>
      </w:r>
      <w:r>
        <w:t>B</w:t>
      </w:r>
      <w:r w:rsidR="002B5CCB">
        <w:t>iológica</w:t>
      </w:r>
    </w:p>
    <w:p w14:paraId="569ED456" w14:textId="7FEFD975" w:rsidR="00A96B21" w:rsidRPr="00F51007" w:rsidRDefault="00047F3D" w:rsidP="00A96B21">
      <w:pPr>
        <w:pStyle w:val="Cornernotation"/>
        <w:rPr>
          <w:bCs/>
          <w:sz w:val="22"/>
        </w:rPr>
      </w:pPr>
      <w:r>
        <w:rPr>
          <w:sz w:val="22"/>
        </w:rPr>
        <w:t xml:space="preserve">16ª reunión </w:t>
      </w:r>
    </w:p>
    <w:p w14:paraId="2644CFC5" w14:textId="37F69497" w:rsidR="00A96B21" w:rsidRPr="00F51007" w:rsidRDefault="00047F3D" w:rsidP="00A96B21">
      <w:pPr>
        <w:pStyle w:val="Venuedate"/>
      </w:pPr>
      <w:r>
        <w:t>Cali (Colombia), 21 de octubre a 1 de noviembre de 2024</w:t>
      </w:r>
    </w:p>
    <w:p w14:paraId="38E37AF4" w14:textId="042C63F7" w:rsidR="00A96B21" w:rsidRPr="00F51007" w:rsidRDefault="00A96B21" w:rsidP="00A96B21">
      <w:pPr>
        <w:pStyle w:val="Cornernotation-Item"/>
        <w:rPr>
          <w:b w:val="0"/>
          <w:bCs w:val="0"/>
        </w:rPr>
      </w:pPr>
      <w:bookmarkStart w:id="3" w:name="_Hlk177137634"/>
      <w:bookmarkEnd w:id="2"/>
      <w:r>
        <w:rPr>
          <w:b w:val="0"/>
        </w:rPr>
        <w:t>Tema 26 del programa provisional</w:t>
      </w:r>
      <w:r>
        <w:rPr>
          <w:rStyle w:val="FootnoteReference"/>
          <w:b w:val="0"/>
          <w:bCs w:val="0"/>
        </w:rPr>
        <w:footnoteReference w:customMarkFollows="1" w:id="1"/>
        <w:t>*</w:t>
      </w:r>
    </w:p>
    <w:p w14:paraId="09F0B9F0" w14:textId="6FF560AF" w:rsidR="00A96B21" w:rsidRPr="00F070CE" w:rsidRDefault="00100D4F" w:rsidP="00A96B21">
      <w:pPr>
        <w:pStyle w:val="Cornernotation-Item"/>
      </w:pPr>
      <w:r>
        <w:t>Responsabilidad y reparación (artículo 14, párrafo 2)</w:t>
      </w:r>
    </w:p>
    <w:bookmarkEnd w:id="1"/>
    <w:bookmarkEnd w:id="3"/>
    <w:p w14:paraId="7319D0C0" w14:textId="0B9FC247" w:rsidR="00A96B21" w:rsidRPr="002E1C25" w:rsidRDefault="00A62870" w:rsidP="00BA19C5">
      <w:pPr>
        <w:pStyle w:val="CBDTitle"/>
      </w:pPr>
      <w:sdt>
        <w:sdtPr>
          <w:alias w:val="Programa provisional"/>
          <w:tag w:val=""/>
          <w:id w:val="-1975355689"/>
          <w:placeholder>
            <w:docPart w:val="936650EC33E143D9AFFE441F1C784656"/>
          </w:placeholder>
          <w:dataBinding w:prefixMappings="xmlns:ns0='http://purl.org/dc/elements/1.1/' xmlns:ns1='http://schemas.openxmlformats.org/package/2006/metadata/core-properties' " w:xpath="/ns1:coreProperties[1]/ns0:title[1]" w:storeItemID="{6C3C8BC8-F283-45AE-878A-BAB7291924A1}"/>
          <w:text/>
        </w:sdtPr>
        <w:sdtEndPr/>
        <w:sdtContent>
          <w:r w:rsidR="00FF3326" w:rsidRPr="002E1C25">
            <w:t>Experienc</w:t>
          </w:r>
          <w:r w:rsidR="002E1C25" w:rsidRPr="002E1C25">
            <w:t xml:space="preserve">ia </w:t>
          </w:r>
          <w:r w:rsidR="00FF3326" w:rsidRPr="002E1C25">
            <w:t>e</w:t>
          </w:r>
          <w:r w:rsidR="002E1C25" w:rsidRPr="002E1C25">
            <w:t>n</w:t>
          </w:r>
          <w:r w:rsidR="00FF3326" w:rsidRPr="002E1C25">
            <w:t xml:space="preserve"> </w:t>
          </w:r>
          <w:r w:rsidR="002E1C25" w:rsidRPr="002E1C25">
            <w:t>la aplicación de las decisiones</w:t>
          </w:r>
          <w:r w:rsidR="00FF3326" w:rsidRPr="002E1C25">
            <w:t xml:space="preserve"> </w:t>
          </w:r>
          <w:r w:rsidR="002E1C25" w:rsidRPr="002E1C25">
            <w:t>de</w:t>
          </w:r>
          <w:r w:rsidR="002E1C25">
            <w:t xml:space="preserve"> la</w:t>
          </w:r>
          <w:r w:rsidR="00FF3326" w:rsidRPr="002E1C25">
            <w:t xml:space="preserve"> Conferenc</w:t>
          </w:r>
          <w:r w:rsidR="002E1C25">
            <w:t>ia</w:t>
          </w:r>
          <w:r w:rsidR="00FF3326" w:rsidRPr="002E1C25">
            <w:t xml:space="preserve"> </w:t>
          </w:r>
          <w:r w:rsidR="002E1C25">
            <w:t>de las</w:t>
          </w:r>
          <w:r w:rsidR="00FF3326" w:rsidRPr="002E1C25">
            <w:t xml:space="preserve"> </w:t>
          </w:r>
          <w:proofErr w:type="spellStart"/>
          <w:r w:rsidR="00FF3326" w:rsidRPr="002E1C25">
            <w:t>Parties</w:t>
          </w:r>
          <w:proofErr w:type="spellEnd"/>
          <w:r w:rsidR="00FF3326" w:rsidRPr="002E1C25">
            <w:t xml:space="preserve"> </w:t>
          </w:r>
          <w:r w:rsidR="002E1C25">
            <w:t>en el</w:t>
          </w:r>
          <w:r w:rsidR="00FF3326" w:rsidRPr="002E1C25">
            <w:t xml:space="preserve"> Convenio </w:t>
          </w:r>
          <w:r w:rsidR="00197418">
            <w:t>relacionadas con el</w:t>
          </w:r>
          <w:r w:rsidR="00FF3326" w:rsidRPr="002E1C25">
            <w:t xml:space="preserve"> </w:t>
          </w:r>
          <w:r w:rsidR="00197418">
            <w:t>artículo </w:t>
          </w:r>
          <w:r w:rsidR="00FF3326" w:rsidRPr="002E1C25">
            <w:t xml:space="preserve">14, </w:t>
          </w:r>
          <w:r w:rsidR="00197418">
            <w:t>párrafo </w:t>
          </w:r>
          <w:r w:rsidR="00FF3326" w:rsidRPr="002E1C25">
            <w:t xml:space="preserve">2, </w:t>
          </w:r>
          <w:r w:rsidR="00197418">
            <w:t>sobre responsabilidad y reparación</w:t>
          </w:r>
        </w:sdtContent>
      </w:sdt>
    </w:p>
    <w:p w14:paraId="406A482A" w14:textId="77777777" w:rsidR="00A96B21" w:rsidRPr="00F51007" w:rsidRDefault="00A96B21" w:rsidP="00BA19C5">
      <w:pPr>
        <w:pStyle w:val="CBDSubTitle"/>
      </w:pPr>
      <w:r>
        <w:t>Nota de la Secretaría</w:t>
      </w:r>
    </w:p>
    <w:p w14:paraId="485F5B2F" w14:textId="4351EA63" w:rsidR="00FA18C9" w:rsidRPr="00F51007" w:rsidRDefault="00974EF6" w:rsidP="00BA19C5">
      <w:pPr>
        <w:pStyle w:val="CBDH1"/>
      </w:pPr>
      <w:r>
        <w:t>I.</w:t>
      </w:r>
      <w:r>
        <w:tab/>
        <w:t>Introducción</w:t>
      </w:r>
    </w:p>
    <w:p w14:paraId="0D39F172" w14:textId="16F01402" w:rsidR="00C2354A" w:rsidRPr="00F51007" w:rsidRDefault="004D507D" w:rsidP="00BA19C5">
      <w:pPr>
        <w:pStyle w:val="CBDNormalNumber"/>
      </w:pPr>
      <w:r>
        <w:t>En su decisión 14/21, la Conferencia de las Partes en el Convenio sobre la Diversidad Biológica tomó nota de la información proporcionada por la Secretaria Ejecutiva sobre novedades en lo que respecta a la responsabilidad y reparación por daños al medio ambiente en general y a la diversidad biológica en particular. También invitó a las Partes y a otros Gobiernos a presentar a la Secretaria Ejecutiva información sobre su experiencia en la aplicación de decisiones de la Conferencia de las Partes relacionadas con el artículo 14, párrafo 2 del Convenio, y pidió a la Secretaria Ejecutiva que recopilara esa información, así como información sobre novedades recientes, y la pusiera a disposición para su examen en la presente reunión.</w:t>
      </w:r>
    </w:p>
    <w:p w14:paraId="0F47F5EE" w14:textId="6FA51BC4" w:rsidR="00AF4B25" w:rsidRPr="00F51007" w:rsidRDefault="006373CC" w:rsidP="00BA19C5">
      <w:pPr>
        <w:pStyle w:val="CBDNormalNumber"/>
      </w:pPr>
      <w:r>
        <w:t>Por consiguiente, la presente nota contiene cierta información sobre las novedades en materia de responsabilidad y reparación que pueden ser pertinentes a las cuestiones bajo examen en el contexto del párrafo 2 del artículo 14 desde la publicación de información similar para la 14ª reunión de la Conferencia de las Partes, celebrada en noviembre de 2018</w:t>
      </w:r>
      <w:r w:rsidR="00EC18FE" w:rsidRPr="00F51007">
        <w:rPr>
          <w:rStyle w:val="FootnoteReference"/>
        </w:rPr>
        <w:footnoteReference w:id="2"/>
      </w:r>
      <w:r>
        <w:t>.</w:t>
      </w:r>
    </w:p>
    <w:p w14:paraId="00EA72EA" w14:textId="3347641F" w:rsidR="00F94E3F" w:rsidRPr="00F51007" w:rsidRDefault="00D40054" w:rsidP="00BA19C5">
      <w:pPr>
        <w:pStyle w:val="CBDNormalNumber"/>
      </w:pPr>
      <w:r>
        <w:t xml:space="preserve">En respuesta a la invitación formulada por la Conferencia de las Partes, se recibieron comunicaciones sobre novedades recientes de Alemania, España, el Estado de Palestina, el Reino Unido de Gran Bretaña e Irlanda del Norte, la Unión Europea y </w:t>
      </w:r>
      <w:proofErr w:type="spellStart"/>
      <w:r>
        <w:t>Zimbabwe</w:t>
      </w:r>
      <w:proofErr w:type="spellEnd"/>
      <w:r>
        <w:t>. El texto completo de las comunicaciones se publicará en un documento informativo</w:t>
      </w:r>
      <w:r w:rsidR="005E7161" w:rsidRPr="00F51007">
        <w:rPr>
          <w:rStyle w:val="FootnoteReference"/>
        </w:rPr>
        <w:footnoteReference w:id="3"/>
      </w:r>
      <w:r>
        <w:t xml:space="preserve"> en el idioma en que se presentaron.</w:t>
      </w:r>
    </w:p>
    <w:p w14:paraId="175B96F2" w14:textId="60D2A943" w:rsidR="002B37C6" w:rsidRPr="00F070CE" w:rsidRDefault="002B37C6" w:rsidP="00BA19C5">
      <w:pPr>
        <w:pStyle w:val="CBDH1"/>
      </w:pPr>
      <w:r>
        <w:lastRenderedPageBreak/>
        <w:t>II.</w:t>
      </w:r>
      <w:r>
        <w:tab/>
        <w:t xml:space="preserve">Novedades recientes </w:t>
      </w:r>
    </w:p>
    <w:p w14:paraId="57EB2B35" w14:textId="0CB458EB" w:rsidR="00D3059B" w:rsidRPr="00F070CE" w:rsidRDefault="008E0581" w:rsidP="00BA19C5">
      <w:pPr>
        <w:pStyle w:val="CBDH2"/>
      </w:pPr>
      <w:r>
        <w:t>A.</w:t>
      </w:r>
      <w:r>
        <w:tab/>
        <w:t>Novedades a nivel internacional</w:t>
      </w:r>
    </w:p>
    <w:p w14:paraId="19D991BF" w14:textId="7DC3E039" w:rsidR="002B559C" w:rsidRPr="00F070CE" w:rsidRDefault="00882444" w:rsidP="00BA19C5">
      <w:pPr>
        <w:pStyle w:val="CBDH3"/>
      </w:pPr>
      <w:r>
        <w:t>1.</w:t>
      </w:r>
      <w:r>
        <w:tab/>
        <w:t>Protocolo Suplementario de Nagoya-Kuala Lumpur sobre Responsabilidad y Compensación</w:t>
      </w:r>
    </w:p>
    <w:p w14:paraId="0FCE3D98" w14:textId="436EC8D5" w:rsidR="00E1771A" w:rsidRPr="00F51007" w:rsidRDefault="00494F29" w:rsidP="00BA19C5">
      <w:pPr>
        <w:pStyle w:val="CBDNormalNumber"/>
      </w:pPr>
      <w:r>
        <w:t>En su decisión CP-10/13, la Conferencia de las Partes que actúa como reunión de las Partes en el Protocolo de Cartagena sobre Seguridad de la Biotecnología pidió a las Partes en el Protocolo Suplementario de Nagoya-Kuala Lumpur sobre Responsabilidad y Compensación a proporcionar información a la Secretaria Ejecutiva sobre las medidas que hubieran establecido para brindar garantías financieras en casos de daños provocados por organismos vivos modificados e invitó a otros Gobiernos a hacer lo propio. Asimismo, pidió a la Secretaria Ejecutiva que recopilara la información y la presentara para su examen en su 11</w:t>
      </w:r>
      <w:r>
        <w:rPr>
          <w:vertAlign w:val="superscript"/>
        </w:rPr>
        <w:t>a</w:t>
      </w:r>
      <w:r>
        <w:t xml:space="preserve"> reunión. </w:t>
      </w:r>
    </w:p>
    <w:p w14:paraId="62FDF224" w14:textId="3557B36B" w:rsidR="003408B0" w:rsidRPr="00F51007" w:rsidRDefault="001872A4" w:rsidP="00BA19C5">
      <w:pPr>
        <w:pStyle w:val="CBDNormalNumber"/>
      </w:pPr>
      <w:r>
        <w:t>La Secretaría ha preparado una reseña de la información recibida en respuesta a la solicitud anterior para que la Conferencia de las Partes que actúa como reunión de las Partes en el Protocolo de Cartagena la examine en su 11ª reunión</w:t>
      </w:r>
      <w:r w:rsidR="006F491C">
        <w:rPr>
          <w:rStyle w:val="FootnoteReference"/>
        </w:rPr>
        <w:footnoteReference w:id="4"/>
      </w:r>
      <w:r>
        <w:t xml:space="preserve">. </w:t>
      </w:r>
    </w:p>
    <w:p w14:paraId="4F798BA6" w14:textId="5A3DF452" w:rsidR="00D14CFA" w:rsidRPr="00F51007" w:rsidRDefault="00882444" w:rsidP="00BA19C5">
      <w:pPr>
        <w:pStyle w:val="CBDH3"/>
      </w:pPr>
      <w:r>
        <w:t>2.</w:t>
      </w:r>
      <w:r>
        <w:tab/>
        <w:t>Programa de Desarrollo y Examen Periódico del Derecho Ambiental del Programa de las Naciones Unidas para el Medio Ambiente</w:t>
      </w:r>
    </w:p>
    <w:p w14:paraId="2CBBD687" w14:textId="46536F75" w:rsidR="00916BF4" w:rsidRPr="00F070CE" w:rsidRDefault="00052004" w:rsidP="00BA19C5">
      <w:pPr>
        <w:pStyle w:val="CBDNormalNumber"/>
      </w:pPr>
      <w:r>
        <w:t>En su resolución 4/20, la Asamblea de las Naciones Unidas sobre el Medio Ambiente del Programa de las Naciones Unidas para el Medio Ambiente aprobó el quinto Programa de Desarrollo y Examen Periódico del Derecho Ambiental (Programa de Montevideo V)</w:t>
      </w:r>
      <w:r w:rsidR="00DC357B" w:rsidRPr="00BA19C5">
        <w:rPr>
          <w:rStyle w:val="FootnoteReference"/>
        </w:rPr>
        <w:footnoteReference w:id="5"/>
      </w:r>
      <w:r>
        <w:t>. El Programa tiene por objeto promover el desarrollo y la aplicación del estado de derecho ambiental, fortalecer la capacidad conexa a nivel nacional y contribuir a la dimensión ambiental de la Agenda 2030 para el Desarrollo Sostenible. En virtud del párrafo 6 b) del Programa, los coordinadores nacionales tienen la tarea de determinar las esferas prioritarias para la aplicación del Programa.</w:t>
      </w:r>
    </w:p>
    <w:p w14:paraId="1B1F32FF" w14:textId="79500973" w:rsidR="00414C7E" w:rsidRPr="00F070CE" w:rsidRDefault="00696714" w:rsidP="00BA19C5">
      <w:pPr>
        <w:pStyle w:val="CBDNormalNumber"/>
      </w:pPr>
      <w:r>
        <w:t>En la primera serie de sesiones de la primera reunión mundial de coordinadores nacionales, celebrada del 2 al 4 de junio de 2021, los participantes examinaron ocho esferas prioritarias para la aplicación del Programa de Montevideo V hasta 2030 que se habían determinado sobre la base de los resultados de una encuesta y de los requisitos del Programa. Las ocho esferas prioritarias se agruparon en tres esferas temáticas prioritarias (cambio climático, diversidad biológica y contaminación), que se complementaron con cinco esferas prioritarias de actividad transversales y estratégicas, entre ellas, el delito ambiental y la responsabilidad. Además, se estableció una esfera prioritaria inicial (respuestas jurídicas para hacer frente a la crisis que supone la contaminación del aire).</w:t>
      </w:r>
    </w:p>
    <w:p w14:paraId="51A3173C" w14:textId="4E5DA1E9" w:rsidR="005F6749" w:rsidRPr="00CA2C9C" w:rsidRDefault="00364406" w:rsidP="00BA19C5">
      <w:pPr>
        <w:pStyle w:val="CBDNormalNumber"/>
      </w:pPr>
      <w:r>
        <w:t>La segunda serie de sesiones de la primera reunión mundial de coordinadores nacionales se celebró del 6 al 9 de junio de 2022. Los participantes examinaron el estado de ejecución de las esferas prioritarias y la situación de la financiación. También examinaron en detalle el estado de ejecución de la esfera prioritaria inicial mencionada anteriormente. En la esfera prioritaria 3 (respuestas jurídicas para hacer frente a la crisis de la diversidad biológica), la propuesta de la Secretaría fue prestar apoyo a los países, en colaboración con asociados e interesados pertinentes, para que refuercen, desarrollen o apliquen los instrumentos y marcos jurídicos adecuados, y creen la capacidad necesaria en relación con el logro de los objetivos y compromisos pertinentes en el marco de los convenios relacionados con la diversidad biológica, por ejemplo, el Marco Mundial de la Diversidad Biológica posterior a 2020.</w:t>
      </w:r>
    </w:p>
    <w:p w14:paraId="37CD110F" w14:textId="18614B70" w:rsidR="007F7E67" w:rsidRPr="00F070CE" w:rsidRDefault="005F0EB7" w:rsidP="00BA19C5">
      <w:pPr>
        <w:pStyle w:val="CBDNormalNumber"/>
      </w:pPr>
      <w:r>
        <w:t>La segunda reunión mundial de coordinadores nacionales en el marco del Programa de Montevideo V se celebró del 3 al 5 de junio de 2024. Los participantes examinaron, entre otras cosas, una nota sobre opciones de esferas prioritarias claramente definidas para combatir la crisis climática</w:t>
      </w:r>
      <w:r w:rsidR="009C33B1" w:rsidRPr="00CA2C9C">
        <w:rPr>
          <w:rStyle w:val="FootnoteReference"/>
        </w:rPr>
        <w:footnoteReference w:id="6"/>
      </w:r>
      <w:r>
        <w:t xml:space="preserve"> </w:t>
      </w:r>
      <w:r>
        <w:lastRenderedPageBreak/>
        <w:t>y una nota sobre opciones de esferas prioritarias claramente definidas para combatir la crisis de diversidad biológica</w:t>
      </w:r>
      <w:r w:rsidR="009075B8">
        <w:rPr>
          <w:rStyle w:val="FootnoteReference"/>
        </w:rPr>
        <w:footnoteReference w:id="7"/>
      </w:r>
      <w:r>
        <w:t>. En este último documento, las opciones de las esferas prioritarias que se consideraron en detalle se relacionaron con lo siguiente: apoyar las iniciativas de los países en desarrollo encaminadas a reforzar las leyes nacionales, subnacionales y regionales relacionadas con la diversidad biológica para abordar los problemas vigentes en materia de diversidad biológica y las nuevas perspectivas mundiales; desarrollar la capacidad de los distintos interesados para elaborar y aplicar leyes relacionadas con la diversidad biológica y reforzar las instituciones, y subsanar lagunas de conocimientos, investigar y promover instrumentos para orientar a los interesados en relación con la legislación en materia de diversidad biológica.</w:t>
      </w:r>
    </w:p>
    <w:p w14:paraId="5B56B9C1" w14:textId="4C591BF8" w:rsidR="005F6749" w:rsidRPr="00F070CE" w:rsidRDefault="00882444" w:rsidP="00BA19C5">
      <w:pPr>
        <w:pStyle w:val="CBDH3"/>
      </w:pPr>
      <w:r>
        <w:t>3.</w:t>
      </w:r>
      <w:r>
        <w:tab/>
        <w:t>Pérdidas y daños asociados a los efectos del cambio climático</w:t>
      </w:r>
    </w:p>
    <w:p w14:paraId="04F2379D" w14:textId="6F8B2E45" w:rsidR="003415AB" w:rsidRPr="00D46E60" w:rsidRDefault="00267053" w:rsidP="00BA19C5">
      <w:pPr>
        <w:pStyle w:val="CBDNormalNumber"/>
      </w:pPr>
      <w:r>
        <w:t>En 2022, el Comité Ejecutivo del Mecanismo Internacional de Varsovia para las Pérdidas y los Daños relacionados con las Repercusiones del Cambio Climático aprobó su segundo plan de trabajo quinquenal renovable para el período 2023-2027</w:t>
      </w:r>
      <w:r w:rsidR="009E0B5D">
        <w:rPr>
          <w:rStyle w:val="FootnoteReference"/>
        </w:rPr>
        <w:footnoteReference w:id="8"/>
      </w:r>
      <w:r>
        <w:t xml:space="preserve">, que también sirvió de marco general para sus cinco grupos temáticos de expertos. </w:t>
      </w:r>
    </w:p>
    <w:p w14:paraId="683616F8" w14:textId="36844D9C" w:rsidR="00671581" w:rsidRPr="00F070CE" w:rsidRDefault="00D7280C" w:rsidP="00BA19C5">
      <w:pPr>
        <w:pStyle w:val="CBDNormalNumber"/>
      </w:pPr>
      <w:r>
        <w:t xml:space="preserve">En sus decisiones 2/CP.27 y 2/CMA.4, respectivamente, la Conferencia de las Partes en la Convención Marco de las Naciones Unidas sobre el Cambio Climático y la Conferencia de las Partes que actúa como Reunión de las Partes en el Acuerdo de París reconocieron la necesidad de prestar ayuda a los países en desarrollo especialmente vulnerables a los efectos adversos del cambio climático a responder ante las pérdidas y daños económicos y no económicos asociados a los efectos adversos del cambio climático como, entre otros, los fenómenos meteorológicos extremos y los fenómenos de evolución lenta. En las mismas decisiones, establecieron nuevos mecanismos de financiación para prestar asistencia a esos países en desarrollo y un fondo para responder a las pérdidas y los perjudicados, cuyo mandato incluía la necesidad de centrarse en hacer frente a las pérdidas y los daños. </w:t>
      </w:r>
    </w:p>
    <w:p w14:paraId="0964F705" w14:textId="34422A6A" w:rsidR="00006505" w:rsidRPr="000E4643" w:rsidRDefault="00922015" w:rsidP="00BA19C5">
      <w:pPr>
        <w:pStyle w:val="CBDNormalNumber"/>
      </w:pPr>
      <w:r>
        <w:t>En sus decisiones 1/CP.28 y 5/CMA.5, respectivamente, la Conferencia de las Partes en la Convención Marco de las Naciones Unidas sobre el Cambio Climático y la Conferencia de las Partes que actúa como Reunión de las Partes en el Acuerdo de París designaron el fondo mencionado anteriormente como entidad encargada del funcionamiento del Mecanismo Financiero del Convenio, que también serviría al Acuerdo de París</w:t>
      </w:r>
      <w:r w:rsidR="004C50C3" w:rsidRPr="00BC7D6B">
        <w:rPr>
          <w:rStyle w:val="FootnoteReference"/>
        </w:rPr>
        <w:footnoteReference w:id="9"/>
      </w:r>
      <w:r>
        <w:t>. El fondo, denominado Fondo de Respuesta ante Pérdidas y Daños, rendirá cuentas ante la Conferencia de las Partes en la Convención Marco de las Naciones Unidas sobre el Cambio Climático y la Conferencia de las Partes que actúa como reunión de las Partes en el Acuerdo de París, que también se encargarán de orientar su labor. La Junta del Fondo celebró su primera reunión del 30 de abril al 2 de mayo de 2024, y su segunda reunión del 9 al 12 de julio de 2024.</w:t>
      </w:r>
    </w:p>
    <w:p w14:paraId="3F088702" w14:textId="72FFBC63" w:rsidR="00586138" w:rsidRPr="0077634B" w:rsidRDefault="00006505" w:rsidP="00BA19C5">
      <w:pPr>
        <w:pStyle w:val="CBDNormalNumber"/>
      </w:pPr>
      <w:r>
        <w:t xml:space="preserve">Según el </w:t>
      </w:r>
      <w:r>
        <w:rPr>
          <w:i/>
        </w:rPr>
        <w:t>Informe Mundial sobre Litigios Climáticos: Revisión Global 2023</w:t>
      </w:r>
      <w:r w:rsidR="003E4086" w:rsidRPr="000E4643">
        <w:rPr>
          <w:rStyle w:val="FootnoteReference"/>
        </w:rPr>
        <w:footnoteReference w:id="10"/>
      </w:r>
      <w:r>
        <w:t xml:space="preserve">, publicado por el Programa de las Naciones Unidas para el Medio Ambiente en cooperación con Sabin Center </w:t>
      </w:r>
      <w:proofErr w:type="spellStart"/>
      <w:r>
        <w:t>for</w:t>
      </w:r>
      <w:proofErr w:type="spellEnd"/>
      <w:r>
        <w:t xml:space="preserve"> </w:t>
      </w:r>
      <w:proofErr w:type="spellStart"/>
      <w:r>
        <w:t>Climate</w:t>
      </w:r>
      <w:proofErr w:type="spellEnd"/>
      <w:r>
        <w:t xml:space="preserve"> Change </w:t>
      </w:r>
      <w:proofErr w:type="spellStart"/>
      <w:r>
        <w:t>Law</w:t>
      </w:r>
      <w:proofErr w:type="spellEnd"/>
      <w:r>
        <w:t xml:space="preserve"> de la Universidad de Columbia, los litigios sobre el cambio climático están aumentando y extendiendo su ámbito geográfico, mientras que se amplía la gama de teorías jurídicas. A medida que empeora la crisis climática, las personas, los grupos de jóvenes y de mujeres, los pueblos indígenas y las comunidades locales, entre otros, recurren a los tribunales y otros órganos judiciales y administrativos para emprender acciones legales contra los Gobiernos y las entidades del sector privado por su inacción y por no cumplir sus metas de mitigación y adaptación, al objeto de obtener reparación por la pérdida de vidas y de medios de subsistencia.</w:t>
      </w:r>
    </w:p>
    <w:p w14:paraId="2AD54BF1" w14:textId="223ED9A6" w:rsidR="00006505" w:rsidRPr="0077634B" w:rsidRDefault="00882444" w:rsidP="00BA19C5">
      <w:pPr>
        <w:pStyle w:val="CBDH3"/>
      </w:pPr>
      <w:r>
        <w:lastRenderedPageBreak/>
        <w:t>4.</w:t>
      </w:r>
      <w:r>
        <w:tab/>
        <w:t>El ecocidio como delito internacional</w:t>
      </w:r>
    </w:p>
    <w:p w14:paraId="55B4D777" w14:textId="719F8023" w:rsidR="009435E1" w:rsidRPr="00F070CE" w:rsidRDefault="00006505" w:rsidP="00BA19C5">
      <w:pPr>
        <w:pStyle w:val="CBDNormalNumber"/>
      </w:pPr>
      <w:r>
        <w:t>Se está debatiendo a nivel mundial si causar daños graves a los ecosistemas vitales (es decir, la destrucción masiva del medio ambiente) debería constituir un delito internacional, conocido como “ecocidio”</w:t>
      </w:r>
      <w:r w:rsidR="004F2C8D" w:rsidRPr="00BA19C5">
        <w:rPr>
          <w:vertAlign w:val="superscript"/>
        </w:rPr>
        <w:footnoteReference w:id="11"/>
      </w:r>
      <w:r>
        <w:t xml:space="preserve">. En junio de 2021, la Fundación Stop </w:t>
      </w:r>
      <w:proofErr w:type="spellStart"/>
      <w:r>
        <w:t>Ecocide</w:t>
      </w:r>
      <w:proofErr w:type="spellEnd"/>
      <w:r>
        <w:t xml:space="preserve"> convocó a un grupo de expertos independientes compuesto por abogados especialistas en derecho internacional para elaborar una definición de “ecocidio”. El Grupo de Expertos Independiente sobre la Definición Jurídica de Ecocidio definió “ecocidio” como “actos ilícitos o deliberados cometidos a sabiendas de que existe una probabilidad sustancial de que dichos actos causen daños graves, generalizados o duraderos al medio ambiente”</w:t>
      </w:r>
      <w:r w:rsidR="009435E1" w:rsidRPr="00F070CE">
        <w:rPr>
          <w:rStyle w:val="FootnoteReference"/>
        </w:rPr>
        <w:footnoteReference w:id="12"/>
      </w:r>
      <w:r>
        <w:t>.</w:t>
      </w:r>
    </w:p>
    <w:p w14:paraId="3F558EB0" w14:textId="7DFE4B48" w:rsidR="00DE14A5" w:rsidRPr="00B80FA9" w:rsidRDefault="00DE14A5" w:rsidP="00BA19C5">
      <w:pPr>
        <w:pStyle w:val="CBDNormalNumber"/>
      </w:pPr>
      <w:r>
        <w:t>El Fiscal de la Corte Penal Internacional también ha celebrado consultas sobre la manera de propiciar la rendición de cuentas por delitos ambientales con arreglo al Estatuto de Roma de la Corte Penal Internacional. En febrero de 2024, la Oficina del Fiscal anunció una nueva iniciativa de política al respecto</w:t>
      </w:r>
      <w:r w:rsidR="00312FA9" w:rsidRPr="00BA19C5">
        <w:rPr>
          <w:rStyle w:val="FootnoteReference"/>
        </w:rPr>
        <w:footnoteReference w:id="13"/>
      </w:r>
      <w:r>
        <w:t>. El plan consiste en elaborar un documento de política sobre los delitos ambientales basado en el Estatuto de Roma y otros instrumentos reglamentarios de la Corte, así como en los tratados ambientales aplicables, las normas de derecho internacional consuetudinario y la jurisprudencia de otros tribunales internacionales y nacionales, con miras a promover la rendición de cuentas, la transparencia y la previsibilidad en esa esfera.</w:t>
      </w:r>
    </w:p>
    <w:p w14:paraId="2BD4DB11" w14:textId="166822D4" w:rsidR="00006505" w:rsidRPr="00B80FA9" w:rsidRDefault="00D40054" w:rsidP="00BA19C5">
      <w:pPr>
        <w:pStyle w:val="CBDH2"/>
      </w:pPr>
      <w:r>
        <w:t>B. Novedades a nivel nacional o regional</w:t>
      </w:r>
    </w:p>
    <w:p w14:paraId="2181D001" w14:textId="340CED2B" w:rsidR="00B53A92" w:rsidRPr="00B80FA9" w:rsidRDefault="00D40054" w:rsidP="00BA19C5">
      <w:pPr>
        <w:pStyle w:val="CBDNormalNumber"/>
      </w:pPr>
      <w:r>
        <w:t xml:space="preserve">Como se indica en el párrafo 3 anterior, un número reducido de Partes presentó información sobre novedades en la esfera de la responsabilidad y la reparación por daños al medio ambiente en general y a la diversidad biológica en particular. </w:t>
      </w:r>
    </w:p>
    <w:p w14:paraId="311C1A25" w14:textId="758904BA" w:rsidR="00B53A92" w:rsidRPr="00B80FA9" w:rsidRDefault="004C4473" w:rsidP="00BA19C5">
      <w:pPr>
        <w:pStyle w:val="CBDNormalNumber"/>
      </w:pPr>
      <w:r>
        <w:t>En su comunicación, la Unión Europea se refirió a la Directiva sobre responsabilidad medioambiental como su marco para prevenir y reparar los daños. También se refirió a las directrices elaboradas por la Comisión Europea en marzo de 2021 para aclarar el alcance del término “daño ambiental”. Señaló que la segunda evaluación de la Directiva sobre responsabilidad medioambiental estaba en curso, y que su publicación estaba prevista para el tercer trimestre de 2024.</w:t>
      </w:r>
    </w:p>
    <w:p w14:paraId="264DC418" w14:textId="21A2C6BD" w:rsidR="00A44FC9" w:rsidRPr="00BC40FB" w:rsidRDefault="00B53A92" w:rsidP="00BA19C5">
      <w:pPr>
        <w:pStyle w:val="CBDNormalNumber"/>
      </w:pPr>
      <w:r>
        <w:t>En su comunicación, Alemania destacó las disposiciones pertinentes de la Ley de Conservación de la Naturaleza y Ordenación del Paisaje, de julio de 2009.</w:t>
      </w:r>
    </w:p>
    <w:p w14:paraId="1A6193BB" w14:textId="54B4E8FA" w:rsidR="005B082F" w:rsidRPr="00BC40FB" w:rsidRDefault="001414E3" w:rsidP="00BA19C5">
      <w:pPr>
        <w:pStyle w:val="CBDNormalNumber"/>
      </w:pPr>
      <w:r>
        <w:t xml:space="preserve">En su comunicación, el Gobierno de España hace referencia a la Ley 26/2007 de Responsabilidad Medioambiental y su reglamento aprobado mediante el Real Decreto 2090/2008. que transpuso la Directiva de responsabilidad medioambiental de la Unión Europea. Dicha ley y reglamento deben interpretarse y aplicarse en concordancia con la Ley 42/2007 del Patrimonio Natural y de la Biodiversidad. Dicha comunicación contiene enlaces a información adicional. </w:t>
      </w:r>
    </w:p>
    <w:p w14:paraId="5C1F0898" w14:textId="62000B93" w:rsidR="005B082F" w:rsidRPr="00F070CE" w:rsidRDefault="00AD5449" w:rsidP="00BA19C5">
      <w:pPr>
        <w:pStyle w:val="CBDNormalNumber"/>
      </w:pPr>
      <w:r>
        <w:t>En su comunicación, el Estado de Palestina indicó que se estaba preparando un proyecto de decreto sobre el medio ambiente que estipulaba mecanismos de responsabilidad y reparación. También se habían establecido sanciones y multas para garantizar los sistemas de culpabilidad y reparación.</w:t>
      </w:r>
    </w:p>
    <w:p w14:paraId="5384F1FF" w14:textId="3189627C" w:rsidR="00F94E3F" w:rsidRPr="00F070CE" w:rsidRDefault="00AD5449" w:rsidP="00BA19C5">
      <w:pPr>
        <w:pStyle w:val="CBDNormalNumber"/>
      </w:pPr>
      <w:r>
        <w:t xml:space="preserve">En su comunicación, el Reino Unido se refirió como novedad reciente a la Ley del Medio Ambiente de 2021, que estableció un marco jurídico para la protección del medio ambiente y la gobernanza a nivel nacional. Afirmó que la ley fijó metas a largo plazo para mejorar la calidad del aire, la diversidad biológica, el agua y la reducción de desechos, así como para la eficiencia de los recursos. Asimismo, estableció que los ministros de la Corona deben, al formular políticas, tener </w:t>
      </w:r>
      <w:r>
        <w:lastRenderedPageBreak/>
        <w:t>debidamente en cuenta cinco principios ambientales, entre ellos, el principio de la acción preventiva para evitar daños ambientales, el principio de que los daños ambientales deben, como prioridad, rectificarse en la fuente, y el principio de que quien contamina paga. Habida cuenta de esos principios, el Reino Unido afirmó que la Ley del Medio Ambiente garantizaba que toda nueva política nacional buscaría evitar los daños ambientales desde el principio.</w:t>
      </w:r>
    </w:p>
    <w:p w14:paraId="3C2ECA3F" w14:textId="2EFED51D" w:rsidR="00D40054" w:rsidRPr="003F280F" w:rsidRDefault="00A67423" w:rsidP="00BA19C5">
      <w:pPr>
        <w:pStyle w:val="CBDNormalNumber"/>
      </w:pPr>
      <w:r>
        <w:t xml:space="preserve">En su comunicación, </w:t>
      </w:r>
      <w:proofErr w:type="spellStart"/>
      <w:r>
        <w:t>Zimbabwe</w:t>
      </w:r>
      <w:proofErr w:type="spellEnd"/>
      <w:r>
        <w:t xml:space="preserve"> manifestó que en el capítulo 14.31 de la Ley sobre la Autoridad Nacional de Biotecnología (núm. 3 de 2006) estaban contemplados varios principios de responsabilidad y reparación.</w:t>
      </w:r>
    </w:p>
    <w:p w14:paraId="5401306C" w14:textId="01427735" w:rsidR="00995931" w:rsidRPr="00F070CE" w:rsidRDefault="00006505" w:rsidP="00BA19C5">
      <w:pPr>
        <w:pStyle w:val="CBDH3"/>
      </w:pPr>
      <w:r>
        <w:t>Responsabilidad de las empresas por daños ambientales</w:t>
      </w:r>
    </w:p>
    <w:p w14:paraId="0CF71765" w14:textId="47026BC2" w:rsidR="00980397" w:rsidRPr="00F070CE" w:rsidRDefault="005D189A" w:rsidP="00BA19C5">
      <w:pPr>
        <w:pStyle w:val="CBDNormalNumber"/>
      </w:pPr>
      <w:r>
        <w:t>En los últimos años, algunos países (en su mayoría países desarrollados) han desplegado esfuerzos para hacer frente a los daños ambientales y las violaciones de los derechos humanos resultantes de las acciones de las multinacionales. Se ha adoptado un número creciente de medidas, como las disposiciones regulatorias destinadas a hacer frente a los efectos adversos de las actividades económicas transnacionales sobre el medio ambiente y los consumidores, como la Ley sobre el Deber de Vigilancia de 2017 en Francia, la Ley de Diligencia Debida en las Cadenas de Suministro en Alemania, que entró en vigor en enero de 2023, el Reglamento (UE) 2023/1115 del Parlamento Europeo y del Consejo relativo a la comercialización en el mercado de la Unión y la exportación desde la Unión de determinadas materias primas y productos asociados a la deforestación y la degradación forestal, y por el que se deroga el Reglamento (UE) 995/2010, la Ley de Transparencia en Noruega, que entró en vigor el 1 de julio de 2022, y la Ley de Diligencia Debida en materia de Trabajo Infantil de 2019 en los Países Bajos</w:t>
      </w:r>
      <w:r w:rsidR="00866FAC" w:rsidRPr="00F070CE">
        <w:rPr>
          <w:rStyle w:val="FootnoteReference"/>
        </w:rPr>
        <w:footnoteReference w:id="14"/>
      </w:r>
      <w:r>
        <w:t xml:space="preserve">. </w:t>
      </w:r>
    </w:p>
    <w:p w14:paraId="2D910331" w14:textId="3D112565" w:rsidR="00DC42DA" w:rsidRPr="00F070CE" w:rsidRDefault="00882444" w:rsidP="00BA19C5">
      <w:pPr>
        <w:pStyle w:val="CBDH1"/>
      </w:pPr>
      <w:r>
        <w:t>III.</w:t>
      </w:r>
      <w:r>
        <w:tab/>
        <w:t>Elementos sugeridos para un proyecto de decisión</w:t>
      </w:r>
    </w:p>
    <w:p w14:paraId="1E3562EE" w14:textId="77777777" w:rsidR="00136B6A" w:rsidRPr="00F070CE" w:rsidRDefault="00A51D79" w:rsidP="00BA19C5">
      <w:pPr>
        <w:pStyle w:val="CBDNormalNumber"/>
      </w:pPr>
      <w:r>
        <w:t>La Conferencia de las Partes podría estimar oportuno adoptar una decisión del siguiente tenor:</w:t>
      </w:r>
    </w:p>
    <w:p w14:paraId="06899F64" w14:textId="77777777" w:rsidR="00882444" w:rsidRDefault="00882444" w:rsidP="00BA19C5">
      <w:pPr>
        <w:pStyle w:val="Para1"/>
        <w:ind w:firstLine="567"/>
        <w:rPr>
          <w:i/>
          <w:iCs/>
        </w:rPr>
      </w:pPr>
      <w:r>
        <w:rPr>
          <w:i/>
          <w:iCs/>
        </w:rPr>
        <w:t>La Conferencia de las Partes,</w:t>
      </w:r>
    </w:p>
    <w:p w14:paraId="2F3429D8" w14:textId="02D65540" w:rsidR="00DC42DA" w:rsidRPr="00F070CE" w:rsidRDefault="00136B6A" w:rsidP="00BA19C5">
      <w:pPr>
        <w:pStyle w:val="Para1"/>
        <w:ind w:firstLine="567"/>
      </w:pPr>
      <w:r>
        <w:rPr>
          <w:i/>
          <w:iCs/>
        </w:rPr>
        <w:t>Recordando</w:t>
      </w:r>
      <w:r>
        <w:t xml:space="preserve"> su decisión 14/21 del 29 de noviembre de 2018;</w:t>
      </w:r>
    </w:p>
    <w:p w14:paraId="7413E6CF" w14:textId="5208B59E" w:rsidR="00FE4ACE" w:rsidRPr="00F070CE" w:rsidRDefault="00FE4ACE" w:rsidP="00BA19C5">
      <w:pPr>
        <w:pStyle w:val="Para1"/>
        <w:ind w:firstLine="567"/>
      </w:pPr>
      <w:r>
        <w:rPr>
          <w:i/>
        </w:rPr>
        <w:t xml:space="preserve">Recordando también </w:t>
      </w:r>
      <w:r>
        <w:t>el Marco Mundial de Biodiversidad de Kunming-Montreal</w:t>
      </w:r>
      <w:r w:rsidR="00D51D48">
        <w:rPr>
          <w:rStyle w:val="FootnoteReference"/>
        </w:rPr>
        <w:footnoteReference w:id="15"/>
      </w:r>
      <w:r>
        <w:t xml:space="preserve">, en el que estableció como misión del Marco, entre otras cosas, la adopción de medidas urgentes para detener e invertir la pérdida de diversidad biológica; </w:t>
      </w:r>
    </w:p>
    <w:p w14:paraId="1E61083D" w14:textId="3D2AB700" w:rsidR="0062236D" w:rsidRPr="00F070CE" w:rsidRDefault="00361F2B" w:rsidP="00BA19C5">
      <w:pPr>
        <w:pStyle w:val="Para1"/>
        <w:ind w:firstLine="567"/>
      </w:pPr>
      <w:r>
        <w:rPr>
          <w:i/>
        </w:rPr>
        <w:t xml:space="preserve">Observando </w:t>
      </w:r>
      <w:r>
        <w:t>que</w:t>
      </w:r>
      <w:r>
        <w:rPr>
          <w:i/>
        </w:rPr>
        <w:t xml:space="preserve"> </w:t>
      </w:r>
      <w:r>
        <w:t>la recopilación de comunicaciones e información sobre novedades recientes en materia de responsabilidad y reparación por daños al medio ambiente en general y a la diversidad biológica en particular, presentada en la 16ª reunión de la Conferencia de las Partes</w:t>
      </w:r>
      <w:r w:rsidR="00CF6CFF">
        <w:rPr>
          <w:rStyle w:val="FootnoteReference"/>
        </w:rPr>
        <w:footnoteReference w:id="16"/>
      </w:r>
      <w:r>
        <w:t>, puso de manifiesto una mayor conciencia entre las Partes de la necesidad de adoptar y aplicar medidas normativas, jurídicas o administrativas adecuadas para evitar o mitigar esos daños;</w:t>
      </w:r>
    </w:p>
    <w:p w14:paraId="59327FEB" w14:textId="4BF53839" w:rsidR="00D21F9F" w:rsidRPr="00F070CE" w:rsidRDefault="00573948" w:rsidP="00BA19C5">
      <w:pPr>
        <w:pStyle w:val="Para1"/>
        <w:tabs>
          <w:tab w:val="clear" w:pos="1134"/>
        </w:tabs>
        <w:ind w:firstLine="567"/>
      </w:pPr>
      <w:r>
        <w:t>1.</w:t>
      </w:r>
      <w:r>
        <w:rPr>
          <w:i/>
        </w:rPr>
        <w:tab/>
        <w:t xml:space="preserve">Invita </w:t>
      </w:r>
      <w:r>
        <w:t>a las Partes a seguir adoptando medidas adecuadas para hacer frente a los daños a la diversidad biológica, entre ellas, medidas de respuesta;</w:t>
      </w:r>
    </w:p>
    <w:p w14:paraId="29942793" w14:textId="1DED20D4" w:rsidR="009D647D" w:rsidRPr="00F070CE" w:rsidRDefault="00573948" w:rsidP="00BA19C5">
      <w:pPr>
        <w:pStyle w:val="Para1"/>
        <w:ind w:firstLine="567"/>
        <w:rPr>
          <w:i/>
          <w:iCs/>
        </w:rPr>
      </w:pPr>
      <w:r>
        <w:t>2.</w:t>
      </w:r>
      <w:r>
        <w:rPr>
          <w:i/>
        </w:rPr>
        <w:tab/>
        <w:t xml:space="preserve">Decide </w:t>
      </w:r>
      <w:r>
        <w:t>examinar el tema de la responsabilidad y la reparación en el contexto del artículo 14, párrafo 2 del Convenio sobre la Diversidad Biológica en</w:t>
      </w:r>
      <w:r w:rsidR="00977B05">
        <w:rPr>
          <w:rStyle w:val="FootnoteReference"/>
        </w:rPr>
        <w:footnoteReference w:id="17"/>
      </w:r>
      <w:r>
        <w:t xml:space="preserve"> su 18ª reunión, teniendo en cuenta la información sobre las novedades pertinentes, como los progresos realizados en la implementación del Marco Mundial de Biodiversidad de Kunming-Montreal.</w:t>
      </w:r>
    </w:p>
    <w:p w14:paraId="4A194EF3" w14:textId="3B1E1DF7" w:rsidR="00ED4DA9" w:rsidRPr="00F070CE" w:rsidRDefault="009D647D" w:rsidP="00BA19C5">
      <w:pPr>
        <w:pStyle w:val="Para1"/>
        <w:ind w:left="927"/>
        <w:jc w:val="center"/>
      </w:pPr>
      <w:r>
        <w:t>_______________</w:t>
      </w:r>
    </w:p>
    <w:sectPr w:rsidR="00ED4DA9" w:rsidRPr="00F070CE" w:rsidSect="00BA19C5">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145E2B" w14:textId="77777777" w:rsidR="004072B5" w:rsidRPr="00F070CE" w:rsidRDefault="004072B5" w:rsidP="00A96B21">
      <w:r w:rsidRPr="00F070CE">
        <w:separator/>
      </w:r>
    </w:p>
  </w:endnote>
  <w:endnote w:type="continuationSeparator" w:id="0">
    <w:p w14:paraId="342A4510" w14:textId="77777777" w:rsidR="004072B5" w:rsidRPr="00F070CE" w:rsidRDefault="004072B5" w:rsidP="00A96B21">
      <w:r w:rsidRPr="00F070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6D91DA0" w14:textId="77777777" w:rsidR="002B559C" w:rsidRPr="00F070CE" w:rsidRDefault="002B559C">
            <w:pPr>
              <w:pStyle w:val="Footer"/>
            </w:pPr>
            <w:r w:rsidRPr="00F070CE">
              <w:fldChar w:fldCharType="begin"/>
            </w:r>
            <w:r w:rsidRPr="00F070CE">
              <w:instrText xml:space="preserve"> PAGE </w:instrText>
            </w:r>
            <w:r w:rsidRPr="00F070CE">
              <w:fldChar w:fldCharType="separate"/>
            </w:r>
            <w:r w:rsidRPr="00F070CE">
              <w:t>2</w:t>
            </w:r>
            <w:r w:rsidRPr="00F070CE">
              <w:fldChar w:fldCharType="end"/>
            </w:r>
            <w:r>
              <w:t>/</w:t>
            </w:r>
            <w:r w:rsidR="00A62870">
              <w:fldChar w:fldCharType="begin"/>
            </w:r>
            <w:r w:rsidR="00A62870">
              <w:instrText xml:space="preserve"> NUMPAGES  </w:instrText>
            </w:r>
            <w:r w:rsidR="00A62870">
              <w:fldChar w:fldCharType="separate"/>
            </w:r>
            <w:r w:rsidRPr="00F070CE">
              <w:t>2</w:t>
            </w:r>
            <w:r w:rsidR="00A62870">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1BBC851" w14:textId="77777777" w:rsidR="002B559C" w:rsidRPr="00F070CE" w:rsidRDefault="002B559C" w:rsidP="002B559C">
            <w:pPr>
              <w:pStyle w:val="Footer"/>
              <w:jc w:val="right"/>
            </w:pPr>
            <w:r w:rsidRPr="00F070CE">
              <w:fldChar w:fldCharType="begin"/>
            </w:r>
            <w:r w:rsidRPr="00F070CE">
              <w:instrText xml:space="preserve"> PAGE </w:instrText>
            </w:r>
            <w:r w:rsidRPr="00F070CE">
              <w:fldChar w:fldCharType="separate"/>
            </w:r>
            <w:r w:rsidRPr="00F070CE">
              <w:t>2</w:t>
            </w:r>
            <w:r w:rsidRPr="00F070CE">
              <w:fldChar w:fldCharType="end"/>
            </w:r>
            <w:r>
              <w:t>/</w:t>
            </w:r>
            <w:r w:rsidR="00A62870">
              <w:fldChar w:fldCharType="begin"/>
            </w:r>
            <w:r w:rsidR="00A62870">
              <w:instrText xml:space="preserve"> NUMPAGES  </w:instrText>
            </w:r>
            <w:r w:rsidR="00A62870">
              <w:fldChar w:fldCharType="separate"/>
            </w:r>
            <w:r w:rsidRPr="00F070CE">
              <w:t>2</w:t>
            </w:r>
            <w:r w:rsidR="00A62870">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E23701" w14:textId="77777777" w:rsidR="004072B5" w:rsidRPr="00F070CE" w:rsidRDefault="004072B5" w:rsidP="00A96B21">
      <w:r w:rsidRPr="00F070CE">
        <w:separator/>
      </w:r>
    </w:p>
  </w:footnote>
  <w:footnote w:type="continuationSeparator" w:id="0">
    <w:p w14:paraId="68B7AC99" w14:textId="77777777" w:rsidR="004072B5" w:rsidRPr="00F070CE" w:rsidRDefault="004072B5" w:rsidP="00A96B21">
      <w:r w:rsidRPr="00F070CE">
        <w:continuationSeparator/>
      </w:r>
    </w:p>
  </w:footnote>
  <w:footnote w:id="1">
    <w:p w14:paraId="63CC36F2" w14:textId="49F8588B" w:rsidR="00A96B21" w:rsidRPr="002B5CCB" w:rsidRDefault="00A96B21" w:rsidP="00DD2683">
      <w:pPr>
        <w:pStyle w:val="Footnote"/>
        <w:rPr>
          <w:lang w:val="en-US"/>
        </w:rPr>
      </w:pPr>
      <w:r w:rsidRPr="002B5CCB">
        <w:rPr>
          <w:rStyle w:val="FootnoteReference"/>
          <w:lang w:val="en-US"/>
        </w:rPr>
        <w:t>*</w:t>
      </w:r>
      <w:r w:rsidRPr="002B5CCB">
        <w:rPr>
          <w:lang w:val="en-US"/>
        </w:rPr>
        <w:t xml:space="preserve"> CBD/COP/16/1.</w:t>
      </w:r>
    </w:p>
  </w:footnote>
  <w:footnote w:id="2">
    <w:p w14:paraId="5487600E" w14:textId="19A44946" w:rsidR="001F2617" w:rsidRPr="002B5CCB" w:rsidRDefault="00EC18FE">
      <w:pPr>
        <w:pStyle w:val="FootnoteText"/>
        <w:rPr>
          <w:lang w:val="en-US"/>
        </w:rPr>
      </w:pPr>
      <w:r>
        <w:rPr>
          <w:rStyle w:val="FootnoteReference"/>
        </w:rPr>
        <w:footnoteRef/>
      </w:r>
      <w:r w:rsidRPr="002B5CCB">
        <w:rPr>
          <w:lang w:val="en-US"/>
        </w:rPr>
        <w:t xml:space="preserve"> </w:t>
      </w:r>
      <w:proofErr w:type="spellStart"/>
      <w:r w:rsidRPr="002B5CCB">
        <w:rPr>
          <w:lang w:val="en-US"/>
        </w:rPr>
        <w:t>Véase</w:t>
      </w:r>
      <w:proofErr w:type="spellEnd"/>
      <w:r w:rsidRPr="002B5CCB">
        <w:rPr>
          <w:lang w:val="en-US"/>
        </w:rPr>
        <w:t xml:space="preserve"> CBD/COP/14/10.</w:t>
      </w:r>
    </w:p>
  </w:footnote>
  <w:footnote w:id="3">
    <w:p w14:paraId="3731AC33" w14:textId="2F977D99" w:rsidR="005E7161" w:rsidRPr="002B5CCB" w:rsidRDefault="005E7161">
      <w:pPr>
        <w:pStyle w:val="FootnoteText"/>
        <w:rPr>
          <w:lang w:val="en-US"/>
        </w:rPr>
      </w:pPr>
      <w:r>
        <w:rPr>
          <w:rStyle w:val="FootnoteReference"/>
        </w:rPr>
        <w:footnoteRef/>
      </w:r>
      <w:r w:rsidRPr="002B5CCB">
        <w:rPr>
          <w:lang w:val="en-US"/>
        </w:rPr>
        <w:t xml:space="preserve"> CBD/COP/16/INF/10.</w:t>
      </w:r>
    </w:p>
  </w:footnote>
  <w:footnote w:id="4">
    <w:p w14:paraId="6FE5CF44" w14:textId="5730509E" w:rsidR="006F491C" w:rsidRPr="002B5CCB" w:rsidRDefault="006F491C">
      <w:pPr>
        <w:pStyle w:val="FootnoteText"/>
        <w:rPr>
          <w:lang w:val="en-US"/>
        </w:rPr>
      </w:pPr>
      <w:r>
        <w:rPr>
          <w:rStyle w:val="FootnoteReference"/>
        </w:rPr>
        <w:footnoteRef/>
      </w:r>
      <w:r w:rsidRPr="002B5CCB">
        <w:rPr>
          <w:lang w:val="en-US"/>
        </w:rPr>
        <w:t xml:space="preserve"> </w:t>
      </w:r>
      <w:proofErr w:type="spellStart"/>
      <w:r w:rsidRPr="002B5CCB">
        <w:rPr>
          <w:lang w:val="en-US"/>
        </w:rPr>
        <w:t>Véase</w:t>
      </w:r>
      <w:proofErr w:type="spellEnd"/>
      <w:r w:rsidRPr="002B5CCB">
        <w:rPr>
          <w:lang w:val="en-US"/>
        </w:rPr>
        <w:t xml:space="preserve"> CBD/CP/MOP/11/11.</w:t>
      </w:r>
    </w:p>
  </w:footnote>
  <w:footnote w:id="5">
    <w:p w14:paraId="5203BE9C" w14:textId="4525B16D" w:rsidR="00DC357B" w:rsidRPr="00CA2C9C" w:rsidRDefault="00DC357B">
      <w:pPr>
        <w:pStyle w:val="FootnoteText"/>
      </w:pPr>
      <w:r>
        <w:rPr>
          <w:rStyle w:val="FootnoteReference"/>
        </w:rPr>
        <w:footnoteRef/>
      </w:r>
      <w:r>
        <w:t xml:space="preserve"> Para más información sobre el Programa de Montevideo, véase </w:t>
      </w:r>
      <w:hyperlink r:id="rId1" w:history="1">
        <w:r w:rsidR="00D96BFE" w:rsidRPr="00D96BFE">
          <w:rPr>
            <w:rStyle w:val="Hyperlink"/>
          </w:rPr>
          <w:t>http://www.unep.org/resources/factsheet/montevideo-environmental-law-programme-decade-action-environmental-law</w:t>
        </w:r>
      </w:hyperlink>
      <w:r>
        <w:t xml:space="preserve">. </w:t>
      </w:r>
    </w:p>
  </w:footnote>
  <w:footnote w:id="6">
    <w:p w14:paraId="2185EFD2" w14:textId="3CFE2832" w:rsidR="009C33B1" w:rsidRPr="002B5CCB" w:rsidRDefault="009C33B1" w:rsidP="00FD17F1">
      <w:pPr>
        <w:pStyle w:val="FootnoteText"/>
        <w:rPr>
          <w:lang w:val="en-US"/>
        </w:rPr>
      </w:pPr>
      <w:r>
        <w:rPr>
          <w:rStyle w:val="FootnoteReference"/>
        </w:rPr>
        <w:footnoteRef/>
      </w:r>
      <w:r w:rsidRPr="002B5CCB">
        <w:rPr>
          <w:lang w:val="en-US"/>
        </w:rPr>
        <w:t xml:space="preserve"> UNEP/</w:t>
      </w:r>
      <w:proofErr w:type="spellStart"/>
      <w:r w:rsidRPr="002B5CCB">
        <w:rPr>
          <w:lang w:val="en-US"/>
        </w:rPr>
        <w:t>Env.Law</w:t>
      </w:r>
      <w:proofErr w:type="spellEnd"/>
      <w:r w:rsidRPr="002B5CCB">
        <w:rPr>
          <w:lang w:val="en-US"/>
        </w:rPr>
        <w:t>/MTV5/GNFP.2/4.</w:t>
      </w:r>
    </w:p>
  </w:footnote>
  <w:footnote w:id="7">
    <w:p w14:paraId="6342F696" w14:textId="5F22D20A" w:rsidR="009075B8" w:rsidRPr="002B5CCB" w:rsidRDefault="009075B8" w:rsidP="00F34CB0">
      <w:pPr>
        <w:pStyle w:val="FootnoteText"/>
        <w:rPr>
          <w:lang w:val="en-US"/>
        </w:rPr>
      </w:pPr>
      <w:r>
        <w:rPr>
          <w:rStyle w:val="FootnoteReference"/>
        </w:rPr>
        <w:footnoteRef/>
      </w:r>
      <w:r w:rsidRPr="002B5CCB">
        <w:rPr>
          <w:lang w:val="en-US"/>
        </w:rPr>
        <w:t xml:space="preserve"> UNEP/</w:t>
      </w:r>
      <w:proofErr w:type="spellStart"/>
      <w:r w:rsidRPr="002B5CCB">
        <w:rPr>
          <w:lang w:val="en-US"/>
        </w:rPr>
        <w:t>Env.Law</w:t>
      </w:r>
      <w:proofErr w:type="spellEnd"/>
      <w:r w:rsidRPr="002B5CCB">
        <w:rPr>
          <w:lang w:val="en-US"/>
        </w:rPr>
        <w:t>/MTV5/GNFP.2/3.</w:t>
      </w:r>
    </w:p>
  </w:footnote>
  <w:footnote w:id="8">
    <w:p w14:paraId="7EE4607F" w14:textId="5B905CFF" w:rsidR="009E0B5D" w:rsidRPr="002B5CCB" w:rsidRDefault="009E0B5D" w:rsidP="009E0B5D">
      <w:pPr>
        <w:pStyle w:val="FootnoteText"/>
        <w:rPr>
          <w:lang w:val="en-US"/>
        </w:rPr>
      </w:pPr>
      <w:r>
        <w:rPr>
          <w:rStyle w:val="FootnoteReference"/>
        </w:rPr>
        <w:footnoteRef/>
      </w:r>
      <w:r w:rsidRPr="002B5CCB">
        <w:rPr>
          <w:lang w:val="en-US"/>
        </w:rPr>
        <w:t xml:space="preserve"> FCCC/SB/2022/2/Add.2.</w:t>
      </w:r>
    </w:p>
  </w:footnote>
  <w:footnote w:id="9">
    <w:p w14:paraId="02305C8E" w14:textId="0286FB81" w:rsidR="00447CA2" w:rsidRPr="002B5CCB" w:rsidRDefault="004C50C3">
      <w:pPr>
        <w:pStyle w:val="FootnoteText"/>
        <w:rPr>
          <w:lang w:val="en-US"/>
        </w:rPr>
      </w:pPr>
      <w:r>
        <w:rPr>
          <w:rStyle w:val="FootnoteReference"/>
        </w:rPr>
        <w:footnoteRef/>
      </w:r>
      <w:r w:rsidRPr="002B5CCB">
        <w:rPr>
          <w:lang w:val="en-US"/>
        </w:rPr>
        <w:t xml:space="preserve"> https://unfccc.int/loss-and-damage-fund-joint-interim-secretariat .</w:t>
      </w:r>
    </w:p>
  </w:footnote>
  <w:footnote w:id="10">
    <w:p w14:paraId="4A8930F6" w14:textId="77777777" w:rsidR="003E4086" w:rsidRPr="0077634B" w:rsidRDefault="003E4086" w:rsidP="003E4086">
      <w:pPr>
        <w:pStyle w:val="FootnoteText"/>
      </w:pPr>
      <w:r>
        <w:rPr>
          <w:rStyle w:val="FootnoteReference"/>
        </w:rPr>
        <w:footnoteRef/>
      </w:r>
      <w:r>
        <w:rPr>
          <w:rStyle w:val="Hyperlink"/>
        </w:rPr>
        <w:t xml:space="preserve"> </w:t>
      </w:r>
      <w:r>
        <w:rPr>
          <w:color w:val="0563C1" w:themeColor="hyperlink"/>
          <w:u w:val="single"/>
        </w:rPr>
        <w:t xml:space="preserve">Programa de las Naciones Unidas para el Medio Ambiente, </w:t>
      </w:r>
      <w:r>
        <w:rPr>
          <w:i/>
          <w:color w:val="0563C1" w:themeColor="hyperlink"/>
          <w:u w:val="single"/>
        </w:rPr>
        <w:t>Informe Mundial sobre Litigios Climáticos: Revisión Global 2023</w:t>
      </w:r>
      <w:r>
        <w:rPr>
          <w:color w:val="0563C1" w:themeColor="hyperlink"/>
          <w:u w:val="single"/>
        </w:rPr>
        <w:t xml:space="preserve"> (Nairobi, 2023)</w:t>
      </w:r>
      <w:r>
        <w:rPr>
          <w:rStyle w:val="Hyperlink"/>
        </w:rPr>
        <w:t>.</w:t>
      </w:r>
    </w:p>
  </w:footnote>
  <w:footnote w:id="11">
    <w:p w14:paraId="718D04BF" w14:textId="19B649E5" w:rsidR="004F2C8D" w:rsidRPr="00F070CE" w:rsidRDefault="004F2C8D" w:rsidP="00977B05">
      <w:pPr>
        <w:pStyle w:val="FootnoteText"/>
      </w:pPr>
      <w:r>
        <w:rPr>
          <w:rStyle w:val="FootnoteReference"/>
        </w:rPr>
        <w:footnoteRef/>
      </w:r>
      <w:r>
        <w:t xml:space="preserve"> La idea de ecocidio fue propuesta por primera vez en la década de 1970 durante la guerra de Vietnam por el profesor de biología Arthur W. Galston, en protesta contra el uso de herbicidas y del agente químico defoliante naranja por parte de las Fuerzas Armadas de Estados Unidos para destruir la cubierta de follaje y los cultivos de las tropas enemigas.</w:t>
      </w:r>
    </w:p>
  </w:footnote>
  <w:footnote w:id="12">
    <w:p w14:paraId="107B7A7E" w14:textId="27F60F21" w:rsidR="009435E1" w:rsidRPr="00BA19C5" w:rsidRDefault="009435E1" w:rsidP="00E17F48">
      <w:pPr>
        <w:pStyle w:val="FootnoteText"/>
      </w:pPr>
      <w:r>
        <w:rPr>
          <w:rStyle w:val="FootnoteReference"/>
        </w:rPr>
        <w:footnoteRef/>
      </w:r>
      <w:r>
        <w:t xml:space="preserve"> </w:t>
      </w:r>
      <w:hyperlink r:id="rId2" w:history="1">
        <w:r>
          <w:rPr>
            <w:rStyle w:val="Hyperlink"/>
            <w:color w:val="auto"/>
            <w:u w:val="none"/>
          </w:rPr>
          <w:t xml:space="preserve">Véase </w:t>
        </w:r>
        <w:r>
          <w:rPr>
            <w:rStyle w:val="Hyperlink"/>
          </w:rPr>
          <w:t>www.stopecocide.</w:t>
        </w:r>
        <w:r>
          <w:rPr>
            <w:rStyle w:val="Hyperlink"/>
          </w:rPr>
          <w:t>e</w:t>
        </w:r>
        <w:r>
          <w:rPr>
            <w:rStyle w:val="Hyperlink"/>
          </w:rPr>
          <w:t>arth/legal-definition</w:t>
        </w:r>
      </w:hyperlink>
      <w:r>
        <w:t>.</w:t>
      </w:r>
    </w:p>
  </w:footnote>
  <w:footnote w:id="13">
    <w:p w14:paraId="0BC927A3" w14:textId="4610B303" w:rsidR="00312FA9" w:rsidRPr="00F070CE" w:rsidRDefault="00312FA9" w:rsidP="000D6E6D">
      <w:pPr>
        <w:pStyle w:val="FootnoteText"/>
      </w:pPr>
      <w:r>
        <w:rPr>
          <w:rStyle w:val="FootnoteReference"/>
        </w:rPr>
        <w:footnoteRef/>
      </w:r>
      <w:r>
        <w:t xml:space="preserve"> Oficina del Fiscal de la Corte Penal Internacional: </w:t>
      </w:r>
      <w:r>
        <w:rPr>
          <w:rStyle w:val="Hyperlink"/>
        </w:rPr>
        <w:t>“</w:t>
      </w:r>
      <w:r>
        <w:t>La Oficina del Fiscal inicia una consulta pública sobre una nueva iniciativa de política para avanzar en la rendición de cuentas por los delitos ambientales con arreglo al Estatuto de Roma”, declaración, 16 de febrero de 2024</w:t>
      </w:r>
      <w:r>
        <w:rPr>
          <w:rStyle w:val="Hyperlink"/>
        </w:rPr>
        <w:t>.</w:t>
      </w:r>
    </w:p>
  </w:footnote>
  <w:footnote w:id="14">
    <w:p w14:paraId="1ED1BE90" w14:textId="5194C194" w:rsidR="00794429" w:rsidRPr="002B5CCB" w:rsidRDefault="00866FAC" w:rsidP="005A0522">
      <w:pPr>
        <w:pStyle w:val="FootnoteText"/>
        <w:rPr>
          <w:lang w:val="en-US"/>
        </w:rPr>
      </w:pPr>
      <w:r>
        <w:rPr>
          <w:rStyle w:val="FootnoteReference"/>
        </w:rPr>
        <w:footnoteRef/>
      </w:r>
      <w:r w:rsidRPr="002B5CCB">
        <w:rPr>
          <w:lang w:val="en-US"/>
        </w:rPr>
        <w:t xml:space="preserve"> Peter </w:t>
      </w:r>
      <w:proofErr w:type="spellStart"/>
      <w:r w:rsidRPr="002B5CCB">
        <w:rPr>
          <w:lang w:val="en-US"/>
        </w:rPr>
        <w:t>Gailhofer</w:t>
      </w:r>
      <w:proofErr w:type="spellEnd"/>
      <w:r w:rsidRPr="002B5CCB">
        <w:rPr>
          <w:lang w:val="en-US"/>
        </w:rPr>
        <w:t xml:space="preserve"> y </w:t>
      </w:r>
      <w:proofErr w:type="spellStart"/>
      <w:r w:rsidRPr="002B5CCB">
        <w:rPr>
          <w:lang w:val="en-US"/>
        </w:rPr>
        <w:t>otros</w:t>
      </w:r>
      <w:proofErr w:type="spellEnd"/>
      <w:r w:rsidRPr="002B5CCB">
        <w:rPr>
          <w:lang w:val="en-US"/>
        </w:rPr>
        <w:t xml:space="preserve">, eds., </w:t>
      </w:r>
      <w:r w:rsidRPr="002B5CCB">
        <w:rPr>
          <w:i/>
          <w:lang w:val="en-US"/>
        </w:rPr>
        <w:t xml:space="preserve">Corporate Liability for Transboundary Environmental Harm: an International and Transnational Perspective </w:t>
      </w:r>
      <w:r w:rsidRPr="002B5CCB">
        <w:rPr>
          <w:lang w:val="en-US"/>
        </w:rPr>
        <w:t xml:space="preserve">(Suiza, Springer, 2023), </w:t>
      </w:r>
      <w:proofErr w:type="spellStart"/>
      <w:r w:rsidRPr="002B5CCB">
        <w:rPr>
          <w:lang w:val="en-US"/>
        </w:rPr>
        <w:t>pág</w:t>
      </w:r>
      <w:proofErr w:type="spellEnd"/>
      <w:r w:rsidRPr="002B5CCB">
        <w:rPr>
          <w:lang w:val="en-US"/>
        </w:rPr>
        <w:t>. 4.</w:t>
      </w:r>
    </w:p>
  </w:footnote>
  <w:footnote w:id="15">
    <w:p w14:paraId="7CA4CEB8" w14:textId="60AC1516" w:rsidR="00D51D48" w:rsidRPr="00BA19C5" w:rsidRDefault="00D51D48">
      <w:pPr>
        <w:pStyle w:val="FootnoteText"/>
      </w:pPr>
      <w:r>
        <w:rPr>
          <w:rStyle w:val="FootnoteReference"/>
        </w:rPr>
        <w:footnoteRef/>
      </w:r>
      <w:r>
        <w:t xml:space="preserve"> Decisión 15/4, anexo.</w:t>
      </w:r>
    </w:p>
  </w:footnote>
  <w:footnote w:id="16">
    <w:p w14:paraId="1DE7B17F" w14:textId="1C3E9F25" w:rsidR="00CF6CFF" w:rsidRPr="00BA19C5" w:rsidRDefault="00CF6CFF">
      <w:pPr>
        <w:pStyle w:val="FootnoteText"/>
      </w:pPr>
      <w:r>
        <w:rPr>
          <w:rStyle w:val="FootnoteReference"/>
        </w:rPr>
        <w:footnoteRef/>
      </w:r>
      <w:r>
        <w:t xml:space="preserve"> CBD/COP/16/INF/10.</w:t>
      </w:r>
    </w:p>
  </w:footnote>
  <w:footnote w:id="17">
    <w:p w14:paraId="4B4AA786" w14:textId="344FEDE2" w:rsidR="00977B05" w:rsidRPr="00BA19C5" w:rsidRDefault="00977B05">
      <w:pPr>
        <w:pStyle w:val="FootnoteText"/>
      </w:pPr>
      <w:r>
        <w:rPr>
          <w:rStyle w:val="FootnoteReference"/>
        </w:rPr>
        <w:footnoteRef/>
      </w:r>
      <w:r>
        <w:t xml:space="preserve"> Naciones Unidas, </w:t>
      </w:r>
      <w:proofErr w:type="spellStart"/>
      <w:r>
        <w:rPr>
          <w:i/>
        </w:rPr>
        <w:t>Treaty</w:t>
      </w:r>
      <w:proofErr w:type="spellEnd"/>
      <w:r>
        <w:rPr>
          <w:i/>
        </w:rPr>
        <w:t xml:space="preserve">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7A94C4C3" w14:textId="7952B5C0" w:rsidR="002B559C" w:rsidRPr="00F070CE" w:rsidRDefault="00A62870" w:rsidP="009E35D1">
    <w:pPr>
      <w:pStyle w:val="Header"/>
      <w:spacing w:after="240"/>
      <w:rPr>
        <w:szCs w:val="20"/>
      </w:rPr>
    </w:pPr>
    <w:sdt>
      <w:sdtPr>
        <w:rPr>
          <w:szCs w:val="20"/>
        </w:rPr>
        <w:alias w:val="Tema"/>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B6A3D" w:rsidRPr="00F070CE">
          <w:rPr>
            <w:szCs w:val="20"/>
          </w:rPr>
          <w:t>CBD/</w:t>
        </w:r>
        <w:r w:rsidR="000B6A3D">
          <w:rPr>
            <w:szCs w:val="20"/>
          </w:rPr>
          <w:t>COP/16/12</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BDEC206" w14:textId="540966C1" w:rsidR="002B559C" w:rsidRPr="00F070CE" w:rsidRDefault="000B6A3D" w:rsidP="002B559C">
        <w:pPr>
          <w:pStyle w:val="Header"/>
          <w:spacing w:after="240"/>
          <w:jc w:val="right"/>
          <w:rPr>
            <w:szCs w:val="20"/>
          </w:rPr>
        </w:pPr>
        <w:r>
          <w:rPr>
            <w:szCs w:val="20"/>
          </w:rPr>
          <w:t>CBD/COP/16/12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07DC1" w14:textId="77777777" w:rsidR="00974EF6" w:rsidRDefault="00974EF6" w:rsidP="00BA19C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CE012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7836C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AEEE2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A839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265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8A9FA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BC80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AC71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80F3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4072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015307"/>
    <w:multiLevelType w:val="hybridMultilevel"/>
    <w:tmpl w:val="E2E4D5D0"/>
    <w:lvl w:ilvl="0" w:tplc="18106260">
      <w:start w:val="1"/>
      <w:numFmt w:val="decimal"/>
      <w:lvlText w:val="%1)"/>
      <w:lvlJc w:val="left"/>
      <w:pPr>
        <w:ind w:left="720" w:hanging="360"/>
      </w:pPr>
    </w:lvl>
    <w:lvl w:ilvl="1" w:tplc="7A8CDDE6">
      <w:start w:val="1"/>
      <w:numFmt w:val="decimal"/>
      <w:lvlText w:val="%2)"/>
      <w:lvlJc w:val="left"/>
      <w:pPr>
        <w:ind w:left="720" w:hanging="360"/>
      </w:pPr>
    </w:lvl>
    <w:lvl w:ilvl="2" w:tplc="5E26305E">
      <w:start w:val="1"/>
      <w:numFmt w:val="decimal"/>
      <w:lvlText w:val="%3)"/>
      <w:lvlJc w:val="left"/>
      <w:pPr>
        <w:ind w:left="720" w:hanging="360"/>
      </w:pPr>
    </w:lvl>
    <w:lvl w:ilvl="3" w:tplc="0556F244">
      <w:start w:val="1"/>
      <w:numFmt w:val="decimal"/>
      <w:lvlText w:val="%4)"/>
      <w:lvlJc w:val="left"/>
      <w:pPr>
        <w:ind w:left="720" w:hanging="360"/>
      </w:pPr>
    </w:lvl>
    <w:lvl w:ilvl="4" w:tplc="E084CEE0">
      <w:start w:val="1"/>
      <w:numFmt w:val="decimal"/>
      <w:lvlText w:val="%5)"/>
      <w:lvlJc w:val="left"/>
      <w:pPr>
        <w:ind w:left="720" w:hanging="360"/>
      </w:pPr>
    </w:lvl>
    <w:lvl w:ilvl="5" w:tplc="058402CA">
      <w:start w:val="1"/>
      <w:numFmt w:val="decimal"/>
      <w:lvlText w:val="%6)"/>
      <w:lvlJc w:val="left"/>
      <w:pPr>
        <w:ind w:left="720" w:hanging="360"/>
      </w:pPr>
    </w:lvl>
    <w:lvl w:ilvl="6" w:tplc="51D26CAA">
      <w:start w:val="1"/>
      <w:numFmt w:val="decimal"/>
      <w:lvlText w:val="%7)"/>
      <w:lvlJc w:val="left"/>
      <w:pPr>
        <w:ind w:left="720" w:hanging="360"/>
      </w:pPr>
    </w:lvl>
    <w:lvl w:ilvl="7" w:tplc="0D92D7D8">
      <w:start w:val="1"/>
      <w:numFmt w:val="decimal"/>
      <w:lvlText w:val="%8)"/>
      <w:lvlJc w:val="left"/>
      <w:pPr>
        <w:ind w:left="720" w:hanging="360"/>
      </w:pPr>
    </w:lvl>
    <w:lvl w:ilvl="8" w:tplc="3C248D18">
      <w:start w:val="1"/>
      <w:numFmt w:val="decimal"/>
      <w:lvlText w:val="%9)"/>
      <w:lvlJc w:val="left"/>
      <w:pPr>
        <w:ind w:left="720" w:hanging="360"/>
      </w:pPr>
    </w:lvl>
  </w:abstractNum>
  <w:abstractNum w:abstractNumId="16" w15:restartNumberingAfterBreak="0">
    <w:nsid w:val="0CB82DFB"/>
    <w:multiLevelType w:val="hybridMultilevel"/>
    <w:tmpl w:val="87A4453C"/>
    <w:lvl w:ilvl="0" w:tplc="66C4F4BA">
      <w:start w:val="1"/>
      <w:numFmt w:val="decimal"/>
      <w:lvlText w:val="%1)"/>
      <w:lvlJc w:val="left"/>
      <w:pPr>
        <w:ind w:left="1020" w:hanging="360"/>
      </w:pPr>
    </w:lvl>
    <w:lvl w:ilvl="1" w:tplc="20966B68">
      <w:start w:val="1"/>
      <w:numFmt w:val="decimal"/>
      <w:lvlText w:val="%2)"/>
      <w:lvlJc w:val="left"/>
      <w:pPr>
        <w:ind w:left="1020" w:hanging="360"/>
      </w:pPr>
    </w:lvl>
    <w:lvl w:ilvl="2" w:tplc="F5927D26">
      <w:start w:val="1"/>
      <w:numFmt w:val="decimal"/>
      <w:lvlText w:val="%3)"/>
      <w:lvlJc w:val="left"/>
      <w:pPr>
        <w:ind w:left="1020" w:hanging="360"/>
      </w:pPr>
    </w:lvl>
    <w:lvl w:ilvl="3" w:tplc="C02AB1E2">
      <w:start w:val="1"/>
      <w:numFmt w:val="decimal"/>
      <w:lvlText w:val="%4)"/>
      <w:lvlJc w:val="left"/>
      <w:pPr>
        <w:ind w:left="1020" w:hanging="360"/>
      </w:pPr>
    </w:lvl>
    <w:lvl w:ilvl="4" w:tplc="CF128F26">
      <w:start w:val="1"/>
      <w:numFmt w:val="decimal"/>
      <w:lvlText w:val="%5)"/>
      <w:lvlJc w:val="left"/>
      <w:pPr>
        <w:ind w:left="1020" w:hanging="360"/>
      </w:pPr>
    </w:lvl>
    <w:lvl w:ilvl="5" w:tplc="41E0B762">
      <w:start w:val="1"/>
      <w:numFmt w:val="decimal"/>
      <w:lvlText w:val="%6)"/>
      <w:lvlJc w:val="left"/>
      <w:pPr>
        <w:ind w:left="1020" w:hanging="360"/>
      </w:pPr>
    </w:lvl>
    <w:lvl w:ilvl="6" w:tplc="A42CBEBC">
      <w:start w:val="1"/>
      <w:numFmt w:val="decimal"/>
      <w:lvlText w:val="%7)"/>
      <w:lvlJc w:val="left"/>
      <w:pPr>
        <w:ind w:left="1020" w:hanging="360"/>
      </w:pPr>
    </w:lvl>
    <w:lvl w:ilvl="7" w:tplc="CEAAC7BE">
      <w:start w:val="1"/>
      <w:numFmt w:val="decimal"/>
      <w:lvlText w:val="%8)"/>
      <w:lvlJc w:val="left"/>
      <w:pPr>
        <w:ind w:left="1020" w:hanging="360"/>
      </w:pPr>
    </w:lvl>
    <w:lvl w:ilvl="8" w:tplc="4EAA671A">
      <w:start w:val="1"/>
      <w:numFmt w:val="decimal"/>
      <w:lvlText w:val="%9)"/>
      <w:lvlJc w:val="left"/>
      <w:pPr>
        <w:ind w:left="1020" w:hanging="36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3148C7"/>
    <w:multiLevelType w:val="hybridMultilevel"/>
    <w:tmpl w:val="5F8606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2E5356EC"/>
    <w:multiLevelType w:val="multilevel"/>
    <w:tmpl w:val="07D269C8"/>
    <w:numStyleLink w:val="CBDHeadings"/>
  </w:abstractNum>
  <w:abstractNum w:abstractNumId="29"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8401E"/>
    <w:multiLevelType w:val="hybridMultilevel"/>
    <w:tmpl w:val="210627E0"/>
    <w:lvl w:ilvl="0" w:tplc="15886B86">
      <w:start w:val="1"/>
      <w:numFmt w:val="decimal"/>
      <w:lvlText w:val="%1)"/>
      <w:lvlJc w:val="left"/>
      <w:pPr>
        <w:ind w:left="1020" w:hanging="360"/>
      </w:pPr>
    </w:lvl>
    <w:lvl w:ilvl="1" w:tplc="53EAA12A">
      <w:start w:val="1"/>
      <w:numFmt w:val="decimal"/>
      <w:lvlText w:val="%2)"/>
      <w:lvlJc w:val="left"/>
      <w:pPr>
        <w:ind w:left="1020" w:hanging="360"/>
      </w:pPr>
    </w:lvl>
    <w:lvl w:ilvl="2" w:tplc="750008C4">
      <w:start w:val="1"/>
      <w:numFmt w:val="decimal"/>
      <w:lvlText w:val="%3)"/>
      <w:lvlJc w:val="left"/>
      <w:pPr>
        <w:ind w:left="1020" w:hanging="360"/>
      </w:pPr>
    </w:lvl>
    <w:lvl w:ilvl="3" w:tplc="C518CCAA">
      <w:start w:val="1"/>
      <w:numFmt w:val="decimal"/>
      <w:lvlText w:val="%4)"/>
      <w:lvlJc w:val="left"/>
      <w:pPr>
        <w:ind w:left="1020" w:hanging="360"/>
      </w:pPr>
    </w:lvl>
    <w:lvl w:ilvl="4" w:tplc="0E7ABE6A">
      <w:start w:val="1"/>
      <w:numFmt w:val="decimal"/>
      <w:lvlText w:val="%5)"/>
      <w:lvlJc w:val="left"/>
      <w:pPr>
        <w:ind w:left="1020" w:hanging="360"/>
      </w:pPr>
    </w:lvl>
    <w:lvl w:ilvl="5" w:tplc="A3685B28">
      <w:start w:val="1"/>
      <w:numFmt w:val="decimal"/>
      <w:lvlText w:val="%6)"/>
      <w:lvlJc w:val="left"/>
      <w:pPr>
        <w:ind w:left="1020" w:hanging="360"/>
      </w:pPr>
    </w:lvl>
    <w:lvl w:ilvl="6" w:tplc="6C92ACF4">
      <w:start w:val="1"/>
      <w:numFmt w:val="decimal"/>
      <w:lvlText w:val="%7)"/>
      <w:lvlJc w:val="left"/>
      <w:pPr>
        <w:ind w:left="1020" w:hanging="360"/>
      </w:pPr>
    </w:lvl>
    <w:lvl w:ilvl="7" w:tplc="B5F632BC">
      <w:start w:val="1"/>
      <w:numFmt w:val="decimal"/>
      <w:lvlText w:val="%8)"/>
      <w:lvlJc w:val="left"/>
      <w:pPr>
        <w:ind w:left="1020" w:hanging="360"/>
      </w:pPr>
    </w:lvl>
    <w:lvl w:ilvl="8" w:tplc="AA307CA2">
      <w:start w:val="1"/>
      <w:numFmt w:val="decimal"/>
      <w:lvlText w:val="%9)"/>
      <w:lvlJc w:val="left"/>
      <w:pPr>
        <w:ind w:left="1020" w:hanging="36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493201E"/>
    <w:multiLevelType w:val="hybridMultilevel"/>
    <w:tmpl w:val="E8220978"/>
    <w:lvl w:ilvl="0" w:tplc="5FE2D7B6">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398E2FF3"/>
    <w:multiLevelType w:val="multilevel"/>
    <w:tmpl w:val="222A08B4"/>
    <w:numStyleLink w:val="ListCBD"/>
  </w:abstractNum>
  <w:abstractNum w:abstractNumId="34" w15:restartNumberingAfterBreak="0">
    <w:nsid w:val="3A051B13"/>
    <w:multiLevelType w:val="hybridMultilevel"/>
    <w:tmpl w:val="DE10C4CA"/>
    <w:lvl w:ilvl="0" w:tplc="2570A65E">
      <w:start w:val="1"/>
      <w:numFmt w:val="decimal"/>
      <w:lvlText w:val="%1)"/>
      <w:lvlJc w:val="left"/>
      <w:pPr>
        <w:ind w:left="720" w:hanging="360"/>
      </w:pPr>
    </w:lvl>
    <w:lvl w:ilvl="1" w:tplc="D8363BEA">
      <w:start w:val="1"/>
      <w:numFmt w:val="decimal"/>
      <w:lvlText w:val="%2)"/>
      <w:lvlJc w:val="left"/>
      <w:pPr>
        <w:ind w:left="720" w:hanging="360"/>
      </w:pPr>
    </w:lvl>
    <w:lvl w:ilvl="2" w:tplc="CFD0FA6A">
      <w:start w:val="1"/>
      <w:numFmt w:val="decimal"/>
      <w:lvlText w:val="%3)"/>
      <w:lvlJc w:val="left"/>
      <w:pPr>
        <w:ind w:left="720" w:hanging="360"/>
      </w:pPr>
    </w:lvl>
    <w:lvl w:ilvl="3" w:tplc="74A428BA">
      <w:start w:val="1"/>
      <w:numFmt w:val="decimal"/>
      <w:lvlText w:val="%4)"/>
      <w:lvlJc w:val="left"/>
      <w:pPr>
        <w:ind w:left="720" w:hanging="360"/>
      </w:pPr>
    </w:lvl>
    <w:lvl w:ilvl="4" w:tplc="F5DA6CE2">
      <w:start w:val="1"/>
      <w:numFmt w:val="decimal"/>
      <w:lvlText w:val="%5)"/>
      <w:lvlJc w:val="left"/>
      <w:pPr>
        <w:ind w:left="720" w:hanging="360"/>
      </w:pPr>
    </w:lvl>
    <w:lvl w:ilvl="5" w:tplc="A19A2EB2">
      <w:start w:val="1"/>
      <w:numFmt w:val="decimal"/>
      <w:lvlText w:val="%6)"/>
      <w:lvlJc w:val="left"/>
      <w:pPr>
        <w:ind w:left="720" w:hanging="360"/>
      </w:pPr>
    </w:lvl>
    <w:lvl w:ilvl="6" w:tplc="C98EC4B0">
      <w:start w:val="1"/>
      <w:numFmt w:val="decimal"/>
      <w:lvlText w:val="%7)"/>
      <w:lvlJc w:val="left"/>
      <w:pPr>
        <w:ind w:left="720" w:hanging="360"/>
      </w:pPr>
    </w:lvl>
    <w:lvl w:ilvl="7" w:tplc="3FFABFF8">
      <w:start w:val="1"/>
      <w:numFmt w:val="decimal"/>
      <w:lvlText w:val="%8)"/>
      <w:lvlJc w:val="left"/>
      <w:pPr>
        <w:ind w:left="720" w:hanging="360"/>
      </w:pPr>
    </w:lvl>
    <w:lvl w:ilvl="8" w:tplc="08C02160">
      <w:start w:val="1"/>
      <w:numFmt w:val="decimal"/>
      <w:lvlText w:val="%9)"/>
      <w:lvlJc w:val="left"/>
      <w:pPr>
        <w:ind w:left="720" w:hanging="360"/>
      </w:pPr>
    </w:lvl>
  </w:abstractNum>
  <w:abstractNum w:abstractNumId="35"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B704ED0"/>
    <w:multiLevelType w:val="hybridMultilevel"/>
    <w:tmpl w:val="8536F4E4"/>
    <w:lvl w:ilvl="0" w:tplc="6FDCC28A">
      <w:start w:val="1"/>
      <w:numFmt w:val="decimal"/>
      <w:lvlText w:val="%1)"/>
      <w:lvlJc w:val="left"/>
      <w:pPr>
        <w:ind w:left="1020" w:hanging="360"/>
      </w:pPr>
    </w:lvl>
    <w:lvl w:ilvl="1" w:tplc="A67422F6">
      <w:start w:val="1"/>
      <w:numFmt w:val="decimal"/>
      <w:lvlText w:val="%2)"/>
      <w:lvlJc w:val="left"/>
      <w:pPr>
        <w:ind w:left="1020" w:hanging="360"/>
      </w:pPr>
    </w:lvl>
    <w:lvl w:ilvl="2" w:tplc="A8A0B2B2">
      <w:start w:val="1"/>
      <w:numFmt w:val="decimal"/>
      <w:lvlText w:val="%3)"/>
      <w:lvlJc w:val="left"/>
      <w:pPr>
        <w:ind w:left="1020" w:hanging="360"/>
      </w:pPr>
    </w:lvl>
    <w:lvl w:ilvl="3" w:tplc="D930BE44">
      <w:start w:val="1"/>
      <w:numFmt w:val="decimal"/>
      <w:lvlText w:val="%4)"/>
      <w:lvlJc w:val="left"/>
      <w:pPr>
        <w:ind w:left="1020" w:hanging="360"/>
      </w:pPr>
    </w:lvl>
    <w:lvl w:ilvl="4" w:tplc="C3BE0CC6">
      <w:start w:val="1"/>
      <w:numFmt w:val="decimal"/>
      <w:lvlText w:val="%5)"/>
      <w:lvlJc w:val="left"/>
      <w:pPr>
        <w:ind w:left="1020" w:hanging="360"/>
      </w:pPr>
    </w:lvl>
    <w:lvl w:ilvl="5" w:tplc="612AF19E">
      <w:start w:val="1"/>
      <w:numFmt w:val="decimal"/>
      <w:lvlText w:val="%6)"/>
      <w:lvlJc w:val="left"/>
      <w:pPr>
        <w:ind w:left="1020" w:hanging="360"/>
      </w:pPr>
    </w:lvl>
    <w:lvl w:ilvl="6" w:tplc="C964A930">
      <w:start w:val="1"/>
      <w:numFmt w:val="decimal"/>
      <w:lvlText w:val="%7)"/>
      <w:lvlJc w:val="left"/>
      <w:pPr>
        <w:ind w:left="1020" w:hanging="360"/>
      </w:pPr>
    </w:lvl>
    <w:lvl w:ilvl="7" w:tplc="13D6585C">
      <w:start w:val="1"/>
      <w:numFmt w:val="decimal"/>
      <w:lvlText w:val="%8)"/>
      <w:lvlJc w:val="left"/>
      <w:pPr>
        <w:ind w:left="1020" w:hanging="360"/>
      </w:pPr>
    </w:lvl>
    <w:lvl w:ilvl="8" w:tplc="2722CE0A">
      <w:start w:val="1"/>
      <w:numFmt w:val="decimal"/>
      <w:lvlText w:val="%9)"/>
      <w:lvlJc w:val="left"/>
      <w:pPr>
        <w:ind w:left="1020" w:hanging="360"/>
      </w:pPr>
    </w:lvl>
  </w:abstractNum>
  <w:abstractNum w:abstractNumId="39" w15:restartNumberingAfterBreak="0">
    <w:nsid w:val="4C3A136A"/>
    <w:multiLevelType w:val="hybridMultilevel"/>
    <w:tmpl w:val="1C3A3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8A73FAC"/>
    <w:multiLevelType w:val="hybridMultilevel"/>
    <w:tmpl w:val="C4F8F3B0"/>
    <w:lvl w:ilvl="0" w:tplc="5A5CD444">
      <w:start w:val="1"/>
      <w:numFmt w:val="decimal"/>
      <w:lvlText w:val="%1)"/>
      <w:lvlJc w:val="left"/>
      <w:pPr>
        <w:ind w:left="720" w:hanging="360"/>
      </w:pPr>
    </w:lvl>
    <w:lvl w:ilvl="1" w:tplc="CBEC99F2">
      <w:start w:val="1"/>
      <w:numFmt w:val="decimal"/>
      <w:lvlText w:val="%2)"/>
      <w:lvlJc w:val="left"/>
      <w:pPr>
        <w:ind w:left="720" w:hanging="360"/>
      </w:pPr>
    </w:lvl>
    <w:lvl w:ilvl="2" w:tplc="4BA6A150">
      <w:start w:val="1"/>
      <w:numFmt w:val="decimal"/>
      <w:lvlText w:val="%3)"/>
      <w:lvlJc w:val="left"/>
      <w:pPr>
        <w:ind w:left="720" w:hanging="360"/>
      </w:pPr>
    </w:lvl>
    <w:lvl w:ilvl="3" w:tplc="EFE02CEE">
      <w:start w:val="1"/>
      <w:numFmt w:val="decimal"/>
      <w:lvlText w:val="%4)"/>
      <w:lvlJc w:val="left"/>
      <w:pPr>
        <w:ind w:left="720" w:hanging="360"/>
      </w:pPr>
    </w:lvl>
    <w:lvl w:ilvl="4" w:tplc="258E2562">
      <w:start w:val="1"/>
      <w:numFmt w:val="decimal"/>
      <w:lvlText w:val="%5)"/>
      <w:lvlJc w:val="left"/>
      <w:pPr>
        <w:ind w:left="720" w:hanging="360"/>
      </w:pPr>
    </w:lvl>
    <w:lvl w:ilvl="5" w:tplc="62D63038">
      <w:start w:val="1"/>
      <w:numFmt w:val="decimal"/>
      <w:lvlText w:val="%6)"/>
      <w:lvlJc w:val="left"/>
      <w:pPr>
        <w:ind w:left="720" w:hanging="360"/>
      </w:pPr>
    </w:lvl>
    <w:lvl w:ilvl="6" w:tplc="4DE00FF2">
      <w:start w:val="1"/>
      <w:numFmt w:val="decimal"/>
      <w:lvlText w:val="%7)"/>
      <w:lvlJc w:val="left"/>
      <w:pPr>
        <w:ind w:left="720" w:hanging="360"/>
      </w:pPr>
    </w:lvl>
    <w:lvl w:ilvl="7" w:tplc="3A763DA4">
      <w:start w:val="1"/>
      <w:numFmt w:val="decimal"/>
      <w:lvlText w:val="%8)"/>
      <w:lvlJc w:val="left"/>
      <w:pPr>
        <w:ind w:left="720" w:hanging="360"/>
      </w:pPr>
    </w:lvl>
    <w:lvl w:ilvl="8" w:tplc="51268F22">
      <w:start w:val="1"/>
      <w:numFmt w:val="decimal"/>
      <w:lvlText w:val="%9)"/>
      <w:lvlJc w:val="left"/>
      <w:pPr>
        <w:ind w:left="720" w:hanging="360"/>
      </w:pPr>
    </w:lvl>
  </w:abstractNum>
  <w:abstractNum w:abstractNumId="4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D943BEE"/>
    <w:multiLevelType w:val="multilevel"/>
    <w:tmpl w:val="222A08B4"/>
    <w:numStyleLink w:val="ListCBD"/>
  </w:abstractNum>
  <w:abstractNum w:abstractNumId="4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9" w15:restartNumberingAfterBreak="0">
    <w:nsid w:val="64B4108D"/>
    <w:multiLevelType w:val="hybridMultilevel"/>
    <w:tmpl w:val="36A49AC4"/>
    <w:lvl w:ilvl="0" w:tplc="C5084230">
      <w:start w:val="1"/>
      <w:numFmt w:val="decimal"/>
      <w:lvlText w:val="%1)"/>
      <w:lvlJc w:val="left"/>
      <w:pPr>
        <w:ind w:left="720" w:hanging="360"/>
      </w:pPr>
    </w:lvl>
    <w:lvl w:ilvl="1" w:tplc="89D2BF06">
      <w:start w:val="1"/>
      <w:numFmt w:val="decimal"/>
      <w:lvlText w:val="%2)"/>
      <w:lvlJc w:val="left"/>
      <w:pPr>
        <w:ind w:left="720" w:hanging="360"/>
      </w:pPr>
    </w:lvl>
    <w:lvl w:ilvl="2" w:tplc="D02EF254">
      <w:start w:val="1"/>
      <w:numFmt w:val="decimal"/>
      <w:lvlText w:val="%3)"/>
      <w:lvlJc w:val="left"/>
      <w:pPr>
        <w:ind w:left="720" w:hanging="360"/>
      </w:pPr>
    </w:lvl>
    <w:lvl w:ilvl="3" w:tplc="25AA4F2A">
      <w:start w:val="1"/>
      <w:numFmt w:val="decimal"/>
      <w:lvlText w:val="%4)"/>
      <w:lvlJc w:val="left"/>
      <w:pPr>
        <w:ind w:left="720" w:hanging="360"/>
      </w:pPr>
    </w:lvl>
    <w:lvl w:ilvl="4" w:tplc="8C7CD97C">
      <w:start w:val="1"/>
      <w:numFmt w:val="decimal"/>
      <w:lvlText w:val="%5)"/>
      <w:lvlJc w:val="left"/>
      <w:pPr>
        <w:ind w:left="720" w:hanging="360"/>
      </w:pPr>
    </w:lvl>
    <w:lvl w:ilvl="5" w:tplc="E3862264">
      <w:start w:val="1"/>
      <w:numFmt w:val="decimal"/>
      <w:lvlText w:val="%6)"/>
      <w:lvlJc w:val="left"/>
      <w:pPr>
        <w:ind w:left="720" w:hanging="360"/>
      </w:pPr>
    </w:lvl>
    <w:lvl w:ilvl="6" w:tplc="CC2C386C">
      <w:start w:val="1"/>
      <w:numFmt w:val="decimal"/>
      <w:lvlText w:val="%7)"/>
      <w:lvlJc w:val="left"/>
      <w:pPr>
        <w:ind w:left="720" w:hanging="360"/>
      </w:pPr>
    </w:lvl>
    <w:lvl w:ilvl="7" w:tplc="E03A8C0C">
      <w:start w:val="1"/>
      <w:numFmt w:val="decimal"/>
      <w:lvlText w:val="%8)"/>
      <w:lvlJc w:val="left"/>
      <w:pPr>
        <w:ind w:left="720" w:hanging="360"/>
      </w:pPr>
    </w:lvl>
    <w:lvl w:ilvl="8" w:tplc="52F04376">
      <w:start w:val="1"/>
      <w:numFmt w:val="decimal"/>
      <w:lvlText w:val="%9)"/>
      <w:lvlJc w:val="left"/>
      <w:pPr>
        <w:ind w:left="720" w:hanging="360"/>
      </w:pPr>
    </w:lvl>
  </w:abstractNum>
  <w:abstractNum w:abstractNumId="5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66F51264"/>
    <w:multiLevelType w:val="hybridMultilevel"/>
    <w:tmpl w:val="76368B32"/>
    <w:lvl w:ilvl="0" w:tplc="67CEBCB4">
      <w:start w:val="1"/>
      <w:numFmt w:val="decimal"/>
      <w:lvlText w:val="%1)"/>
      <w:lvlJc w:val="left"/>
      <w:pPr>
        <w:ind w:left="720" w:hanging="360"/>
      </w:pPr>
    </w:lvl>
    <w:lvl w:ilvl="1" w:tplc="DF66D488">
      <w:start w:val="1"/>
      <w:numFmt w:val="decimal"/>
      <w:lvlText w:val="%2)"/>
      <w:lvlJc w:val="left"/>
      <w:pPr>
        <w:ind w:left="720" w:hanging="360"/>
      </w:pPr>
    </w:lvl>
    <w:lvl w:ilvl="2" w:tplc="DD3855C6">
      <w:start w:val="1"/>
      <w:numFmt w:val="decimal"/>
      <w:lvlText w:val="%3)"/>
      <w:lvlJc w:val="left"/>
      <w:pPr>
        <w:ind w:left="720" w:hanging="360"/>
      </w:pPr>
    </w:lvl>
    <w:lvl w:ilvl="3" w:tplc="E51E3324">
      <w:start w:val="1"/>
      <w:numFmt w:val="decimal"/>
      <w:lvlText w:val="%4)"/>
      <w:lvlJc w:val="left"/>
      <w:pPr>
        <w:ind w:left="720" w:hanging="360"/>
      </w:pPr>
    </w:lvl>
    <w:lvl w:ilvl="4" w:tplc="6426777C">
      <w:start w:val="1"/>
      <w:numFmt w:val="decimal"/>
      <w:lvlText w:val="%5)"/>
      <w:lvlJc w:val="left"/>
      <w:pPr>
        <w:ind w:left="720" w:hanging="360"/>
      </w:pPr>
    </w:lvl>
    <w:lvl w:ilvl="5" w:tplc="506A7F0E">
      <w:start w:val="1"/>
      <w:numFmt w:val="decimal"/>
      <w:lvlText w:val="%6)"/>
      <w:lvlJc w:val="left"/>
      <w:pPr>
        <w:ind w:left="720" w:hanging="360"/>
      </w:pPr>
    </w:lvl>
    <w:lvl w:ilvl="6" w:tplc="C7161532">
      <w:start w:val="1"/>
      <w:numFmt w:val="decimal"/>
      <w:lvlText w:val="%7)"/>
      <w:lvlJc w:val="left"/>
      <w:pPr>
        <w:ind w:left="720" w:hanging="360"/>
      </w:pPr>
    </w:lvl>
    <w:lvl w:ilvl="7" w:tplc="5CEA1B0E">
      <w:start w:val="1"/>
      <w:numFmt w:val="decimal"/>
      <w:lvlText w:val="%8)"/>
      <w:lvlJc w:val="left"/>
      <w:pPr>
        <w:ind w:left="720" w:hanging="360"/>
      </w:pPr>
    </w:lvl>
    <w:lvl w:ilvl="8" w:tplc="59A6A770">
      <w:start w:val="1"/>
      <w:numFmt w:val="decimal"/>
      <w:lvlText w:val="%9)"/>
      <w:lvlJc w:val="left"/>
      <w:pPr>
        <w:ind w:left="720" w:hanging="360"/>
      </w:pPr>
    </w:lvl>
  </w:abstractNum>
  <w:abstractNum w:abstractNumId="53" w15:restartNumberingAfterBreak="0">
    <w:nsid w:val="68B70991"/>
    <w:multiLevelType w:val="multilevel"/>
    <w:tmpl w:val="222A08B4"/>
    <w:numStyleLink w:val="ListCBD"/>
  </w:abstractNum>
  <w:abstractNum w:abstractNumId="5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6" w15:restartNumberingAfterBreak="0">
    <w:nsid w:val="70CA4F5A"/>
    <w:multiLevelType w:val="hybridMultilevel"/>
    <w:tmpl w:val="761459DE"/>
    <w:lvl w:ilvl="0" w:tplc="11C2B6BA">
      <w:start w:val="1"/>
      <w:numFmt w:val="decimal"/>
      <w:lvlText w:val="%1."/>
      <w:lvlJc w:val="left"/>
      <w:pPr>
        <w:ind w:left="900" w:hanging="360"/>
      </w:pPr>
      <w:rPr>
        <w:rFonts w:hint="default"/>
        <w:i/>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5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8" w15:restartNumberingAfterBreak="0">
    <w:nsid w:val="76BE24DF"/>
    <w:multiLevelType w:val="hybridMultilevel"/>
    <w:tmpl w:val="726E684C"/>
    <w:lvl w:ilvl="0" w:tplc="8E9A507C">
      <w:start w:val="1"/>
      <w:numFmt w:val="decimal"/>
      <w:lvlText w:val="%1)"/>
      <w:lvlJc w:val="left"/>
      <w:pPr>
        <w:ind w:left="1020" w:hanging="360"/>
      </w:pPr>
    </w:lvl>
    <w:lvl w:ilvl="1" w:tplc="15CA4DE4">
      <w:start w:val="1"/>
      <w:numFmt w:val="decimal"/>
      <w:lvlText w:val="%2)"/>
      <w:lvlJc w:val="left"/>
      <w:pPr>
        <w:ind w:left="1020" w:hanging="360"/>
      </w:pPr>
    </w:lvl>
    <w:lvl w:ilvl="2" w:tplc="B47EC910">
      <w:start w:val="1"/>
      <w:numFmt w:val="decimal"/>
      <w:lvlText w:val="%3)"/>
      <w:lvlJc w:val="left"/>
      <w:pPr>
        <w:ind w:left="1020" w:hanging="360"/>
      </w:pPr>
    </w:lvl>
    <w:lvl w:ilvl="3" w:tplc="E5162F6A">
      <w:start w:val="1"/>
      <w:numFmt w:val="decimal"/>
      <w:lvlText w:val="%4)"/>
      <w:lvlJc w:val="left"/>
      <w:pPr>
        <w:ind w:left="1020" w:hanging="360"/>
      </w:pPr>
    </w:lvl>
    <w:lvl w:ilvl="4" w:tplc="412C90AA">
      <w:start w:val="1"/>
      <w:numFmt w:val="decimal"/>
      <w:lvlText w:val="%5)"/>
      <w:lvlJc w:val="left"/>
      <w:pPr>
        <w:ind w:left="1020" w:hanging="360"/>
      </w:pPr>
    </w:lvl>
    <w:lvl w:ilvl="5" w:tplc="4E2412E4">
      <w:start w:val="1"/>
      <w:numFmt w:val="decimal"/>
      <w:lvlText w:val="%6)"/>
      <w:lvlJc w:val="left"/>
      <w:pPr>
        <w:ind w:left="1020" w:hanging="360"/>
      </w:pPr>
    </w:lvl>
    <w:lvl w:ilvl="6" w:tplc="F502D78A">
      <w:start w:val="1"/>
      <w:numFmt w:val="decimal"/>
      <w:lvlText w:val="%7)"/>
      <w:lvlJc w:val="left"/>
      <w:pPr>
        <w:ind w:left="1020" w:hanging="360"/>
      </w:pPr>
    </w:lvl>
    <w:lvl w:ilvl="7" w:tplc="81529822">
      <w:start w:val="1"/>
      <w:numFmt w:val="decimal"/>
      <w:lvlText w:val="%8)"/>
      <w:lvlJc w:val="left"/>
      <w:pPr>
        <w:ind w:left="1020" w:hanging="360"/>
      </w:pPr>
    </w:lvl>
    <w:lvl w:ilvl="8" w:tplc="BEA2FFBA">
      <w:start w:val="1"/>
      <w:numFmt w:val="decimal"/>
      <w:lvlText w:val="%9)"/>
      <w:lvlJc w:val="left"/>
      <w:pPr>
        <w:ind w:left="1020" w:hanging="360"/>
      </w:pPr>
    </w:lvl>
  </w:abstractNum>
  <w:abstractNum w:abstractNumId="59" w15:restartNumberingAfterBreak="0">
    <w:nsid w:val="77681E23"/>
    <w:multiLevelType w:val="hybridMultilevel"/>
    <w:tmpl w:val="A78293A0"/>
    <w:lvl w:ilvl="0" w:tplc="E02A549A">
      <w:start w:val="1"/>
      <w:numFmt w:val="decimal"/>
      <w:lvlText w:val="%1)"/>
      <w:lvlJc w:val="left"/>
      <w:pPr>
        <w:ind w:left="720" w:hanging="360"/>
      </w:pPr>
    </w:lvl>
    <w:lvl w:ilvl="1" w:tplc="EB0CE238">
      <w:start w:val="1"/>
      <w:numFmt w:val="decimal"/>
      <w:lvlText w:val="%2)"/>
      <w:lvlJc w:val="left"/>
      <w:pPr>
        <w:ind w:left="720" w:hanging="360"/>
      </w:pPr>
    </w:lvl>
    <w:lvl w:ilvl="2" w:tplc="40323E5C">
      <w:start w:val="1"/>
      <w:numFmt w:val="decimal"/>
      <w:lvlText w:val="%3)"/>
      <w:lvlJc w:val="left"/>
      <w:pPr>
        <w:ind w:left="720" w:hanging="360"/>
      </w:pPr>
    </w:lvl>
    <w:lvl w:ilvl="3" w:tplc="C6202EA2">
      <w:start w:val="1"/>
      <w:numFmt w:val="decimal"/>
      <w:lvlText w:val="%4)"/>
      <w:lvlJc w:val="left"/>
      <w:pPr>
        <w:ind w:left="720" w:hanging="360"/>
      </w:pPr>
    </w:lvl>
    <w:lvl w:ilvl="4" w:tplc="5E7C247E">
      <w:start w:val="1"/>
      <w:numFmt w:val="decimal"/>
      <w:lvlText w:val="%5)"/>
      <w:lvlJc w:val="left"/>
      <w:pPr>
        <w:ind w:left="720" w:hanging="360"/>
      </w:pPr>
    </w:lvl>
    <w:lvl w:ilvl="5" w:tplc="58E6E788">
      <w:start w:val="1"/>
      <w:numFmt w:val="decimal"/>
      <w:lvlText w:val="%6)"/>
      <w:lvlJc w:val="left"/>
      <w:pPr>
        <w:ind w:left="720" w:hanging="360"/>
      </w:pPr>
    </w:lvl>
    <w:lvl w:ilvl="6" w:tplc="E9AE3726">
      <w:start w:val="1"/>
      <w:numFmt w:val="decimal"/>
      <w:lvlText w:val="%7)"/>
      <w:lvlJc w:val="left"/>
      <w:pPr>
        <w:ind w:left="720" w:hanging="360"/>
      </w:pPr>
    </w:lvl>
    <w:lvl w:ilvl="7" w:tplc="FE26A480">
      <w:start w:val="1"/>
      <w:numFmt w:val="decimal"/>
      <w:lvlText w:val="%8)"/>
      <w:lvlJc w:val="left"/>
      <w:pPr>
        <w:ind w:left="720" w:hanging="360"/>
      </w:pPr>
    </w:lvl>
    <w:lvl w:ilvl="8" w:tplc="3D9852A0">
      <w:start w:val="1"/>
      <w:numFmt w:val="decimal"/>
      <w:lvlText w:val="%9)"/>
      <w:lvlJc w:val="left"/>
      <w:pPr>
        <w:ind w:left="720" w:hanging="360"/>
      </w:pPr>
    </w:lvl>
  </w:abstractNum>
  <w:abstractNum w:abstractNumId="60" w15:restartNumberingAfterBreak="0">
    <w:nsid w:val="7A5B4373"/>
    <w:multiLevelType w:val="hybridMultilevel"/>
    <w:tmpl w:val="A372FE84"/>
    <w:lvl w:ilvl="0" w:tplc="9C76CA9C">
      <w:start w:val="1"/>
      <w:numFmt w:val="decimal"/>
      <w:lvlText w:val="%1)"/>
      <w:lvlJc w:val="left"/>
      <w:pPr>
        <w:ind w:left="1020" w:hanging="360"/>
      </w:pPr>
    </w:lvl>
    <w:lvl w:ilvl="1" w:tplc="5518F44A">
      <w:start w:val="1"/>
      <w:numFmt w:val="decimal"/>
      <w:lvlText w:val="%2)"/>
      <w:lvlJc w:val="left"/>
      <w:pPr>
        <w:ind w:left="1020" w:hanging="360"/>
      </w:pPr>
    </w:lvl>
    <w:lvl w:ilvl="2" w:tplc="59629242">
      <w:start w:val="1"/>
      <w:numFmt w:val="decimal"/>
      <w:lvlText w:val="%3)"/>
      <w:lvlJc w:val="left"/>
      <w:pPr>
        <w:ind w:left="1020" w:hanging="360"/>
      </w:pPr>
    </w:lvl>
    <w:lvl w:ilvl="3" w:tplc="874CFD08">
      <w:start w:val="1"/>
      <w:numFmt w:val="decimal"/>
      <w:lvlText w:val="%4)"/>
      <w:lvlJc w:val="left"/>
      <w:pPr>
        <w:ind w:left="1020" w:hanging="360"/>
      </w:pPr>
    </w:lvl>
    <w:lvl w:ilvl="4" w:tplc="A732B14E">
      <w:start w:val="1"/>
      <w:numFmt w:val="decimal"/>
      <w:lvlText w:val="%5)"/>
      <w:lvlJc w:val="left"/>
      <w:pPr>
        <w:ind w:left="1020" w:hanging="360"/>
      </w:pPr>
    </w:lvl>
    <w:lvl w:ilvl="5" w:tplc="77AA2FFE">
      <w:start w:val="1"/>
      <w:numFmt w:val="decimal"/>
      <w:lvlText w:val="%6)"/>
      <w:lvlJc w:val="left"/>
      <w:pPr>
        <w:ind w:left="1020" w:hanging="360"/>
      </w:pPr>
    </w:lvl>
    <w:lvl w:ilvl="6" w:tplc="AB1E090C">
      <w:start w:val="1"/>
      <w:numFmt w:val="decimal"/>
      <w:lvlText w:val="%7)"/>
      <w:lvlJc w:val="left"/>
      <w:pPr>
        <w:ind w:left="1020" w:hanging="360"/>
      </w:pPr>
    </w:lvl>
    <w:lvl w:ilvl="7" w:tplc="573ABBB4">
      <w:start w:val="1"/>
      <w:numFmt w:val="decimal"/>
      <w:lvlText w:val="%8)"/>
      <w:lvlJc w:val="left"/>
      <w:pPr>
        <w:ind w:left="1020" w:hanging="360"/>
      </w:pPr>
    </w:lvl>
    <w:lvl w:ilvl="8" w:tplc="6264FAE8">
      <w:start w:val="1"/>
      <w:numFmt w:val="decimal"/>
      <w:lvlText w:val="%9)"/>
      <w:lvlJc w:val="left"/>
      <w:pPr>
        <w:ind w:left="1020" w:hanging="360"/>
      </w:pPr>
    </w:lvl>
  </w:abstractNum>
  <w:abstractNum w:abstractNumId="61" w15:restartNumberingAfterBreak="0">
    <w:nsid w:val="7B1767A5"/>
    <w:multiLevelType w:val="hybridMultilevel"/>
    <w:tmpl w:val="DE829FCA"/>
    <w:lvl w:ilvl="0" w:tplc="97E46B8A">
      <w:start w:val="1"/>
      <w:numFmt w:val="decimal"/>
      <w:lvlText w:val="%1)"/>
      <w:lvlJc w:val="left"/>
      <w:pPr>
        <w:ind w:left="1020" w:hanging="360"/>
      </w:pPr>
    </w:lvl>
    <w:lvl w:ilvl="1" w:tplc="FCE0B180">
      <w:start w:val="1"/>
      <w:numFmt w:val="decimal"/>
      <w:lvlText w:val="%2)"/>
      <w:lvlJc w:val="left"/>
      <w:pPr>
        <w:ind w:left="1020" w:hanging="360"/>
      </w:pPr>
    </w:lvl>
    <w:lvl w:ilvl="2" w:tplc="197E6A06">
      <w:start w:val="1"/>
      <w:numFmt w:val="decimal"/>
      <w:lvlText w:val="%3)"/>
      <w:lvlJc w:val="left"/>
      <w:pPr>
        <w:ind w:left="1020" w:hanging="360"/>
      </w:pPr>
    </w:lvl>
    <w:lvl w:ilvl="3" w:tplc="E746FCEC">
      <w:start w:val="1"/>
      <w:numFmt w:val="decimal"/>
      <w:lvlText w:val="%4)"/>
      <w:lvlJc w:val="left"/>
      <w:pPr>
        <w:ind w:left="1020" w:hanging="360"/>
      </w:pPr>
    </w:lvl>
    <w:lvl w:ilvl="4" w:tplc="80E446E4">
      <w:start w:val="1"/>
      <w:numFmt w:val="decimal"/>
      <w:lvlText w:val="%5)"/>
      <w:lvlJc w:val="left"/>
      <w:pPr>
        <w:ind w:left="1020" w:hanging="360"/>
      </w:pPr>
    </w:lvl>
    <w:lvl w:ilvl="5" w:tplc="0ABE6854">
      <w:start w:val="1"/>
      <w:numFmt w:val="decimal"/>
      <w:lvlText w:val="%6)"/>
      <w:lvlJc w:val="left"/>
      <w:pPr>
        <w:ind w:left="1020" w:hanging="360"/>
      </w:pPr>
    </w:lvl>
    <w:lvl w:ilvl="6" w:tplc="BAA4BF82">
      <w:start w:val="1"/>
      <w:numFmt w:val="decimal"/>
      <w:lvlText w:val="%7)"/>
      <w:lvlJc w:val="left"/>
      <w:pPr>
        <w:ind w:left="1020" w:hanging="360"/>
      </w:pPr>
    </w:lvl>
    <w:lvl w:ilvl="7" w:tplc="79D0A81C">
      <w:start w:val="1"/>
      <w:numFmt w:val="decimal"/>
      <w:lvlText w:val="%8)"/>
      <w:lvlJc w:val="left"/>
      <w:pPr>
        <w:ind w:left="1020" w:hanging="360"/>
      </w:pPr>
    </w:lvl>
    <w:lvl w:ilvl="8" w:tplc="CE5C350A">
      <w:start w:val="1"/>
      <w:numFmt w:val="decimal"/>
      <w:lvlText w:val="%9)"/>
      <w:lvlJc w:val="left"/>
      <w:pPr>
        <w:ind w:left="1020" w:hanging="360"/>
      </w:pPr>
    </w:lvl>
  </w:abstractNum>
  <w:abstractNum w:abstractNumId="6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36"/>
  </w:num>
  <w:num w:numId="2" w16cid:durableId="2069499237">
    <w:abstractNumId w:val="53"/>
  </w:num>
  <w:num w:numId="3" w16cid:durableId="158270868">
    <w:abstractNumId w:val="57"/>
  </w:num>
  <w:num w:numId="4" w16cid:durableId="159275565">
    <w:abstractNumId w:val="22"/>
  </w:num>
  <w:num w:numId="5" w16cid:durableId="271714945">
    <w:abstractNumId w:val="23"/>
  </w:num>
  <w:num w:numId="6" w16cid:durableId="1351487209">
    <w:abstractNumId w:val="23"/>
  </w:num>
  <w:num w:numId="7" w16cid:durableId="1612737127">
    <w:abstractNumId w:val="25"/>
  </w:num>
  <w:num w:numId="8" w16cid:durableId="1334139419">
    <w:abstractNumId w:val="46"/>
  </w:num>
  <w:num w:numId="9" w16cid:durableId="935023265">
    <w:abstractNumId w:val="51"/>
  </w:num>
  <w:num w:numId="10" w16cid:durableId="268247158">
    <w:abstractNumId w:val="50"/>
  </w:num>
  <w:num w:numId="11" w16cid:durableId="143207059">
    <w:abstractNumId w:val="42"/>
  </w:num>
  <w:num w:numId="12" w16cid:durableId="445121453">
    <w:abstractNumId w:val="24"/>
  </w:num>
  <w:num w:numId="13" w16cid:durableId="1263953771">
    <w:abstractNumId w:val="24"/>
    <w:lvlOverride w:ilvl="0">
      <w:startOverride w:val="1"/>
    </w:lvlOverride>
  </w:num>
  <w:num w:numId="14" w16cid:durableId="199586161">
    <w:abstractNumId w:val="48"/>
  </w:num>
  <w:num w:numId="15" w16cid:durableId="584072443">
    <w:abstractNumId w:val="48"/>
    <w:lvlOverride w:ilvl="0">
      <w:startOverride w:val="1"/>
    </w:lvlOverride>
  </w:num>
  <w:num w:numId="16" w16cid:durableId="1638680439">
    <w:abstractNumId w:val="53"/>
    <w:lvlOverride w:ilvl="0">
      <w:startOverride w:val="1"/>
    </w:lvlOverride>
  </w:num>
  <w:num w:numId="17" w16cid:durableId="1376001245">
    <w:abstractNumId w:val="48"/>
    <w:lvlOverride w:ilvl="0">
      <w:startOverride w:val="1"/>
    </w:lvlOverride>
  </w:num>
  <w:num w:numId="18" w16cid:durableId="1480611021">
    <w:abstractNumId w:val="62"/>
  </w:num>
  <w:num w:numId="19" w16cid:durableId="1967006738">
    <w:abstractNumId w:val="53"/>
    <w:lvlOverride w:ilvl="0">
      <w:startOverride w:val="1"/>
    </w:lvlOverride>
  </w:num>
  <w:num w:numId="20" w16cid:durableId="323556548">
    <w:abstractNumId w:val="53"/>
    <w:lvlOverride w:ilvl="0">
      <w:startOverride w:val="1"/>
    </w:lvlOverride>
  </w:num>
  <w:num w:numId="21" w16cid:durableId="686060790">
    <w:abstractNumId w:val="39"/>
  </w:num>
  <w:num w:numId="22" w16cid:durableId="1910846838">
    <w:abstractNumId w:val="27"/>
  </w:num>
  <w:num w:numId="23" w16cid:durableId="863322429">
    <w:abstractNumId w:val="53"/>
    <w:lvlOverride w:ilvl="0">
      <w:startOverride w:val="1"/>
    </w:lvlOverride>
  </w:num>
  <w:num w:numId="24" w16cid:durableId="290208181">
    <w:abstractNumId w:val="53"/>
    <w:lvlOverride w:ilvl="0">
      <w:startOverride w:val="1"/>
    </w:lvlOverride>
  </w:num>
  <w:num w:numId="25" w16cid:durableId="1879774949">
    <w:abstractNumId w:val="53"/>
    <w:lvlOverride w:ilvl="0">
      <w:startOverride w:val="1"/>
    </w:lvlOverride>
  </w:num>
  <w:num w:numId="26" w16cid:durableId="387462078">
    <w:abstractNumId w:val="53"/>
    <w:lvlOverride w:ilvl="0">
      <w:startOverride w:val="1"/>
    </w:lvlOverride>
  </w:num>
  <w:num w:numId="27" w16cid:durableId="657996159">
    <w:abstractNumId w:val="56"/>
  </w:num>
  <w:num w:numId="28" w16cid:durableId="1019156772">
    <w:abstractNumId w:val="32"/>
  </w:num>
  <w:num w:numId="29" w16cid:durableId="560672902">
    <w:abstractNumId w:val="14"/>
  </w:num>
  <w:num w:numId="30" w16cid:durableId="1072390599">
    <w:abstractNumId w:val="55"/>
  </w:num>
  <w:num w:numId="31" w16cid:durableId="1933662228">
    <w:abstractNumId w:val="31"/>
  </w:num>
  <w:num w:numId="32" w16cid:durableId="1991909117">
    <w:abstractNumId w:val="11"/>
  </w:num>
  <w:num w:numId="33" w16cid:durableId="1138956019">
    <w:abstractNumId w:val="20"/>
  </w:num>
  <w:num w:numId="34" w16cid:durableId="607395260">
    <w:abstractNumId w:val="9"/>
  </w:num>
  <w:num w:numId="35" w16cid:durableId="98110136">
    <w:abstractNumId w:val="7"/>
  </w:num>
  <w:num w:numId="36" w16cid:durableId="920676582">
    <w:abstractNumId w:val="6"/>
  </w:num>
  <w:num w:numId="37" w16cid:durableId="447286378">
    <w:abstractNumId w:val="5"/>
  </w:num>
  <w:num w:numId="38" w16cid:durableId="1532258362">
    <w:abstractNumId w:val="4"/>
  </w:num>
  <w:num w:numId="39" w16cid:durableId="1587106058">
    <w:abstractNumId w:val="8"/>
  </w:num>
  <w:num w:numId="40" w16cid:durableId="1646355732">
    <w:abstractNumId w:val="3"/>
  </w:num>
  <w:num w:numId="41" w16cid:durableId="2006930253">
    <w:abstractNumId w:val="2"/>
  </w:num>
  <w:num w:numId="42" w16cid:durableId="1811677887">
    <w:abstractNumId w:val="1"/>
  </w:num>
  <w:num w:numId="43" w16cid:durableId="537353487">
    <w:abstractNumId w:val="0"/>
  </w:num>
  <w:num w:numId="44" w16cid:durableId="1865050652">
    <w:abstractNumId w:val="41"/>
  </w:num>
  <w:num w:numId="45" w16cid:durableId="80179172">
    <w:abstractNumId w:val="45"/>
  </w:num>
  <w:num w:numId="46"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60385107">
    <w:abstractNumId w:val="37"/>
  </w:num>
  <w:num w:numId="48" w16cid:durableId="1771076976">
    <w:abstractNumId w:val="17"/>
  </w:num>
  <w:num w:numId="49" w16cid:durableId="939752621">
    <w:abstractNumId w:val="40"/>
  </w:num>
  <w:num w:numId="50" w16cid:durableId="915044361">
    <w:abstractNumId w:val="33"/>
  </w:num>
  <w:num w:numId="51" w16cid:durableId="855196379">
    <w:abstractNumId w:val="19"/>
  </w:num>
  <w:num w:numId="52"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01917413">
    <w:abstractNumId w:val="21"/>
  </w:num>
  <w:num w:numId="54" w16cid:durableId="708722651">
    <w:abstractNumId w:val="10"/>
  </w:num>
  <w:num w:numId="55"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8112374">
    <w:abstractNumId w:val="12"/>
  </w:num>
  <w:num w:numId="58" w16cid:durableId="1607615596">
    <w:abstractNumId w:val="26"/>
  </w:num>
  <w:num w:numId="59" w16cid:durableId="643118139">
    <w:abstractNumId w:val="26"/>
    <w:lvlOverride w:ilvl="0">
      <w:startOverride w:val="1"/>
    </w:lvlOverride>
  </w:num>
  <w:num w:numId="60" w16cid:durableId="820851909">
    <w:abstractNumId w:val="26"/>
    <w:lvlOverride w:ilvl="0">
      <w:startOverride w:val="1"/>
    </w:lvlOverride>
  </w:num>
  <w:num w:numId="61" w16cid:durableId="709648587">
    <w:abstractNumId w:val="26"/>
    <w:lvlOverride w:ilvl="0">
      <w:startOverride w:val="1"/>
    </w:lvlOverride>
  </w:num>
  <w:num w:numId="62" w16cid:durableId="1353799543">
    <w:abstractNumId w:val="29"/>
  </w:num>
  <w:num w:numId="63" w16cid:durableId="1570270110">
    <w:abstractNumId w:val="43"/>
  </w:num>
  <w:num w:numId="64" w16cid:durableId="2125995167">
    <w:abstractNumId w:val="35"/>
  </w:num>
  <w:num w:numId="65" w16cid:durableId="893932166">
    <w:abstractNumId w:val="54"/>
  </w:num>
  <w:num w:numId="66" w16cid:durableId="1627851340">
    <w:abstractNumId w:val="28"/>
  </w:num>
  <w:num w:numId="67" w16cid:durableId="1945532808">
    <w:abstractNumId w:val="18"/>
  </w:num>
  <w:num w:numId="68" w16cid:durableId="68447852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06494965">
    <w:abstractNumId w:val="13"/>
  </w:num>
  <w:num w:numId="72"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323945383">
    <w:abstractNumId w:val="47"/>
  </w:num>
  <w:num w:numId="75" w16cid:durableId="2129201044">
    <w:abstractNumId w:val="8"/>
  </w:num>
  <w:num w:numId="76" w16cid:durableId="62652550">
    <w:abstractNumId w:val="3"/>
  </w:num>
  <w:num w:numId="77" w16cid:durableId="1984499250">
    <w:abstractNumId w:val="2"/>
  </w:num>
  <w:num w:numId="78" w16cid:durableId="1702363973">
    <w:abstractNumId w:val="1"/>
  </w:num>
  <w:num w:numId="79" w16cid:durableId="337344783">
    <w:abstractNumId w:val="0"/>
  </w:num>
  <w:num w:numId="80" w16cid:durableId="1318337697">
    <w:abstractNumId w:val="47"/>
  </w:num>
  <w:num w:numId="81" w16cid:durableId="1154955266">
    <w:abstractNumId w:val="47"/>
  </w:num>
  <w:num w:numId="82" w16cid:durableId="1312296923">
    <w:abstractNumId w:val="47"/>
  </w:num>
  <w:num w:numId="83" w16cid:durableId="1453553458">
    <w:abstractNumId w:val="47"/>
  </w:num>
  <w:num w:numId="84" w16cid:durableId="1876967770">
    <w:abstractNumId w:val="47"/>
  </w:num>
  <w:num w:numId="85" w16cid:durableId="780339785">
    <w:abstractNumId w:val="47"/>
  </w:num>
  <w:num w:numId="86" w16cid:durableId="1633903359">
    <w:abstractNumId w:val="47"/>
  </w:num>
  <w:num w:numId="87" w16cid:durableId="1387484691">
    <w:abstractNumId w:val="47"/>
  </w:num>
  <w:num w:numId="88" w16cid:durableId="62652638">
    <w:abstractNumId w:val="47"/>
  </w:num>
  <w:num w:numId="89" w16cid:durableId="1083574096">
    <w:abstractNumId w:val="47"/>
  </w:num>
  <w:num w:numId="90" w16cid:durableId="456606068">
    <w:abstractNumId w:val="47"/>
  </w:num>
  <w:num w:numId="91" w16cid:durableId="458190072">
    <w:abstractNumId w:val="47"/>
  </w:num>
  <w:num w:numId="92" w16cid:durableId="712849374">
    <w:abstractNumId w:val="47"/>
  </w:num>
  <w:num w:numId="93" w16cid:durableId="161745568">
    <w:abstractNumId w:val="47"/>
  </w:num>
  <w:num w:numId="94" w16cid:durableId="1116020208">
    <w:abstractNumId w:val="47"/>
  </w:num>
  <w:num w:numId="95" w16cid:durableId="1683239325">
    <w:abstractNumId w:val="47"/>
  </w:num>
  <w:num w:numId="96" w16cid:durableId="1234124678">
    <w:abstractNumId w:val="47"/>
  </w:num>
  <w:num w:numId="97" w16cid:durableId="900949244">
    <w:abstractNumId w:val="47"/>
  </w:num>
  <w:num w:numId="98" w16cid:durableId="213734259">
    <w:abstractNumId w:val="47"/>
  </w:num>
  <w:num w:numId="99" w16cid:durableId="565531819">
    <w:abstractNumId w:val="47"/>
  </w:num>
  <w:num w:numId="100" w16cid:durableId="1491602799">
    <w:abstractNumId w:val="47"/>
  </w:num>
  <w:num w:numId="101" w16cid:durableId="1151554809">
    <w:abstractNumId w:val="47"/>
  </w:num>
  <w:num w:numId="102" w16cid:durableId="654259878">
    <w:abstractNumId w:val="47"/>
  </w:num>
  <w:num w:numId="103" w16cid:durableId="347492660">
    <w:abstractNumId w:val="47"/>
  </w:num>
  <w:num w:numId="104" w16cid:durableId="1620792862">
    <w:abstractNumId w:val="47"/>
  </w:num>
  <w:num w:numId="105" w16cid:durableId="414520600">
    <w:abstractNumId w:val="60"/>
  </w:num>
  <w:num w:numId="106" w16cid:durableId="66926451">
    <w:abstractNumId w:val="38"/>
  </w:num>
  <w:num w:numId="107" w16cid:durableId="1396970537">
    <w:abstractNumId w:val="44"/>
  </w:num>
  <w:num w:numId="108" w16cid:durableId="1405372631">
    <w:abstractNumId w:val="16"/>
  </w:num>
  <w:num w:numId="109" w16cid:durableId="1882476028">
    <w:abstractNumId w:val="52"/>
  </w:num>
  <w:num w:numId="110" w16cid:durableId="680083552">
    <w:abstractNumId w:val="61"/>
  </w:num>
  <w:num w:numId="111" w16cid:durableId="847410290">
    <w:abstractNumId w:val="49"/>
  </w:num>
  <w:num w:numId="112" w16cid:durableId="1887838398">
    <w:abstractNumId w:val="30"/>
  </w:num>
  <w:num w:numId="113" w16cid:durableId="177815106">
    <w:abstractNumId w:val="59"/>
  </w:num>
  <w:num w:numId="114" w16cid:durableId="237404068">
    <w:abstractNumId w:val="58"/>
  </w:num>
  <w:num w:numId="115" w16cid:durableId="661785536">
    <w:abstractNumId w:val="15"/>
  </w:num>
  <w:num w:numId="116" w16cid:durableId="1542860339">
    <w:abstractNumId w:val="34"/>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F3D"/>
    <w:rsid w:val="000019E1"/>
    <w:rsid w:val="0000529E"/>
    <w:rsid w:val="00006505"/>
    <w:rsid w:val="0001354F"/>
    <w:rsid w:val="0001574A"/>
    <w:rsid w:val="00015CE7"/>
    <w:rsid w:val="0002764E"/>
    <w:rsid w:val="00027C22"/>
    <w:rsid w:val="000301EC"/>
    <w:rsid w:val="000316DE"/>
    <w:rsid w:val="00031A98"/>
    <w:rsid w:val="0003256E"/>
    <w:rsid w:val="00040598"/>
    <w:rsid w:val="0004751A"/>
    <w:rsid w:val="00047F3D"/>
    <w:rsid w:val="00052004"/>
    <w:rsid w:val="0005335E"/>
    <w:rsid w:val="000547E6"/>
    <w:rsid w:val="000549F3"/>
    <w:rsid w:val="00054E32"/>
    <w:rsid w:val="0006563E"/>
    <w:rsid w:val="000676BF"/>
    <w:rsid w:val="00071743"/>
    <w:rsid w:val="0007279A"/>
    <w:rsid w:val="00072E37"/>
    <w:rsid w:val="00083AB3"/>
    <w:rsid w:val="000875F6"/>
    <w:rsid w:val="00091274"/>
    <w:rsid w:val="0009222E"/>
    <w:rsid w:val="00094A37"/>
    <w:rsid w:val="000951BF"/>
    <w:rsid w:val="00096C47"/>
    <w:rsid w:val="00096E81"/>
    <w:rsid w:val="000B0D05"/>
    <w:rsid w:val="000B6A3D"/>
    <w:rsid w:val="000B71B4"/>
    <w:rsid w:val="000C0038"/>
    <w:rsid w:val="000C05F4"/>
    <w:rsid w:val="000C34EE"/>
    <w:rsid w:val="000C3BB9"/>
    <w:rsid w:val="000C400D"/>
    <w:rsid w:val="000C4347"/>
    <w:rsid w:val="000C707D"/>
    <w:rsid w:val="000D1B89"/>
    <w:rsid w:val="000D28AD"/>
    <w:rsid w:val="000D4C19"/>
    <w:rsid w:val="000D6CA1"/>
    <w:rsid w:val="000D6E6D"/>
    <w:rsid w:val="000E186D"/>
    <w:rsid w:val="000E4643"/>
    <w:rsid w:val="000E637B"/>
    <w:rsid w:val="000E7704"/>
    <w:rsid w:val="000E7B67"/>
    <w:rsid w:val="000F03D3"/>
    <w:rsid w:val="000F405B"/>
    <w:rsid w:val="000F5FBB"/>
    <w:rsid w:val="00100921"/>
    <w:rsid w:val="00100D4F"/>
    <w:rsid w:val="00107DB0"/>
    <w:rsid w:val="0011488E"/>
    <w:rsid w:val="001159B6"/>
    <w:rsid w:val="001177A0"/>
    <w:rsid w:val="001262F0"/>
    <w:rsid w:val="0013184D"/>
    <w:rsid w:val="00132581"/>
    <w:rsid w:val="00136B6A"/>
    <w:rsid w:val="001376FF"/>
    <w:rsid w:val="001414E3"/>
    <w:rsid w:val="0015057E"/>
    <w:rsid w:val="00157C1E"/>
    <w:rsid w:val="00160AC7"/>
    <w:rsid w:val="0016126F"/>
    <w:rsid w:val="001705FC"/>
    <w:rsid w:val="00181191"/>
    <w:rsid w:val="00184909"/>
    <w:rsid w:val="0018546E"/>
    <w:rsid w:val="00186660"/>
    <w:rsid w:val="001872A4"/>
    <w:rsid w:val="00197418"/>
    <w:rsid w:val="001A0C92"/>
    <w:rsid w:val="001B3396"/>
    <w:rsid w:val="001C12DA"/>
    <w:rsid w:val="001C3252"/>
    <w:rsid w:val="001C4E12"/>
    <w:rsid w:val="001C69A5"/>
    <w:rsid w:val="001D1A84"/>
    <w:rsid w:val="001D651A"/>
    <w:rsid w:val="001D7501"/>
    <w:rsid w:val="001E0301"/>
    <w:rsid w:val="001E2E87"/>
    <w:rsid w:val="001F22F9"/>
    <w:rsid w:val="001F2617"/>
    <w:rsid w:val="001F29CD"/>
    <w:rsid w:val="001F589B"/>
    <w:rsid w:val="0020777E"/>
    <w:rsid w:val="00210799"/>
    <w:rsid w:val="002136A3"/>
    <w:rsid w:val="00214B57"/>
    <w:rsid w:val="00214DA7"/>
    <w:rsid w:val="0021725B"/>
    <w:rsid w:val="00223BBC"/>
    <w:rsid w:val="00224074"/>
    <w:rsid w:val="00225550"/>
    <w:rsid w:val="002313D0"/>
    <w:rsid w:val="00237F04"/>
    <w:rsid w:val="00240E0F"/>
    <w:rsid w:val="00244990"/>
    <w:rsid w:val="00246317"/>
    <w:rsid w:val="002464FD"/>
    <w:rsid w:val="00255F88"/>
    <w:rsid w:val="00265691"/>
    <w:rsid w:val="00265803"/>
    <w:rsid w:val="00267053"/>
    <w:rsid w:val="0027473D"/>
    <w:rsid w:val="00277ACB"/>
    <w:rsid w:val="0028072F"/>
    <w:rsid w:val="002812D0"/>
    <w:rsid w:val="002813DA"/>
    <w:rsid w:val="00283379"/>
    <w:rsid w:val="00284729"/>
    <w:rsid w:val="002955BA"/>
    <w:rsid w:val="002A0D09"/>
    <w:rsid w:val="002A1388"/>
    <w:rsid w:val="002A25C5"/>
    <w:rsid w:val="002A3D80"/>
    <w:rsid w:val="002B00CA"/>
    <w:rsid w:val="002B2F48"/>
    <w:rsid w:val="002B37C6"/>
    <w:rsid w:val="002B559C"/>
    <w:rsid w:val="002B5CCB"/>
    <w:rsid w:val="002C4684"/>
    <w:rsid w:val="002C64F2"/>
    <w:rsid w:val="002D2865"/>
    <w:rsid w:val="002D3F18"/>
    <w:rsid w:val="002D439F"/>
    <w:rsid w:val="002D7292"/>
    <w:rsid w:val="002D796A"/>
    <w:rsid w:val="002E1C25"/>
    <w:rsid w:val="002F0DB3"/>
    <w:rsid w:val="002F0F5E"/>
    <w:rsid w:val="002F3BA4"/>
    <w:rsid w:val="002F624E"/>
    <w:rsid w:val="002F71C8"/>
    <w:rsid w:val="003061CD"/>
    <w:rsid w:val="00310608"/>
    <w:rsid w:val="003106C9"/>
    <w:rsid w:val="00312FA9"/>
    <w:rsid w:val="0031526B"/>
    <w:rsid w:val="00317014"/>
    <w:rsid w:val="00321660"/>
    <w:rsid w:val="00323F22"/>
    <w:rsid w:val="003340D6"/>
    <w:rsid w:val="00335452"/>
    <w:rsid w:val="0033659F"/>
    <w:rsid w:val="00336AC1"/>
    <w:rsid w:val="003408B0"/>
    <w:rsid w:val="003415AB"/>
    <w:rsid w:val="00341FFB"/>
    <w:rsid w:val="00343257"/>
    <w:rsid w:val="003435DA"/>
    <w:rsid w:val="00343BD0"/>
    <w:rsid w:val="003476A9"/>
    <w:rsid w:val="00347AE5"/>
    <w:rsid w:val="00354CF6"/>
    <w:rsid w:val="0035657C"/>
    <w:rsid w:val="00357175"/>
    <w:rsid w:val="00361F2B"/>
    <w:rsid w:val="00364179"/>
    <w:rsid w:val="00364406"/>
    <w:rsid w:val="00364559"/>
    <w:rsid w:val="00364710"/>
    <w:rsid w:val="00366AF0"/>
    <w:rsid w:val="00371AF0"/>
    <w:rsid w:val="003737E3"/>
    <w:rsid w:val="00375383"/>
    <w:rsid w:val="00380A8C"/>
    <w:rsid w:val="003815D1"/>
    <w:rsid w:val="003872F8"/>
    <w:rsid w:val="00392275"/>
    <w:rsid w:val="00392491"/>
    <w:rsid w:val="00393361"/>
    <w:rsid w:val="00394527"/>
    <w:rsid w:val="00396314"/>
    <w:rsid w:val="00396D3C"/>
    <w:rsid w:val="003A1010"/>
    <w:rsid w:val="003A7FBC"/>
    <w:rsid w:val="003B01E1"/>
    <w:rsid w:val="003B0E3E"/>
    <w:rsid w:val="003C22BF"/>
    <w:rsid w:val="003C3E70"/>
    <w:rsid w:val="003C6F10"/>
    <w:rsid w:val="003D1F23"/>
    <w:rsid w:val="003D329C"/>
    <w:rsid w:val="003D332F"/>
    <w:rsid w:val="003D34D7"/>
    <w:rsid w:val="003D46AA"/>
    <w:rsid w:val="003E17C3"/>
    <w:rsid w:val="003E34BB"/>
    <w:rsid w:val="003E4086"/>
    <w:rsid w:val="003E40B2"/>
    <w:rsid w:val="003E4F7F"/>
    <w:rsid w:val="003F133E"/>
    <w:rsid w:val="003F280F"/>
    <w:rsid w:val="003F7A24"/>
    <w:rsid w:val="004007DD"/>
    <w:rsid w:val="00401956"/>
    <w:rsid w:val="00401BF5"/>
    <w:rsid w:val="00403FE6"/>
    <w:rsid w:val="004072B5"/>
    <w:rsid w:val="00411F09"/>
    <w:rsid w:val="00412976"/>
    <w:rsid w:val="00414B02"/>
    <w:rsid w:val="00414C7E"/>
    <w:rsid w:val="00415D62"/>
    <w:rsid w:val="00416440"/>
    <w:rsid w:val="0042164F"/>
    <w:rsid w:val="00426606"/>
    <w:rsid w:val="004277BB"/>
    <w:rsid w:val="004309AA"/>
    <w:rsid w:val="0043533A"/>
    <w:rsid w:val="0043615C"/>
    <w:rsid w:val="00437602"/>
    <w:rsid w:val="00441498"/>
    <w:rsid w:val="00442FB1"/>
    <w:rsid w:val="0044480A"/>
    <w:rsid w:val="00444977"/>
    <w:rsid w:val="00447CA2"/>
    <w:rsid w:val="00450815"/>
    <w:rsid w:val="0045230C"/>
    <w:rsid w:val="0045677D"/>
    <w:rsid w:val="00457948"/>
    <w:rsid w:val="0046192C"/>
    <w:rsid w:val="00465952"/>
    <w:rsid w:val="004701EE"/>
    <w:rsid w:val="00471303"/>
    <w:rsid w:val="00473181"/>
    <w:rsid w:val="0047422F"/>
    <w:rsid w:val="004746B5"/>
    <w:rsid w:val="00480A8D"/>
    <w:rsid w:val="00491BE9"/>
    <w:rsid w:val="0049202E"/>
    <w:rsid w:val="0049414F"/>
    <w:rsid w:val="00494F29"/>
    <w:rsid w:val="004966F2"/>
    <w:rsid w:val="004975A4"/>
    <w:rsid w:val="004A2A2D"/>
    <w:rsid w:val="004A2AC4"/>
    <w:rsid w:val="004A5FDB"/>
    <w:rsid w:val="004B153F"/>
    <w:rsid w:val="004B3389"/>
    <w:rsid w:val="004B786A"/>
    <w:rsid w:val="004C07FD"/>
    <w:rsid w:val="004C17A8"/>
    <w:rsid w:val="004C4473"/>
    <w:rsid w:val="004C50C3"/>
    <w:rsid w:val="004D1D0E"/>
    <w:rsid w:val="004D507D"/>
    <w:rsid w:val="004D60E1"/>
    <w:rsid w:val="004D7577"/>
    <w:rsid w:val="004F2C8D"/>
    <w:rsid w:val="00500A3A"/>
    <w:rsid w:val="00500FCA"/>
    <w:rsid w:val="0050395F"/>
    <w:rsid w:val="00507BBB"/>
    <w:rsid w:val="0051391A"/>
    <w:rsid w:val="00516C01"/>
    <w:rsid w:val="005202A6"/>
    <w:rsid w:val="005241E6"/>
    <w:rsid w:val="00531BCC"/>
    <w:rsid w:val="00532995"/>
    <w:rsid w:val="005337BA"/>
    <w:rsid w:val="005370C9"/>
    <w:rsid w:val="00537248"/>
    <w:rsid w:val="0053734E"/>
    <w:rsid w:val="00537741"/>
    <w:rsid w:val="00541478"/>
    <w:rsid w:val="00545C8D"/>
    <w:rsid w:val="00550DBB"/>
    <w:rsid w:val="00550E8F"/>
    <w:rsid w:val="005510A3"/>
    <w:rsid w:val="00553372"/>
    <w:rsid w:val="00561D20"/>
    <w:rsid w:val="00564B16"/>
    <w:rsid w:val="00572CD6"/>
    <w:rsid w:val="00573524"/>
    <w:rsid w:val="00573948"/>
    <w:rsid w:val="00576BAB"/>
    <w:rsid w:val="005770A8"/>
    <w:rsid w:val="005802BD"/>
    <w:rsid w:val="0058460A"/>
    <w:rsid w:val="00584E0E"/>
    <w:rsid w:val="00585701"/>
    <w:rsid w:val="00586138"/>
    <w:rsid w:val="005876F0"/>
    <w:rsid w:val="00590D79"/>
    <w:rsid w:val="00594E28"/>
    <w:rsid w:val="005955E1"/>
    <w:rsid w:val="00596D09"/>
    <w:rsid w:val="005A0522"/>
    <w:rsid w:val="005A13D3"/>
    <w:rsid w:val="005A206E"/>
    <w:rsid w:val="005A3513"/>
    <w:rsid w:val="005A4C75"/>
    <w:rsid w:val="005B0669"/>
    <w:rsid w:val="005B082F"/>
    <w:rsid w:val="005B4E44"/>
    <w:rsid w:val="005B6CFD"/>
    <w:rsid w:val="005C0058"/>
    <w:rsid w:val="005C2405"/>
    <w:rsid w:val="005C3307"/>
    <w:rsid w:val="005C5F95"/>
    <w:rsid w:val="005C7D5D"/>
    <w:rsid w:val="005D189A"/>
    <w:rsid w:val="005D1F1A"/>
    <w:rsid w:val="005D6E7E"/>
    <w:rsid w:val="005E0C57"/>
    <w:rsid w:val="005E107D"/>
    <w:rsid w:val="005E2605"/>
    <w:rsid w:val="005E7031"/>
    <w:rsid w:val="005E7068"/>
    <w:rsid w:val="005E7161"/>
    <w:rsid w:val="005F0EB7"/>
    <w:rsid w:val="005F2891"/>
    <w:rsid w:val="005F6749"/>
    <w:rsid w:val="00603CF6"/>
    <w:rsid w:val="00605BD9"/>
    <w:rsid w:val="00607BA2"/>
    <w:rsid w:val="00614A58"/>
    <w:rsid w:val="00615F4E"/>
    <w:rsid w:val="0061673F"/>
    <w:rsid w:val="00617234"/>
    <w:rsid w:val="006201A2"/>
    <w:rsid w:val="00620D89"/>
    <w:rsid w:val="00622230"/>
    <w:rsid w:val="0062236D"/>
    <w:rsid w:val="006261F4"/>
    <w:rsid w:val="0062654C"/>
    <w:rsid w:val="00632A71"/>
    <w:rsid w:val="0063474D"/>
    <w:rsid w:val="0063582E"/>
    <w:rsid w:val="006373CC"/>
    <w:rsid w:val="00651315"/>
    <w:rsid w:val="0065444E"/>
    <w:rsid w:val="00657ED6"/>
    <w:rsid w:val="0066581D"/>
    <w:rsid w:val="006676C5"/>
    <w:rsid w:val="00671581"/>
    <w:rsid w:val="006763B9"/>
    <w:rsid w:val="00696714"/>
    <w:rsid w:val="006A3FD8"/>
    <w:rsid w:val="006A4B08"/>
    <w:rsid w:val="006A5D6E"/>
    <w:rsid w:val="006B011E"/>
    <w:rsid w:val="006B10EC"/>
    <w:rsid w:val="006B24DB"/>
    <w:rsid w:val="006B293D"/>
    <w:rsid w:val="006B5BA6"/>
    <w:rsid w:val="006B6189"/>
    <w:rsid w:val="006C0DEB"/>
    <w:rsid w:val="006C6482"/>
    <w:rsid w:val="006D1360"/>
    <w:rsid w:val="006D2405"/>
    <w:rsid w:val="006D53D5"/>
    <w:rsid w:val="006D578C"/>
    <w:rsid w:val="006E5805"/>
    <w:rsid w:val="006E5D43"/>
    <w:rsid w:val="006F28F5"/>
    <w:rsid w:val="006F4468"/>
    <w:rsid w:val="006F491C"/>
    <w:rsid w:val="006F6172"/>
    <w:rsid w:val="006F7AF1"/>
    <w:rsid w:val="00703C6A"/>
    <w:rsid w:val="00705144"/>
    <w:rsid w:val="007052C4"/>
    <w:rsid w:val="007063A7"/>
    <w:rsid w:val="00707F19"/>
    <w:rsid w:val="00710655"/>
    <w:rsid w:val="00722D71"/>
    <w:rsid w:val="00724C24"/>
    <w:rsid w:val="00727732"/>
    <w:rsid w:val="00731C49"/>
    <w:rsid w:val="00737103"/>
    <w:rsid w:val="00737EE0"/>
    <w:rsid w:val="00744B83"/>
    <w:rsid w:val="007457EE"/>
    <w:rsid w:val="0075117E"/>
    <w:rsid w:val="007546C0"/>
    <w:rsid w:val="007554EF"/>
    <w:rsid w:val="00756644"/>
    <w:rsid w:val="007622FF"/>
    <w:rsid w:val="0076622F"/>
    <w:rsid w:val="00766564"/>
    <w:rsid w:val="00766EBB"/>
    <w:rsid w:val="00767574"/>
    <w:rsid w:val="00767CC7"/>
    <w:rsid w:val="007708CE"/>
    <w:rsid w:val="0077634B"/>
    <w:rsid w:val="007828C2"/>
    <w:rsid w:val="00785694"/>
    <w:rsid w:val="00785868"/>
    <w:rsid w:val="00787331"/>
    <w:rsid w:val="00791F08"/>
    <w:rsid w:val="007929B3"/>
    <w:rsid w:val="00793B7F"/>
    <w:rsid w:val="00794429"/>
    <w:rsid w:val="007A099B"/>
    <w:rsid w:val="007A282A"/>
    <w:rsid w:val="007B01E2"/>
    <w:rsid w:val="007B30BE"/>
    <w:rsid w:val="007B45D2"/>
    <w:rsid w:val="007B5125"/>
    <w:rsid w:val="007C09B0"/>
    <w:rsid w:val="007C5C7E"/>
    <w:rsid w:val="007C77BC"/>
    <w:rsid w:val="007C7EB9"/>
    <w:rsid w:val="007D0AD3"/>
    <w:rsid w:val="007D14BE"/>
    <w:rsid w:val="007D1ABE"/>
    <w:rsid w:val="007D66B8"/>
    <w:rsid w:val="007D6BFE"/>
    <w:rsid w:val="007E2A98"/>
    <w:rsid w:val="007E5ACE"/>
    <w:rsid w:val="007E715A"/>
    <w:rsid w:val="007E754F"/>
    <w:rsid w:val="007F0220"/>
    <w:rsid w:val="007F08B9"/>
    <w:rsid w:val="007F2DC0"/>
    <w:rsid w:val="007F60A5"/>
    <w:rsid w:val="007F6EB2"/>
    <w:rsid w:val="007F7CC7"/>
    <w:rsid w:val="007F7E67"/>
    <w:rsid w:val="00802390"/>
    <w:rsid w:val="008100FC"/>
    <w:rsid w:val="0081124C"/>
    <w:rsid w:val="008168BB"/>
    <w:rsid w:val="008233AC"/>
    <w:rsid w:val="00824009"/>
    <w:rsid w:val="0082567A"/>
    <w:rsid w:val="008256E9"/>
    <w:rsid w:val="00827CD8"/>
    <w:rsid w:val="00827FED"/>
    <w:rsid w:val="00833F25"/>
    <w:rsid w:val="00837BD8"/>
    <w:rsid w:val="0084014D"/>
    <w:rsid w:val="008402C7"/>
    <w:rsid w:val="00842F66"/>
    <w:rsid w:val="00851186"/>
    <w:rsid w:val="0085120D"/>
    <w:rsid w:val="00851A2D"/>
    <w:rsid w:val="00851E34"/>
    <w:rsid w:val="008565BD"/>
    <w:rsid w:val="00857445"/>
    <w:rsid w:val="00862048"/>
    <w:rsid w:val="00862FA3"/>
    <w:rsid w:val="0086315B"/>
    <w:rsid w:val="008632D0"/>
    <w:rsid w:val="0086389C"/>
    <w:rsid w:val="00866FAC"/>
    <w:rsid w:val="008675F8"/>
    <w:rsid w:val="00873C56"/>
    <w:rsid w:val="00873FCB"/>
    <w:rsid w:val="00874541"/>
    <w:rsid w:val="008750F4"/>
    <w:rsid w:val="0087556F"/>
    <w:rsid w:val="00875DEA"/>
    <w:rsid w:val="00875E5B"/>
    <w:rsid w:val="00875F15"/>
    <w:rsid w:val="00882444"/>
    <w:rsid w:val="00884F02"/>
    <w:rsid w:val="00886745"/>
    <w:rsid w:val="00887FD3"/>
    <w:rsid w:val="008912AC"/>
    <w:rsid w:val="00896CD6"/>
    <w:rsid w:val="008A0718"/>
    <w:rsid w:val="008A0DA6"/>
    <w:rsid w:val="008A0FDF"/>
    <w:rsid w:val="008B0299"/>
    <w:rsid w:val="008B1D48"/>
    <w:rsid w:val="008B2E45"/>
    <w:rsid w:val="008C2563"/>
    <w:rsid w:val="008C59F0"/>
    <w:rsid w:val="008D479D"/>
    <w:rsid w:val="008D4978"/>
    <w:rsid w:val="008D5943"/>
    <w:rsid w:val="008D6A2A"/>
    <w:rsid w:val="008E0581"/>
    <w:rsid w:val="008E0F9C"/>
    <w:rsid w:val="008E5DAC"/>
    <w:rsid w:val="008F16A5"/>
    <w:rsid w:val="008F7EF9"/>
    <w:rsid w:val="00900602"/>
    <w:rsid w:val="009013C1"/>
    <w:rsid w:val="00901CE3"/>
    <w:rsid w:val="009075B8"/>
    <w:rsid w:val="00910020"/>
    <w:rsid w:val="009103E6"/>
    <w:rsid w:val="00911B84"/>
    <w:rsid w:val="009126B4"/>
    <w:rsid w:val="009166CF"/>
    <w:rsid w:val="00916BF4"/>
    <w:rsid w:val="00922015"/>
    <w:rsid w:val="00922A1D"/>
    <w:rsid w:val="0092542C"/>
    <w:rsid w:val="0092589B"/>
    <w:rsid w:val="009266BC"/>
    <w:rsid w:val="00935461"/>
    <w:rsid w:val="0093623A"/>
    <w:rsid w:val="009364D5"/>
    <w:rsid w:val="00936C78"/>
    <w:rsid w:val="00941173"/>
    <w:rsid w:val="009435E1"/>
    <w:rsid w:val="009459E3"/>
    <w:rsid w:val="00954F8C"/>
    <w:rsid w:val="009552E3"/>
    <w:rsid w:val="00957EBC"/>
    <w:rsid w:val="009608BE"/>
    <w:rsid w:val="00960D64"/>
    <w:rsid w:val="00961F84"/>
    <w:rsid w:val="00962568"/>
    <w:rsid w:val="009658BA"/>
    <w:rsid w:val="009706C6"/>
    <w:rsid w:val="00970D62"/>
    <w:rsid w:val="00971CBE"/>
    <w:rsid w:val="00974EF6"/>
    <w:rsid w:val="00975690"/>
    <w:rsid w:val="00975CBA"/>
    <w:rsid w:val="00975E93"/>
    <w:rsid w:val="00977209"/>
    <w:rsid w:val="00977B05"/>
    <w:rsid w:val="00980397"/>
    <w:rsid w:val="00981EAF"/>
    <w:rsid w:val="00993AD0"/>
    <w:rsid w:val="00995931"/>
    <w:rsid w:val="00995DDC"/>
    <w:rsid w:val="009A728B"/>
    <w:rsid w:val="009B56E4"/>
    <w:rsid w:val="009C0280"/>
    <w:rsid w:val="009C110D"/>
    <w:rsid w:val="009C1114"/>
    <w:rsid w:val="009C11AE"/>
    <w:rsid w:val="009C33B1"/>
    <w:rsid w:val="009C3F8B"/>
    <w:rsid w:val="009D4176"/>
    <w:rsid w:val="009D647D"/>
    <w:rsid w:val="009E0B5D"/>
    <w:rsid w:val="009E35D1"/>
    <w:rsid w:val="009E419B"/>
    <w:rsid w:val="009E65D6"/>
    <w:rsid w:val="009E7563"/>
    <w:rsid w:val="009F484A"/>
    <w:rsid w:val="009F5AE7"/>
    <w:rsid w:val="009F797E"/>
    <w:rsid w:val="00A03283"/>
    <w:rsid w:val="00A034D4"/>
    <w:rsid w:val="00A0527C"/>
    <w:rsid w:val="00A066AB"/>
    <w:rsid w:val="00A10361"/>
    <w:rsid w:val="00A120DC"/>
    <w:rsid w:val="00A15DBC"/>
    <w:rsid w:val="00A20128"/>
    <w:rsid w:val="00A22CA2"/>
    <w:rsid w:val="00A23B4B"/>
    <w:rsid w:val="00A3106B"/>
    <w:rsid w:val="00A32C86"/>
    <w:rsid w:val="00A36A52"/>
    <w:rsid w:val="00A44FC9"/>
    <w:rsid w:val="00A45908"/>
    <w:rsid w:val="00A45BB0"/>
    <w:rsid w:val="00A46D09"/>
    <w:rsid w:val="00A47948"/>
    <w:rsid w:val="00A51D79"/>
    <w:rsid w:val="00A54FA0"/>
    <w:rsid w:val="00A60405"/>
    <w:rsid w:val="00A62870"/>
    <w:rsid w:val="00A639EE"/>
    <w:rsid w:val="00A64C32"/>
    <w:rsid w:val="00A651CE"/>
    <w:rsid w:val="00A65975"/>
    <w:rsid w:val="00A67423"/>
    <w:rsid w:val="00A749B4"/>
    <w:rsid w:val="00A74DC2"/>
    <w:rsid w:val="00A76B98"/>
    <w:rsid w:val="00A82080"/>
    <w:rsid w:val="00A83D4C"/>
    <w:rsid w:val="00A84B13"/>
    <w:rsid w:val="00A91866"/>
    <w:rsid w:val="00A96B21"/>
    <w:rsid w:val="00AA4FF0"/>
    <w:rsid w:val="00AB171A"/>
    <w:rsid w:val="00AB277E"/>
    <w:rsid w:val="00AB3FC4"/>
    <w:rsid w:val="00AB7755"/>
    <w:rsid w:val="00AC14C0"/>
    <w:rsid w:val="00AC1853"/>
    <w:rsid w:val="00AC28EB"/>
    <w:rsid w:val="00AD0108"/>
    <w:rsid w:val="00AD0FE8"/>
    <w:rsid w:val="00AD1D2D"/>
    <w:rsid w:val="00AD2DDD"/>
    <w:rsid w:val="00AD33A0"/>
    <w:rsid w:val="00AD3418"/>
    <w:rsid w:val="00AD5449"/>
    <w:rsid w:val="00AD76AA"/>
    <w:rsid w:val="00AE1A95"/>
    <w:rsid w:val="00AE5F7C"/>
    <w:rsid w:val="00AF137F"/>
    <w:rsid w:val="00AF4B25"/>
    <w:rsid w:val="00AF5A2F"/>
    <w:rsid w:val="00AF77BE"/>
    <w:rsid w:val="00B0026B"/>
    <w:rsid w:val="00B034F0"/>
    <w:rsid w:val="00B04DCC"/>
    <w:rsid w:val="00B05B8F"/>
    <w:rsid w:val="00B0651A"/>
    <w:rsid w:val="00B07E19"/>
    <w:rsid w:val="00B11BF8"/>
    <w:rsid w:val="00B22844"/>
    <w:rsid w:val="00B24B16"/>
    <w:rsid w:val="00B325F9"/>
    <w:rsid w:val="00B32A5F"/>
    <w:rsid w:val="00B3352F"/>
    <w:rsid w:val="00B34AA5"/>
    <w:rsid w:val="00B357C2"/>
    <w:rsid w:val="00B36EA9"/>
    <w:rsid w:val="00B40A0B"/>
    <w:rsid w:val="00B43DDD"/>
    <w:rsid w:val="00B52070"/>
    <w:rsid w:val="00B5233B"/>
    <w:rsid w:val="00B53082"/>
    <w:rsid w:val="00B53643"/>
    <w:rsid w:val="00B53A92"/>
    <w:rsid w:val="00B547B3"/>
    <w:rsid w:val="00B56497"/>
    <w:rsid w:val="00B630AE"/>
    <w:rsid w:val="00B63D05"/>
    <w:rsid w:val="00B640C2"/>
    <w:rsid w:val="00B7115B"/>
    <w:rsid w:val="00B72CD5"/>
    <w:rsid w:val="00B74C3A"/>
    <w:rsid w:val="00B74D1F"/>
    <w:rsid w:val="00B80FA9"/>
    <w:rsid w:val="00B82BA3"/>
    <w:rsid w:val="00B84813"/>
    <w:rsid w:val="00B91EE3"/>
    <w:rsid w:val="00B94787"/>
    <w:rsid w:val="00B95DC9"/>
    <w:rsid w:val="00BA19C5"/>
    <w:rsid w:val="00BA589A"/>
    <w:rsid w:val="00BA5F2A"/>
    <w:rsid w:val="00BA6F13"/>
    <w:rsid w:val="00BB124D"/>
    <w:rsid w:val="00BB1A87"/>
    <w:rsid w:val="00BB4FD4"/>
    <w:rsid w:val="00BB7E47"/>
    <w:rsid w:val="00BC0F90"/>
    <w:rsid w:val="00BC1104"/>
    <w:rsid w:val="00BC19FE"/>
    <w:rsid w:val="00BC3212"/>
    <w:rsid w:val="00BC40FB"/>
    <w:rsid w:val="00BC5EF1"/>
    <w:rsid w:val="00BC6880"/>
    <w:rsid w:val="00BC6B66"/>
    <w:rsid w:val="00BC7D6B"/>
    <w:rsid w:val="00BE6126"/>
    <w:rsid w:val="00BF0453"/>
    <w:rsid w:val="00BF0AEA"/>
    <w:rsid w:val="00BF5C56"/>
    <w:rsid w:val="00C02457"/>
    <w:rsid w:val="00C040D1"/>
    <w:rsid w:val="00C11137"/>
    <w:rsid w:val="00C131C5"/>
    <w:rsid w:val="00C1473F"/>
    <w:rsid w:val="00C2157F"/>
    <w:rsid w:val="00C2354A"/>
    <w:rsid w:val="00C30C4B"/>
    <w:rsid w:val="00C35AAC"/>
    <w:rsid w:val="00C41139"/>
    <w:rsid w:val="00C44974"/>
    <w:rsid w:val="00C471A1"/>
    <w:rsid w:val="00C52541"/>
    <w:rsid w:val="00C527B3"/>
    <w:rsid w:val="00C57812"/>
    <w:rsid w:val="00C6188D"/>
    <w:rsid w:val="00C630C3"/>
    <w:rsid w:val="00C6365A"/>
    <w:rsid w:val="00C64D48"/>
    <w:rsid w:val="00C65245"/>
    <w:rsid w:val="00C657BA"/>
    <w:rsid w:val="00C672F3"/>
    <w:rsid w:val="00C71EDC"/>
    <w:rsid w:val="00C73ACD"/>
    <w:rsid w:val="00C75C0F"/>
    <w:rsid w:val="00C90CA5"/>
    <w:rsid w:val="00C9126B"/>
    <w:rsid w:val="00C92082"/>
    <w:rsid w:val="00C924EB"/>
    <w:rsid w:val="00C9276F"/>
    <w:rsid w:val="00C92DA6"/>
    <w:rsid w:val="00C951B3"/>
    <w:rsid w:val="00CA2C9C"/>
    <w:rsid w:val="00CA30BF"/>
    <w:rsid w:val="00CA6B48"/>
    <w:rsid w:val="00CA7944"/>
    <w:rsid w:val="00CB0BC6"/>
    <w:rsid w:val="00CB17AC"/>
    <w:rsid w:val="00CB5358"/>
    <w:rsid w:val="00CC292E"/>
    <w:rsid w:val="00CD553B"/>
    <w:rsid w:val="00CD6B88"/>
    <w:rsid w:val="00CD6BAB"/>
    <w:rsid w:val="00CE1127"/>
    <w:rsid w:val="00CE7466"/>
    <w:rsid w:val="00CF6B99"/>
    <w:rsid w:val="00CF6CFF"/>
    <w:rsid w:val="00CF70AB"/>
    <w:rsid w:val="00D0076A"/>
    <w:rsid w:val="00D05C07"/>
    <w:rsid w:val="00D06AE6"/>
    <w:rsid w:val="00D07C95"/>
    <w:rsid w:val="00D10F9D"/>
    <w:rsid w:val="00D12E14"/>
    <w:rsid w:val="00D12E62"/>
    <w:rsid w:val="00D14CFA"/>
    <w:rsid w:val="00D15654"/>
    <w:rsid w:val="00D15FC8"/>
    <w:rsid w:val="00D21F9F"/>
    <w:rsid w:val="00D240C4"/>
    <w:rsid w:val="00D2556B"/>
    <w:rsid w:val="00D3059B"/>
    <w:rsid w:val="00D32FE4"/>
    <w:rsid w:val="00D36216"/>
    <w:rsid w:val="00D36ED7"/>
    <w:rsid w:val="00D40054"/>
    <w:rsid w:val="00D40B98"/>
    <w:rsid w:val="00D42E23"/>
    <w:rsid w:val="00D46DC1"/>
    <w:rsid w:val="00D46E60"/>
    <w:rsid w:val="00D50AA1"/>
    <w:rsid w:val="00D51D48"/>
    <w:rsid w:val="00D526E8"/>
    <w:rsid w:val="00D53AA9"/>
    <w:rsid w:val="00D55D39"/>
    <w:rsid w:val="00D57785"/>
    <w:rsid w:val="00D60046"/>
    <w:rsid w:val="00D63DD0"/>
    <w:rsid w:val="00D6500A"/>
    <w:rsid w:val="00D67D1D"/>
    <w:rsid w:val="00D70A08"/>
    <w:rsid w:val="00D71FFB"/>
    <w:rsid w:val="00D7280C"/>
    <w:rsid w:val="00D73AAD"/>
    <w:rsid w:val="00D74B9C"/>
    <w:rsid w:val="00D76961"/>
    <w:rsid w:val="00D76A43"/>
    <w:rsid w:val="00D77D65"/>
    <w:rsid w:val="00D87052"/>
    <w:rsid w:val="00D94906"/>
    <w:rsid w:val="00D96BFE"/>
    <w:rsid w:val="00DA5DF3"/>
    <w:rsid w:val="00DB476A"/>
    <w:rsid w:val="00DB5D7B"/>
    <w:rsid w:val="00DC1A45"/>
    <w:rsid w:val="00DC357B"/>
    <w:rsid w:val="00DC42DA"/>
    <w:rsid w:val="00DD0088"/>
    <w:rsid w:val="00DD052D"/>
    <w:rsid w:val="00DD1C65"/>
    <w:rsid w:val="00DD220D"/>
    <w:rsid w:val="00DD2683"/>
    <w:rsid w:val="00DD47CD"/>
    <w:rsid w:val="00DD5C92"/>
    <w:rsid w:val="00DD70E4"/>
    <w:rsid w:val="00DE14A5"/>
    <w:rsid w:val="00DE15C8"/>
    <w:rsid w:val="00DE2D8F"/>
    <w:rsid w:val="00DF2C63"/>
    <w:rsid w:val="00DF599F"/>
    <w:rsid w:val="00E00268"/>
    <w:rsid w:val="00E00A41"/>
    <w:rsid w:val="00E05730"/>
    <w:rsid w:val="00E059C3"/>
    <w:rsid w:val="00E10B10"/>
    <w:rsid w:val="00E10E96"/>
    <w:rsid w:val="00E118D4"/>
    <w:rsid w:val="00E14B73"/>
    <w:rsid w:val="00E1597C"/>
    <w:rsid w:val="00E16A37"/>
    <w:rsid w:val="00E1771A"/>
    <w:rsid w:val="00E177D3"/>
    <w:rsid w:val="00E17F17"/>
    <w:rsid w:val="00E17F48"/>
    <w:rsid w:val="00E20AF2"/>
    <w:rsid w:val="00E2248B"/>
    <w:rsid w:val="00E231D0"/>
    <w:rsid w:val="00E26B1B"/>
    <w:rsid w:val="00E27E90"/>
    <w:rsid w:val="00E30835"/>
    <w:rsid w:val="00E3392B"/>
    <w:rsid w:val="00E36697"/>
    <w:rsid w:val="00E51DE4"/>
    <w:rsid w:val="00E63A2B"/>
    <w:rsid w:val="00E644AD"/>
    <w:rsid w:val="00E67F9A"/>
    <w:rsid w:val="00E70510"/>
    <w:rsid w:val="00E75137"/>
    <w:rsid w:val="00E77526"/>
    <w:rsid w:val="00E82B74"/>
    <w:rsid w:val="00E847DA"/>
    <w:rsid w:val="00E90F14"/>
    <w:rsid w:val="00E913FC"/>
    <w:rsid w:val="00E94A06"/>
    <w:rsid w:val="00EA2FDD"/>
    <w:rsid w:val="00EA36E8"/>
    <w:rsid w:val="00EA5292"/>
    <w:rsid w:val="00EB08EB"/>
    <w:rsid w:val="00EB1E52"/>
    <w:rsid w:val="00EB3E45"/>
    <w:rsid w:val="00EB4308"/>
    <w:rsid w:val="00EC034F"/>
    <w:rsid w:val="00EC18FE"/>
    <w:rsid w:val="00EC1F5D"/>
    <w:rsid w:val="00EC7797"/>
    <w:rsid w:val="00ED2C58"/>
    <w:rsid w:val="00ED3849"/>
    <w:rsid w:val="00ED47CA"/>
    <w:rsid w:val="00ED4DA9"/>
    <w:rsid w:val="00ED619A"/>
    <w:rsid w:val="00ED7334"/>
    <w:rsid w:val="00EE6EC4"/>
    <w:rsid w:val="00F02E23"/>
    <w:rsid w:val="00F067F9"/>
    <w:rsid w:val="00F070CE"/>
    <w:rsid w:val="00F0789F"/>
    <w:rsid w:val="00F17D13"/>
    <w:rsid w:val="00F209E4"/>
    <w:rsid w:val="00F24CE6"/>
    <w:rsid w:val="00F258FB"/>
    <w:rsid w:val="00F3018E"/>
    <w:rsid w:val="00F3237E"/>
    <w:rsid w:val="00F34CB0"/>
    <w:rsid w:val="00F37551"/>
    <w:rsid w:val="00F41CF1"/>
    <w:rsid w:val="00F44CAA"/>
    <w:rsid w:val="00F45456"/>
    <w:rsid w:val="00F46A93"/>
    <w:rsid w:val="00F46DFC"/>
    <w:rsid w:val="00F51007"/>
    <w:rsid w:val="00F537C9"/>
    <w:rsid w:val="00F55094"/>
    <w:rsid w:val="00F579EA"/>
    <w:rsid w:val="00F60D2A"/>
    <w:rsid w:val="00F62F7E"/>
    <w:rsid w:val="00F63770"/>
    <w:rsid w:val="00F639A0"/>
    <w:rsid w:val="00F71FAC"/>
    <w:rsid w:val="00F744A4"/>
    <w:rsid w:val="00F75F90"/>
    <w:rsid w:val="00F846D9"/>
    <w:rsid w:val="00F8793F"/>
    <w:rsid w:val="00F94E3F"/>
    <w:rsid w:val="00FA18C9"/>
    <w:rsid w:val="00FA21BE"/>
    <w:rsid w:val="00FA7877"/>
    <w:rsid w:val="00FB135C"/>
    <w:rsid w:val="00FB1995"/>
    <w:rsid w:val="00FB680D"/>
    <w:rsid w:val="00FB7906"/>
    <w:rsid w:val="00FC14DC"/>
    <w:rsid w:val="00FC3023"/>
    <w:rsid w:val="00FC3B4C"/>
    <w:rsid w:val="00FC4E77"/>
    <w:rsid w:val="00FD0919"/>
    <w:rsid w:val="00FD17F1"/>
    <w:rsid w:val="00FD2FE2"/>
    <w:rsid w:val="00FD4D71"/>
    <w:rsid w:val="00FD4F7E"/>
    <w:rsid w:val="00FD5F4C"/>
    <w:rsid w:val="00FE1B9E"/>
    <w:rsid w:val="00FE4ACE"/>
    <w:rsid w:val="00FE6EDD"/>
    <w:rsid w:val="00FF143A"/>
    <w:rsid w:val="00FF1F33"/>
    <w:rsid w:val="00FF3326"/>
    <w:rsid w:val="00FF50CD"/>
    <w:rsid w:val="00FF5C35"/>
    <w:rsid w:val="00FF7F0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D4F9B"/>
  <w15:chartTrackingRefBased/>
  <w15:docId w15:val="{6E3148E6-3891-4A9B-8DED-220B43B4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0C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F070CE"/>
    <w:pPr>
      <w:keepNext/>
      <w:keepLines/>
      <w:numPr>
        <w:numId w:val="6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F070CE"/>
    <w:pPr>
      <w:keepNext/>
      <w:keepLines/>
      <w:numPr>
        <w:ilvl w:val="1"/>
        <w:numId w:val="6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070CE"/>
    <w:pPr>
      <w:keepNext/>
      <w:keepLines/>
      <w:numPr>
        <w:ilvl w:val="2"/>
        <w:numId w:val="6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070CE"/>
    <w:pPr>
      <w:keepNext/>
      <w:numPr>
        <w:ilvl w:val="3"/>
        <w:numId w:val="6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070CE"/>
    <w:pPr>
      <w:keepNext/>
      <w:numPr>
        <w:ilvl w:val="4"/>
        <w:numId w:val="65"/>
      </w:numPr>
      <w:spacing w:before="120" w:after="120"/>
      <w:jc w:val="left"/>
      <w:outlineLvl w:val="4"/>
    </w:pPr>
    <w:rPr>
      <w:rFonts w:eastAsiaTheme="majorEastAsia"/>
      <w:i/>
      <w:iCs/>
    </w:rPr>
  </w:style>
  <w:style w:type="paragraph" w:styleId="Heading6">
    <w:name w:val="heading 6"/>
    <w:basedOn w:val="Normal"/>
    <w:next w:val="Normal"/>
    <w:link w:val="Heading6Char"/>
    <w:semiHidden/>
    <w:rsid w:val="00F070CE"/>
    <w:pPr>
      <w:keepNext/>
      <w:keepLines/>
      <w:numPr>
        <w:ilvl w:val="5"/>
        <w:numId w:val="3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F070CE"/>
    <w:pPr>
      <w:keepNext/>
      <w:keepLines/>
      <w:widowControl w:val="0"/>
      <w:numPr>
        <w:ilvl w:val="6"/>
        <w:numId w:val="3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F070CE"/>
    <w:pPr>
      <w:keepNext/>
      <w:keepLines/>
      <w:widowControl w:val="0"/>
      <w:numPr>
        <w:ilvl w:val="7"/>
        <w:numId w:val="3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F070CE"/>
    <w:pPr>
      <w:keepNext/>
      <w:widowControl w:val="0"/>
      <w:numPr>
        <w:ilvl w:val="8"/>
        <w:numId w:val="3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F070C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F070C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F070CE"/>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F070CE"/>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F070CE"/>
    <w:pPr>
      <w:jc w:val="left"/>
    </w:pPr>
    <w:rPr>
      <w:sz w:val="18"/>
      <w:szCs w:val="20"/>
    </w:rPr>
  </w:style>
  <w:style w:type="character" w:customStyle="1" w:styleId="FootnoteTextChar">
    <w:name w:val="Footnote Text Char"/>
    <w:basedOn w:val="DefaultParagraphFont"/>
    <w:link w:val="FootnoteText"/>
    <w:uiPriority w:val="99"/>
    <w:rsid w:val="00F070CE"/>
    <w:rPr>
      <w:rFonts w:ascii="Times New Roman" w:eastAsia="SimSun" w:hAnsi="Times New Roman" w:cs="Times New Roman"/>
      <w:kern w:val="0"/>
      <w:sz w:val="18"/>
      <w:szCs w:val="20"/>
      <w:lang w:val="es-ES"/>
      <w14:ligatures w14:val="none"/>
    </w:rPr>
  </w:style>
  <w:style w:type="character" w:styleId="FootnoteReference">
    <w:name w:val="footnote reference"/>
    <w:basedOn w:val="DefaultParagraphFont"/>
    <w:uiPriority w:val="99"/>
    <w:semiHidden/>
    <w:unhideWhenUsed/>
    <w:rsid w:val="00F070CE"/>
    <w:rPr>
      <w:vertAlign w:val="superscript"/>
      <w:lang w:val="es-ES"/>
    </w:rPr>
  </w:style>
  <w:style w:type="paragraph" w:customStyle="1" w:styleId="Footnote">
    <w:name w:val="Footnote"/>
    <w:basedOn w:val="FootnoteText"/>
    <w:qFormat/>
    <w:rsid w:val="00F070C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F070CE"/>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Header">
    <w:name w:val="header"/>
    <w:basedOn w:val="Normal"/>
    <w:link w:val="HeaderChar"/>
    <w:rsid w:val="00F070C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F070CE"/>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F070CE"/>
    <w:pPr>
      <w:tabs>
        <w:tab w:val="center" w:pos="4680"/>
        <w:tab w:val="right" w:pos="9360"/>
      </w:tabs>
    </w:pPr>
    <w:rPr>
      <w:sz w:val="20"/>
    </w:rPr>
  </w:style>
  <w:style w:type="character" w:customStyle="1" w:styleId="FooterChar">
    <w:name w:val="Footer Char"/>
    <w:basedOn w:val="DefaultParagraphFont"/>
    <w:link w:val="Footer"/>
    <w:uiPriority w:val="99"/>
    <w:rsid w:val="00F070CE"/>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F070CE"/>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070CE"/>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F070CE"/>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F070CE"/>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F070CE"/>
    <w:rPr>
      <w:sz w:val="16"/>
      <w:szCs w:val="16"/>
      <w:lang w:val="es-ES"/>
    </w:rPr>
  </w:style>
  <w:style w:type="paragraph" w:styleId="CommentText">
    <w:name w:val="annotation text"/>
    <w:basedOn w:val="Normal"/>
    <w:link w:val="CommentTextChar"/>
    <w:uiPriority w:val="99"/>
    <w:rsid w:val="00F070CE"/>
    <w:rPr>
      <w:sz w:val="20"/>
      <w:szCs w:val="20"/>
    </w:rPr>
  </w:style>
  <w:style w:type="character" w:customStyle="1" w:styleId="CommentTextChar">
    <w:name w:val="Comment Text Char"/>
    <w:basedOn w:val="DefaultParagraphFont"/>
    <w:link w:val="CommentText"/>
    <w:uiPriority w:val="99"/>
    <w:rsid w:val="00F070CE"/>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F070CE"/>
    <w:rPr>
      <w:b/>
      <w:bCs/>
    </w:rPr>
  </w:style>
  <w:style w:type="character" w:customStyle="1" w:styleId="CommentSubjectChar">
    <w:name w:val="Comment Subject Char"/>
    <w:basedOn w:val="CommentTextChar"/>
    <w:link w:val="CommentSubject"/>
    <w:uiPriority w:val="99"/>
    <w:semiHidden/>
    <w:rsid w:val="00F070CE"/>
    <w:rPr>
      <w:rFonts w:ascii="Times New Roman" w:eastAsia="SimSun" w:hAnsi="Times New Roman" w:cs="Times New Roman"/>
      <w:b/>
      <w:bCs/>
      <w:kern w:val="0"/>
      <w:sz w:val="20"/>
      <w:szCs w:val="20"/>
      <w:lang w:val="es-ES"/>
      <w14:ligatures w14:val="none"/>
    </w:rPr>
  </w:style>
  <w:style w:type="character" w:styleId="Hyperlink">
    <w:name w:val="Hyperlink"/>
    <w:basedOn w:val="DefaultParagraphFont"/>
    <w:uiPriority w:val="99"/>
    <w:unhideWhenUsed/>
    <w:rsid w:val="00F070CE"/>
    <w:rPr>
      <w:rFonts w:ascii="Times New Roman" w:hAnsi="Times New Roman"/>
      <w:color w:val="0563C1" w:themeColor="hyperlink"/>
      <w:u w:val="single"/>
      <w:lang w:val="es-ES"/>
    </w:rPr>
  </w:style>
  <w:style w:type="character" w:styleId="UnresolvedMention">
    <w:name w:val="Unresolved Mention"/>
    <w:basedOn w:val="DefaultParagraphFont"/>
    <w:uiPriority w:val="99"/>
    <w:semiHidden/>
    <w:unhideWhenUsed/>
    <w:rsid w:val="006D2405"/>
    <w:rPr>
      <w:color w:val="605E5C"/>
      <w:shd w:val="clear" w:color="auto" w:fill="E1DFDD"/>
      <w:lang w:val="es-ES"/>
    </w:rPr>
  </w:style>
  <w:style w:type="character" w:styleId="FollowedHyperlink">
    <w:name w:val="FollowedHyperlink"/>
    <w:basedOn w:val="DefaultParagraphFont"/>
    <w:uiPriority w:val="99"/>
    <w:semiHidden/>
    <w:unhideWhenUsed/>
    <w:rsid w:val="00447CA2"/>
    <w:rPr>
      <w:color w:val="954F72" w:themeColor="followedHyperlink"/>
      <w:u w:val="single"/>
      <w:lang w:val="es-ES"/>
    </w:rPr>
  </w:style>
  <w:style w:type="paragraph" w:styleId="Revision">
    <w:name w:val="Revision"/>
    <w:hidden/>
    <w:uiPriority w:val="99"/>
    <w:semiHidden/>
    <w:rsid w:val="00F070CE"/>
    <w:pPr>
      <w:spacing w:after="0" w:line="240" w:lineRule="auto"/>
    </w:pPr>
    <w:rPr>
      <w:rFonts w:ascii="Simplified Arabic" w:eastAsia="Times New Roman" w:hAnsi="Simplified Arabic" w:cs="Simplified Arabic"/>
      <w:noProof/>
      <w:kern w:val="0"/>
      <w:sz w:val="24"/>
      <w:szCs w:val="24"/>
      <w14:ligatures w14:val="none"/>
    </w:rPr>
  </w:style>
  <w:style w:type="character" w:customStyle="1" w:styleId="Heading6Char">
    <w:name w:val="Heading 6 Char"/>
    <w:basedOn w:val="DefaultParagraphFont"/>
    <w:link w:val="Heading6"/>
    <w:semiHidden/>
    <w:rsid w:val="00F070CE"/>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F070CE"/>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F070CE"/>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F070CE"/>
    <w:rPr>
      <w:rFonts w:ascii="Times New Roman" w:eastAsia="SimSun" w:hAnsi="Times New Roman" w:cs="Times New Roman"/>
      <w:snapToGrid w:val="0"/>
      <w:kern w:val="0"/>
      <w:u w:val="single"/>
      <w:lang w:val="es-ES"/>
      <w14:ligatures w14:val="none"/>
    </w:rPr>
  </w:style>
  <w:style w:type="paragraph" w:customStyle="1" w:styleId="DarkList-Accent31">
    <w:name w:val="Dark List - Accent 31"/>
    <w:hidden/>
    <w:uiPriority w:val="99"/>
    <w:semiHidden/>
    <w:rsid w:val="00F070CE"/>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F070CE"/>
    <w:pPr>
      <w:spacing w:after="120"/>
      <w:ind w:left="567"/>
    </w:pPr>
  </w:style>
  <w:style w:type="paragraph" w:customStyle="1" w:styleId="ABSymbol">
    <w:name w:val="AB_Symbol"/>
    <w:basedOn w:val="Normal"/>
    <w:qFormat/>
    <w:rsid w:val="00F070C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F070CE"/>
    <w:pPr>
      <w:numPr>
        <w:numId w:val="74"/>
      </w:numPr>
      <w:tabs>
        <w:tab w:val="left" w:pos="3969"/>
      </w:tabs>
      <w:spacing w:before="120" w:after="120"/>
    </w:pPr>
  </w:style>
  <w:style w:type="paragraph" w:customStyle="1" w:styleId="AFCorNotNormal">
    <w:name w:val="AF_CorNotNormal"/>
    <w:basedOn w:val="Normal"/>
    <w:unhideWhenUsed/>
    <w:rsid w:val="00F070CE"/>
  </w:style>
  <w:style w:type="paragraph" w:customStyle="1" w:styleId="AEDistrNormal">
    <w:name w:val="AE_DistrNormal"/>
    <w:basedOn w:val="Normal"/>
    <w:unhideWhenUsed/>
    <w:rsid w:val="00F070CE"/>
    <w:pPr>
      <w:jc w:val="left"/>
    </w:pPr>
  </w:style>
  <w:style w:type="paragraph" w:customStyle="1" w:styleId="AASmallLogo">
    <w:name w:val="AA_SmallLogo"/>
    <w:basedOn w:val="AEDistrNormal"/>
    <w:unhideWhenUsed/>
    <w:rsid w:val="00F070CE"/>
    <w:pPr>
      <w:spacing w:before="40"/>
    </w:pPr>
    <w:rPr>
      <w:sz w:val="4"/>
    </w:rPr>
  </w:style>
  <w:style w:type="paragraph" w:customStyle="1" w:styleId="ACLargeLogo">
    <w:name w:val="AC_LargeLogo"/>
    <w:basedOn w:val="AFCorNotNormal"/>
    <w:next w:val="AISpacer"/>
    <w:unhideWhenUsed/>
    <w:rsid w:val="00F070CE"/>
    <w:pPr>
      <w:spacing w:before="120"/>
      <w:contextualSpacing/>
      <w:jc w:val="left"/>
    </w:pPr>
    <w:rPr>
      <w:sz w:val="8"/>
    </w:rPr>
  </w:style>
  <w:style w:type="paragraph" w:customStyle="1" w:styleId="CBDNormal">
    <w:name w:val="CBD_Normal"/>
    <w:unhideWhenUsed/>
    <w:qFormat/>
    <w:rsid w:val="00F070C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F070CE"/>
    <w:pPr>
      <w:contextualSpacing/>
    </w:pPr>
  </w:style>
  <w:style w:type="numbering" w:customStyle="1" w:styleId="ListCBD">
    <w:name w:val="ListCBD"/>
    <w:basedOn w:val="NoList"/>
    <w:uiPriority w:val="99"/>
    <w:rsid w:val="00F070CE"/>
    <w:pPr>
      <w:numPr>
        <w:numId w:val="47"/>
      </w:numPr>
    </w:pPr>
  </w:style>
  <w:style w:type="paragraph" w:styleId="ListParagraph">
    <w:name w:val="List Paragraph"/>
    <w:basedOn w:val="Normal"/>
    <w:uiPriority w:val="34"/>
    <w:qFormat/>
    <w:rsid w:val="00F070CE"/>
    <w:pPr>
      <w:ind w:left="720"/>
      <w:contextualSpacing/>
    </w:pPr>
  </w:style>
  <w:style w:type="numbering" w:customStyle="1" w:styleId="CBDHeadings">
    <w:name w:val="CBD_Headings"/>
    <w:basedOn w:val="ListCBD"/>
    <w:uiPriority w:val="99"/>
    <w:rsid w:val="00F070CE"/>
    <w:pPr>
      <w:numPr>
        <w:numId w:val="65"/>
      </w:numPr>
    </w:pPr>
  </w:style>
  <w:style w:type="paragraph" w:customStyle="1" w:styleId="AISpacer">
    <w:name w:val="AI_Spacer"/>
    <w:next w:val="Normal"/>
    <w:unhideWhenUsed/>
    <w:qFormat/>
    <w:rsid w:val="00F070CE"/>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F070CE"/>
    <w:pPr>
      <w:spacing w:before="120"/>
    </w:pPr>
  </w:style>
  <w:style w:type="paragraph" w:customStyle="1" w:styleId="AFCorNotBold">
    <w:name w:val="AF_CorNotBold"/>
    <w:basedOn w:val="AFCorNotNormal"/>
    <w:next w:val="AFCorNotNormal"/>
    <w:unhideWhenUsed/>
    <w:qFormat/>
    <w:rsid w:val="00F070CE"/>
    <w:rPr>
      <w:b/>
    </w:rPr>
  </w:style>
  <w:style w:type="paragraph" w:customStyle="1" w:styleId="AFCorNot12Bold">
    <w:name w:val="AF_CorNot12Bold"/>
    <w:basedOn w:val="AFCorNotNormal"/>
    <w:next w:val="AFCorNotNormal"/>
    <w:unhideWhenUsed/>
    <w:qFormat/>
    <w:rsid w:val="00F070CE"/>
    <w:pPr>
      <w:jc w:val="left"/>
    </w:pPr>
    <w:rPr>
      <w:b/>
      <w:sz w:val="24"/>
    </w:rPr>
  </w:style>
  <w:style w:type="paragraph" w:customStyle="1" w:styleId="CBDAgendaItem">
    <w:name w:val="CBD_AgendaItem"/>
    <w:basedOn w:val="Normal"/>
    <w:qFormat/>
    <w:rsid w:val="00F070CE"/>
    <w:pPr>
      <w:keepNext/>
      <w:keepLines/>
      <w:spacing w:before="240" w:after="120"/>
      <w:jc w:val="left"/>
    </w:pPr>
    <w:rPr>
      <w:b/>
      <w:sz w:val="24"/>
    </w:rPr>
  </w:style>
  <w:style w:type="paragraph" w:customStyle="1" w:styleId="CBDDesicionText">
    <w:name w:val="CBD_DesicionText"/>
    <w:basedOn w:val="CBDNormal"/>
    <w:qFormat/>
    <w:rsid w:val="00F070CE"/>
    <w:pPr>
      <w:spacing w:after="120"/>
      <w:ind w:left="567"/>
    </w:pPr>
  </w:style>
  <w:style w:type="paragraph" w:customStyle="1" w:styleId="CBDDesicionAnnex">
    <w:name w:val="CBD_DesicionAnnex"/>
    <w:basedOn w:val="CBDNormal"/>
    <w:next w:val="CBDDesicionText"/>
    <w:qFormat/>
    <w:rsid w:val="00F070C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F070CE"/>
    <w:pPr>
      <w:keepNext/>
      <w:keepLines/>
      <w:spacing w:after="240"/>
      <w:jc w:val="left"/>
    </w:pPr>
    <w:rPr>
      <w:b/>
      <w:sz w:val="28"/>
      <w:lang w:bidi="ar-SY"/>
    </w:rPr>
  </w:style>
  <w:style w:type="paragraph" w:customStyle="1" w:styleId="CBDSubTitle">
    <w:name w:val="CBD_SubTitle"/>
    <w:basedOn w:val="CBDNormal"/>
    <w:qFormat/>
    <w:rsid w:val="00F070CE"/>
    <w:pPr>
      <w:keepNext/>
      <w:keepLines/>
      <w:spacing w:before="240" w:after="240"/>
      <w:ind w:left="567"/>
      <w:jc w:val="left"/>
    </w:pPr>
    <w:rPr>
      <w:b/>
    </w:rPr>
  </w:style>
  <w:style w:type="paragraph" w:customStyle="1" w:styleId="CBDTitle">
    <w:name w:val="CBD_Title"/>
    <w:basedOn w:val="CBDNormal"/>
    <w:next w:val="CBDSubTitle"/>
    <w:qFormat/>
    <w:rsid w:val="00F070CE"/>
    <w:pPr>
      <w:keepNext/>
      <w:keepLines/>
      <w:spacing w:before="240" w:after="240"/>
      <w:ind w:left="567"/>
      <w:jc w:val="left"/>
    </w:pPr>
    <w:rPr>
      <w:b/>
      <w:sz w:val="28"/>
    </w:rPr>
  </w:style>
  <w:style w:type="paragraph" w:customStyle="1" w:styleId="AENormal">
    <w:name w:val="AE_Normal"/>
    <w:basedOn w:val="Normal"/>
    <w:rsid w:val="00F070CE"/>
  </w:style>
  <w:style w:type="paragraph" w:customStyle="1" w:styleId="CBDH1">
    <w:name w:val="CBD_H1"/>
    <w:basedOn w:val="CBDNormal"/>
    <w:qFormat/>
    <w:rsid w:val="00F070CE"/>
    <w:pPr>
      <w:keepNext/>
      <w:keepLines/>
      <w:spacing w:before="240" w:after="120"/>
      <w:ind w:left="567" w:hanging="567"/>
      <w:jc w:val="left"/>
      <w:outlineLvl w:val="0"/>
    </w:pPr>
    <w:rPr>
      <w:b/>
      <w:sz w:val="28"/>
    </w:rPr>
  </w:style>
  <w:style w:type="paragraph" w:customStyle="1" w:styleId="CBDH2">
    <w:name w:val="CBD_H2"/>
    <w:basedOn w:val="CBDNormalNumber"/>
    <w:qFormat/>
    <w:rsid w:val="00F070CE"/>
    <w:pPr>
      <w:keepNext/>
      <w:keepLines/>
      <w:numPr>
        <w:numId w:val="0"/>
      </w:numPr>
      <w:ind w:left="567" w:hanging="567"/>
    </w:pPr>
    <w:rPr>
      <w:b/>
      <w:sz w:val="24"/>
    </w:rPr>
  </w:style>
  <w:style w:type="paragraph" w:customStyle="1" w:styleId="CBDFootnoteText">
    <w:name w:val="CBD_Footnote_Text"/>
    <w:basedOn w:val="CBDNormal"/>
    <w:qFormat/>
    <w:rsid w:val="00F070CE"/>
    <w:pPr>
      <w:jc w:val="left"/>
    </w:pPr>
    <w:rPr>
      <w:sz w:val="18"/>
    </w:rPr>
  </w:style>
  <w:style w:type="paragraph" w:customStyle="1" w:styleId="CBDFooter">
    <w:name w:val="CBD_Footer"/>
    <w:basedOn w:val="CBDNormal"/>
    <w:qFormat/>
    <w:rsid w:val="00F070CE"/>
    <w:rPr>
      <w:sz w:val="20"/>
    </w:rPr>
  </w:style>
  <w:style w:type="paragraph" w:customStyle="1" w:styleId="CBDHeader">
    <w:name w:val="CBD_Header"/>
    <w:basedOn w:val="CBDNormal"/>
    <w:next w:val="CBDFooter"/>
    <w:qFormat/>
    <w:rsid w:val="00F070C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070CE"/>
    <w:pPr>
      <w:keepNext/>
      <w:keepLines/>
      <w:spacing w:before="120" w:after="120"/>
      <w:ind w:left="567" w:hanging="567"/>
      <w:jc w:val="left"/>
    </w:pPr>
    <w:rPr>
      <w:b/>
    </w:rPr>
  </w:style>
  <w:style w:type="paragraph" w:customStyle="1" w:styleId="CBDH4">
    <w:name w:val="CBD_H4"/>
    <w:basedOn w:val="CBDNormal"/>
    <w:rsid w:val="00F070CE"/>
    <w:pPr>
      <w:keepNext/>
      <w:keepLines/>
      <w:spacing w:before="120" w:after="120"/>
      <w:ind w:left="567" w:hanging="567"/>
      <w:jc w:val="left"/>
    </w:pPr>
    <w:rPr>
      <w:b/>
    </w:rPr>
  </w:style>
  <w:style w:type="paragraph" w:customStyle="1" w:styleId="CBDH5">
    <w:name w:val="CBD_H5"/>
    <w:basedOn w:val="CBDNormal"/>
    <w:qFormat/>
    <w:rsid w:val="00F070CE"/>
    <w:pPr>
      <w:keepNext/>
      <w:keepLines/>
      <w:spacing w:before="120" w:after="120"/>
      <w:ind w:left="567" w:hanging="567"/>
      <w:jc w:val="left"/>
    </w:pPr>
    <w:rPr>
      <w:i/>
    </w:rPr>
  </w:style>
  <w:style w:type="paragraph" w:customStyle="1" w:styleId="CBDTableNormal">
    <w:name w:val="CBD_TableNormal"/>
    <w:basedOn w:val="CBDNormal"/>
    <w:qFormat/>
    <w:rsid w:val="00F070CE"/>
    <w:pPr>
      <w:spacing w:before="40" w:after="80"/>
      <w:jc w:val="left"/>
    </w:pPr>
    <w:rPr>
      <w:sz w:val="20"/>
    </w:rPr>
  </w:style>
  <w:style w:type="paragraph" w:customStyle="1" w:styleId="CBDTableTitle">
    <w:name w:val="CBD_TableTitle"/>
    <w:basedOn w:val="CBDNormal"/>
    <w:qFormat/>
    <w:rsid w:val="00F070CE"/>
    <w:pPr>
      <w:keepNext/>
      <w:keepLines/>
      <w:spacing w:before="120" w:after="60"/>
      <w:ind w:left="567"/>
      <w:jc w:val="left"/>
    </w:pPr>
    <w:rPr>
      <w:b/>
    </w:rPr>
  </w:style>
  <w:style w:type="paragraph" w:customStyle="1" w:styleId="CBDFigureTitle">
    <w:name w:val="CBD_FigureTitle"/>
    <w:basedOn w:val="CBDNormal"/>
    <w:next w:val="CBDNormalNoNumber"/>
    <w:qFormat/>
    <w:rsid w:val="00F070CE"/>
    <w:pPr>
      <w:keepNext/>
      <w:keepLines/>
      <w:spacing w:before="120" w:after="60"/>
      <w:ind w:left="567"/>
      <w:jc w:val="left"/>
    </w:pPr>
    <w:rPr>
      <w:b/>
    </w:rPr>
  </w:style>
  <w:style w:type="paragraph" w:styleId="BalloonText">
    <w:name w:val="Balloon Text"/>
    <w:basedOn w:val="Normal"/>
    <w:link w:val="BalloonTextChar"/>
    <w:uiPriority w:val="99"/>
    <w:semiHidden/>
    <w:unhideWhenUsed/>
    <w:rsid w:val="00F070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0C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F070CE"/>
  </w:style>
  <w:style w:type="paragraph" w:styleId="BlockText">
    <w:name w:val="Block Text"/>
    <w:basedOn w:val="Normal"/>
    <w:uiPriority w:val="99"/>
    <w:semiHidden/>
    <w:unhideWhenUsed/>
    <w:rsid w:val="00F070C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F070CE"/>
    <w:pPr>
      <w:spacing w:after="120" w:line="480" w:lineRule="auto"/>
    </w:pPr>
  </w:style>
  <w:style w:type="character" w:customStyle="1" w:styleId="BodyText2Char">
    <w:name w:val="Body Text 2 Char"/>
    <w:basedOn w:val="DefaultParagraphFont"/>
    <w:link w:val="BodyText2"/>
    <w:uiPriority w:val="99"/>
    <w:semiHidden/>
    <w:rsid w:val="00F070CE"/>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F070CE"/>
    <w:pPr>
      <w:spacing w:after="120"/>
    </w:pPr>
    <w:rPr>
      <w:sz w:val="16"/>
      <w:szCs w:val="16"/>
    </w:rPr>
  </w:style>
  <w:style w:type="character" w:customStyle="1" w:styleId="BodyText3Char">
    <w:name w:val="Body Text 3 Char"/>
    <w:basedOn w:val="DefaultParagraphFont"/>
    <w:link w:val="BodyText3"/>
    <w:uiPriority w:val="99"/>
    <w:semiHidden/>
    <w:rsid w:val="00F070C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F070C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F070CE"/>
    <w:rPr>
      <w:rFonts w:ascii="Times New Roman" w:eastAsia="SimSun" w:hAnsi="Times New Roman" w:cs="Times New Roman"/>
      <w:kern w:val="0"/>
      <w:lang w:val="es-ES"/>
      <w14:ligatures w14:val="none"/>
    </w:rPr>
  </w:style>
  <w:style w:type="paragraph" w:styleId="BodyTextIndent">
    <w:name w:val="Body Text Indent"/>
    <w:basedOn w:val="Normal"/>
    <w:link w:val="BodyTextIndentChar"/>
    <w:uiPriority w:val="99"/>
    <w:semiHidden/>
    <w:unhideWhenUsed/>
    <w:rsid w:val="00F070CE"/>
    <w:pPr>
      <w:spacing w:after="120"/>
      <w:ind w:left="283"/>
    </w:pPr>
  </w:style>
  <w:style w:type="character" w:customStyle="1" w:styleId="BodyTextIndentChar">
    <w:name w:val="Body Text Indent Char"/>
    <w:basedOn w:val="DefaultParagraphFont"/>
    <w:link w:val="BodyTextIndent"/>
    <w:uiPriority w:val="99"/>
    <w:semiHidden/>
    <w:rsid w:val="00F070CE"/>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F070CE"/>
    <w:pPr>
      <w:spacing w:after="0"/>
      <w:ind w:left="360" w:firstLine="360"/>
    </w:pPr>
  </w:style>
  <w:style w:type="character" w:customStyle="1" w:styleId="BodyTextFirstIndent2Char">
    <w:name w:val="Body Text First Indent 2 Char"/>
    <w:basedOn w:val="BodyTextIndentChar"/>
    <w:link w:val="BodyTextFirstIndent2"/>
    <w:uiPriority w:val="99"/>
    <w:semiHidden/>
    <w:rsid w:val="00F070CE"/>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F070CE"/>
    <w:pPr>
      <w:spacing w:after="120" w:line="480" w:lineRule="auto"/>
      <w:ind w:left="283"/>
    </w:pPr>
  </w:style>
  <w:style w:type="character" w:customStyle="1" w:styleId="BodyTextIndent2Char">
    <w:name w:val="Body Text Indent 2 Char"/>
    <w:basedOn w:val="DefaultParagraphFont"/>
    <w:link w:val="BodyTextIndent2"/>
    <w:uiPriority w:val="99"/>
    <w:semiHidden/>
    <w:rsid w:val="00F070CE"/>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F070C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070C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F070CE"/>
    <w:rPr>
      <w:b/>
      <w:bCs/>
      <w:i/>
      <w:iCs/>
      <w:spacing w:val="5"/>
      <w:lang w:val="es-ES"/>
    </w:rPr>
  </w:style>
  <w:style w:type="paragraph" w:styleId="Caption">
    <w:name w:val="caption"/>
    <w:basedOn w:val="Normal"/>
    <w:next w:val="Normal"/>
    <w:uiPriority w:val="35"/>
    <w:semiHidden/>
    <w:unhideWhenUsed/>
    <w:qFormat/>
    <w:rsid w:val="00F070CE"/>
    <w:pPr>
      <w:spacing w:after="200"/>
    </w:pPr>
    <w:rPr>
      <w:i/>
      <w:iCs/>
      <w:color w:val="44546A" w:themeColor="text2"/>
      <w:sz w:val="18"/>
      <w:szCs w:val="18"/>
    </w:rPr>
  </w:style>
  <w:style w:type="paragraph" w:styleId="Closing">
    <w:name w:val="Closing"/>
    <w:basedOn w:val="Normal"/>
    <w:link w:val="ClosingChar"/>
    <w:uiPriority w:val="99"/>
    <w:semiHidden/>
    <w:unhideWhenUsed/>
    <w:rsid w:val="00F070CE"/>
    <w:pPr>
      <w:ind w:left="4252"/>
    </w:pPr>
  </w:style>
  <w:style w:type="character" w:customStyle="1" w:styleId="ClosingChar">
    <w:name w:val="Closing Char"/>
    <w:basedOn w:val="DefaultParagraphFont"/>
    <w:link w:val="Closing"/>
    <w:uiPriority w:val="99"/>
    <w:semiHidden/>
    <w:rsid w:val="00F070CE"/>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070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070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070C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070C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070C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070C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070C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070C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070C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070C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070C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070C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070C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070C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070C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070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070C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070C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070C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070C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070C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070C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070CE"/>
  </w:style>
  <w:style w:type="character" w:customStyle="1" w:styleId="DateChar">
    <w:name w:val="Date Char"/>
    <w:basedOn w:val="DefaultParagraphFont"/>
    <w:link w:val="Date"/>
    <w:uiPriority w:val="99"/>
    <w:semiHidden/>
    <w:rsid w:val="00F070CE"/>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F070C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070C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F070CE"/>
  </w:style>
  <w:style w:type="character" w:customStyle="1" w:styleId="E-mailSignatureChar">
    <w:name w:val="E-mail Signature Char"/>
    <w:basedOn w:val="DefaultParagraphFont"/>
    <w:link w:val="E-mailSignature"/>
    <w:uiPriority w:val="99"/>
    <w:semiHidden/>
    <w:rsid w:val="00F070CE"/>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F070CE"/>
    <w:rPr>
      <w:i/>
      <w:iCs/>
      <w:lang w:val="es-ES"/>
    </w:rPr>
  </w:style>
  <w:style w:type="character" w:styleId="EndnoteReference">
    <w:name w:val="endnote reference"/>
    <w:basedOn w:val="DefaultParagraphFont"/>
    <w:uiPriority w:val="99"/>
    <w:semiHidden/>
    <w:unhideWhenUsed/>
    <w:rsid w:val="00F070CE"/>
    <w:rPr>
      <w:vertAlign w:val="superscript"/>
      <w:lang w:val="es-ES"/>
    </w:rPr>
  </w:style>
  <w:style w:type="paragraph" w:styleId="EndnoteText">
    <w:name w:val="endnote text"/>
    <w:basedOn w:val="Normal"/>
    <w:link w:val="EndnoteTextChar"/>
    <w:uiPriority w:val="99"/>
    <w:semiHidden/>
    <w:unhideWhenUsed/>
    <w:rsid w:val="00F070CE"/>
    <w:rPr>
      <w:sz w:val="20"/>
      <w:szCs w:val="20"/>
    </w:rPr>
  </w:style>
  <w:style w:type="character" w:customStyle="1" w:styleId="EndnoteTextChar">
    <w:name w:val="Endnote Text Char"/>
    <w:basedOn w:val="DefaultParagraphFont"/>
    <w:link w:val="EndnoteText"/>
    <w:uiPriority w:val="99"/>
    <w:semiHidden/>
    <w:rsid w:val="00F070C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F070C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070CE"/>
    <w:rPr>
      <w:rFonts w:asciiTheme="majorHAnsi" w:eastAsiaTheme="majorEastAsia" w:hAnsiTheme="majorHAnsi" w:cstheme="majorBidi"/>
      <w:sz w:val="20"/>
      <w:szCs w:val="20"/>
    </w:rPr>
  </w:style>
  <w:style w:type="table" w:styleId="GridTable1Light">
    <w:name w:val="Grid Table 1 Light"/>
    <w:basedOn w:val="TableNormal"/>
    <w:uiPriority w:val="46"/>
    <w:rsid w:val="00F070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070C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070C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070C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070C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070C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070C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070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070C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070C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070C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070C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070C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070C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070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070C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070C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070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070C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070C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070C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070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070C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070C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070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070C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070C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070C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070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070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070C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070C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070C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070C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070C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070C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070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070C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070C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070C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070C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070C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070C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F070CE"/>
    <w:rPr>
      <w:color w:val="2B579A"/>
      <w:shd w:val="clear" w:color="auto" w:fill="E1DFDD"/>
      <w:lang w:val="es-ES"/>
    </w:rPr>
  </w:style>
  <w:style w:type="character" w:styleId="HTMLAcronym">
    <w:name w:val="HTML Acronym"/>
    <w:basedOn w:val="DefaultParagraphFont"/>
    <w:uiPriority w:val="99"/>
    <w:semiHidden/>
    <w:unhideWhenUsed/>
    <w:rsid w:val="00F070CE"/>
    <w:rPr>
      <w:lang w:val="es-ES"/>
    </w:rPr>
  </w:style>
  <w:style w:type="paragraph" w:styleId="HTMLAddress">
    <w:name w:val="HTML Address"/>
    <w:basedOn w:val="Normal"/>
    <w:link w:val="HTMLAddressChar"/>
    <w:uiPriority w:val="99"/>
    <w:semiHidden/>
    <w:unhideWhenUsed/>
    <w:rsid w:val="00F070CE"/>
    <w:rPr>
      <w:i/>
      <w:iCs/>
    </w:rPr>
  </w:style>
  <w:style w:type="character" w:customStyle="1" w:styleId="HTMLAddressChar">
    <w:name w:val="HTML Address Char"/>
    <w:basedOn w:val="DefaultParagraphFont"/>
    <w:link w:val="HTMLAddress"/>
    <w:uiPriority w:val="99"/>
    <w:semiHidden/>
    <w:rsid w:val="00F070CE"/>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F070CE"/>
    <w:rPr>
      <w:i/>
      <w:iCs/>
      <w:lang w:val="es-ES"/>
    </w:rPr>
  </w:style>
  <w:style w:type="character" w:styleId="HTMLCode">
    <w:name w:val="HTML Code"/>
    <w:basedOn w:val="DefaultParagraphFont"/>
    <w:uiPriority w:val="99"/>
    <w:semiHidden/>
    <w:unhideWhenUsed/>
    <w:rsid w:val="00F070CE"/>
    <w:rPr>
      <w:rFonts w:ascii="Consolas" w:hAnsi="Consolas"/>
      <w:sz w:val="20"/>
      <w:szCs w:val="20"/>
      <w:lang w:val="es-ES"/>
    </w:rPr>
  </w:style>
  <w:style w:type="character" w:styleId="HTMLDefinition">
    <w:name w:val="HTML Definition"/>
    <w:basedOn w:val="DefaultParagraphFont"/>
    <w:uiPriority w:val="99"/>
    <w:semiHidden/>
    <w:unhideWhenUsed/>
    <w:rsid w:val="00F070CE"/>
    <w:rPr>
      <w:i/>
      <w:iCs/>
      <w:lang w:val="es-ES"/>
    </w:rPr>
  </w:style>
  <w:style w:type="character" w:styleId="HTMLKeyboard">
    <w:name w:val="HTML Keyboard"/>
    <w:basedOn w:val="DefaultParagraphFont"/>
    <w:uiPriority w:val="99"/>
    <w:semiHidden/>
    <w:unhideWhenUsed/>
    <w:rsid w:val="00F070C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F070C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070C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F070CE"/>
    <w:rPr>
      <w:rFonts w:ascii="Consolas" w:hAnsi="Consolas"/>
      <w:sz w:val="24"/>
      <w:szCs w:val="24"/>
      <w:lang w:val="es-ES"/>
    </w:rPr>
  </w:style>
  <w:style w:type="character" w:styleId="HTMLTypewriter">
    <w:name w:val="HTML Typewriter"/>
    <w:basedOn w:val="DefaultParagraphFont"/>
    <w:uiPriority w:val="99"/>
    <w:semiHidden/>
    <w:unhideWhenUsed/>
    <w:rsid w:val="00F070CE"/>
    <w:rPr>
      <w:rFonts w:ascii="Consolas" w:hAnsi="Consolas"/>
      <w:sz w:val="20"/>
      <w:szCs w:val="20"/>
      <w:lang w:val="es-ES"/>
    </w:rPr>
  </w:style>
  <w:style w:type="character" w:styleId="HTMLVariable">
    <w:name w:val="HTML Variable"/>
    <w:basedOn w:val="DefaultParagraphFont"/>
    <w:uiPriority w:val="99"/>
    <w:semiHidden/>
    <w:unhideWhenUsed/>
    <w:rsid w:val="00F070CE"/>
    <w:rPr>
      <w:i/>
      <w:iCs/>
      <w:lang w:val="es-ES"/>
    </w:rPr>
  </w:style>
  <w:style w:type="paragraph" w:styleId="Index1">
    <w:name w:val="index 1"/>
    <w:basedOn w:val="Normal"/>
    <w:next w:val="Normal"/>
    <w:autoRedefine/>
    <w:uiPriority w:val="99"/>
    <w:semiHidden/>
    <w:unhideWhenUsed/>
    <w:rsid w:val="00F070C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F070C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F070C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F070C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F070C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F070C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F070C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F070C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F070C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F070CE"/>
    <w:rPr>
      <w:rFonts w:asciiTheme="majorHAnsi" w:eastAsiaTheme="majorEastAsia" w:hAnsiTheme="majorHAnsi" w:cstheme="majorBidi"/>
      <w:b/>
      <w:bCs/>
    </w:rPr>
  </w:style>
  <w:style w:type="character" w:styleId="IntenseEmphasis">
    <w:name w:val="Intense Emphasis"/>
    <w:basedOn w:val="DefaultParagraphFont"/>
    <w:uiPriority w:val="21"/>
    <w:qFormat/>
    <w:rsid w:val="00F070CE"/>
    <w:rPr>
      <w:i/>
      <w:iCs/>
      <w:color w:val="4472C4" w:themeColor="accent1"/>
      <w:lang w:val="es-ES"/>
    </w:rPr>
  </w:style>
  <w:style w:type="paragraph" w:styleId="IntenseQuote">
    <w:name w:val="Intense Quote"/>
    <w:basedOn w:val="Normal"/>
    <w:next w:val="Normal"/>
    <w:link w:val="IntenseQuoteChar"/>
    <w:uiPriority w:val="30"/>
    <w:qFormat/>
    <w:rsid w:val="00F070C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070CE"/>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F070CE"/>
    <w:rPr>
      <w:b/>
      <w:bCs/>
      <w:smallCaps/>
      <w:color w:val="4472C4" w:themeColor="accent1"/>
      <w:spacing w:val="5"/>
      <w:lang w:val="es-ES"/>
    </w:rPr>
  </w:style>
  <w:style w:type="table" w:styleId="LightGrid">
    <w:name w:val="Light Grid"/>
    <w:basedOn w:val="TableNormal"/>
    <w:uiPriority w:val="62"/>
    <w:semiHidden/>
    <w:unhideWhenUsed/>
    <w:rsid w:val="00F070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070C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070C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070C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070C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070C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070C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070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070C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070C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070C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070C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070C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070C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070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070C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070C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070C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070C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070C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070C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070CE"/>
    <w:rPr>
      <w:lang w:val="es-ES"/>
    </w:rPr>
  </w:style>
  <w:style w:type="paragraph" w:styleId="List2">
    <w:name w:val="List 2"/>
    <w:basedOn w:val="Normal"/>
    <w:uiPriority w:val="99"/>
    <w:semiHidden/>
    <w:unhideWhenUsed/>
    <w:rsid w:val="00F070CE"/>
    <w:pPr>
      <w:ind w:left="566" w:hanging="283"/>
      <w:contextualSpacing/>
    </w:pPr>
  </w:style>
  <w:style w:type="paragraph" w:styleId="List3">
    <w:name w:val="List 3"/>
    <w:basedOn w:val="Normal"/>
    <w:uiPriority w:val="99"/>
    <w:semiHidden/>
    <w:unhideWhenUsed/>
    <w:rsid w:val="00F070CE"/>
    <w:pPr>
      <w:ind w:left="849" w:hanging="283"/>
      <w:contextualSpacing/>
    </w:pPr>
  </w:style>
  <w:style w:type="paragraph" w:styleId="List4">
    <w:name w:val="List 4"/>
    <w:basedOn w:val="Normal"/>
    <w:uiPriority w:val="99"/>
    <w:semiHidden/>
    <w:unhideWhenUsed/>
    <w:rsid w:val="00F070CE"/>
    <w:pPr>
      <w:ind w:left="1132" w:hanging="283"/>
      <w:contextualSpacing/>
    </w:pPr>
  </w:style>
  <w:style w:type="paragraph" w:styleId="List5">
    <w:name w:val="List 5"/>
    <w:basedOn w:val="Normal"/>
    <w:uiPriority w:val="99"/>
    <w:semiHidden/>
    <w:unhideWhenUsed/>
    <w:rsid w:val="00F070CE"/>
    <w:pPr>
      <w:ind w:left="1415" w:hanging="283"/>
      <w:contextualSpacing/>
    </w:pPr>
  </w:style>
  <w:style w:type="paragraph" w:styleId="ListBullet">
    <w:name w:val="List Bullet"/>
    <w:basedOn w:val="Normal"/>
    <w:uiPriority w:val="99"/>
    <w:semiHidden/>
    <w:unhideWhenUsed/>
    <w:rsid w:val="00F070CE"/>
    <w:pPr>
      <w:numPr>
        <w:numId w:val="34"/>
      </w:numPr>
      <w:contextualSpacing/>
    </w:pPr>
  </w:style>
  <w:style w:type="paragraph" w:styleId="ListBullet2">
    <w:name w:val="List Bullet 2"/>
    <w:basedOn w:val="Normal"/>
    <w:uiPriority w:val="99"/>
    <w:semiHidden/>
    <w:unhideWhenUsed/>
    <w:rsid w:val="00F070CE"/>
    <w:pPr>
      <w:numPr>
        <w:numId w:val="35"/>
      </w:numPr>
      <w:contextualSpacing/>
    </w:pPr>
  </w:style>
  <w:style w:type="paragraph" w:styleId="ListBullet3">
    <w:name w:val="List Bullet 3"/>
    <w:basedOn w:val="Normal"/>
    <w:uiPriority w:val="99"/>
    <w:semiHidden/>
    <w:unhideWhenUsed/>
    <w:rsid w:val="00F070CE"/>
    <w:pPr>
      <w:numPr>
        <w:numId w:val="36"/>
      </w:numPr>
      <w:contextualSpacing/>
    </w:pPr>
  </w:style>
  <w:style w:type="paragraph" w:styleId="ListBullet4">
    <w:name w:val="List Bullet 4"/>
    <w:basedOn w:val="Normal"/>
    <w:uiPriority w:val="99"/>
    <w:semiHidden/>
    <w:unhideWhenUsed/>
    <w:rsid w:val="00F070CE"/>
    <w:pPr>
      <w:numPr>
        <w:numId w:val="37"/>
      </w:numPr>
      <w:contextualSpacing/>
    </w:pPr>
  </w:style>
  <w:style w:type="paragraph" w:styleId="ListBullet5">
    <w:name w:val="List Bullet 5"/>
    <w:basedOn w:val="Normal"/>
    <w:uiPriority w:val="99"/>
    <w:semiHidden/>
    <w:unhideWhenUsed/>
    <w:rsid w:val="00F070CE"/>
    <w:pPr>
      <w:numPr>
        <w:numId w:val="38"/>
      </w:numPr>
      <w:contextualSpacing/>
    </w:pPr>
  </w:style>
  <w:style w:type="paragraph" w:styleId="ListContinue">
    <w:name w:val="List Continue"/>
    <w:basedOn w:val="Normal"/>
    <w:uiPriority w:val="99"/>
    <w:semiHidden/>
    <w:unhideWhenUsed/>
    <w:rsid w:val="00F070CE"/>
    <w:pPr>
      <w:spacing w:after="120"/>
      <w:ind w:left="283"/>
      <w:contextualSpacing/>
    </w:pPr>
  </w:style>
  <w:style w:type="paragraph" w:styleId="ListContinue2">
    <w:name w:val="List Continue 2"/>
    <w:basedOn w:val="Normal"/>
    <w:uiPriority w:val="99"/>
    <w:semiHidden/>
    <w:unhideWhenUsed/>
    <w:rsid w:val="00F070CE"/>
    <w:pPr>
      <w:spacing w:after="120"/>
      <w:ind w:left="566"/>
      <w:contextualSpacing/>
    </w:pPr>
  </w:style>
  <w:style w:type="paragraph" w:styleId="ListContinue3">
    <w:name w:val="List Continue 3"/>
    <w:basedOn w:val="Normal"/>
    <w:uiPriority w:val="99"/>
    <w:semiHidden/>
    <w:unhideWhenUsed/>
    <w:rsid w:val="00F070CE"/>
    <w:pPr>
      <w:spacing w:after="120"/>
      <w:ind w:left="849"/>
      <w:contextualSpacing/>
    </w:pPr>
  </w:style>
  <w:style w:type="paragraph" w:styleId="ListContinue4">
    <w:name w:val="List Continue 4"/>
    <w:basedOn w:val="Normal"/>
    <w:uiPriority w:val="99"/>
    <w:semiHidden/>
    <w:unhideWhenUsed/>
    <w:rsid w:val="00F070CE"/>
    <w:pPr>
      <w:spacing w:after="120"/>
      <w:ind w:left="1132"/>
      <w:contextualSpacing/>
    </w:pPr>
  </w:style>
  <w:style w:type="paragraph" w:styleId="ListContinue5">
    <w:name w:val="List Continue 5"/>
    <w:basedOn w:val="Normal"/>
    <w:uiPriority w:val="99"/>
    <w:semiHidden/>
    <w:unhideWhenUsed/>
    <w:rsid w:val="00F070CE"/>
    <w:pPr>
      <w:spacing w:after="120"/>
      <w:ind w:left="1415"/>
      <w:contextualSpacing/>
    </w:pPr>
  </w:style>
  <w:style w:type="paragraph" w:styleId="ListNumber">
    <w:name w:val="List Number"/>
    <w:basedOn w:val="Normal"/>
    <w:uiPriority w:val="99"/>
    <w:semiHidden/>
    <w:unhideWhenUsed/>
    <w:rsid w:val="00F070CE"/>
    <w:pPr>
      <w:numPr>
        <w:numId w:val="75"/>
      </w:numPr>
      <w:contextualSpacing/>
    </w:pPr>
  </w:style>
  <w:style w:type="paragraph" w:styleId="ListNumber2">
    <w:name w:val="List Number 2"/>
    <w:basedOn w:val="Normal"/>
    <w:uiPriority w:val="99"/>
    <w:semiHidden/>
    <w:unhideWhenUsed/>
    <w:rsid w:val="00F070CE"/>
    <w:pPr>
      <w:numPr>
        <w:numId w:val="76"/>
      </w:numPr>
      <w:contextualSpacing/>
    </w:pPr>
  </w:style>
  <w:style w:type="paragraph" w:styleId="ListNumber3">
    <w:name w:val="List Number 3"/>
    <w:basedOn w:val="Normal"/>
    <w:uiPriority w:val="99"/>
    <w:semiHidden/>
    <w:unhideWhenUsed/>
    <w:rsid w:val="00F070CE"/>
    <w:pPr>
      <w:numPr>
        <w:numId w:val="77"/>
      </w:numPr>
      <w:contextualSpacing/>
    </w:pPr>
  </w:style>
  <w:style w:type="paragraph" w:styleId="ListNumber4">
    <w:name w:val="List Number 4"/>
    <w:basedOn w:val="Normal"/>
    <w:uiPriority w:val="99"/>
    <w:semiHidden/>
    <w:unhideWhenUsed/>
    <w:rsid w:val="00F070CE"/>
    <w:pPr>
      <w:numPr>
        <w:numId w:val="78"/>
      </w:numPr>
      <w:contextualSpacing/>
    </w:pPr>
  </w:style>
  <w:style w:type="paragraph" w:styleId="ListNumber5">
    <w:name w:val="List Number 5"/>
    <w:basedOn w:val="Normal"/>
    <w:uiPriority w:val="99"/>
    <w:semiHidden/>
    <w:unhideWhenUsed/>
    <w:rsid w:val="00F070CE"/>
    <w:pPr>
      <w:numPr>
        <w:numId w:val="79"/>
      </w:numPr>
      <w:contextualSpacing/>
    </w:pPr>
  </w:style>
  <w:style w:type="table" w:styleId="ListTable1Light">
    <w:name w:val="List Table 1 Light"/>
    <w:basedOn w:val="TableNormal"/>
    <w:uiPriority w:val="46"/>
    <w:rsid w:val="00F070C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070C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070C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070C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070C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070C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070C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070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070C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070C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070C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070C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070C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070C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070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070C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070C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070C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070C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070C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070C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070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070C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070C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070C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070C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070C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070C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070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070C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070C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070C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070C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070C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070C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070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070C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070C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070C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070C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070C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070C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070C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070C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070C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070C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070C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070C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070C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070C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F070C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F070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070C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070C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070C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070C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070C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070C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070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070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070C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070C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070C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070C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070C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070C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070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070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070C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070C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070C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070C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070C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070C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070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F070CE"/>
    <w:rPr>
      <w:color w:val="2B579A"/>
      <w:shd w:val="clear" w:color="auto" w:fill="E1DFDD"/>
      <w:lang w:val="es-ES"/>
    </w:rPr>
  </w:style>
  <w:style w:type="paragraph" w:styleId="MessageHeader">
    <w:name w:val="Message Header"/>
    <w:basedOn w:val="Normal"/>
    <w:link w:val="MessageHeaderChar"/>
    <w:uiPriority w:val="99"/>
    <w:semiHidden/>
    <w:unhideWhenUsed/>
    <w:rsid w:val="00F070C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070CE"/>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F070CE"/>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F070CE"/>
    <w:rPr>
      <w:sz w:val="24"/>
      <w:szCs w:val="24"/>
    </w:rPr>
  </w:style>
  <w:style w:type="paragraph" w:styleId="NormalIndent">
    <w:name w:val="Normal Indent"/>
    <w:basedOn w:val="Normal"/>
    <w:uiPriority w:val="99"/>
    <w:semiHidden/>
    <w:unhideWhenUsed/>
    <w:rsid w:val="00F070CE"/>
    <w:pPr>
      <w:ind w:left="720"/>
    </w:pPr>
  </w:style>
  <w:style w:type="paragraph" w:styleId="NoteHeading">
    <w:name w:val="Note Heading"/>
    <w:basedOn w:val="Normal"/>
    <w:next w:val="Normal"/>
    <w:link w:val="NoteHeadingChar"/>
    <w:uiPriority w:val="99"/>
    <w:semiHidden/>
    <w:unhideWhenUsed/>
    <w:rsid w:val="00F070CE"/>
  </w:style>
  <w:style w:type="character" w:customStyle="1" w:styleId="NoteHeadingChar">
    <w:name w:val="Note Heading Char"/>
    <w:basedOn w:val="DefaultParagraphFont"/>
    <w:link w:val="NoteHeading"/>
    <w:uiPriority w:val="99"/>
    <w:semiHidden/>
    <w:rsid w:val="00F070CE"/>
    <w:rPr>
      <w:rFonts w:ascii="Times New Roman" w:eastAsia="SimSun" w:hAnsi="Times New Roman" w:cs="Times New Roman"/>
      <w:kern w:val="0"/>
      <w:lang w:val="es-ES"/>
      <w14:ligatures w14:val="none"/>
    </w:rPr>
  </w:style>
  <w:style w:type="character" w:styleId="PageNumber">
    <w:name w:val="page number"/>
    <w:basedOn w:val="DefaultParagraphFont"/>
    <w:uiPriority w:val="99"/>
    <w:semiHidden/>
    <w:unhideWhenUsed/>
    <w:rsid w:val="00F070CE"/>
    <w:rPr>
      <w:lang w:val="es-ES"/>
    </w:rPr>
  </w:style>
  <w:style w:type="table" w:styleId="PlainTable1">
    <w:name w:val="Plain Table 1"/>
    <w:basedOn w:val="TableNormal"/>
    <w:uiPriority w:val="41"/>
    <w:rsid w:val="00F070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070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070C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070C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070C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070CE"/>
    <w:rPr>
      <w:rFonts w:ascii="Consolas" w:hAnsi="Consolas"/>
      <w:sz w:val="21"/>
      <w:szCs w:val="21"/>
    </w:rPr>
  </w:style>
  <w:style w:type="character" w:customStyle="1" w:styleId="PlainTextChar">
    <w:name w:val="Plain Text Char"/>
    <w:basedOn w:val="DefaultParagraphFont"/>
    <w:link w:val="PlainText"/>
    <w:uiPriority w:val="99"/>
    <w:semiHidden/>
    <w:rsid w:val="00F070CE"/>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F070C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070CE"/>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F070CE"/>
  </w:style>
  <w:style w:type="character" w:customStyle="1" w:styleId="SalutationChar">
    <w:name w:val="Salutation Char"/>
    <w:basedOn w:val="DefaultParagraphFont"/>
    <w:link w:val="Salutation"/>
    <w:uiPriority w:val="99"/>
    <w:semiHidden/>
    <w:rsid w:val="00F070CE"/>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F070CE"/>
    <w:pPr>
      <w:ind w:left="4252"/>
    </w:pPr>
  </w:style>
  <w:style w:type="character" w:customStyle="1" w:styleId="SignatureChar">
    <w:name w:val="Signature Char"/>
    <w:basedOn w:val="DefaultParagraphFont"/>
    <w:link w:val="Signature"/>
    <w:uiPriority w:val="99"/>
    <w:semiHidden/>
    <w:rsid w:val="00F070CE"/>
    <w:rPr>
      <w:rFonts w:ascii="Times New Roman" w:eastAsia="SimSun" w:hAnsi="Times New Roman" w:cs="Times New Roman"/>
      <w:kern w:val="0"/>
      <w:lang w:val="es-ES"/>
      <w14:ligatures w14:val="none"/>
    </w:rPr>
  </w:style>
  <w:style w:type="character" w:styleId="SmartHyperlink">
    <w:name w:val="Smart Hyperlink"/>
    <w:basedOn w:val="DefaultParagraphFont"/>
    <w:uiPriority w:val="99"/>
    <w:semiHidden/>
    <w:unhideWhenUsed/>
    <w:rsid w:val="00F070CE"/>
    <w:rPr>
      <w:u w:val="dotted"/>
      <w:lang w:val="es-ES"/>
    </w:rPr>
  </w:style>
  <w:style w:type="character" w:styleId="SmartLink">
    <w:name w:val="Smart Link"/>
    <w:basedOn w:val="DefaultParagraphFont"/>
    <w:uiPriority w:val="99"/>
    <w:semiHidden/>
    <w:unhideWhenUsed/>
    <w:rsid w:val="00F070CE"/>
    <w:rPr>
      <w:color w:val="0000FF"/>
      <w:u w:val="single"/>
      <w:shd w:val="clear" w:color="auto" w:fill="F3F2F1"/>
      <w:lang w:val="es-ES"/>
    </w:rPr>
  </w:style>
  <w:style w:type="character" w:styleId="Strong">
    <w:name w:val="Strong"/>
    <w:basedOn w:val="DefaultParagraphFont"/>
    <w:uiPriority w:val="22"/>
    <w:qFormat/>
    <w:rsid w:val="00F070CE"/>
    <w:rPr>
      <w:b/>
      <w:bCs/>
      <w:lang w:val="es-ES"/>
    </w:rPr>
  </w:style>
  <w:style w:type="character" w:styleId="SubtleEmphasis">
    <w:name w:val="Subtle Emphasis"/>
    <w:basedOn w:val="DefaultParagraphFont"/>
    <w:uiPriority w:val="19"/>
    <w:qFormat/>
    <w:rsid w:val="00F070CE"/>
    <w:rPr>
      <w:i/>
      <w:iCs/>
      <w:color w:val="404040" w:themeColor="text1" w:themeTint="BF"/>
      <w:lang w:val="es-ES"/>
    </w:rPr>
  </w:style>
  <w:style w:type="character" w:styleId="SubtleReference">
    <w:name w:val="Subtle Reference"/>
    <w:basedOn w:val="DefaultParagraphFont"/>
    <w:uiPriority w:val="31"/>
    <w:qFormat/>
    <w:rsid w:val="00F070CE"/>
    <w:rPr>
      <w:smallCaps/>
      <w:color w:val="5A5A5A" w:themeColor="text1" w:themeTint="A5"/>
      <w:lang w:val="es-ES"/>
    </w:rPr>
  </w:style>
  <w:style w:type="table" w:styleId="Table3Deffects1">
    <w:name w:val="Table 3D effects 1"/>
    <w:basedOn w:val="TableNormal"/>
    <w:uiPriority w:val="99"/>
    <w:semiHidden/>
    <w:unhideWhenUsed/>
    <w:rsid w:val="00F070C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070C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070C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070C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070C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070C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070C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070C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070C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070C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070C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070C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070C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070C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070C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070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070C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070C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070C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070C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070C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070C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F070C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070C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070C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070C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070C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070C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070C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070C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070C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070CE"/>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F070CE"/>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F070CE"/>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F070CE"/>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F070CE"/>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F070CE"/>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F070CE"/>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F070CE"/>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F070CE"/>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F070C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65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stopecocide.earth/legal-definition" TargetMode="External"/><Relationship Id="rId1" Type="http://schemas.openxmlformats.org/officeDocument/2006/relationships/hyperlink" Target="http://www.unep.org/resources/factsheet/montevideo-environmental-law-programme-decade-action-environmental-la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orku\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36650EC33E143D9AFFE441F1C784656"/>
        <w:category>
          <w:name w:val="General"/>
          <w:gallery w:val="placeholder"/>
        </w:category>
        <w:types>
          <w:type w:val="bbPlcHdr"/>
        </w:types>
        <w:behaviors>
          <w:behavior w:val="content"/>
        </w:behaviors>
        <w:guid w:val="{C60C6166-3E7E-4618-9605-AA08F5B101CD}"/>
      </w:docPartPr>
      <w:docPartBody>
        <w:p w:rsidR="008309D2" w:rsidRDefault="008309D2">
          <w:pPr>
            <w:pStyle w:val="936650EC33E143D9AFFE441F1C78465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D2"/>
    <w:rsid w:val="00011D88"/>
    <w:rsid w:val="00027C22"/>
    <w:rsid w:val="000D28AD"/>
    <w:rsid w:val="0015057E"/>
    <w:rsid w:val="001A0C92"/>
    <w:rsid w:val="00321660"/>
    <w:rsid w:val="003A55C5"/>
    <w:rsid w:val="003B5ACB"/>
    <w:rsid w:val="00550DBB"/>
    <w:rsid w:val="00603C2B"/>
    <w:rsid w:val="006D5B94"/>
    <w:rsid w:val="00714387"/>
    <w:rsid w:val="00722D71"/>
    <w:rsid w:val="008309D2"/>
    <w:rsid w:val="00901CE3"/>
    <w:rsid w:val="009364D5"/>
    <w:rsid w:val="00945A04"/>
    <w:rsid w:val="0096458E"/>
    <w:rsid w:val="00A034D4"/>
    <w:rsid w:val="00B56497"/>
    <w:rsid w:val="00D42A91"/>
    <w:rsid w:val="00DB5D7B"/>
    <w:rsid w:val="00DD5C92"/>
    <w:rsid w:val="00E63A2B"/>
    <w:rsid w:val="00F02E23"/>
    <w:rsid w:val="00F45456"/>
    <w:rsid w:val="00F879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36650EC33E143D9AFFE441F1C784656">
    <w:name w:val="936650EC33E143D9AFFE441F1C7846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7DADDB87-3380-48EF-A374-99B05AD47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9DB215-25B7-4F0E-98CC-E2281CA4D2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Template>
  <TotalTime>77</TotalTime>
  <Pages>5</Pages>
  <Words>2585</Words>
  <Characters>13878</Characters>
  <Application>Microsoft Office Word</Application>
  <DocSecurity>0</DocSecurity>
  <Lines>115</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Experiencia en la aplicación de las decisiones de la Conferencia de las Parties en el Convenio relacionadas con el artículo 14, párrafo 2, sobre responsabilidad y reparación</vt:lpstr>
      <vt:lpstr>Experience in implementing the decisions of the Conference of the Parties to the Convention related to Article 14, paragraph 2, on liability and redress</vt:lpstr>
    </vt:vector>
  </TitlesOfParts>
  <Company/>
  <LinksUpToDate>false</LinksUpToDate>
  <CharactersWithSpaces>16431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Experiencia en la aplicación de las decisiones de la Conferencia de las Parties en el Convenio relacionadas con el artículo 14, párrafo 2, sobre responsabilidad y reparación</dc:title>
  <dc:subject>CBD/COP/16/12</dc:subject>
  <dc:creator>Secretariat of the Convention on Biological Diversity</dc:creator>
  <cp:keywords/>
  <dc:description/>
  <cp:lastModifiedBy>Mariko Nishi</cp:lastModifiedBy>
  <cp:revision>24</cp:revision>
  <dcterms:created xsi:type="dcterms:W3CDTF">2024-09-20T21:47:00Z</dcterms:created>
  <dcterms:modified xsi:type="dcterms:W3CDTF">2024-09-23T19:33:00Z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0x01010069BFACF6D92CD24AA50050CE23F68F74</vt:lpwstr>
  </property>
  <property fmtid="{D5CDD505-2E9C-101B-9397-08002B2CF9AE}" pid="6" name="MediaServiceImageTags">
    <vt:lpwstr/>
  </property>
</Properties>
</file>