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AA6F92">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3BA3F041" w:rsidR="00C9161D" w:rsidRPr="00C9161D" w:rsidRDefault="00B26ACD" w:rsidP="00176CEE">
            <w:pPr>
              <w:ind w:left="1215"/>
              <w:rPr>
                <w:szCs w:val="22"/>
              </w:rPr>
            </w:pPr>
            <w:r>
              <w:rPr>
                <w:caps/>
                <w:szCs w:val="22"/>
              </w:rPr>
              <w:t>LIMITED</w:t>
            </w:r>
          </w:p>
          <w:p w14:paraId="06715052" w14:textId="77777777" w:rsidR="00C9161D" w:rsidRPr="00C9161D" w:rsidRDefault="00C9161D" w:rsidP="00176CEE">
            <w:pPr>
              <w:ind w:left="1215"/>
              <w:rPr>
                <w:szCs w:val="22"/>
              </w:rPr>
            </w:pPr>
          </w:p>
          <w:p w14:paraId="44230134" w14:textId="47A40976" w:rsidR="00C9161D" w:rsidRPr="00C9161D" w:rsidRDefault="00DE49D5"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Pr>
                    <w:lang w:val="en-US"/>
                  </w:rPr>
                  <w:t>CBD/</w:t>
                </w:r>
                <w:r w:rsidR="00937130">
                  <w:rPr>
                    <w:lang w:val="en-US"/>
                  </w:rPr>
                  <w:t>COP/15/</w:t>
                </w:r>
                <w:r w:rsidR="00B26ACD">
                  <w:rPr>
                    <w:lang w:val="en-US"/>
                  </w:rPr>
                  <w:t>L.</w:t>
                </w:r>
                <w:r w:rsidR="0033506D">
                  <w:rPr>
                    <w:lang w:val="en-US"/>
                  </w:rPr>
                  <w:t>3</w:t>
                </w:r>
              </w:sdtContent>
            </w:sdt>
          </w:p>
          <w:p w14:paraId="0DF1F033" w14:textId="5D07758E" w:rsidR="00C9161D" w:rsidRPr="00C9161D" w:rsidRDefault="00014947" w:rsidP="00176CEE">
            <w:pPr>
              <w:ind w:left="1215"/>
              <w:rPr>
                <w:szCs w:val="22"/>
              </w:rPr>
            </w:pPr>
            <w:r>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11EE0E99" w:rsidR="00C9161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836DFD">
        <w:rPr>
          <w:snapToGrid w:val="0"/>
          <w:kern w:val="22"/>
          <w:szCs w:val="22"/>
        </w:rPr>
        <w:t>8A</w:t>
      </w:r>
      <w:r w:rsidR="00134846" w:rsidRPr="004B44DE">
        <w:rPr>
          <w:snapToGrid w:val="0"/>
          <w:kern w:val="22"/>
          <w:szCs w:val="22"/>
        </w:rPr>
        <w:t xml:space="preserve"> </w:t>
      </w:r>
    </w:p>
    <w:p w14:paraId="5BE59BEE" w14:textId="77777777" w:rsidR="00836DFD" w:rsidRPr="00C9161D" w:rsidRDefault="00836DFD" w:rsidP="00C9161D"/>
    <w:p w14:paraId="7B37BE94" w14:textId="2D99EDAA" w:rsidR="00836DFD" w:rsidRDefault="00DE49D5" w:rsidP="00836DFD">
      <w:pPr>
        <w:spacing w:before="120" w:after="240"/>
        <w:jc w:val="center"/>
        <w:rPr>
          <w:rStyle w:val="Heading1Char"/>
        </w:rPr>
      </w:pPr>
      <w:sdt>
        <w:sdtPr>
          <w:rPr>
            <w:b/>
            <w:caps/>
            <w:lang w:val="en-US"/>
          </w:rPr>
          <w:alias w:val="Title"/>
          <w:id w:val="459771832"/>
          <w:placeholder>
            <w:docPart w:val="C67846FDEDA74D6B8721C70E1D9C68B6"/>
          </w:placeholder>
          <w:dataBinding w:prefixMappings="xmlns:ns0='http://purl.org/dc/elements/1.1/' xmlns:ns1='http://schemas.openxmlformats.org/package/2006/metadata/core-properties' " w:xpath="/ns1:coreProperties[1]/ns0:title[1]" w:storeItemID="{6C3C8BC8-F283-45AE-878A-BAB7291924A1}"/>
          <w:text/>
        </w:sdtPr>
        <w:sdtEndPr/>
        <w:sdtContent>
          <w:r w:rsidR="00E2262C" w:rsidRPr="00702CA1">
            <w:rPr>
              <w:b/>
              <w:lang w:val="en-US"/>
            </w:rPr>
            <w:t>Informing the scientific and technical evidence base for the post-2020 global biodiversity framework</w:t>
          </w:r>
        </w:sdtContent>
      </w:sdt>
      <w:r w:rsidR="00836DFD">
        <w:rPr>
          <w:b/>
          <w:caps/>
        </w:rPr>
        <w:t xml:space="preserve"> </w:t>
      </w:r>
    </w:p>
    <w:p w14:paraId="249726EF" w14:textId="2E1FE521" w:rsidR="00836DFD" w:rsidRDefault="00836DFD" w:rsidP="00836DFD">
      <w:pPr>
        <w:spacing w:before="120" w:after="240"/>
        <w:jc w:val="center"/>
      </w:pPr>
      <w:r>
        <w:rPr>
          <w:b/>
          <w:szCs w:val="22"/>
          <w:lang w:val="en-CA"/>
        </w:rPr>
        <w:t xml:space="preserve">Draft decision submitted by the Chair of Working Group </w:t>
      </w:r>
      <w:r w:rsidR="00014947">
        <w:rPr>
          <w:b/>
          <w:szCs w:val="22"/>
          <w:lang w:val="en-CA"/>
        </w:rPr>
        <w:t>I</w:t>
      </w:r>
    </w:p>
    <w:p w14:paraId="55BD5958" w14:textId="77777777" w:rsidR="00836DFD" w:rsidRDefault="00836DFD" w:rsidP="00836DFD">
      <w:pPr>
        <w:pStyle w:val="Para1"/>
        <w:numPr>
          <w:ilvl w:val="0"/>
          <w:numId w:val="0"/>
        </w:numPr>
        <w:suppressLineNumbers/>
        <w:suppressAutoHyphens/>
        <w:ind w:firstLine="720"/>
        <w:rPr>
          <w:i/>
          <w:kern w:val="22"/>
          <w:szCs w:val="22"/>
          <w:lang w:eastAsia="ja-JP"/>
        </w:rPr>
      </w:pPr>
      <w:r>
        <w:rPr>
          <w:i/>
          <w:kern w:val="22"/>
          <w:szCs w:val="22"/>
          <w:lang w:eastAsia="ja-JP"/>
        </w:rPr>
        <w:t>The Conference of the Parties</w:t>
      </w:r>
    </w:p>
    <w:p w14:paraId="5C19597D" w14:textId="77777777" w:rsidR="00836DFD" w:rsidRDefault="00836DFD" w:rsidP="00836DFD">
      <w:pPr>
        <w:pStyle w:val="Para1"/>
        <w:numPr>
          <w:ilvl w:val="0"/>
          <w:numId w:val="0"/>
        </w:numPr>
        <w:suppressLineNumbers/>
        <w:suppressAutoHyphens/>
        <w:ind w:firstLine="709"/>
        <w:rPr>
          <w:i/>
          <w:kern w:val="22"/>
          <w:szCs w:val="22"/>
        </w:rPr>
      </w:pPr>
      <w:r>
        <w:rPr>
          <w:iCs/>
          <w:kern w:val="22"/>
          <w:szCs w:val="22"/>
        </w:rPr>
        <w:t>1.</w:t>
      </w:r>
      <w:r>
        <w:rPr>
          <w:i/>
          <w:kern w:val="22"/>
          <w:szCs w:val="22"/>
        </w:rPr>
        <w:tab/>
        <w:t xml:space="preserve">Welcomes </w:t>
      </w:r>
      <w:r>
        <w:rPr>
          <w:kern w:val="22"/>
          <w:szCs w:val="22"/>
        </w:rPr>
        <w:t xml:space="preserve">the </w:t>
      </w:r>
      <w:r>
        <w:rPr>
          <w:i/>
          <w:kern w:val="22"/>
          <w:szCs w:val="22"/>
        </w:rPr>
        <w:t>Global Assessment Report on Biodiversity and Ecosystem Services</w:t>
      </w:r>
      <w:r>
        <w:rPr>
          <w:kern w:val="22"/>
          <w:szCs w:val="22"/>
        </w:rPr>
        <w:t xml:space="preserve"> issued by the Intergovernmental Science-Policy Platform on Biodiversity and Ecosystem Services</w:t>
      </w:r>
      <w:r>
        <w:rPr>
          <w:rStyle w:val="FootnoteReference"/>
          <w:rFonts w:eastAsiaTheme="majorEastAsia"/>
          <w:kern w:val="22"/>
          <w:szCs w:val="22"/>
        </w:rPr>
        <w:footnoteReference w:id="1"/>
      </w:r>
      <w:r>
        <w:rPr>
          <w:kern w:val="22"/>
          <w:szCs w:val="22"/>
        </w:rPr>
        <w:t xml:space="preserve"> and the related regional and thematic </w:t>
      </w:r>
      <w:proofErr w:type="gramStart"/>
      <w:r>
        <w:rPr>
          <w:kern w:val="22"/>
          <w:szCs w:val="22"/>
        </w:rPr>
        <w:t>assessments;</w:t>
      </w:r>
      <w:proofErr w:type="gramEnd"/>
    </w:p>
    <w:p w14:paraId="538AE60D" w14:textId="77777777" w:rsidR="00836DFD" w:rsidRDefault="00836DFD" w:rsidP="00836DFD">
      <w:pPr>
        <w:pStyle w:val="Para1"/>
        <w:numPr>
          <w:ilvl w:val="0"/>
          <w:numId w:val="0"/>
        </w:numPr>
        <w:suppressLineNumbers/>
        <w:suppressAutoHyphens/>
        <w:ind w:firstLine="709"/>
        <w:rPr>
          <w:kern w:val="22"/>
          <w:szCs w:val="22"/>
        </w:rPr>
      </w:pPr>
      <w:r>
        <w:rPr>
          <w:iCs/>
          <w:kern w:val="22"/>
          <w:szCs w:val="22"/>
        </w:rPr>
        <w:t>2</w:t>
      </w:r>
      <w:r>
        <w:rPr>
          <w:i/>
          <w:kern w:val="22"/>
          <w:szCs w:val="22"/>
        </w:rPr>
        <w:t>.</w:t>
      </w:r>
      <w:r>
        <w:rPr>
          <w:i/>
          <w:kern w:val="22"/>
          <w:szCs w:val="22"/>
        </w:rPr>
        <w:tab/>
        <w:t xml:space="preserve">Welcomes </w:t>
      </w:r>
      <w:r>
        <w:rPr>
          <w:kern w:val="22"/>
          <w:szCs w:val="22"/>
        </w:rPr>
        <w:t xml:space="preserve">the special reports of the Intergovernmental Panel on Climate Change on the impacts of global warming of 1.5°C above pre-industrial levels and related global greenhouse gas emission pathways, and on the ocean and cryosphere in a changing climate and on climate change, desertification, land degradation, sustainable land management, food security, and greenhouse gas fluxes in terrestrial </w:t>
      </w:r>
      <w:proofErr w:type="gramStart"/>
      <w:r>
        <w:rPr>
          <w:kern w:val="22"/>
          <w:szCs w:val="22"/>
        </w:rPr>
        <w:t>ecosystems;</w:t>
      </w:r>
      <w:proofErr w:type="gramEnd"/>
    </w:p>
    <w:p w14:paraId="12A8722B"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bookmarkStart w:id="0" w:name="_Hlk120524174"/>
      <w:bookmarkStart w:id="1" w:name="_Hlk71227805"/>
      <w:r>
        <w:rPr>
          <w:iCs/>
          <w:kern w:val="22"/>
          <w:szCs w:val="22"/>
        </w:rPr>
        <w:t>3.</w:t>
      </w:r>
      <w:r>
        <w:rPr>
          <w:i/>
          <w:kern w:val="22"/>
          <w:szCs w:val="22"/>
        </w:rPr>
        <w:tab/>
        <w:t xml:space="preserve">Takes note </w:t>
      </w:r>
      <w:r>
        <w:rPr>
          <w:iCs/>
          <w:kern w:val="22"/>
          <w:szCs w:val="22"/>
        </w:rPr>
        <w:t>of</w:t>
      </w:r>
      <w:r>
        <w:rPr>
          <w:i/>
          <w:kern w:val="22"/>
          <w:szCs w:val="22"/>
        </w:rPr>
        <w:t xml:space="preserve"> </w:t>
      </w:r>
      <w:r>
        <w:rPr>
          <w:kern w:val="22"/>
          <w:szCs w:val="22"/>
        </w:rPr>
        <w:t>the</w:t>
      </w:r>
      <w:r>
        <w:rPr>
          <w:i/>
          <w:kern w:val="22"/>
          <w:szCs w:val="22"/>
        </w:rPr>
        <w:t xml:space="preserve"> </w:t>
      </w:r>
      <w:r>
        <w:rPr>
          <w:kern w:val="22"/>
          <w:szCs w:val="22"/>
        </w:rPr>
        <w:t>fifth edition of the</w:t>
      </w:r>
      <w:r>
        <w:rPr>
          <w:i/>
          <w:kern w:val="22"/>
          <w:szCs w:val="22"/>
        </w:rPr>
        <w:t xml:space="preserve"> Global Biodiversity Outlook</w:t>
      </w:r>
      <w:r>
        <w:rPr>
          <w:kern w:val="22"/>
          <w:szCs w:val="22"/>
        </w:rPr>
        <w:t>,</w:t>
      </w:r>
      <w:r>
        <w:rPr>
          <w:rStyle w:val="FootnoteReference"/>
          <w:rFonts w:eastAsiaTheme="majorEastAsia"/>
          <w:kern w:val="22"/>
          <w:szCs w:val="22"/>
        </w:rPr>
        <w:footnoteReference w:id="2"/>
      </w:r>
      <w:r>
        <w:rPr>
          <w:kern w:val="22"/>
          <w:szCs w:val="22"/>
        </w:rPr>
        <w:t xml:space="preserve"> including its summary for policymakers, as well as the</w:t>
      </w:r>
      <w:r>
        <w:rPr>
          <w:i/>
          <w:kern w:val="22"/>
          <w:szCs w:val="22"/>
        </w:rPr>
        <w:t xml:space="preserve"> </w:t>
      </w:r>
      <w:r>
        <w:rPr>
          <w:kern w:val="22"/>
          <w:szCs w:val="22"/>
        </w:rPr>
        <w:t>second edition of the</w:t>
      </w:r>
      <w:r>
        <w:rPr>
          <w:i/>
          <w:kern w:val="22"/>
          <w:szCs w:val="22"/>
        </w:rPr>
        <w:t xml:space="preserve"> Local Biodiversity Outlooks</w:t>
      </w:r>
      <w:r>
        <w:rPr>
          <w:rStyle w:val="FootnoteReference"/>
          <w:rFonts w:eastAsiaTheme="majorEastAsia"/>
          <w:kern w:val="22"/>
          <w:szCs w:val="22"/>
        </w:rPr>
        <w:footnoteReference w:id="3"/>
      </w:r>
      <w:r>
        <w:rPr>
          <w:kern w:val="22"/>
          <w:szCs w:val="22"/>
        </w:rPr>
        <w:t xml:space="preserve"> and the</w:t>
      </w:r>
      <w:r>
        <w:rPr>
          <w:i/>
          <w:iCs/>
          <w:kern w:val="22"/>
          <w:szCs w:val="22"/>
        </w:rPr>
        <w:t xml:space="preserve"> 2020 Plant Conservation Report</w:t>
      </w:r>
      <w:r>
        <w:rPr>
          <w:kern w:val="22"/>
          <w:szCs w:val="22"/>
        </w:rPr>
        <w:t>;</w:t>
      </w:r>
      <w:r>
        <w:rPr>
          <w:rStyle w:val="FootnoteReference"/>
          <w:rFonts w:eastAsiaTheme="majorEastAsia"/>
          <w:kern w:val="22"/>
          <w:szCs w:val="22"/>
        </w:rPr>
        <w:footnoteReference w:id="4"/>
      </w:r>
    </w:p>
    <w:bookmarkEnd w:id="0"/>
    <w:p w14:paraId="63308F3F"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rPr>
          <w:iCs/>
          <w:kern w:val="22"/>
          <w:szCs w:val="22"/>
        </w:rPr>
        <w:t>4.</w:t>
      </w:r>
      <w:r>
        <w:rPr>
          <w:i/>
          <w:kern w:val="22"/>
          <w:szCs w:val="22"/>
        </w:rPr>
        <w:tab/>
        <w:t>Acknowledges with appreciation</w:t>
      </w:r>
      <w:r>
        <w:rPr>
          <w:kern w:val="22"/>
          <w:szCs w:val="22"/>
        </w:rPr>
        <w:t xml:space="preserve"> the financial support provided by the Governments of Canada, Japan and the United Kingdom of Great Britain and Northern Ireland as well as the European Union for the preparation of the fifth edition of the </w:t>
      </w:r>
      <w:r>
        <w:rPr>
          <w:i/>
          <w:kern w:val="22"/>
          <w:szCs w:val="22"/>
        </w:rPr>
        <w:t xml:space="preserve">Global Biodiversity </w:t>
      </w:r>
      <w:proofErr w:type="gramStart"/>
      <w:r>
        <w:rPr>
          <w:i/>
          <w:kern w:val="22"/>
          <w:szCs w:val="22"/>
        </w:rPr>
        <w:t>Outlook</w:t>
      </w:r>
      <w:r>
        <w:rPr>
          <w:kern w:val="22"/>
          <w:szCs w:val="22"/>
        </w:rPr>
        <w:t>;</w:t>
      </w:r>
      <w:proofErr w:type="gramEnd"/>
    </w:p>
    <w:p w14:paraId="58F4437E"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rPr>
          <w:kern w:val="22"/>
          <w:szCs w:val="22"/>
        </w:rPr>
        <w:t>5.</w:t>
      </w:r>
      <w:r>
        <w:rPr>
          <w:i/>
          <w:iCs/>
          <w:kern w:val="22"/>
          <w:szCs w:val="22"/>
        </w:rPr>
        <w:tab/>
        <w:t xml:space="preserve">Takes note </w:t>
      </w:r>
      <w:r>
        <w:rPr>
          <w:kern w:val="22"/>
          <w:szCs w:val="22"/>
        </w:rPr>
        <w:t xml:space="preserve">of the general conclusions from the fifth edition of the </w:t>
      </w:r>
      <w:r>
        <w:rPr>
          <w:i/>
          <w:iCs/>
          <w:kern w:val="22"/>
          <w:szCs w:val="22"/>
        </w:rPr>
        <w:t xml:space="preserve">Global Biodiversity </w:t>
      </w:r>
      <w:proofErr w:type="gramStart"/>
      <w:r>
        <w:rPr>
          <w:i/>
          <w:iCs/>
          <w:kern w:val="22"/>
          <w:szCs w:val="22"/>
        </w:rPr>
        <w:t>Outlook</w:t>
      </w:r>
      <w:r>
        <w:rPr>
          <w:kern w:val="22"/>
          <w:szCs w:val="22"/>
        </w:rPr>
        <w:t>;</w:t>
      </w:r>
      <w:proofErr w:type="gramEnd"/>
    </w:p>
    <w:p w14:paraId="2DCE3049"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szCs w:val="22"/>
        </w:rPr>
      </w:pPr>
      <w:r>
        <w:rPr>
          <w:iCs/>
          <w:kern w:val="22"/>
          <w:szCs w:val="22"/>
        </w:rPr>
        <w:lastRenderedPageBreak/>
        <w:t>6.</w:t>
      </w:r>
      <w:r>
        <w:rPr>
          <w:i/>
          <w:kern w:val="22"/>
          <w:szCs w:val="22"/>
        </w:rPr>
        <w:tab/>
        <w:t>Also takes note</w:t>
      </w:r>
      <w:r>
        <w:rPr>
          <w:kern w:val="22"/>
          <w:szCs w:val="22"/>
        </w:rPr>
        <w:t xml:space="preserve"> of the lessons learned from the implementation of the Strategic Plan for Biodiversity 2011-2020</w:t>
      </w:r>
      <w:r>
        <w:rPr>
          <w:rStyle w:val="FootnoteReference"/>
          <w:rFonts w:eastAsiaTheme="majorEastAsia"/>
          <w:kern w:val="22"/>
          <w:szCs w:val="22"/>
        </w:rPr>
        <w:footnoteReference w:id="5"/>
      </w:r>
      <w:r>
        <w:rPr>
          <w:kern w:val="22"/>
          <w:szCs w:val="22"/>
        </w:rPr>
        <w:t xml:space="preserve"> identified in the fifth edition of the</w:t>
      </w:r>
      <w:r>
        <w:rPr>
          <w:i/>
          <w:kern w:val="22"/>
          <w:szCs w:val="22"/>
        </w:rPr>
        <w:t xml:space="preserve"> Global Biodiversity </w:t>
      </w:r>
      <w:proofErr w:type="gramStart"/>
      <w:r>
        <w:rPr>
          <w:i/>
          <w:kern w:val="22"/>
          <w:szCs w:val="22"/>
        </w:rPr>
        <w:t>Outlook;</w:t>
      </w:r>
      <w:proofErr w:type="gramEnd"/>
    </w:p>
    <w:p w14:paraId="5A1F2F7E" w14:textId="77777777" w:rsidR="00836DFD" w:rsidRDefault="00836DFD" w:rsidP="00836DFD">
      <w:pPr>
        <w:pStyle w:val="Para1"/>
        <w:numPr>
          <w:ilvl w:val="0"/>
          <w:numId w:val="0"/>
        </w:numPr>
        <w:suppressLineNumbers/>
        <w:suppressAutoHyphens/>
        <w:kinsoku w:val="0"/>
        <w:overflowPunct w:val="0"/>
        <w:autoSpaceDE w:val="0"/>
        <w:autoSpaceDN w:val="0"/>
        <w:ind w:firstLine="720"/>
        <w:rPr>
          <w:kern w:val="22"/>
        </w:rPr>
      </w:pPr>
      <w:r>
        <w:rPr>
          <w:iCs/>
          <w:kern w:val="22"/>
          <w:szCs w:val="22"/>
        </w:rPr>
        <w:t>7.</w:t>
      </w:r>
      <w:r>
        <w:rPr>
          <w:i/>
          <w:kern w:val="22"/>
          <w:szCs w:val="22"/>
        </w:rPr>
        <w:tab/>
        <w:t>Encourages</w:t>
      </w:r>
      <w:r>
        <w:rPr>
          <w:kern w:val="22"/>
          <w:szCs w:val="22"/>
        </w:rPr>
        <w:t xml:space="preserve"> </w:t>
      </w:r>
      <w:proofErr w:type="gramStart"/>
      <w:r>
        <w:rPr>
          <w:kern w:val="22"/>
          <w:szCs w:val="22"/>
        </w:rPr>
        <w:t>Parties, and</w:t>
      </w:r>
      <w:proofErr w:type="gramEnd"/>
      <w:r>
        <w:rPr>
          <w:kern w:val="22"/>
          <w:szCs w:val="22"/>
        </w:rPr>
        <w:t xml:space="preserve"> invites other Governments and local and subnational governments as well as relevant organizations, as appropriate, to use the reports and to take steps to widely disseminate their findings, including by translating the reports into local languages and producing other appropriate communication products for different stakeholders, and to make use of the reports when implementing the post-2020 global biodiversity framework.</w:t>
      </w:r>
      <w:bookmarkEnd w:id="1"/>
    </w:p>
    <w:p w14:paraId="796DDFD8" w14:textId="77777777" w:rsidR="00836DFD" w:rsidRDefault="00836DFD" w:rsidP="00836DFD">
      <w:pPr>
        <w:pStyle w:val="Para1"/>
        <w:numPr>
          <w:ilvl w:val="0"/>
          <w:numId w:val="0"/>
        </w:numPr>
        <w:suppressLineNumbers/>
        <w:suppressAutoHyphens/>
        <w:ind w:firstLine="709"/>
        <w:rPr>
          <w:kern w:val="22"/>
          <w:szCs w:val="22"/>
        </w:rPr>
      </w:pPr>
      <w:bookmarkStart w:id="2" w:name="_Hlk120524346"/>
      <w:bookmarkStart w:id="3" w:name="_Hlk120524398"/>
      <w:r>
        <w:rPr>
          <w:kern w:val="22"/>
          <w:szCs w:val="22"/>
        </w:rPr>
        <w:t>8.</w:t>
      </w:r>
      <w:r>
        <w:rPr>
          <w:kern w:val="22"/>
          <w:szCs w:val="22"/>
        </w:rPr>
        <w:tab/>
      </w:r>
      <w:r>
        <w:rPr>
          <w:i/>
          <w:kern w:val="22"/>
          <w:szCs w:val="22"/>
        </w:rPr>
        <w:t xml:space="preserve">Urges </w:t>
      </w:r>
      <w:r>
        <w:rPr>
          <w:kern w:val="22"/>
          <w:szCs w:val="22"/>
        </w:rPr>
        <w:t xml:space="preserve">Parties to take urgent action to address the drivers of biodiversity loss as identified in the </w:t>
      </w:r>
      <w:r>
        <w:rPr>
          <w:i/>
          <w:kern w:val="22"/>
          <w:szCs w:val="22"/>
        </w:rPr>
        <w:t>Global Assessment</w:t>
      </w:r>
      <w:r>
        <w:rPr>
          <w:kern w:val="22"/>
          <w:szCs w:val="22"/>
        </w:rPr>
        <w:t xml:space="preserve"> of the Intergovernmental Science-Policy Platform on Biodiversity and Ecosystem Services, as well as those of climate change and land degradation, in an integrated manner. </w:t>
      </w:r>
      <w:bookmarkEnd w:id="2"/>
    </w:p>
    <w:bookmarkEnd w:id="3"/>
    <w:p w14:paraId="3093D971" w14:textId="675FB8AE" w:rsidR="00B3369F" w:rsidRPr="00C9161D" w:rsidRDefault="00142046" w:rsidP="00142046">
      <w:pPr>
        <w:jc w:val="center"/>
      </w:pPr>
      <w:r>
        <w:t>__________</w:t>
      </w:r>
    </w:p>
    <w:sectPr w:rsidR="00B3369F" w:rsidRPr="00C9161D" w:rsidSect="00142046">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1B86" w14:textId="77777777" w:rsidR="00DE49D5" w:rsidRDefault="00DE49D5" w:rsidP="00CF1848">
      <w:r>
        <w:separator/>
      </w:r>
    </w:p>
  </w:endnote>
  <w:endnote w:type="continuationSeparator" w:id="0">
    <w:p w14:paraId="1139956C" w14:textId="77777777" w:rsidR="00DE49D5" w:rsidRDefault="00DE49D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A7A9" w14:textId="77777777" w:rsidR="00DE49D5" w:rsidRDefault="00DE49D5" w:rsidP="00CF1848">
      <w:r>
        <w:separator/>
      </w:r>
    </w:p>
  </w:footnote>
  <w:footnote w:type="continuationSeparator" w:id="0">
    <w:p w14:paraId="77199627" w14:textId="77777777" w:rsidR="00DE49D5" w:rsidRDefault="00DE49D5" w:rsidP="00CF1848">
      <w:r>
        <w:continuationSeparator/>
      </w:r>
    </w:p>
  </w:footnote>
  <w:footnote w:id="1">
    <w:p w14:paraId="1CB3FB4E" w14:textId="77777777" w:rsidR="00836DFD" w:rsidRDefault="00836DFD" w:rsidP="00836DFD">
      <w:pPr>
        <w:pStyle w:val="FootnoteText"/>
        <w:suppressLineNumbers/>
        <w:suppressAutoHyphens/>
        <w:ind w:firstLine="0"/>
        <w:jc w:val="left"/>
        <w:rPr>
          <w:kern w:val="18"/>
          <w:szCs w:val="18"/>
          <w:lang w:val="fr-FR"/>
        </w:rPr>
      </w:pPr>
      <w:r>
        <w:rPr>
          <w:rStyle w:val="FootnoteReference"/>
          <w:rFonts w:eastAsiaTheme="majorEastAsia"/>
          <w:kern w:val="18"/>
          <w:szCs w:val="18"/>
        </w:rPr>
        <w:footnoteRef/>
      </w:r>
      <w:r>
        <w:rPr>
          <w:kern w:val="18"/>
          <w:szCs w:val="18"/>
          <w:lang w:val="fr-FR"/>
        </w:rPr>
        <w:t xml:space="preserve"> </w:t>
      </w:r>
      <w:hyperlink r:id="rId1" w:history="1">
        <w:r>
          <w:rPr>
            <w:rStyle w:val="Hyperlink"/>
            <w:kern w:val="18"/>
            <w:szCs w:val="18"/>
            <w:lang w:val="fr-FR"/>
          </w:rPr>
          <w:t>https://www.ipbes.net/global-assessment-report-biodiversity-ecosystem-services</w:t>
        </w:r>
      </w:hyperlink>
    </w:p>
  </w:footnote>
  <w:footnote w:id="2">
    <w:p w14:paraId="3FBCA6BE" w14:textId="77777777" w:rsidR="00836DFD" w:rsidRDefault="00836DFD" w:rsidP="00836DFD">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rPr>
          <w:kern w:val="18"/>
          <w:szCs w:val="18"/>
        </w:rPr>
        <w:t xml:space="preserve"> Secretariat of the Convention on Biological Diversity (2020). </w:t>
      </w:r>
      <w:r>
        <w:rPr>
          <w:i/>
          <w:kern w:val="18"/>
          <w:szCs w:val="18"/>
        </w:rPr>
        <w:t>Global Biodiversity Outlook 5</w:t>
      </w:r>
      <w:r>
        <w:rPr>
          <w:kern w:val="18"/>
          <w:szCs w:val="18"/>
        </w:rPr>
        <w:t>. Montreal.</w:t>
      </w:r>
    </w:p>
  </w:footnote>
  <w:footnote w:id="3">
    <w:p w14:paraId="4355A4D5" w14:textId="77777777" w:rsidR="00836DFD" w:rsidRDefault="00836DFD" w:rsidP="00836DFD">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rPr>
          <w:kern w:val="18"/>
          <w:szCs w:val="18"/>
        </w:rPr>
        <w:t xml:space="preserve"> Forest Peoples Programme (2020). </w:t>
      </w:r>
      <w:r>
        <w:rPr>
          <w:i/>
          <w:kern w:val="18"/>
          <w:szCs w:val="18"/>
        </w:rPr>
        <w:t>Local Biodiversity Outlooks 2: The contributions of indigenous peoples and local communities to the implementation of the Strategic Plan for Biodiversity 2011–2020 and to renewing nature and cultures. A complement to the fifth edition of the Global Biodiversity Outlook</w:t>
      </w:r>
      <w:r>
        <w:rPr>
          <w:kern w:val="18"/>
          <w:szCs w:val="18"/>
        </w:rPr>
        <w:t>. Moreton-in-Marsh, England (United Kingdom) (see www.localbiodiversityoutlooks.net).</w:t>
      </w:r>
    </w:p>
  </w:footnote>
  <w:footnote w:id="4">
    <w:p w14:paraId="47A1691A" w14:textId="77777777" w:rsidR="00836DFD" w:rsidRDefault="00836DFD" w:rsidP="00836DFD">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rPr>
          <w:kern w:val="18"/>
          <w:szCs w:val="18"/>
        </w:rPr>
        <w:t xml:space="preserve"> Sharrock, S. (2020). </w:t>
      </w:r>
      <w:r>
        <w:rPr>
          <w:i/>
          <w:kern w:val="18"/>
          <w:szCs w:val="18"/>
        </w:rPr>
        <w:t>Plant Conservation Report 2020: A review of progress in implementation of the Global Strategy for Plant Conservation 2011-2020</w:t>
      </w:r>
      <w:r>
        <w:rPr>
          <w:kern w:val="18"/>
          <w:szCs w:val="18"/>
        </w:rPr>
        <w:t xml:space="preserve">. Secretariat of the Convention on Biological Diversity, Montreal, Canada and Botanic Gardens Conservation International, Richmond, United Kingdom. </w:t>
      </w:r>
      <w:r>
        <w:rPr>
          <w:i/>
          <w:kern w:val="18"/>
          <w:szCs w:val="18"/>
        </w:rPr>
        <w:t>Technical Series No. 95</w:t>
      </w:r>
      <w:r>
        <w:rPr>
          <w:kern w:val="18"/>
          <w:szCs w:val="18"/>
        </w:rPr>
        <w:t>.</w:t>
      </w:r>
    </w:p>
  </w:footnote>
  <w:footnote w:id="5">
    <w:p w14:paraId="1649EF9A" w14:textId="77777777" w:rsidR="00836DFD" w:rsidRDefault="00836DFD" w:rsidP="00836DFD">
      <w:pPr>
        <w:pStyle w:val="FootnoteText"/>
        <w:suppressLineNumbers/>
        <w:suppressAutoHyphens/>
        <w:kinsoku w:val="0"/>
        <w:overflowPunct w:val="0"/>
        <w:autoSpaceDE w:val="0"/>
        <w:autoSpaceDN w:val="0"/>
        <w:ind w:firstLine="0"/>
        <w:jc w:val="left"/>
        <w:rPr>
          <w:kern w:val="18"/>
          <w:szCs w:val="18"/>
        </w:rPr>
      </w:pPr>
      <w:r>
        <w:rPr>
          <w:rStyle w:val="FootnoteReference"/>
          <w:rFonts w:eastAsiaTheme="majorEastAsia"/>
          <w:kern w:val="18"/>
          <w:szCs w:val="18"/>
        </w:rPr>
        <w:footnoteRef/>
      </w:r>
      <w:r>
        <w:rPr>
          <w:kern w:val="18"/>
          <w:szCs w:val="18"/>
        </w:rPr>
        <w:t xml:space="preserve"> Conference of the Parties decision </w:t>
      </w:r>
      <w:hyperlink r:id="rId2" w:history="1">
        <w:r>
          <w:rPr>
            <w:rStyle w:val="Hyperlink"/>
            <w:kern w:val="18"/>
            <w:szCs w:val="18"/>
          </w:rPr>
          <w:t>X/2</w:t>
        </w:r>
      </w:hyperlink>
      <w:r>
        <w:rPr>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10049D3D" w:rsidR="00534681" w:rsidRPr="00134846" w:rsidRDefault="0033506D" w:rsidP="00534681">
        <w:pPr>
          <w:pStyle w:val="Header"/>
          <w:rPr>
            <w:lang w:val="fr-FR"/>
          </w:rPr>
        </w:pPr>
        <w:r>
          <w:rPr>
            <w:lang w:val="fr-FR"/>
          </w:rPr>
          <w:t>CBD/COP/15/L.3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EB49CD1" w:rsidR="009505C9" w:rsidRPr="00134846" w:rsidRDefault="0033506D" w:rsidP="009505C9">
        <w:pPr>
          <w:pStyle w:val="Header"/>
          <w:jc w:val="right"/>
          <w:rPr>
            <w:lang w:val="fr-FR"/>
          </w:rPr>
        </w:pPr>
        <w:r>
          <w:rPr>
            <w:lang w:val="fr-FR"/>
          </w:rPr>
          <w:t>CBD/COP/15/L.3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947"/>
    <w:rsid w:val="00020A25"/>
    <w:rsid w:val="0007171B"/>
    <w:rsid w:val="000B022A"/>
    <w:rsid w:val="000C64C2"/>
    <w:rsid w:val="000E40F7"/>
    <w:rsid w:val="000E673A"/>
    <w:rsid w:val="000F74F5"/>
    <w:rsid w:val="00105372"/>
    <w:rsid w:val="001312AD"/>
    <w:rsid w:val="00131E7A"/>
    <w:rsid w:val="00134846"/>
    <w:rsid w:val="00142046"/>
    <w:rsid w:val="00172AF6"/>
    <w:rsid w:val="00176CEE"/>
    <w:rsid w:val="00186DD8"/>
    <w:rsid w:val="001B13FE"/>
    <w:rsid w:val="0030169D"/>
    <w:rsid w:val="003060EB"/>
    <w:rsid w:val="003153EB"/>
    <w:rsid w:val="00321985"/>
    <w:rsid w:val="0033506D"/>
    <w:rsid w:val="00351205"/>
    <w:rsid w:val="00372F74"/>
    <w:rsid w:val="003B7BB2"/>
    <w:rsid w:val="003F7224"/>
    <w:rsid w:val="00427D21"/>
    <w:rsid w:val="004644C2"/>
    <w:rsid w:val="00467F9C"/>
    <w:rsid w:val="004A3D12"/>
    <w:rsid w:val="00534681"/>
    <w:rsid w:val="0055515A"/>
    <w:rsid w:val="00563442"/>
    <w:rsid w:val="00565B42"/>
    <w:rsid w:val="005B4ADC"/>
    <w:rsid w:val="005C4CE6"/>
    <w:rsid w:val="006122BA"/>
    <w:rsid w:val="006B2290"/>
    <w:rsid w:val="00717D88"/>
    <w:rsid w:val="00743050"/>
    <w:rsid w:val="00786056"/>
    <w:rsid w:val="007942D3"/>
    <w:rsid w:val="007B2099"/>
    <w:rsid w:val="007B6C09"/>
    <w:rsid w:val="007B7741"/>
    <w:rsid w:val="007E09DA"/>
    <w:rsid w:val="008178B6"/>
    <w:rsid w:val="00836DFD"/>
    <w:rsid w:val="00865B74"/>
    <w:rsid w:val="008974F0"/>
    <w:rsid w:val="008B012A"/>
    <w:rsid w:val="00906E17"/>
    <w:rsid w:val="00927D27"/>
    <w:rsid w:val="00930BA1"/>
    <w:rsid w:val="0093169E"/>
    <w:rsid w:val="00937130"/>
    <w:rsid w:val="009505C9"/>
    <w:rsid w:val="00950752"/>
    <w:rsid w:val="00966424"/>
    <w:rsid w:val="009C2DE6"/>
    <w:rsid w:val="00A1252A"/>
    <w:rsid w:val="00AA6F92"/>
    <w:rsid w:val="00AB6934"/>
    <w:rsid w:val="00AD7FFC"/>
    <w:rsid w:val="00AF42DE"/>
    <w:rsid w:val="00B26ACD"/>
    <w:rsid w:val="00B3369F"/>
    <w:rsid w:val="00B94E6C"/>
    <w:rsid w:val="00BB4606"/>
    <w:rsid w:val="00BF11F9"/>
    <w:rsid w:val="00C23D2F"/>
    <w:rsid w:val="00C443BD"/>
    <w:rsid w:val="00C451C5"/>
    <w:rsid w:val="00C9161D"/>
    <w:rsid w:val="00CA0C1D"/>
    <w:rsid w:val="00CF1848"/>
    <w:rsid w:val="00D12044"/>
    <w:rsid w:val="00D228C5"/>
    <w:rsid w:val="00D30264"/>
    <w:rsid w:val="00D33EFC"/>
    <w:rsid w:val="00D40DBC"/>
    <w:rsid w:val="00D76A18"/>
    <w:rsid w:val="00D80849"/>
    <w:rsid w:val="00D82E8F"/>
    <w:rsid w:val="00DD118C"/>
    <w:rsid w:val="00DE49D5"/>
    <w:rsid w:val="00E2262C"/>
    <w:rsid w:val="00E66235"/>
    <w:rsid w:val="00E83C24"/>
    <w:rsid w:val="00E9318D"/>
    <w:rsid w:val="00EC1F46"/>
    <w:rsid w:val="00F53193"/>
    <w:rsid w:val="00F5357E"/>
    <w:rsid w:val="00F6586C"/>
    <w:rsid w:val="00F94774"/>
    <w:rsid w:val="00FA663B"/>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semiHidden/>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semiHidden/>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0/cop-10-dec-02-en.pdf"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67846FDEDA74D6B8721C70E1D9C68B6"/>
        <w:category>
          <w:name w:val="General"/>
          <w:gallery w:val="placeholder"/>
        </w:category>
        <w:types>
          <w:type w:val="bbPlcHdr"/>
        </w:types>
        <w:behaviors>
          <w:behavior w:val="content"/>
        </w:behaviors>
        <w:guid w:val="{4EABF399-39F6-4259-8C63-9CFA50743749}"/>
      </w:docPartPr>
      <w:docPartBody>
        <w:p w:rsidR="00512E76" w:rsidRDefault="00AF1734" w:rsidP="00AF1734">
          <w:pPr>
            <w:pStyle w:val="C67846FDEDA74D6B8721C70E1D9C68B6"/>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750A"/>
    <w:rsid w:val="0046422C"/>
    <w:rsid w:val="004760CF"/>
    <w:rsid w:val="004E092F"/>
    <w:rsid w:val="00500A2B"/>
    <w:rsid w:val="00512E76"/>
    <w:rsid w:val="0058288D"/>
    <w:rsid w:val="00665C6B"/>
    <w:rsid w:val="006801B3"/>
    <w:rsid w:val="00810A55"/>
    <w:rsid w:val="00886CD9"/>
    <w:rsid w:val="008C6619"/>
    <w:rsid w:val="008D420E"/>
    <w:rsid w:val="0098642F"/>
    <w:rsid w:val="00AF1734"/>
    <w:rsid w:val="00B27D2C"/>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734"/>
  </w:style>
  <w:style w:type="paragraph" w:customStyle="1" w:styleId="C67846FDEDA74D6B8721C70E1D9C68B6">
    <w:name w:val="C67846FDEDA74D6B8721C70E1D9C68B6"/>
    <w:rsid w:val="00AF1734"/>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the scientific and technical evidence base for the post-2020 global biodiversity framework</dc:title>
  <dc:subject>CBD/COP/15/L.3</dc:subject>
  <dc:creator>SCBD</dc:creator>
  <cp:keywords>Conference of the Parties to the Convention on Biological Diversity, fifteenth meeting</cp:keywords>
  <cp:lastModifiedBy>Veronique Lefebvre</cp:lastModifiedBy>
  <cp:revision>7</cp:revision>
  <cp:lastPrinted>2020-01-21T16:56:00Z</cp:lastPrinted>
  <dcterms:created xsi:type="dcterms:W3CDTF">2022-12-09T19:09:00Z</dcterms:created>
  <dcterms:modified xsi:type="dcterms:W3CDTF">2022-12-09T20:24:00Z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