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2D6CEA" w:rsidTr="00C62006">
        <w:trPr>
          <w:trHeight w:val="709"/>
        </w:trPr>
        <w:tc>
          <w:tcPr>
            <w:tcW w:w="976" w:type="dxa"/>
            <w:tcBorders>
              <w:bottom w:val="single" w:sz="12" w:space="0" w:color="auto"/>
            </w:tcBorders>
          </w:tcPr>
          <w:p w:rsidR="00207A6E" w:rsidRPr="002D6CEA" w:rsidRDefault="00207A6E" w:rsidP="007C26F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szCs w:val="22"/>
              </w:rPr>
            </w:pPr>
            <w:r w:rsidRPr="002D6CEA">
              <w:rPr>
                <w:noProof/>
                <w:snapToGrid w:val="0"/>
                <w:kern w:val="22"/>
                <w:sz w:val="22"/>
                <w:szCs w:val="22"/>
                <w:lang w:eastAsia="fr-CA"/>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2D6CEA" w:rsidRDefault="00990EAA" w:rsidP="007C26F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szCs w:val="22"/>
              </w:rPr>
            </w:pPr>
            <w:r w:rsidRPr="002D6CEA">
              <w:rPr>
                <w:noProof/>
                <w:snapToGrid w:val="0"/>
                <w:kern w:val="22"/>
                <w:sz w:val="22"/>
                <w:szCs w:val="22"/>
                <w:lang w:eastAsia="fr-CA"/>
              </w:rPr>
              <w:drawing>
                <wp:inline distT="0" distB="0" distL="0" distR="0">
                  <wp:extent cx="590550" cy="342900"/>
                  <wp:effectExtent l="1905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590550" cy="3429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07A6E" w:rsidRPr="002D6CEA" w:rsidRDefault="00207A6E" w:rsidP="007C26FA">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2D6CEA">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2D6CEA" w:rsidTr="009554D5">
        <w:trPr>
          <w:trHeight w:val="1693"/>
        </w:trPr>
        <w:tc>
          <w:tcPr>
            <w:tcW w:w="6227" w:type="dxa"/>
            <w:tcBorders>
              <w:top w:val="nil"/>
              <w:bottom w:val="single" w:sz="36" w:space="0" w:color="000000"/>
            </w:tcBorders>
          </w:tcPr>
          <w:p w:rsidR="00F16F02" w:rsidRPr="002D6CEA" w:rsidRDefault="00F16F02" w:rsidP="007C26FA">
            <w:pPr>
              <w:suppressLineNumbers/>
              <w:suppressAutoHyphens/>
              <w:kinsoku w:val="0"/>
              <w:overflowPunct w:val="0"/>
              <w:autoSpaceDE w:val="0"/>
              <w:autoSpaceDN w:val="0"/>
              <w:adjustRightInd w:val="0"/>
              <w:snapToGrid w:val="0"/>
              <w:rPr>
                <w:snapToGrid w:val="0"/>
                <w:kern w:val="22"/>
                <w:sz w:val="22"/>
                <w:szCs w:val="22"/>
                <w:lang w:val="fr-CA"/>
              </w:rPr>
            </w:pPr>
          </w:p>
          <w:p w:rsidR="00F16F02" w:rsidRPr="002D6CEA" w:rsidRDefault="00990EAA" w:rsidP="007C26FA">
            <w:pPr>
              <w:suppressLineNumbers/>
              <w:suppressAutoHyphens/>
              <w:kinsoku w:val="0"/>
              <w:overflowPunct w:val="0"/>
              <w:autoSpaceDE w:val="0"/>
              <w:autoSpaceDN w:val="0"/>
              <w:adjustRightInd w:val="0"/>
              <w:snapToGrid w:val="0"/>
              <w:rPr>
                <w:snapToGrid w:val="0"/>
                <w:kern w:val="22"/>
                <w:sz w:val="22"/>
                <w:szCs w:val="22"/>
                <w:lang w:val="fr-CA"/>
              </w:rPr>
            </w:pPr>
            <w:r w:rsidRPr="002D6CEA">
              <w:rPr>
                <w:noProof/>
                <w:snapToGrid w:val="0"/>
                <w:kern w:val="22"/>
                <w:sz w:val="22"/>
                <w:szCs w:val="22"/>
                <w:lang w:val="fr-CA" w:eastAsia="fr-CA"/>
              </w:rPr>
              <w:drawing>
                <wp:inline distT="0" distB="0" distL="0" distR="0">
                  <wp:extent cx="2857500" cy="1073150"/>
                  <wp:effectExtent l="19050" t="0" r="0" b="0"/>
                  <wp:docPr id="5"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srcRect/>
                          <a:stretch>
                            <a:fillRect/>
                          </a:stretch>
                        </pic:blipFill>
                        <pic:spPr bwMode="auto">
                          <a:xfrm>
                            <a:off x="0" y="0"/>
                            <a:ext cx="2857500" cy="1073150"/>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rsidR="00F16F02" w:rsidRPr="002D6CEA" w:rsidRDefault="00F16F02" w:rsidP="007C26FA">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22"/>
                <w:szCs w:val="22"/>
                <w:lang w:val="fr-CA"/>
              </w:rPr>
            </w:pPr>
          </w:p>
        </w:tc>
        <w:tc>
          <w:tcPr>
            <w:tcW w:w="2977" w:type="dxa"/>
            <w:tcBorders>
              <w:top w:val="nil"/>
              <w:bottom w:val="single" w:sz="36" w:space="0" w:color="000000"/>
            </w:tcBorders>
          </w:tcPr>
          <w:p w:rsidR="00F16F02" w:rsidRPr="002D6CEA" w:rsidRDefault="00F16F02" w:rsidP="007C26FA">
            <w:pPr>
              <w:suppressLineNumbers/>
              <w:suppressAutoHyphens/>
              <w:kinsoku w:val="0"/>
              <w:overflowPunct w:val="0"/>
              <w:autoSpaceDE w:val="0"/>
              <w:autoSpaceDN w:val="0"/>
              <w:adjustRightInd w:val="0"/>
              <w:snapToGrid w:val="0"/>
              <w:ind w:left="63"/>
              <w:rPr>
                <w:noProof/>
                <w:snapToGrid w:val="0"/>
                <w:kern w:val="22"/>
                <w:sz w:val="22"/>
                <w:szCs w:val="22"/>
                <w:lang w:val="fr-CA"/>
              </w:rPr>
            </w:pPr>
            <w:r w:rsidRPr="002D6CEA">
              <w:rPr>
                <w:noProof/>
                <w:snapToGrid w:val="0"/>
                <w:kern w:val="22"/>
                <w:sz w:val="22"/>
                <w:szCs w:val="22"/>
                <w:lang w:val="fr-CA"/>
              </w:rPr>
              <w:t>Distr.</w:t>
            </w:r>
          </w:p>
          <w:p w:rsidR="009F0F85" w:rsidRPr="002D6CEA" w:rsidRDefault="00990EAA" w:rsidP="007C26FA">
            <w:pPr>
              <w:suppressLineNumbers/>
              <w:suppressAutoHyphens/>
              <w:kinsoku w:val="0"/>
              <w:overflowPunct w:val="0"/>
              <w:autoSpaceDE w:val="0"/>
              <w:autoSpaceDN w:val="0"/>
              <w:adjustRightInd w:val="0"/>
              <w:snapToGrid w:val="0"/>
              <w:ind w:left="62"/>
              <w:rPr>
                <w:caps/>
                <w:snapToGrid w:val="0"/>
                <w:kern w:val="22"/>
                <w:sz w:val="22"/>
                <w:szCs w:val="22"/>
                <w:lang w:val="fr-CA"/>
              </w:rPr>
            </w:pPr>
            <w:r w:rsidRPr="002D6CEA">
              <w:rPr>
                <w:caps/>
                <w:snapToGrid w:val="0"/>
                <w:kern w:val="22"/>
                <w:sz w:val="22"/>
                <w:szCs w:val="22"/>
                <w:lang w:val="fr-CA"/>
              </w:rPr>
              <w:t>GÉNÉRALE</w:t>
            </w:r>
          </w:p>
          <w:p w:rsidR="00F16F02" w:rsidRPr="002D6CEA" w:rsidRDefault="00F16F02" w:rsidP="007C26FA">
            <w:pPr>
              <w:suppressLineNumbers/>
              <w:suppressAutoHyphens/>
              <w:kinsoku w:val="0"/>
              <w:overflowPunct w:val="0"/>
              <w:autoSpaceDE w:val="0"/>
              <w:autoSpaceDN w:val="0"/>
              <w:adjustRightInd w:val="0"/>
              <w:snapToGrid w:val="0"/>
              <w:rPr>
                <w:snapToGrid w:val="0"/>
                <w:kern w:val="22"/>
                <w:sz w:val="22"/>
                <w:szCs w:val="22"/>
                <w:lang w:val="fr-CA"/>
              </w:rPr>
            </w:pPr>
          </w:p>
          <w:sdt>
            <w:sdtPr>
              <w:rPr>
                <w:snapToGrid w:val="0"/>
                <w:kern w:val="22"/>
                <w:sz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2D6CEA" w:rsidRDefault="00B17FA9" w:rsidP="007C26FA">
                <w:pPr>
                  <w:suppressLineNumbers/>
                  <w:suppressAutoHyphens/>
                  <w:kinsoku w:val="0"/>
                  <w:overflowPunct w:val="0"/>
                  <w:autoSpaceDE w:val="0"/>
                  <w:autoSpaceDN w:val="0"/>
                  <w:adjustRightInd w:val="0"/>
                  <w:snapToGrid w:val="0"/>
                  <w:ind w:left="63"/>
                  <w:rPr>
                    <w:snapToGrid w:val="0"/>
                    <w:kern w:val="22"/>
                    <w:sz w:val="22"/>
                    <w:szCs w:val="22"/>
                    <w:lang w:val="fr-CA"/>
                  </w:rPr>
                </w:pPr>
                <w:r w:rsidRPr="002D6CEA">
                  <w:rPr>
                    <w:snapToGrid w:val="0"/>
                    <w:kern w:val="22"/>
                    <w:sz w:val="22"/>
                    <w:szCs w:val="22"/>
                    <w:lang w:val="fr-CA"/>
                  </w:rPr>
                  <w:t>CBD/SBSTTA/24/</w:t>
                </w:r>
                <w:r w:rsidR="00423231" w:rsidRPr="002D6CEA">
                  <w:rPr>
                    <w:snapToGrid w:val="0"/>
                    <w:kern w:val="22"/>
                    <w:sz w:val="22"/>
                    <w:szCs w:val="22"/>
                    <w:lang w:val="fr-CA"/>
                  </w:rPr>
                  <w:t>8</w:t>
                </w:r>
              </w:p>
            </w:sdtContent>
          </w:sdt>
          <w:p w:rsidR="00C82823" w:rsidRPr="002D6CEA" w:rsidRDefault="00727964" w:rsidP="007C26FA">
            <w:pPr>
              <w:suppressLineNumbers/>
              <w:suppressAutoHyphens/>
              <w:kinsoku w:val="0"/>
              <w:overflowPunct w:val="0"/>
              <w:autoSpaceDE w:val="0"/>
              <w:autoSpaceDN w:val="0"/>
              <w:adjustRightInd w:val="0"/>
              <w:snapToGrid w:val="0"/>
              <w:ind w:left="62"/>
              <w:rPr>
                <w:snapToGrid w:val="0"/>
                <w:kern w:val="22"/>
                <w:sz w:val="22"/>
                <w:szCs w:val="22"/>
                <w:lang w:val="fr-CA"/>
              </w:rPr>
            </w:pPr>
            <w:r w:rsidRPr="002D6CEA">
              <w:rPr>
                <w:snapToGrid w:val="0"/>
                <w:kern w:val="22"/>
                <w:sz w:val="22"/>
                <w:szCs w:val="22"/>
                <w:lang w:val="fr-CA"/>
              </w:rPr>
              <w:t>10</w:t>
            </w:r>
            <w:r w:rsidR="00990EAA" w:rsidRPr="002D6CEA">
              <w:rPr>
                <w:snapToGrid w:val="0"/>
                <w:kern w:val="22"/>
                <w:sz w:val="22"/>
                <w:szCs w:val="22"/>
                <w:lang w:val="fr-CA"/>
              </w:rPr>
              <w:t> décembre </w:t>
            </w:r>
            <w:r w:rsidR="00A56666" w:rsidRPr="002D6CEA">
              <w:rPr>
                <w:snapToGrid w:val="0"/>
                <w:kern w:val="22"/>
                <w:sz w:val="22"/>
                <w:szCs w:val="22"/>
                <w:lang w:val="fr-CA"/>
              </w:rPr>
              <w:t>2020</w:t>
            </w:r>
          </w:p>
          <w:p w:rsidR="00F16F02" w:rsidRPr="002D6CEA" w:rsidRDefault="00F16F02" w:rsidP="007C26FA">
            <w:pPr>
              <w:suppressLineNumbers/>
              <w:suppressAutoHyphens/>
              <w:kinsoku w:val="0"/>
              <w:overflowPunct w:val="0"/>
              <w:autoSpaceDE w:val="0"/>
              <w:autoSpaceDN w:val="0"/>
              <w:adjustRightInd w:val="0"/>
              <w:snapToGrid w:val="0"/>
              <w:ind w:left="63"/>
              <w:rPr>
                <w:snapToGrid w:val="0"/>
                <w:kern w:val="22"/>
                <w:sz w:val="22"/>
                <w:szCs w:val="22"/>
                <w:lang w:val="fr-CA"/>
              </w:rPr>
            </w:pPr>
          </w:p>
          <w:p w:rsidR="00990EAA" w:rsidRPr="002D6CEA" w:rsidRDefault="00990EAA" w:rsidP="00990EAA">
            <w:pPr>
              <w:kinsoku w:val="0"/>
              <w:overflowPunct w:val="0"/>
              <w:autoSpaceDE w:val="0"/>
              <w:autoSpaceDN w:val="0"/>
              <w:ind w:left="34"/>
              <w:rPr>
                <w:rFonts w:eastAsia="MS Mincho"/>
                <w:kern w:val="22"/>
                <w:sz w:val="22"/>
                <w:szCs w:val="22"/>
                <w:lang w:val="fr-CA"/>
              </w:rPr>
            </w:pPr>
            <w:r w:rsidRPr="002D6CEA">
              <w:rPr>
                <w:rFonts w:eastAsia="MS Mincho"/>
                <w:kern w:val="22"/>
                <w:sz w:val="22"/>
                <w:szCs w:val="22"/>
                <w:lang w:val="fr-CA"/>
              </w:rPr>
              <w:t>FRANÇAIS</w:t>
            </w:r>
          </w:p>
          <w:p w:rsidR="00F16F02" w:rsidRPr="002D6CEA" w:rsidRDefault="00990EAA" w:rsidP="00990EAA">
            <w:pPr>
              <w:suppressLineNumbers/>
              <w:suppressAutoHyphens/>
              <w:kinsoku w:val="0"/>
              <w:overflowPunct w:val="0"/>
              <w:autoSpaceDE w:val="0"/>
              <w:autoSpaceDN w:val="0"/>
              <w:adjustRightInd w:val="0"/>
              <w:snapToGrid w:val="0"/>
              <w:ind w:left="63"/>
              <w:rPr>
                <w:snapToGrid w:val="0"/>
                <w:kern w:val="22"/>
                <w:sz w:val="22"/>
                <w:szCs w:val="22"/>
                <w:u w:val="single"/>
                <w:lang w:val="fr-CA"/>
              </w:rPr>
            </w:pPr>
            <w:r w:rsidRPr="002D6CEA">
              <w:rPr>
                <w:rFonts w:eastAsia="MS Mincho"/>
                <w:kern w:val="22"/>
                <w:sz w:val="22"/>
                <w:szCs w:val="22"/>
                <w:lang w:val="fr-CA"/>
              </w:rPr>
              <w:t>ORIGINAL : ANGLAIS</w:t>
            </w:r>
          </w:p>
        </w:tc>
      </w:tr>
    </w:tbl>
    <w:p w:rsidR="00CA6B87" w:rsidRPr="002D6CEA" w:rsidRDefault="00990EAA" w:rsidP="007C26FA">
      <w:pPr>
        <w:pStyle w:val="meetingname"/>
        <w:suppressLineNumbers/>
        <w:suppressAutoHyphens/>
        <w:kinsoku w:val="0"/>
        <w:overflowPunct w:val="0"/>
        <w:autoSpaceDE w:val="0"/>
        <w:autoSpaceDN w:val="0"/>
        <w:adjustRightInd w:val="0"/>
        <w:snapToGrid w:val="0"/>
        <w:ind w:right="4540"/>
        <w:rPr>
          <w:kern w:val="22"/>
          <w:sz w:val="22"/>
          <w:szCs w:val="22"/>
          <w:lang w:val="fr-CA"/>
        </w:rPr>
      </w:pPr>
      <w:r w:rsidRPr="002D6CEA">
        <w:rPr>
          <w:kern w:val="22"/>
          <w:sz w:val="22"/>
          <w:szCs w:val="22"/>
          <w:lang w:val="fr-CA"/>
        </w:rPr>
        <w:t>organe SUBSIDIAire chargÉ de fournir des avis SCIENTIFIques, TECHNIques et TECHNOLOGIquEs</w:t>
      </w:r>
    </w:p>
    <w:p w:rsidR="00990EAA" w:rsidRPr="002D6CEA" w:rsidRDefault="00990EAA" w:rsidP="00990EAA">
      <w:pPr>
        <w:suppressLineNumbers/>
        <w:suppressAutoHyphens/>
        <w:kinsoku w:val="0"/>
        <w:overflowPunct w:val="0"/>
        <w:autoSpaceDE w:val="0"/>
        <w:autoSpaceDN w:val="0"/>
        <w:rPr>
          <w:noProof/>
          <w:snapToGrid w:val="0"/>
          <w:kern w:val="22"/>
          <w:sz w:val="22"/>
          <w:szCs w:val="22"/>
          <w:lang w:val="fr-CA" w:eastAsia="nb-NO"/>
        </w:rPr>
      </w:pPr>
      <w:r w:rsidRPr="002D6CEA">
        <w:rPr>
          <w:noProof/>
          <w:snapToGrid w:val="0"/>
          <w:kern w:val="22"/>
          <w:sz w:val="22"/>
          <w:szCs w:val="22"/>
          <w:lang w:val="fr-CA" w:eastAsia="nb-NO"/>
        </w:rPr>
        <w:t>Vingt</w:t>
      </w:r>
      <w:r w:rsidR="00E440F3">
        <w:rPr>
          <w:noProof/>
          <w:snapToGrid w:val="0"/>
          <w:kern w:val="22"/>
          <w:sz w:val="22"/>
          <w:szCs w:val="22"/>
          <w:lang w:val="fr-CA" w:eastAsia="nb-NO"/>
        </w:rPr>
        <w:noBreakHyphen/>
      </w:r>
      <w:r w:rsidRPr="002D6CEA">
        <w:rPr>
          <w:noProof/>
          <w:snapToGrid w:val="0"/>
          <w:kern w:val="22"/>
          <w:sz w:val="22"/>
          <w:szCs w:val="22"/>
          <w:lang w:val="fr-CA" w:eastAsia="nb-NO"/>
        </w:rPr>
        <w:t>quatrième réunion</w:t>
      </w:r>
    </w:p>
    <w:p w:rsidR="00990EAA" w:rsidRPr="002D6CEA" w:rsidRDefault="00990EAA" w:rsidP="00990EAA">
      <w:pPr>
        <w:suppressLineNumbers/>
        <w:suppressAutoHyphens/>
        <w:kinsoku w:val="0"/>
        <w:overflowPunct w:val="0"/>
        <w:autoSpaceDE w:val="0"/>
        <w:autoSpaceDN w:val="0"/>
        <w:rPr>
          <w:snapToGrid w:val="0"/>
          <w:kern w:val="22"/>
          <w:sz w:val="22"/>
          <w:szCs w:val="22"/>
          <w:lang w:val="fr-CA" w:eastAsia="nb-NO"/>
        </w:rPr>
      </w:pPr>
      <w:r w:rsidRPr="002D6CEA">
        <w:rPr>
          <w:snapToGrid w:val="0"/>
          <w:kern w:val="22"/>
          <w:sz w:val="22"/>
          <w:szCs w:val="22"/>
          <w:lang w:val="fr-CA" w:eastAsia="nb-NO"/>
        </w:rPr>
        <w:t>Dates et lieu à déterminer</w:t>
      </w:r>
    </w:p>
    <w:p w:rsidR="00CA6B87" w:rsidRPr="002D6CEA" w:rsidRDefault="00990EAA" w:rsidP="00990EAA">
      <w:pPr>
        <w:suppressLineNumbers/>
        <w:suppressAutoHyphens/>
        <w:kinsoku w:val="0"/>
        <w:overflowPunct w:val="0"/>
        <w:autoSpaceDE w:val="0"/>
        <w:autoSpaceDN w:val="0"/>
        <w:adjustRightInd w:val="0"/>
        <w:snapToGrid w:val="0"/>
        <w:rPr>
          <w:snapToGrid w:val="0"/>
          <w:kern w:val="22"/>
          <w:sz w:val="22"/>
          <w:szCs w:val="22"/>
          <w:lang w:val="fr-CA" w:eastAsia="nb-NO"/>
        </w:rPr>
      </w:pPr>
      <w:r w:rsidRPr="002D6CEA">
        <w:rPr>
          <w:snapToGrid w:val="0"/>
          <w:kern w:val="22"/>
          <w:sz w:val="22"/>
          <w:szCs w:val="22"/>
          <w:lang w:val="fr-CA" w:eastAsia="nb-NO"/>
        </w:rPr>
        <w:t>Point 8 de l</w:t>
      </w:r>
      <w:r w:rsidR="00E440F3">
        <w:rPr>
          <w:snapToGrid w:val="0"/>
          <w:kern w:val="22"/>
          <w:sz w:val="22"/>
          <w:szCs w:val="22"/>
          <w:lang w:val="fr-CA" w:eastAsia="nb-NO"/>
        </w:rPr>
        <w:t>’</w:t>
      </w:r>
      <w:r w:rsidRPr="002D6CEA">
        <w:rPr>
          <w:snapToGrid w:val="0"/>
          <w:kern w:val="22"/>
          <w:sz w:val="22"/>
          <w:szCs w:val="22"/>
          <w:lang w:val="fr-CA" w:eastAsia="nb-NO"/>
        </w:rPr>
        <w:t>ordre du jour provisoire</w:t>
      </w:r>
      <w:r w:rsidRPr="002D6CEA">
        <w:rPr>
          <w:rStyle w:val="FootnoteReference"/>
          <w:snapToGrid w:val="0"/>
          <w:kern w:val="22"/>
          <w:szCs w:val="22"/>
          <w:vertAlign w:val="baseline"/>
          <w:lang w:val="fr-CA" w:eastAsia="nb-NO"/>
        </w:rPr>
        <w:t xml:space="preserve"> </w:t>
      </w:r>
      <w:r w:rsidR="00D51069" w:rsidRPr="002D6CEA">
        <w:rPr>
          <w:rStyle w:val="FootnoteReference"/>
          <w:snapToGrid w:val="0"/>
          <w:kern w:val="22"/>
          <w:szCs w:val="22"/>
          <w:vertAlign w:val="baseline"/>
          <w:lang w:val="fr-CA" w:eastAsia="nb-NO"/>
        </w:rPr>
        <w:footnoteReference w:customMarkFollows="1" w:id="2"/>
        <w:t>*</w:t>
      </w:r>
    </w:p>
    <w:p w:rsidR="00406BC6" w:rsidRPr="002D6CEA" w:rsidRDefault="00CB2583" w:rsidP="007C26FA">
      <w:pPr>
        <w:pStyle w:val="Heading1"/>
        <w:suppressLineNumbers/>
        <w:tabs>
          <w:tab w:val="clear" w:pos="720"/>
        </w:tabs>
        <w:suppressAutoHyphens/>
        <w:kinsoku w:val="0"/>
        <w:overflowPunct w:val="0"/>
        <w:autoSpaceDE w:val="0"/>
        <w:autoSpaceDN w:val="0"/>
        <w:adjustRightInd w:val="0"/>
        <w:snapToGrid w:val="0"/>
        <w:rPr>
          <w:bCs/>
          <w:snapToGrid w:val="0"/>
          <w:kern w:val="22"/>
          <w:sz w:val="22"/>
          <w:szCs w:val="22"/>
          <w:lang w:val="fr-CA"/>
        </w:rPr>
      </w:pPr>
      <w:r w:rsidRPr="002D6CEA">
        <w:rPr>
          <w:sz w:val="22"/>
          <w:szCs w:val="22"/>
          <w:lang w:val="fr-CA"/>
        </w:rPr>
        <w:t>Programme de travail de la Plateforme intergouvernementale scientifique et politique sur la biodiversité et les services écosystémiques</w:t>
      </w:r>
    </w:p>
    <w:p w:rsidR="005B7071" w:rsidRPr="002D6CEA" w:rsidRDefault="00CB2583" w:rsidP="007C26FA">
      <w:pPr>
        <w:suppressLineNumbers/>
        <w:suppressAutoHyphens/>
        <w:kinsoku w:val="0"/>
        <w:overflowPunct w:val="0"/>
        <w:autoSpaceDE w:val="0"/>
        <w:autoSpaceDN w:val="0"/>
        <w:adjustRightInd w:val="0"/>
        <w:snapToGrid w:val="0"/>
        <w:spacing w:before="120" w:after="120"/>
        <w:jc w:val="center"/>
        <w:rPr>
          <w:b/>
          <w:i/>
          <w:snapToGrid w:val="0"/>
          <w:kern w:val="22"/>
          <w:sz w:val="22"/>
          <w:szCs w:val="22"/>
          <w:lang w:val="fr-CA"/>
        </w:rPr>
      </w:pPr>
      <w:r w:rsidRPr="002D6CEA">
        <w:rPr>
          <w:i/>
          <w:iCs/>
          <w:kern w:val="22"/>
          <w:sz w:val="22"/>
          <w:szCs w:val="22"/>
          <w:lang w:val="fr-CA"/>
        </w:rPr>
        <w:t>Note de la Secrétaire exécutive</w:t>
      </w:r>
    </w:p>
    <w:p w:rsidR="00FC562D" w:rsidRPr="002D6CEA" w:rsidRDefault="00CB2583" w:rsidP="007C26FA">
      <w:pPr>
        <w:pStyle w:val="ListParagraph"/>
        <w:keepNext/>
        <w:numPr>
          <w:ilvl w:val="0"/>
          <w:numId w:val="14"/>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outlineLvl w:val="0"/>
        <w:rPr>
          <w:b/>
          <w:caps/>
          <w:snapToGrid w:val="0"/>
          <w:kern w:val="22"/>
          <w:sz w:val="22"/>
          <w:szCs w:val="22"/>
          <w:lang w:val="fr-CA"/>
        </w:rPr>
      </w:pPr>
      <w:r w:rsidRPr="002D6CEA">
        <w:rPr>
          <w:b/>
          <w:caps/>
          <w:snapToGrid w:val="0"/>
          <w:kern w:val="22"/>
          <w:sz w:val="22"/>
          <w:szCs w:val="22"/>
          <w:lang w:val="fr-CA"/>
        </w:rPr>
        <w:t>COntexte</w:t>
      </w:r>
    </w:p>
    <w:p w:rsidR="004D2E49" w:rsidRPr="002D6CEA" w:rsidRDefault="00CB2583"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2D6CEA">
        <w:rPr>
          <w:bCs/>
          <w:iCs/>
          <w:snapToGrid w:val="0"/>
          <w:kern w:val="22"/>
          <w:sz w:val="22"/>
          <w:szCs w:val="22"/>
          <w:lang w:val="fr-CA"/>
        </w:rPr>
        <w:t xml:space="preserve">Dans sa décision </w:t>
      </w:r>
      <w:hyperlink r:id="rId15" w:history="1">
        <w:r w:rsidRPr="002D6CEA">
          <w:rPr>
            <w:rStyle w:val="Hyperlink"/>
            <w:sz w:val="22"/>
            <w:szCs w:val="22"/>
            <w:lang w:val="fr-CA"/>
          </w:rPr>
          <w:t>14/36</w:t>
        </w:r>
      </w:hyperlink>
      <w:r w:rsidRPr="002D6CEA">
        <w:rPr>
          <w:sz w:val="22"/>
          <w:szCs w:val="22"/>
          <w:lang w:val="fr-CA"/>
        </w:rPr>
        <w:t xml:space="preserve"> ,</w:t>
      </w:r>
      <w:r w:rsidRPr="002D6CEA">
        <w:rPr>
          <w:bCs/>
          <w:iCs/>
          <w:snapToGrid w:val="0"/>
          <w:kern w:val="22"/>
          <w:sz w:val="22"/>
          <w:szCs w:val="22"/>
          <w:lang w:val="fr-CA"/>
        </w:rPr>
        <w:t xml:space="preserve"> la Conférence des Parties, </w:t>
      </w:r>
      <w:r w:rsidRPr="002D6CEA">
        <w:rPr>
          <w:iCs/>
          <w:snapToGrid w:val="0"/>
          <w:sz w:val="22"/>
          <w:szCs w:val="22"/>
          <w:lang w:val="fr-CA"/>
        </w:rPr>
        <w:t>s</w:t>
      </w:r>
      <w:r w:rsidR="00E440F3">
        <w:rPr>
          <w:iCs/>
          <w:snapToGrid w:val="0"/>
          <w:sz w:val="22"/>
          <w:szCs w:val="22"/>
          <w:lang w:val="fr-CA"/>
        </w:rPr>
        <w:t>’</w:t>
      </w:r>
      <w:r w:rsidRPr="002D6CEA">
        <w:rPr>
          <w:iCs/>
          <w:snapToGrid w:val="0"/>
          <w:sz w:val="22"/>
          <w:szCs w:val="22"/>
          <w:lang w:val="fr-CA"/>
        </w:rPr>
        <w:t>est félicitée</w:t>
      </w:r>
      <w:r w:rsidRPr="002D6CEA">
        <w:rPr>
          <w:i/>
          <w:iCs/>
          <w:snapToGrid w:val="0"/>
          <w:sz w:val="22"/>
          <w:szCs w:val="22"/>
          <w:lang w:val="fr-CA"/>
        </w:rPr>
        <w:t xml:space="preserve"> </w:t>
      </w:r>
      <w:r w:rsidRPr="002D6CEA">
        <w:rPr>
          <w:iCs/>
          <w:snapToGrid w:val="0"/>
          <w:sz w:val="22"/>
          <w:szCs w:val="22"/>
          <w:lang w:val="fr-CA"/>
        </w:rPr>
        <w:t xml:space="preserve">des progrès accomplis dans la mise en œuvre du premier programme de travail de la Plateforme intergouvernementale scientifique et politique sur la biodiversité et les </w:t>
      </w:r>
      <w:r w:rsidRPr="002D6CEA">
        <w:rPr>
          <w:iCs/>
          <w:noProof/>
          <w:snapToGrid w:val="0"/>
          <w:sz w:val="22"/>
          <w:szCs w:val="22"/>
          <w:lang w:val="fr-CA"/>
        </w:rPr>
        <w:t>services écosystémiques (IPBES), et a invité la Plateforme à tenir compte d</w:t>
      </w:r>
      <w:r w:rsidR="00E440F3">
        <w:rPr>
          <w:iCs/>
          <w:noProof/>
          <w:snapToGrid w:val="0"/>
          <w:sz w:val="22"/>
          <w:szCs w:val="22"/>
          <w:lang w:val="fr-CA"/>
        </w:rPr>
        <w:t>’</w:t>
      </w:r>
      <w:r w:rsidRPr="002D6CEA">
        <w:rPr>
          <w:iCs/>
          <w:noProof/>
          <w:snapToGrid w:val="0"/>
          <w:sz w:val="22"/>
          <w:szCs w:val="22"/>
          <w:lang w:val="fr-CA"/>
        </w:rPr>
        <w:t>une demande dans le cadre de son programme de travail pour la période allant jusqu</w:t>
      </w:r>
      <w:r w:rsidR="00E440F3">
        <w:rPr>
          <w:iCs/>
          <w:noProof/>
          <w:snapToGrid w:val="0"/>
          <w:sz w:val="22"/>
          <w:szCs w:val="22"/>
          <w:lang w:val="fr-CA"/>
        </w:rPr>
        <w:t>’</w:t>
      </w:r>
      <w:r w:rsidRPr="002D6CEA">
        <w:rPr>
          <w:iCs/>
          <w:noProof/>
          <w:snapToGrid w:val="0"/>
          <w:sz w:val="22"/>
          <w:szCs w:val="22"/>
          <w:lang w:val="fr-CA"/>
        </w:rPr>
        <w:t>en 2030</w:t>
      </w:r>
      <w:r w:rsidR="009C054F">
        <w:rPr>
          <w:bCs/>
          <w:iCs/>
          <w:snapToGrid w:val="0"/>
          <w:kern w:val="22"/>
          <w:sz w:val="22"/>
          <w:szCs w:val="22"/>
          <w:lang w:val="fr-CA"/>
        </w:rPr>
        <w:t>.</w:t>
      </w:r>
    </w:p>
    <w:p w:rsidR="00CB2583" w:rsidRPr="002D6CEA" w:rsidRDefault="00CB2583" w:rsidP="00CB258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fr-CA"/>
        </w:rPr>
      </w:pPr>
      <w:r w:rsidRPr="002D6CEA">
        <w:rPr>
          <w:bCs/>
          <w:iCs/>
          <w:snapToGrid w:val="0"/>
          <w:kern w:val="22"/>
          <w:sz w:val="22"/>
          <w:szCs w:val="22"/>
          <w:lang w:val="fr-CA"/>
        </w:rPr>
        <w:t>Dans la même décision, la Conférence des Parties a prié la Secrétaire exécutive :</w:t>
      </w:r>
    </w:p>
    <w:p w:rsidR="00CB2583" w:rsidRPr="002D6CEA" w:rsidRDefault="00CB2583" w:rsidP="00CB2583">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fr-CA"/>
        </w:rPr>
      </w:pPr>
      <w:r w:rsidRPr="002D6CEA">
        <w:rPr>
          <w:rFonts w:asciiTheme="majorBidi" w:hAnsiTheme="majorBidi"/>
          <w:snapToGrid w:val="0"/>
          <w:kern w:val="22"/>
          <w:sz w:val="22"/>
          <w:szCs w:val="22"/>
          <w:lang w:val="fr-CA"/>
        </w:rPr>
        <w:t xml:space="preserve">En application de la décision </w:t>
      </w:r>
      <w:hyperlink r:id="rId16" w:history="1">
        <w:r w:rsidRPr="002D6CEA">
          <w:rPr>
            <w:rStyle w:val="Hyperlink"/>
            <w:sz w:val="22"/>
            <w:szCs w:val="22"/>
            <w:lang w:val="fr-CA"/>
          </w:rPr>
          <w:t>XII/25</w:t>
        </w:r>
      </w:hyperlink>
      <w:r w:rsidRPr="002D6CEA">
        <w:rPr>
          <w:bCs/>
          <w:iCs/>
          <w:snapToGrid w:val="0"/>
          <w:kern w:val="22"/>
          <w:sz w:val="22"/>
          <w:szCs w:val="22"/>
          <w:lang w:val="fr-CA"/>
        </w:rPr>
        <w:t>,</w:t>
      </w:r>
      <w:r w:rsidRPr="002D6CEA">
        <w:rPr>
          <w:rFonts w:asciiTheme="majorBidi" w:hAnsiTheme="majorBidi"/>
          <w:snapToGrid w:val="0"/>
          <w:kern w:val="22"/>
          <w:sz w:val="22"/>
          <w:szCs w:val="22"/>
          <w:lang w:val="fr-CA"/>
        </w:rPr>
        <w:t xml:space="preserve"> d</w:t>
      </w:r>
      <w:r w:rsidR="00E440F3">
        <w:rPr>
          <w:rFonts w:asciiTheme="majorBidi" w:hAnsiTheme="majorBidi"/>
          <w:snapToGrid w:val="0"/>
          <w:kern w:val="22"/>
          <w:sz w:val="22"/>
          <w:szCs w:val="22"/>
          <w:lang w:val="fr-CA"/>
        </w:rPr>
        <w:t>’</w:t>
      </w:r>
      <w:r w:rsidRPr="002D6CEA">
        <w:rPr>
          <w:rFonts w:asciiTheme="majorBidi" w:hAnsiTheme="majorBidi"/>
          <w:snapToGrid w:val="0"/>
          <w:kern w:val="22"/>
          <w:sz w:val="22"/>
          <w:szCs w:val="22"/>
          <w:lang w:val="fr-CA"/>
        </w:rPr>
        <w:t>élaborer des modalités pour l</w:t>
      </w:r>
      <w:r w:rsidR="00E440F3">
        <w:rPr>
          <w:rFonts w:asciiTheme="majorBidi" w:hAnsiTheme="majorBidi"/>
          <w:snapToGrid w:val="0"/>
          <w:kern w:val="22"/>
          <w:sz w:val="22"/>
          <w:szCs w:val="22"/>
          <w:lang w:val="fr-CA"/>
        </w:rPr>
        <w:t>’</w:t>
      </w:r>
      <w:r w:rsidRPr="002D6CEA">
        <w:rPr>
          <w:rFonts w:asciiTheme="majorBidi" w:hAnsiTheme="majorBidi"/>
          <w:snapToGrid w:val="0"/>
          <w:kern w:val="22"/>
          <w:sz w:val="22"/>
          <w:szCs w:val="22"/>
          <w:lang w:val="fr-CA"/>
        </w:rPr>
        <w:t xml:space="preserve">examen systématique de tous les produits de </w:t>
      </w:r>
      <w:r w:rsidRPr="002D6CEA">
        <w:rPr>
          <w:iCs/>
          <w:snapToGrid w:val="0"/>
          <w:sz w:val="22"/>
          <w:szCs w:val="22"/>
          <w:lang w:val="fr-CA"/>
        </w:rPr>
        <w:t xml:space="preserve">la Plateforme, </w:t>
      </w:r>
      <w:r w:rsidRPr="002D6CEA">
        <w:rPr>
          <w:rFonts w:asciiTheme="majorBidi" w:hAnsiTheme="majorBidi"/>
          <w:snapToGrid w:val="0"/>
          <w:kern w:val="22"/>
          <w:sz w:val="22"/>
          <w:szCs w:val="22"/>
          <w:lang w:val="fr-CA"/>
        </w:rPr>
        <w:t>en prenant en considération les conclusions de l</w:t>
      </w:r>
      <w:r w:rsidR="00E440F3">
        <w:rPr>
          <w:rFonts w:asciiTheme="majorBidi" w:hAnsiTheme="majorBidi"/>
          <w:snapToGrid w:val="0"/>
          <w:kern w:val="22"/>
          <w:sz w:val="22"/>
          <w:szCs w:val="22"/>
          <w:lang w:val="fr-CA"/>
        </w:rPr>
        <w:t>’</w:t>
      </w:r>
      <w:r w:rsidRPr="002D6CEA">
        <w:rPr>
          <w:rFonts w:asciiTheme="majorBidi" w:hAnsiTheme="majorBidi"/>
          <w:snapToGrid w:val="0"/>
          <w:kern w:val="22"/>
          <w:sz w:val="22"/>
          <w:szCs w:val="22"/>
          <w:lang w:val="fr-CA"/>
        </w:rPr>
        <w:t>examen de la Plateforme, en vue d</w:t>
      </w:r>
      <w:r w:rsidR="00E440F3">
        <w:rPr>
          <w:rFonts w:asciiTheme="majorBidi" w:hAnsiTheme="majorBidi"/>
          <w:snapToGrid w:val="0"/>
          <w:kern w:val="22"/>
          <w:sz w:val="22"/>
          <w:szCs w:val="22"/>
          <w:lang w:val="fr-CA"/>
        </w:rPr>
        <w:t>’</w:t>
      </w:r>
      <w:r w:rsidRPr="002D6CEA">
        <w:rPr>
          <w:rFonts w:asciiTheme="majorBidi" w:hAnsiTheme="majorBidi"/>
          <w:snapToGrid w:val="0"/>
          <w:kern w:val="22"/>
          <w:sz w:val="22"/>
          <w:szCs w:val="22"/>
          <w:lang w:val="fr-CA"/>
        </w:rPr>
        <w:t>optimiser leur utilisation à l</w:t>
      </w:r>
      <w:r w:rsidR="00E440F3">
        <w:rPr>
          <w:rFonts w:asciiTheme="majorBidi" w:hAnsiTheme="majorBidi"/>
          <w:snapToGrid w:val="0"/>
          <w:kern w:val="22"/>
          <w:sz w:val="22"/>
          <w:szCs w:val="22"/>
          <w:lang w:val="fr-CA"/>
        </w:rPr>
        <w:t>’</w:t>
      </w:r>
      <w:r w:rsidRPr="002D6CEA">
        <w:rPr>
          <w:rFonts w:asciiTheme="majorBidi" w:hAnsiTheme="majorBidi"/>
          <w:snapToGrid w:val="0"/>
          <w:kern w:val="22"/>
          <w:sz w:val="22"/>
          <w:szCs w:val="22"/>
          <w:lang w:val="fr-CA"/>
        </w:rPr>
        <w:t>appui de l</w:t>
      </w:r>
      <w:r w:rsidR="00E440F3">
        <w:rPr>
          <w:rFonts w:asciiTheme="majorBidi" w:hAnsiTheme="majorBidi"/>
          <w:snapToGrid w:val="0"/>
          <w:kern w:val="22"/>
          <w:sz w:val="22"/>
          <w:szCs w:val="22"/>
          <w:lang w:val="fr-CA"/>
        </w:rPr>
        <w:t>’</w:t>
      </w:r>
      <w:r w:rsidRPr="002D6CEA">
        <w:rPr>
          <w:rFonts w:asciiTheme="majorBidi" w:hAnsiTheme="majorBidi"/>
          <w:snapToGrid w:val="0"/>
          <w:kern w:val="22"/>
          <w:sz w:val="22"/>
          <w:szCs w:val="22"/>
          <w:lang w:val="fr-CA"/>
        </w:rPr>
        <w:t>application de la Convention;</w:t>
      </w:r>
    </w:p>
    <w:p w:rsidR="005D5A77" w:rsidRPr="002D6CEA" w:rsidRDefault="00CB2583" w:rsidP="00CB2583">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2D6CEA">
        <w:rPr>
          <w:rFonts w:asciiTheme="majorBidi" w:hAnsiTheme="majorBidi"/>
          <w:iCs/>
          <w:snapToGrid w:val="0"/>
          <w:kern w:val="22"/>
          <w:sz w:val="22"/>
          <w:szCs w:val="22"/>
          <w:lang w:val="fr-CA"/>
        </w:rPr>
        <w:t>D</w:t>
      </w:r>
      <w:r w:rsidR="00E440F3">
        <w:rPr>
          <w:rFonts w:asciiTheme="majorBidi" w:hAnsiTheme="majorBidi"/>
          <w:iCs/>
          <w:snapToGrid w:val="0"/>
          <w:kern w:val="22"/>
          <w:sz w:val="22"/>
          <w:szCs w:val="22"/>
          <w:lang w:val="fr-CA"/>
        </w:rPr>
        <w:t>’</w:t>
      </w:r>
      <w:r w:rsidRPr="002D6CEA">
        <w:rPr>
          <w:rFonts w:asciiTheme="majorBidi" w:hAnsiTheme="majorBidi"/>
          <w:iCs/>
          <w:snapToGrid w:val="0"/>
          <w:kern w:val="22"/>
          <w:sz w:val="22"/>
          <w:szCs w:val="22"/>
          <w:lang w:val="fr-CA"/>
        </w:rPr>
        <w:t>élaborer, aux fins d</w:t>
      </w:r>
      <w:r w:rsidR="00E440F3">
        <w:rPr>
          <w:rFonts w:asciiTheme="majorBidi" w:hAnsiTheme="majorBidi"/>
          <w:iCs/>
          <w:snapToGrid w:val="0"/>
          <w:kern w:val="22"/>
          <w:sz w:val="22"/>
          <w:szCs w:val="22"/>
          <w:lang w:val="fr-CA"/>
        </w:rPr>
        <w:t>’</w:t>
      </w:r>
      <w:r w:rsidRPr="002D6CEA">
        <w:rPr>
          <w:rFonts w:asciiTheme="majorBidi" w:hAnsiTheme="majorBidi"/>
          <w:iCs/>
          <w:snapToGrid w:val="0"/>
          <w:kern w:val="22"/>
          <w:sz w:val="22"/>
          <w:szCs w:val="22"/>
          <w:lang w:val="fr-CA"/>
        </w:rPr>
        <w:t>examen par l</w:t>
      </w:r>
      <w:r w:rsidR="00E440F3">
        <w:rPr>
          <w:rFonts w:asciiTheme="majorBidi" w:hAnsiTheme="majorBidi"/>
          <w:iCs/>
          <w:snapToGrid w:val="0"/>
          <w:kern w:val="22"/>
          <w:sz w:val="22"/>
          <w:szCs w:val="22"/>
          <w:lang w:val="fr-CA"/>
        </w:rPr>
        <w:t>’</w:t>
      </w:r>
      <w:r w:rsidRPr="002D6CEA">
        <w:rPr>
          <w:rFonts w:asciiTheme="majorBidi" w:hAnsiTheme="majorBidi"/>
          <w:iCs/>
          <w:snapToGrid w:val="0"/>
          <w:kern w:val="22"/>
          <w:sz w:val="22"/>
          <w:szCs w:val="22"/>
          <w:lang w:val="fr-CA"/>
        </w:rPr>
        <w:t>Organe subsidiaire chargé de fournir des avis scientifiques, techniques et technologiques (OSASTT), et d</w:t>
      </w:r>
      <w:r w:rsidR="00E440F3">
        <w:rPr>
          <w:rFonts w:asciiTheme="majorBidi" w:hAnsiTheme="majorBidi"/>
          <w:iCs/>
          <w:snapToGrid w:val="0"/>
          <w:kern w:val="22"/>
          <w:sz w:val="22"/>
          <w:szCs w:val="22"/>
          <w:lang w:val="fr-CA"/>
        </w:rPr>
        <w:t>’</w:t>
      </w:r>
      <w:r w:rsidRPr="002D6CEA">
        <w:rPr>
          <w:rFonts w:asciiTheme="majorBidi" w:hAnsiTheme="majorBidi"/>
          <w:iCs/>
          <w:snapToGrid w:val="0"/>
          <w:kern w:val="22"/>
          <w:sz w:val="22"/>
          <w:szCs w:val="22"/>
          <w:lang w:val="fr-CA"/>
        </w:rPr>
        <w:t xml:space="preserve">examen ultérieur par la Conférence des Parties à sa quinzième réunion, des propositions concernant une autre demande à examiner pour inclusion dans le programme de travail </w:t>
      </w:r>
      <w:r w:rsidRPr="002D6CEA">
        <w:rPr>
          <w:iCs/>
          <w:noProof/>
          <w:snapToGrid w:val="0"/>
          <w:sz w:val="22"/>
          <w:szCs w:val="22"/>
          <w:lang w:val="fr-CA"/>
        </w:rPr>
        <w:t>pour la période allant jusqu</w:t>
      </w:r>
      <w:r w:rsidR="00E440F3">
        <w:rPr>
          <w:iCs/>
          <w:noProof/>
          <w:snapToGrid w:val="0"/>
          <w:sz w:val="22"/>
          <w:szCs w:val="22"/>
          <w:lang w:val="fr-CA"/>
        </w:rPr>
        <w:t>’</w:t>
      </w:r>
      <w:r w:rsidRPr="002D6CEA">
        <w:rPr>
          <w:iCs/>
          <w:noProof/>
          <w:snapToGrid w:val="0"/>
          <w:sz w:val="22"/>
          <w:szCs w:val="22"/>
          <w:lang w:val="fr-CA"/>
        </w:rPr>
        <w:t>en </w:t>
      </w:r>
      <w:r w:rsidRPr="002D6CEA">
        <w:rPr>
          <w:rFonts w:asciiTheme="majorBidi" w:hAnsiTheme="majorBidi"/>
          <w:iCs/>
          <w:snapToGrid w:val="0"/>
          <w:kern w:val="22"/>
          <w:sz w:val="22"/>
          <w:szCs w:val="22"/>
          <w:lang w:val="fr-CA"/>
        </w:rPr>
        <w:t xml:space="preserve">2030 de </w:t>
      </w:r>
      <w:r w:rsidRPr="002D6CEA">
        <w:rPr>
          <w:iCs/>
          <w:snapToGrid w:val="0"/>
          <w:sz w:val="22"/>
          <w:szCs w:val="22"/>
          <w:lang w:val="fr-CA"/>
        </w:rPr>
        <w:t>l</w:t>
      </w:r>
      <w:r w:rsidR="00E440F3">
        <w:rPr>
          <w:iCs/>
          <w:snapToGrid w:val="0"/>
          <w:sz w:val="22"/>
          <w:szCs w:val="22"/>
          <w:lang w:val="fr-CA"/>
        </w:rPr>
        <w:t>’</w:t>
      </w:r>
      <w:r w:rsidRPr="002D6CEA">
        <w:rPr>
          <w:iCs/>
          <w:snapToGrid w:val="0"/>
          <w:sz w:val="22"/>
          <w:szCs w:val="22"/>
          <w:lang w:val="fr-CA"/>
        </w:rPr>
        <w:t xml:space="preserve">IPBES, en vue de faciliter la mise en œuvre du </w:t>
      </w:r>
      <w:r w:rsidRPr="002D6CEA">
        <w:rPr>
          <w:snapToGrid w:val="0"/>
          <w:sz w:val="22"/>
          <w:szCs w:val="22"/>
          <w:lang w:val="fr-CA"/>
        </w:rPr>
        <w:t>cadre mondial de la biodiversité pour l</w:t>
      </w:r>
      <w:r w:rsidR="00E440F3">
        <w:rPr>
          <w:snapToGrid w:val="0"/>
          <w:sz w:val="22"/>
          <w:szCs w:val="22"/>
          <w:lang w:val="fr-CA"/>
        </w:rPr>
        <w:t>’</w:t>
      </w:r>
      <w:r w:rsidRPr="002D6CEA">
        <w:rPr>
          <w:snapToGrid w:val="0"/>
          <w:sz w:val="22"/>
          <w:szCs w:val="22"/>
          <w:lang w:val="fr-CA"/>
        </w:rPr>
        <w:t>après</w:t>
      </w:r>
      <w:r w:rsidR="00E440F3">
        <w:rPr>
          <w:snapToGrid w:val="0"/>
          <w:sz w:val="22"/>
          <w:szCs w:val="22"/>
          <w:lang w:val="fr-CA"/>
        </w:rPr>
        <w:noBreakHyphen/>
      </w:r>
      <w:r w:rsidRPr="002D6CEA">
        <w:rPr>
          <w:snapToGrid w:val="0"/>
          <w:sz w:val="22"/>
          <w:szCs w:val="22"/>
          <w:lang w:val="fr-CA"/>
        </w:rPr>
        <w:t>2020</w:t>
      </w:r>
      <w:r w:rsidR="00423231" w:rsidRPr="002D6CEA">
        <w:rPr>
          <w:bCs/>
          <w:iCs/>
          <w:snapToGrid w:val="0"/>
          <w:kern w:val="22"/>
          <w:sz w:val="22"/>
          <w:szCs w:val="22"/>
          <w:lang w:val="fr-CA"/>
        </w:rPr>
        <w:t>.</w:t>
      </w:r>
    </w:p>
    <w:p w:rsidR="00ED2BFE" w:rsidRPr="002D6CEA" w:rsidRDefault="00FC66C4"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spacing w:val="-2"/>
          <w:kern w:val="22"/>
          <w:sz w:val="22"/>
          <w:szCs w:val="22"/>
          <w:lang w:val="fr-CA"/>
        </w:rPr>
      </w:pPr>
      <w:r w:rsidRPr="002D6CEA">
        <w:rPr>
          <w:bCs/>
          <w:iCs/>
          <w:snapToGrid w:val="0"/>
          <w:kern w:val="22"/>
          <w:sz w:val="22"/>
          <w:szCs w:val="22"/>
          <w:lang w:val="fr-CA"/>
        </w:rPr>
        <w:t xml:space="preserve">La section II </w:t>
      </w:r>
      <w:r w:rsidRPr="002D6CEA">
        <w:rPr>
          <w:bCs/>
          <w:iCs/>
          <w:noProof/>
          <w:snapToGrid w:val="0"/>
          <w:kern w:val="22"/>
          <w:sz w:val="22"/>
          <w:szCs w:val="22"/>
          <w:lang w:val="fr-CA"/>
        </w:rPr>
        <w:t>ci</w:t>
      </w:r>
      <w:r w:rsidR="00E440F3">
        <w:rPr>
          <w:bCs/>
          <w:iCs/>
          <w:noProof/>
          <w:snapToGrid w:val="0"/>
          <w:kern w:val="22"/>
          <w:sz w:val="22"/>
          <w:szCs w:val="22"/>
          <w:lang w:val="fr-CA"/>
        </w:rPr>
        <w:noBreakHyphen/>
      </w:r>
      <w:r w:rsidRPr="002D6CEA">
        <w:rPr>
          <w:bCs/>
          <w:iCs/>
          <w:noProof/>
          <w:snapToGrid w:val="0"/>
          <w:kern w:val="22"/>
          <w:sz w:val="22"/>
          <w:szCs w:val="22"/>
          <w:lang w:val="fr-CA"/>
        </w:rPr>
        <w:t>dessous analyse</w:t>
      </w:r>
      <w:r w:rsidRPr="002D6CEA">
        <w:rPr>
          <w:bCs/>
          <w:iCs/>
          <w:snapToGrid w:val="0"/>
          <w:kern w:val="22"/>
          <w:sz w:val="22"/>
          <w:szCs w:val="22"/>
          <w:lang w:val="fr-CA"/>
        </w:rPr>
        <w:t xml:space="preserve"> comment les produits de l</w:t>
      </w:r>
      <w:r w:rsidR="00E440F3">
        <w:rPr>
          <w:bCs/>
          <w:iCs/>
          <w:snapToGrid w:val="0"/>
          <w:kern w:val="22"/>
          <w:sz w:val="22"/>
          <w:szCs w:val="22"/>
          <w:lang w:val="fr-CA"/>
        </w:rPr>
        <w:t>’</w:t>
      </w:r>
      <w:r w:rsidRPr="002D6CEA">
        <w:rPr>
          <w:bCs/>
          <w:iCs/>
          <w:snapToGrid w:val="0"/>
          <w:kern w:val="22"/>
          <w:sz w:val="22"/>
          <w:szCs w:val="22"/>
          <w:lang w:val="fr-CA"/>
        </w:rPr>
        <w:t>IPBES livrés à ce jour ont été examinés au titre de la Convention et, dans ce contexte, aborde la demande susmentionnée d</w:t>
      </w:r>
      <w:r w:rsidR="00E440F3">
        <w:rPr>
          <w:bCs/>
          <w:iCs/>
          <w:snapToGrid w:val="0"/>
          <w:kern w:val="22"/>
          <w:sz w:val="22"/>
          <w:szCs w:val="22"/>
          <w:lang w:val="fr-CA"/>
        </w:rPr>
        <w:t>’</w:t>
      </w:r>
      <w:r w:rsidRPr="002D6CEA">
        <w:rPr>
          <w:bCs/>
          <w:iCs/>
          <w:snapToGrid w:val="0"/>
          <w:kern w:val="22"/>
          <w:sz w:val="22"/>
          <w:szCs w:val="22"/>
          <w:lang w:val="fr-CA"/>
        </w:rPr>
        <w:t>élaborer des modalités pour l</w:t>
      </w:r>
      <w:r w:rsidR="00E440F3">
        <w:rPr>
          <w:bCs/>
          <w:iCs/>
          <w:snapToGrid w:val="0"/>
          <w:kern w:val="22"/>
          <w:sz w:val="22"/>
          <w:szCs w:val="22"/>
          <w:lang w:val="fr-CA"/>
        </w:rPr>
        <w:t>’</w:t>
      </w:r>
      <w:r w:rsidRPr="002D6CEA">
        <w:rPr>
          <w:bCs/>
          <w:iCs/>
          <w:snapToGrid w:val="0"/>
          <w:kern w:val="22"/>
          <w:sz w:val="22"/>
          <w:szCs w:val="22"/>
          <w:lang w:val="fr-CA"/>
        </w:rPr>
        <w:t xml:space="preserve">examen systématique de tous les produits. La section III fournit une mise à jour du programme de travail de la Plateforme, comprenant les nouveaux éléments du programme de travail </w:t>
      </w:r>
      <w:r w:rsidRPr="002D6CEA">
        <w:rPr>
          <w:iCs/>
          <w:noProof/>
          <w:snapToGrid w:val="0"/>
          <w:sz w:val="22"/>
          <w:szCs w:val="22"/>
          <w:lang w:val="fr-CA"/>
        </w:rPr>
        <w:t>pour la période allant jusqu</w:t>
      </w:r>
      <w:r w:rsidR="00E440F3">
        <w:rPr>
          <w:iCs/>
          <w:noProof/>
          <w:snapToGrid w:val="0"/>
          <w:sz w:val="22"/>
          <w:szCs w:val="22"/>
          <w:lang w:val="fr-CA"/>
        </w:rPr>
        <w:t>’</w:t>
      </w:r>
      <w:r w:rsidRPr="002D6CEA">
        <w:rPr>
          <w:iCs/>
          <w:noProof/>
          <w:snapToGrid w:val="0"/>
          <w:sz w:val="22"/>
          <w:szCs w:val="22"/>
          <w:lang w:val="fr-CA"/>
        </w:rPr>
        <w:t>en </w:t>
      </w:r>
      <w:r w:rsidRPr="002D6CEA">
        <w:rPr>
          <w:bCs/>
          <w:iCs/>
          <w:snapToGrid w:val="0"/>
          <w:kern w:val="22"/>
          <w:sz w:val="22"/>
          <w:szCs w:val="22"/>
          <w:lang w:val="fr-CA"/>
        </w:rPr>
        <w:t>2030, convenus par la Plénière de l</w:t>
      </w:r>
      <w:r w:rsidR="00E440F3">
        <w:rPr>
          <w:bCs/>
          <w:iCs/>
          <w:snapToGrid w:val="0"/>
          <w:kern w:val="22"/>
          <w:sz w:val="22"/>
          <w:szCs w:val="22"/>
          <w:lang w:val="fr-CA"/>
        </w:rPr>
        <w:t>’</w:t>
      </w:r>
      <w:r w:rsidRPr="002D6CEA">
        <w:rPr>
          <w:bCs/>
          <w:iCs/>
          <w:snapToGrid w:val="0"/>
          <w:kern w:val="22"/>
          <w:sz w:val="22"/>
          <w:szCs w:val="22"/>
          <w:lang w:val="fr-CA"/>
        </w:rPr>
        <w:t>IPBES à sa septième réunion, et leur mise en œuvre, tandis que la section IV suggère des éléments de proposition concernant une autre demande à examiner pour inclusion dans le programme de travail. La section V présente un projet de recommandation pour la considération de l</w:t>
      </w:r>
      <w:r w:rsidR="00E440F3">
        <w:rPr>
          <w:bCs/>
          <w:iCs/>
          <w:snapToGrid w:val="0"/>
          <w:kern w:val="22"/>
          <w:sz w:val="22"/>
          <w:szCs w:val="22"/>
          <w:lang w:val="fr-CA"/>
        </w:rPr>
        <w:t>’</w:t>
      </w:r>
      <w:r w:rsidRPr="002D6CEA">
        <w:rPr>
          <w:bCs/>
          <w:iCs/>
          <w:snapToGrid w:val="0"/>
          <w:kern w:val="22"/>
          <w:sz w:val="22"/>
          <w:szCs w:val="22"/>
          <w:lang w:val="fr-CA"/>
        </w:rPr>
        <w:t>Organe subsidiaire chargé de fournir des avis scientifiques, techniques et technologique</w:t>
      </w:r>
      <w:r w:rsidR="00DD1AA0" w:rsidRPr="002D6CEA">
        <w:rPr>
          <w:bCs/>
          <w:iCs/>
          <w:snapToGrid w:val="0"/>
          <w:spacing w:val="-2"/>
          <w:kern w:val="22"/>
          <w:sz w:val="22"/>
          <w:szCs w:val="22"/>
          <w:lang w:val="fr-CA"/>
        </w:rPr>
        <w:t>.</w:t>
      </w:r>
    </w:p>
    <w:p w:rsidR="00AF7872" w:rsidRPr="002D6CEA" w:rsidRDefault="00FC66C4"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2D6CEA">
        <w:rPr>
          <w:bCs/>
          <w:iCs/>
          <w:snapToGrid w:val="0"/>
          <w:kern w:val="22"/>
          <w:sz w:val="22"/>
          <w:szCs w:val="22"/>
          <w:lang w:val="fr-CA"/>
        </w:rPr>
        <w:t>Le présent document est appuyé par un document d</w:t>
      </w:r>
      <w:r w:rsidR="00E440F3">
        <w:rPr>
          <w:bCs/>
          <w:iCs/>
          <w:snapToGrid w:val="0"/>
          <w:kern w:val="22"/>
          <w:sz w:val="22"/>
          <w:szCs w:val="22"/>
          <w:lang w:val="fr-CA"/>
        </w:rPr>
        <w:t>’</w:t>
      </w:r>
      <w:r w:rsidRPr="002D6CEA">
        <w:rPr>
          <w:bCs/>
          <w:iCs/>
          <w:snapToGrid w:val="0"/>
          <w:kern w:val="22"/>
          <w:sz w:val="22"/>
          <w:szCs w:val="22"/>
          <w:lang w:val="fr-CA"/>
        </w:rPr>
        <w:t>information élaboré par le secrétariat de l</w:t>
      </w:r>
      <w:r w:rsidR="00E440F3">
        <w:rPr>
          <w:bCs/>
          <w:iCs/>
          <w:snapToGrid w:val="0"/>
          <w:kern w:val="22"/>
          <w:sz w:val="22"/>
          <w:szCs w:val="22"/>
          <w:lang w:val="fr-CA"/>
        </w:rPr>
        <w:t>’</w:t>
      </w:r>
      <w:r w:rsidRPr="002D6CEA">
        <w:rPr>
          <w:bCs/>
          <w:iCs/>
          <w:snapToGrid w:val="0"/>
          <w:kern w:val="22"/>
          <w:sz w:val="22"/>
          <w:szCs w:val="22"/>
          <w:lang w:val="fr-CA"/>
        </w:rPr>
        <w:t>IPBES fournissant des informations détaillées sur les progrès accomplis dans la mise en œuvre du programme de travail de la Plateforme (CBD/SBSTTA/24/INF/17). Un document d</w:t>
      </w:r>
      <w:r w:rsidR="00E440F3">
        <w:rPr>
          <w:bCs/>
          <w:iCs/>
          <w:snapToGrid w:val="0"/>
          <w:kern w:val="22"/>
          <w:sz w:val="22"/>
          <w:szCs w:val="22"/>
          <w:lang w:val="fr-CA"/>
        </w:rPr>
        <w:t>’</w:t>
      </w:r>
      <w:r w:rsidRPr="002D6CEA">
        <w:rPr>
          <w:bCs/>
          <w:iCs/>
          <w:snapToGrid w:val="0"/>
          <w:kern w:val="22"/>
          <w:sz w:val="22"/>
          <w:szCs w:val="22"/>
          <w:lang w:val="fr-CA"/>
        </w:rPr>
        <w:t xml:space="preserve">information préparé </w:t>
      </w:r>
      <w:r w:rsidRPr="002D6CEA">
        <w:rPr>
          <w:bCs/>
          <w:iCs/>
          <w:snapToGrid w:val="0"/>
          <w:kern w:val="22"/>
          <w:sz w:val="22"/>
          <w:szCs w:val="22"/>
          <w:lang w:val="fr-CA"/>
        </w:rPr>
        <w:lastRenderedPageBreak/>
        <w:t xml:space="preserve">pour la </w:t>
      </w:r>
      <w:r w:rsidRPr="002D6CEA">
        <w:rPr>
          <w:bCs/>
          <w:iCs/>
          <w:noProof/>
          <w:snapToGrid w:val="0"/>
          <w:kern w:val="22"/>
          <w:sz w:val="22"/>
          <w:szCs w:val="22"/>
          <w:lang w:val="fr-CA"/>
        </w:rPr>
        <w:t>vingt</w:t>
      </w:r>
      <w:r w:rsidR="00E440F3">
        <w:rPr>
          <w:bCs/>
          <w:iCs/>
          <w:noProof/>
          <w:snapToGrid w:val="0"/>
          <w:kern w:val="22"/>
          <w:sz w:val="22"/>
          <w:szCs w:val="22"/>
          <w:lang w:val="fr-CA"/>
        </w:rPr>
        <w:noBreakHyphen/>
      </w:r>
      <w:r w:rsidRPr="002D6CEA">
        <w:rPr>
          <w:bCs/>
          <w:iCs/>
          <w:noProof/>
          <w:snapToGrid w:val="0"/>
          <w:kern w:val="22"/>
          <w:sz w:val="22"/>
          <w:szCs w:val="22"/>
          <w:lang w:val="fr-CA"/>
        </w:rPr>
        <w:t>troisième</w:t>
      </w:r>
      <w:r w:rsidRPr="002D6CEA">
        <w:rPr>
          <w:bCs/>
          <w:iCs/>
          <w:snapToGrid w:val="0"/>
          <w:kern w:val="22"/>
          <w:sz w:val="22"/>
          <w:szCs w:val="22"/>
          <w:lang w:val="fr-CA"/>
        </w:rPr>
        <w:t xml:space="preserve"> réunion de l</w:t>
      </w:r>
      <w:r w:rsidR="00E440F3">
        <w:rPr>
          <w:bCs/>
          <w:iCs/>
          <w:snapToGrid w:val="0"/>
          <w:kern w:val="22"/>
          <w:sz w:val="22"/>
          <w:szCs w:val="22"/>
          <w:lang w:val="fr-CA"/>
        </w:rPr>
        <w:t>’</w:t>
      </w:r>
      <w:r w:rsidRPr="002D6CEA">
        <w:rPr>
          <w:bCs/>
          <w:iCs/>
          <w:snapToGrid w:val="0"/>
          <w:kern w:val="22"/>
          <w:sz w:val="22"/>
          <w:szCs w:val="22"/>
          <w:lang w:val="fr-CA"/>
        </w:rPr>
        <w:t>Organe subsidiaire chargé de fournir des avis scientifiques, techniques et technologiques (CBD/SBSTTA/23/INF/16) est également pertinent à cet égard</w:t>
      </w:r>
      <w:r w:rsidR="005C2E3E" w:rsidRPr="002D6CEA">
        <w:rPr>
          <w:bCs/>
          <w:iCs/>
          <w:snapToGrid w:val="0"/>
          <w:kern w:val="22"/>
          <w:sz w:val="22"/>
          <w:szCs w:val="22"/>
          <w:lang w:val="fr-CA"/>
        </w:rPr>
        <w:t>.</w:t>
      </w:r>
    </w:p>
    <w:p w:rsidR="00AF7872" w:rsidRPr="002D6CEA" w:rsidRDefault="00423776" w:rsidP="00766960">
      <w:pPr>
        <w:pStyle w:val="ListParagraph"/>
        <w:keepNext/>
        <w:numPr>
          <w:ilvl w:val="0"/>
          <w:numId w:val="14"/>
        </w:numPr>
        <w:suppressLineNumbers/>
        <w:suppressAutoHyphens/>
        <w:kinsoku w:val="0"/>
        <w:overflowPunct w:val="0"/>
        <w:autoSpaceDE w:val="0"/>
        <w:autoSpaceDN w:val="0"/>
        <w:adjustRightInd w:val="0"/>
        <w:snapToGrid w:val="0"/>
        <w:spacing w:before="120" w:after="120" w:line="235" w:lineRule="auto"/>
        <w:ind w:left="1276" w:hanging="567"/>
        <w:contextualSpacing w:val="0"/>
        <w:outlineLvl w:val="0"/>
        <w:rPr>
          <w:b/>
          <w:bCs/>
          <w:caps/>
          <w:snapToGrid w:val="0"/>
          <w:kern w:val="22"/>
          <w:sz w:val="22"/>
          <w:szCs w:val="22"/>
          <w:lang w:val="fr-CA"/>
        </w:rPr>
      </w:pPr>
      <w:r w:rsidRPr="002D6CEA">
        <w:rPr>
          <w:b/>
          <w:caps/>
          <w:snapToGrid w:val="0"/>
          <w:kern w:val="22"/>
          <w:sz w:val="22"/>
          <w:szCs w:val="22"/>
          <w:lang w:val="fr-CA"/>
        </w:rPr>
        <w:t>examen systématique des produits de la plateforme par l</w:t>
      </w:r>
      <w:r w:rsidR="00E440F3">
        <w:rPr>
          <w:b/>
          <w:caps/>
          <w:snapToGrid w:val="0"/>
          <w:kern w:val="22"/>
          <w:sz w:val="22"/>
          <w:szCs w:val="22"/>
          <w:lang w:val="fr-CA"/>
        </w:rPr>
        <w:t>’</w:t>
      </w:r>
      <w:r w:rsidRPr="002D6CEA">
        <w:rPr>
          <w:b/>
          <w:caps/>
          <w:snapToGrid w:val="0"/>
          <w:kern w:val="22"/>
          <w:sz w:val="22"/>
          <w:szCs w:val="22"/>
          <w:lang w:val="fr-CA"/>
        </w:rPr>
        <w:t>Organe subsidiaire</w:t>
      </w:r>
    </w:p>
    <w:p w:rsidR="00AF7872" w:rsidRPr="002D6CEA" w:rsidRDefault="00BA27FE"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spacing w:val="-2"/>
          <w:kern w:val="22"/>
          <w:sz w:val="22"/>
          <w:szCs w:val="22"/>
          <w:lang w:val="fr-CA"/>
        </w:rPr>
      </w:pPr>
      <w:r w:rsidRPr="002D6CEA">
        <w:rPr>
          <w:bCs/>
          <w:iCs/>
          <w:snapToGrid w:val="0"/>
          <w:kern w:val="22"/>
          <w:sz w:val="22"/>
          <w:szCs w:val="22"/>
          <w:lang w:val="fr-CA"/>
        </w:rPr>
        <w:t xml:space="preserve">La décision XII/25 de la Conférence des Parties établit déjà des modalités pour les travaux de la </w:t>
      </w:r>
      <w:r w:rsidRPr="002D6CEA">
        <w:rPr>
          <w:bCs/>
          <w:iCs/>
          <w:noProof/>
          <w:snapToGrid w:val="0"/>
          <w:kern w:val="22"/>
          <w:sz w:val="22"/>
          <w:szCs w:val="22"/>
          <w:lang w:val="fr-CA"/>
        </w:rPr>
        <w:t>Secrétaire exécutive, de l</w:t>
      </w:r>
      <w:r w:rsidR="00E440F3">
        <w:rPr>
          <w:bCs/>
          <w:iCs/>
          <w:noProof/>
          <w:snapToGrid w:val="0"/>
          <w:kern w:val="22"/>
          <w:sz w:val="22"/>
          <w:szCs w:val="22"/>
          <w:lang w:val="fr-CA"/>
        </w:rPr>
        <w:t>’</w:t>
      </w:r>
      <w:r w:rsidRPr="002D6CEA">
        <w:rPr>
          <w:bCs/>
          <w:iCs/>
          <w:noProof/>
          <w:snapToGrid w:val="0"/>
          <w:kern w:val="22"/>
          <w:sz w:val="22"/>
          <w:szCs w:val="22"/>
          <w:lang w:val="fr-CA"/>
        </w:rPr>
        <w:t>Organe subsidiaire et de son président, et de la Conférence des Parties elle</w:t>
      </w:r>
      <w:r w:rsidR="00E440F3">
        <w:rPr>
          <w:bCs/>
          <w:iCs/>
          <w:noProof/>
          <w:snapToGrid w:val="0"/>
          <w:kern w:val="22"/>
          <w:sz w:val="22"/>
          <w:szCs w:val="22"/>
          <w:lang w:val="fr-CA"/>
        </w:rPr>
        <w:noBreakHyphen/>
      </w:r>
      <w:r w:rsidRPr="002D6CEA">
        <w:rPr>
          <w:bCs/>
          <w:iCs/>
          <w:noProof/>
          <w:snapToGrid w:val="0"/>
          <w:kern w:val="22"/>
          <w:sz w:val="22"/>
          <w:szCs w:val="22"/>
          <w:lang w:val="fr-CA"/>
        </w:rPr>
        <w:t>même,</w:t>
      </w:r>
      <w:r w:rsidRPr="002D6CEA">
        <w:rPr>
          <w:bCs/>
          <w:iCs/>
          <w:snapToGrid w:val="0"/>
          <w:kern w:val="22"/>
          <w:sz w:val="22"/>
          <w:szCs w:val="22"/>
          <w:lang w:val="fr-CA"/>
        </w:rPr>
        <w:t xml:space="preserve"> prévoyant que l</w:t>
      </w:r>
      <w:r w:rsidR="00E440F3">
        <w:rPr>
          <w:bCs/>
          <w:iCs/>
          <w:snapToGrid w:val="0"/>
          <w:kern w:val="22"/>
          <w:sz w:val="22"/>
          <w:szCs w:val="22"/>
          <w:lang w:val="fr-CA"/>
        </w:rPr>
        <w:t>’</w:t>
      </w:r>
      <w:r w:rsidRPr="002D6CEA">
        <w:rPr>
          <w:bCs/>
          <w:iCs/>
          <w:snapToGrid w:val="0"/>
          <w:kern w:val="22"/>
          <w:sz w:val="22"/>
          <w:szCs w:val="22"/>
          <w:lang w:val="fr-CA"/>
        </w:rPr>
        <w:t>Organe subsidiaire prépare des recommandations à l</w:t>
      </w:r>
      <w:r w:rsidR="00E440F3">
        <w:rPr>
          <w:bCs/>
          <w:iCs/>
          <w:snapToGrid w:val="0"/>
          <w:kern w:val="22"/>
          <w:sz w:val="22"/>
          <w:szCs w:val="22"/>
          <w:lang w:val="fr-CA"/>
        </w:rPr>
        <w:t>’</w:t>
      </w:r>
      <w:r w:rsidRPr="002D6CEA">
        <w:rPr>
          <w:bCs/>
          <w:iCs/>
          <w:snapToGrid w:val="0"/>
          <w:kern w:val="22"/>
          <w:sz w:val="22"/>
          <w:szCs w:val="22"/>
          <w:lang w:val="fr-CA"/>
        </w:rPr>
        <w:t>intention de la Conférence des Parties en ce qui concerne le programme de travail de l</w:t>
      </w:r>
      <w:r w:rsidR="00E440F3">
        <w:rPr>
          <w:bCs/>
          <w:iCs/>
          <w:snapToGrid w:val="0"/>
          <w:kern w:val="22"/>
          <w:sz w:val="22"/>
          <w:szCs w:val="22"/>
          <w:lang w:val="fr-CA"/>
        </w:rPr>
        <w:t>’</w:t>
      </w:r>
      <w:r w:rsidRPr="002D6CEA">
        <w:rPr>
          <w:bCs/>
          <w:iCs/>
          <w:snapToGrid w:val="0"/>
          <w:kern w:val="22"/>
          <w:sz w:val="22"/>
          <w:szCs w:val="22"/>
          <w:lang w:val="fr-CA"/>
        </w:rPr>
        <w:t>IPBES et qu</w:t>
      </w:r>
      <w:r w:rsidR="00E440F3">
        <w:rPr>
          <w:bCs/>
          <w:iCs/>
          <w:snapToGrid w:val="0"/>
          <w:kern w:val="22"/>
          <w:sz w:val="22"/>
          <w:szCs w:val="22"/>
          <w:lang w:val="fr-CA"/>
        </w:rPr>
        <w:t>’</w:t>
      </w:r>
      <w:r w:rsidRPr="002D6CEA">
        <w:rPr>
          <w:bCs/>
          <w:iCs/>
          <w:snapToGrid w:val="0"/>
          <w:kern w:val="22"/>
          <w:sz w:val="22"/>
          <w:szCs w:val="22"/>
          <w:lang w:val="fr-CA"/>
        </w:rPr>
        <w:t>il soumette à la Conférence des Parties des propositions (par. 1), et qu</w:t>
      </w:r>
      <w:r w:rsidR="00E440F3">
        <w:rPr>
          <w:bCs/>
          <w:iCs/>
          <w:snapToGrid w:val="0"/>
          <w:kern w:val="22"/>
          <w:sz w:val="22"/>
          <w:szCs w:val="22"/>
          <w:lang w:val="fr-CA"/>
        </w:rPr>
        <w:t>’</w:t>
      </w:r>
      <w:r w:rsidRPr="002D6CEA">
        <w:rPr>
          <w:bCs/>
          <w:iCs/>
          <w:snapToGrid w:val="0"/>
          <w:kern w:val="22"/>
          <w:sz w:val="22"/>
          <w:szCs w:val="22"/>
          <w:lang w:val="fr-CA"/>
        </w:rPr>
        <w:t>il échange des informations scientifiques et techniques avec la Plateforme (par. 2).</w:t>
      </w:r>
    </w:p>
    <w:p w:rsidR="00A71B8D" w:rsidRPr="002D6CEA" w:rsidRDefault="00BA27FE"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2D6CEA">
        <w:rPr>
          <w:bCs/>
          <w:iCs/>
          <w:snapToGrid w:val="0"/>
          <w:kern w:val="22"/>
          <w:sz w:val="22"/>
          <w:szCs w:val="22"/>
          <w:lang w:val="fr-CA"/>
        </w:rPr>
        <w:t>S</w:t>
      </w:r>
      <w:r w:rsidR="00E440F3">
        <w:rPr>
          <w:bCs/>
          <w:iCs/>
          <w:snapToGrid w:val="0"/>
          <w:kern w:val="22"/>
          <w:sz w:val="22"/>
          <w:szCs w:val="22"/>
          <w:lang w:val="fr-CA"/>
        </w:rPr>
        <w:t>’</w:t>
      </w:r>
      <w:r w:rsidRPr="002D6CEA">
        <w:rPr>
          <w:bCs/>
          <w:iCs/>
          <w:snapToGrid w:val="0"/>
          <w:kern w:val="22"/>
          <w:sz w:val="22"/>
          <w:szCs w:val="22"/>
          <w:lang w:val="fr-CA"/>
        </w:rPr>
        <w:t>alignant sur les modalités énoncées au paragraphe </w:t>
      </w:r>
      <w:r w:rsidR="00DB6286" w:rsidRPr="00DB6286">
        <w:rPr>
          <w:bCs/>
          <w:iCs/>
          <w:snapToGrid w:val="0"/>
          <w:kern w:val="22"/>
          <w:sz w:val="22"/>
          <w:szCs w:val="22"/>
          <w:lang w:val="fr-CA"/>
        </w:rPr>
        <w:t>5 </w:t>
      </w:r>
      <w:r w:rsidRPr="00DB6286">
        <w:rPr>
          <w:bCs/>
          <w:iCs/>
          <w:snapToGrid w:val="0"/>
          <w:kern w:val="22"/>
          <w:sz w:val="22"/>
          <w:szCs w:val="22"/>
          <w:lang w:val="fr-CA"/>
        </w:rPr>
        <w:t>e)</w:t>
      </w:r>
      <w:r w:rsidRPr="002D6CEA">
        <w:rPr>
          <w:bCs/>
          <w:iCs/>
          <w:snapToGrid w:val="0"/>
          <w:kern w:val="22"/>
          <w:sz w:val="22"/>
          <w:szCs w:val="22"/>
          <w:lang w:val="fr-CA"/>
        </w:rPr>
        <w:t xml:space="preserve"> de la décision XII/25, la Secrétaire exécutive a porté les rapports d</w:t>
      </w:r>
      <w:r w:rsidR="00E440F3">
        <w:rPr>
          <w:bCs/>
          <w:iCs/>
          <w:snapToGrid w:val="0"/>
          <w:kern w:val="22"/>
          <w:sz w:val="22"/>
          <w:szCs w:val="22"/>
          <w:lang w:val="fr-CA"/>
        </w:rPr>
        <w:t>’</w:t>
      </w:r>
      <w:r w:rsidRPr="002D6CEA">
        <w:rPr>
          <w:bCs/>
          <w:iCs/>
          <w:snapToGrid w:val="0"/>
          <w:kern w:val="22"/>
          <w:sz w:val="22"/>
          <w:szCs w:val="22"/>
          <w:lang w:val="fr-CA"/>
        </w:rPr>
        <w:t>évaluation achevés de la Plateforme à l</w:t>
      </w:r>
      <w:r w:rsidR="00E440F3">
        <w:rPr>
          <w:bCs/>
          <w:iCs/>
          <w:snapToGrid w:val="0"/>
          <w:kern w:val="22"/>
          <w:sz w:val="22"/>
          <w:szCs w:val="22"/>
          <w:lang w:val="fr-CA"/>
        </w:rPr>
        <w:t>’</w:t>
      </w:r>
      <w:r w:rsidRPr="002D6CEA">
        <w:rPr>
          <w:bCs/>
          <w:iCs/>
          <w:snapToGrid w:val="0"/>
          <w:kern w:val="22"/>
          <w:sz w:val="22"/>
          <w:szCs w:val="22"/>
          <w:lang w:val="fr-CA"/>
        </w:rPr>
        <w:t>attention de l</w:t>
      </w:r>
      <w:r w:rsidR="00E440F3">
        <w:rPr>
          <w:bCs/>
          <w:iCs/>
          <w:snapToGrid w:val="0"/>
          <w:kern w:val="22"/>
          <w:sz w:val="22"/>
          <w:szCs w:val="22"/>
          <w:lang w:val="fr-CA"/>
        </w:rPr>
        <w:t>’</w:t>
      </w:r>
      <w:r w:rsidRPr="002D6CEA">
        <w:rPr>
          <w:bCs/>
          <w:iCs/>
          <w:snapToGrid w:val="0"/>
          <w:kern w:val="22"/>
          <w:sz w:val="22"/>
          <w:szCs w:val="22"/>
          <w:lang w:val="fr-CA"/>
        </w:rPr>
        <w:t xml:space="preserve">Organe subsidiaire </w:t>
      </w:r>
      <w:r w:rsidRPr="002D6CEA">
        <w:rPr>
          <w:rFonts w:eastAsia="Malgun Gothic"/>
          <w:sz w:val="22"/>
          <w:szCs w:val="22"/>
          <w:lang w:val="fr-CA"/>
        </w:rPr>
        <w:t xml:space="preserve">pour que </w:t>
      </w:r>
      <w:r w:rsidRPr="002D6CEA">
        <w:rPr>
          <w:rFonts w:eastAsia="Malgun Gothic"/>
          <w:noProof/>
          <w:sz w:val="22"/>
          <w:szCs w:val="22"/>
          <w:lang w:val="fr-CA"/>
        </w:rPr>
        <w:t>celui</w:t>
      </w:r>
      <w:r w:rsidR="00E440F3">
        <w:rPr>
          <w:rFonts w:eastAsia="Malgun Gothic"/>
          <w:noProof/>
          <w:sz w:val="22"/>
          <w:szCs w:val="22"/>
          <w:lang w:val="fr-CA"/>
        </w:rPr>
        <w:noBreakHyphen/>
      </w:r>
      <w:r w:rsidRPr="002D6CEA">
        <w:rPr>
          <w:rFonts w:eastAsia="Malgun Gothic"/>
          <w:noProof/>
          <w:sz w:val="22"/>
          <w:szCs w:val="22"/>
          <w:lang w:val="fr-CA"/>
        </w:rPr>
        <w:t>ci puisse</w:t>
      </w:r>
      <w:r w:rsidRPr="002D6CEA">
        <w:rPr>
          <w:rFonts w:eastAsia="Malgun Gothic"/>
          <w:sz w:val="22"/>
          <w:szCs w:val="22"/>
          <w:lang w:val="fr-CA"/>
        </w:rPr>
        <w:t xml:space="preserve"> examiner le caractère pertinent des conclusions </w:t>
      </w:r>
      <w:r w:rsidRPr="002D6CEA">
        <w:rPr>
          <w:bCs/>
          <w:iCs/>
          <w:snapToGrid w:val="0"/>
          <w:kern w:val="22"/>
          <w:sz w:val="22"/>
          <w:szCs w:val="22"/>
          <w:lang w:val="fr-CA"/>
        </w:rPr>
        <w:t>pour les travaux de la Convention, et élaborer, comme il convient, des recommandations à l</w:t>
      </w:r>
      <w:r w:rsidR="00E440F3">
        <w:rPr>
          <w:bCs/>
          <w:iCs/>
          <w:snapToGrid w:val="0"/>
          <w:kern w:val="22"/>
          <w:sz w:val="22"/>
          <w:szCs w:val="22"/>
          <w:lang w:val="fr-CA"/>
        </w:rPr>
        <w:t>’</w:t>
      </w:r>
      <w:r w:rsidRPr="002D6CEA">
        <w:rPr>
          <w:bCs/>
          <w:iCs/>
          <w:snapToGrid w:val="0"/>
          <w:kern w:val="22"/>
          <w:sz w:val="22"/>
          <w:szCs w:val="22"/>
          <w:lang w:val="fr-CA"/>
        </w:rPr>
        <w:t>intention de la Conférence des Parties. Sur avis de l</w:t>
      </w:r>
      <w:r w:rsidR="00E440F3">
        <w:rPr>
          <w:bCs/>
          <w:iCs/>
          <w:snapToGrid w:val="0"/>
          <w:kern w:val="22"/>
          <w:sz w:val="22"/>
          <w:szCs w:val="22"/>
          <w:lang w:val="fr-CA"/>
        </w:rPr>
        <w:t>’</w:t>
      </w:r>
      <w:r w:rsidRPr="002D6CEA">
        <w:rPr>
          <w:bCs/>
          <w:iCs/>
          <w:snapToGrid w:val="0"/>
          <w:kern w:val="22"/>
          <w:sz w:val="22"/>
          <w:szCs w:val="22"/>
          <w:lang w:val="fr-CA"/>
        </w:rPr>
        <w:t>Organe subsidiaire, la Conférence des Parties s</w:t>
      </w:r>
      <w:r w:rsidR="00E440F3">
        <w:rPr>
          <w:bCs/>
          <w:iCs/>
          <w:snapToGrid w:val="0"/>
          <w:kern w:val="22"/>
          <w:sz w:val="22"/>
          <w:szCs w:val="22"/>
          <w:lang w:val="fr-CA"/>
        </w:rPr>
        <w:t>’</w:t>
      </w:r>
      <w:r w:rsidRPr="002D6CEA">
        <w:rPr>
          <w:bCs/>
          <w:iCs/>
          <w:snapToGrid w:val="0"/>
          <w:kern w:val="22"/>
          <w:sz w:val="22"/>
          <w:szCs w:val="22"/>
          <w:lang w:val="fr-CA"/>
        </w:rPr>
        <w:t>est félicitée de chaque rapport d</w:t>
      </w:r>
      <w:r w:rsidR="00E440F3">
        <w:rPr>
          <w:bCs/>
          <w:iCs/>
          <w:snapToGrid w:val="0"/>
          <w:kern w:val="22"/>
          <w:sz w:val="22"/>
          <w:szCs w:val="22"/>
          <w:lang w:val="fr-CA"/>
        </w:rPr>
        <w:t>’</w:t>
      </w:r>
      <w:r w:rsidRPr="002D6CEA">
        <w:rPr>
          <w:bCs/>
          <w:iCs/>
          <w:snapToGrid w:val="0"/>
          <w:kern w:val="22"/>
          <w:sz w:val="22"/>
          <w:szCs w:val="22"/>
          <w:lang w:val="fr-CA"/>
        </w:rPr>
        <w:t>évaluation et a approuvé ou pris note de leurs conclusions. Ce processus a également donné lieu à un certain nombre de ré</w:t>
      </w:r>
      <w:r w:rsidR="00593094" w:rsidRPr="002D6CEA">
        <w:rPr>
          <w:bCs/>
          <w:iCs/>
          <w:snapToGrid w:val="0"/>
          <w:kern w:val="22"/>
          <w:sz w:val="22"/>
          <w:szCs w:val="22"/>
          <w:lang w:val="fr-CA"/>
        </w:rPr>
        <w:t xml:space="preserve">sultats concrets (voir le </w:t>
      </w:r>
      <w:r w:rsidR="00593094" w:rsidRPr="002D6CEA">
        <w:rPr>
          <w:bCs/>
          <w:iCs/>
          <w:noProof/>
          <w:snapToGrid w:val="0"/>
          <w:kern w:val="22"/>
          <w:sz w:val="22"/>
          <w:szCs w:val="22"/>
          <w:lang w:val="fr-CA"/>
        </w:rPr>
        <w:t>tableau</w:t>
      </w:r>
      <w:r w:rsidRPr="002D6CEA">
        <w:rPr>
          <w:bCs/>
          <w:iCs/>
          <w:noProof/>
          <w:snapToGrid w:val="0"/>
          <w:kern w:val="22"/>
          <w:sz w:val="22"/>
          <w:szCs w:val="22"/>
          <w:lang w:val="fr-CA"/>
        </w:rPr>
        <w:t xml:space="preserve"> ci</w:t>
      </w:r>
      <w:r w:rsidR="00E440F3">
        <w:rPr>
          <w:bCs/>
          <w:iCs/>
          <w:noProof/>
          <w:snapToGrid w:val="0"/>
          <w:kern w:val="22"/>
          <w:sz w:val="22"/>
          <w:szCs w:val="22"/>
          <w:lang w:val="fr-CA"/>
        </w:rPr>
        <w:noBreakHyphen/>
      </w:r>
      <w:r w:rsidRPr="002D6CEA">
        <w:rPr>
          <w:bCs/>
          <w:iCs/>
          <w:noProof/>
          <w:snapToGrid w:val="0"/>
          <w:kern w:val="22"/>
          <w:sz w:val="22"/>
          <w:szCs w:val="22"/>
          <w:lang w:val="fr-CA"/>
        </w:rPr>
        <w:t>dessous).</w:t>
      </w:r>
      <w:r w:rsidRPr="002D6CEA">
        <w:rPr>
          <w:bCs/>
          <w:iCs/>
          <w:snapToGrid w:val="0"/>
          <w:kern w:val="22"/>
          <w:sz w:val="22"/>
          <w:szCs w:val="22"/>
          <w:lang w:val="fr-CA"/>
        </w:rPr>
        <w:t xml:space="preserve"> Par exemple :</w:t>
      </w:r>
    </w:p>
    <w:p w:rsidR="00A71B8D" w:rsidRPr="002D6CEA" w:rsidRDefault="00BA27FE"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2D6CEA">
        <w:rPr>
          <w:bCs/>
          <w:iCs/>
          <w:snapToGrid w:val="0"/>
          <w:kern w:val="22"/>
          <w:sz w:val="22"/>
          <w:szCs w:val="22"/>
          <w:lang w:val="fr-CA"/>
        </w:rPr>
        <w:t>La Conférence des Parties a élaboré un ensemble complet d</w:t>
      </w:r>
      <w:r w:rsidR="00E440F3">
        <w:rPr>
          <w:bCs/>
          <w:iCs/>
          <w:snapToGrid w:val="0"/>
          <w:kern w:val="22"/>
          <w:sz w:val="22"/>
          <w:szCs w:val="22"/>
          <w:lang w:val="fr-CA"/>
        </w:rPr>
        <w:t>’</w:t>
      </w:r>
      <w:r w:rsidRPr="002D6CEA">
        <w:rPr>
          <w:bCs/>
          <w:iCs/>
          <w:snapToGrid w:val="0"/>
          <w:kern w:val="22"/>
          <w:sz w:val="22"/>
          <w:szCs w:val="22"/>
          <w:lang w:val="fr-CA"/>
        </w:rPr>
        <w:t>orientations sur la conservation et l</w:t>
      </w:r>
      <w:r w:rsidR="00E440F3">
        <w:rPr>
          <w:bCs/>
          <w:iCs/>
          <w:snapToGrid w:val="0"/>
          <w:kern w:val="22"/>
          <w:sz w:val="22"/>
          <w:szCs w:val="22"/>
          <w:lang w:val="fr-CA"/>
        </w:rPr>
        <w:t>’</w:t>
      </w:r>
      <w:r w:rsidRPr="002D6CEA">
        <w:rPr>
          <w:bCs/>
          <w:iCs/>
          <w:snapToGrid w:val="0"/>
          <w:kern w:val="22"/>
          <w:sz w:val="22"/>
          <w:szCs w:val="22"/>
          <w:lang w:val="fr-CA"/>
        </w:rPr>
        <w:t>utilisation durable des pollinisateurs (décision</w:t>
      </w:r>
      <w:r w:rsidRPr="002D6CEA">
        <w:rPr>
          <w:lang w:val="fr-CA"/>
        </w:rPr>
        <w:t> </w:t>
      </w:r>
      <w:hyperlink r:id="rId17" w:history="1">
        <w:r w:rsidRPr="002D6CEA">
          <w:rPr>
            <w:rStyle w:val="Hyperlink"/>
            <w:sz w:val="22"/>
            <w:szCs w:val="22"/>
            <w:lang w:val="fr-CA"/>
          </w:rPr>
          <w:t>13/15</w:t>
        </w:r>
      </w:hyperlink>
      <w:r w:rsidRPr="002D6CEA">
        <w:rPr>
          <w:sz w:val="22"/>
          <w:szCs w:val="22"/>
          <w:lang w:val="fr-CA"/>
        </w:rPr>
        <w:t>), et mis à jour le</w:t>
      </w:r>
      <w:r w:rsidRPr="002D6CEA">
        <w:rPr>
          <w:kern w:val="22"/>
          <w:sz w:val="22"/>
          <w:szCs w:val="22"/>
          <w:lang w:val="fr-CA"/>
        </w:rPr>
        <w:t xml:space="preserve"> plan d</w:t>
      </w:r>
      <w:r w:rsidR="00E440F3">
        <w:rPr>
          <w:kern w:val="22"/>
          <w:sz w:val="22"/>
          <w:szCs w:val="22"/>
          <w:lang w:val="fr-CA"/>
        </w:rPr>
        <w:t>’</w:t>
      </w:r>
      <w:r w:rsidRPr="002D6CEA">
        <w:rPr>
          <w:kern w:val="22"/>
          <w:sz w:val="22"/>
          <w:szCs w:val="22"/>
          <w:lang w:val="fr-CA"/>
        </w:rPr>
        <w:t>action 2018</w:t>
      </w:r>
      <w:r w:rsidR="00E440F3">
        <w:rPr>
          <w:kern w:val="22"/>
          <w:sz w:val="22"/>
          <w:szCs w:val="22"/>
          <w:lang w:val="fr-CA"/>
        </w:rPr>
        <w:noBreakHyphen/>
      </w:r>
      <w:r w:rsidRPr="002D6CEA">
        <w:rPr>
          <w:kern w:val="22"/>
          <w:sz w:val="22"/>
          <w:szCs w:val="22"/>
          <w:lang w:val="fr-CA"/>
        </w:rPr>
        <w:t>2030 de l</w:t>
      </w:r>
      <w:r w:rsidR="00E440F3">
        <w:rPr>
          <w:kern w:val="22"/>
          <w:sz w:val="22"/>
          <w:szCs w:val="22"/>
          <w:lang w:val="fr-CA"/>
        </w:rPr>
        <w:t>’</w:t>
      </w:r>
      <w:r w:rsidRPr="002D6CEA">
        <w:rPr>
          <w:kern w:val="22"/>
          <w:sz w:val="22"/>
          <w:szCs w:val="22"/>
          <w:lang w:val="fr-CA"/>
        </w:rPr>
        <w:t>Initiative internationale sur la conservation et l</w:t>
      </w:r>
      <w:r w:rsidR="00E440F3">
        <w:rPr>
          <w:kern w:val="22"/>
          <w:sz w:val="22"/>
          <w:szCs w:val="22"/>
          <w:lang w:val="fr-CA"/>
        </w:rPr>
        <w:t>’</w:t>
      </w:r>
      <w:r w:rsidRPr="002D6CEA">
        <w:rPr>
          <w:kern w:val="22"/>
          <w:sz w:val="22"/>
          <w:szCs w:val="22"/>
          <w:lang w:val="fr-CA"/>
        </w:rPr>
        <w:t xml:space="preserve">utilisation durable des pollinisateurs </w:t>
      </w:r>
      <w:r w:rsidRPr="002D6CEA">
        <w:rPr>
          <w:bCs/>
          <w:iCs/>
          <w:snapToGrid w:val="0"/>
          <w:kern w:val="22"/>
          <w:sz w:val="22"/>
          <w:szCs w:val="22"/>
          <w:lang w:val="fr-CA"/>
        </w:rPr>
        <w:t>(décision </w:t>
      </w:r>
      <w:hyperlink r:id="rId18" w:history="1">
        <w:r w:rsidRPr="002D6CEA">
          <w:rPr>
            <w:rStyle w:val="Hyperlink"/>
            <w:sz w:val="22"/>
            <w:szCs w:val="22"/>
            <w:lang w:val="fr-CA"/>
          </w:rPr>
          <w:t>14/6</w:t>
        </w:r>
      </w:hyperlink>
      <w:r w:rsidRPr="002D6CEA">
        <w:rPr>
          <w:bCs/>
          <w:iCs/>
          <w:snapToGrid w:val="0"/>
          <w:kern w:val="22"/>
          <w:sz w:val="22"/>
          <w:szCs w:val="22"/>
          <w:lang w:val="fr-CA"/>
        </w:rPr>
        <w:t>) sur la base de l</w:t>
      </w:r>
      <w:r w:rsidR="00E440F3">
        <w:rPr>
          <w:bCs/>
          <w:iCs/>
          <w:snapToGrid w:val="0"/>
          <w:kern w:val="22"/>
          <w:sz w:val="22"/>
          <w:szCs w:val="22"/>
          <w:lang w:val="fr-CA"/>
        </w:rPr>
        <w:t>’</w:t>
      </w:r>
      <w:r w:rsidRPr="002D6CEA">
        <w:rPr>
          <w:bCs/>
          <w:iCs/>
          <w:snapToGrid w:val="0"/>
          <w:kern w:val="22"/>
          <w:sz w:val="22"/>
          <w:szCs w:val="22"/>
          <w:lang w:val="fr-CA"/>
        </w:rPr>
        <w:t>évaluation thématique sur les pollinisateurs, la pollinisation et la production alimentaire</w:t>
      </w:r>
      <w:r w:rsidR="00A71B8D" w:rsidRPr="002D6CEA">
        <w:rPr>
          <w:bCs/>
          <w:iCs/>
          <w:snapToGrid w:val="0"/>
          <w:kern w:val="22"/>
          <w:sz w:val="22"/>
          <w:szCs w:val="22"/>
          <w:lang w:val="fr-CA"/>
        </w:rPr>
        <w:t>;</w:t>
      </w:r>
    </w:p>
    <w:p w:rsidR="00BA27FE" w:rsidRPr="002D6CEA" w:rsidRDefault="00BA27FE" w:rsidP="00BA27FE">
      <w:pPr>
        <w:numPr>
          <w:ilvl w:val="1"/>
          <w:numId w:val="6"/>
        </w:numPr>
        <w:suppressLineNumbers/>
        <w:suppressAutoHyphens/>
        <w:kinsoku w:val="0"/>
        <w:overflowPunct w:val="0"/>
        <w:autoSpaceDE w:val="0"/>
        <w:autoSpaceDN w:val="0"/>
        <w:spacing w:before="120" w:after="120"/>
        <w:ind w:left="0" w:firstLine="709"/>
        <w:jc w:val="both"/>
        <w:rPr>
          <w:bCs/>
          <w:iCs/>
          <w:noProof/>
          <w:snapToGrid w:val="0"/>
          <w:kern w:val="22"/>
          <w:sz w:val="22"/>
          <w:szCs w:val="22"/>
          <w:lang w:val="fr-CA"/>
        </w:rPr>
      </w:pPr>
      <w:r w:rsidRPr="002D6CEA">
        <w:rPr>
          <w:bCs/>
          <w:iCs/>
          <w:snapToGrid w:val="0"/>
          <w:kern w:val="22"/>
          <w:sz w:val="22"/>
          <w:szCs w:val="22"/>
          <w:lang w:val="fr-CA"/>
        </w:rPr>
        <w:t>L</w:t>
      </w:r>
      <w:r w:rsidR="00E440F3">
        <w:rPr>
          <w:bCs/>
          <w:iCs/>
          <w:snapToGrid w:val="0"/>
          <w:kern w:val="22"/>
          <w:sz w:val="22"/>
          <w:szCs w:val="22"/>
          <w:lang w:val="fr-CA"/>
        </w:rPr>
        <w:t>’</w:t>
      </w:r>
      <w:r w:rsidRPr="002D6CEA">
        <w:rPr>
          <w:bCs/>
          <w:iCs/>
          <w:snapToGrid w:val="0"/>
          <w:kern w:val="22"/>
          <w:sz w:val="22"/>
          <w:szCs w:val="22"/>
          <w:lang w:val="fr-CA"/>
        </w:rPr>
        <w:t>Organe subsidiaire a adopté les conclusions sur les Scénarios pour la Vision 2050 pour la diversité biologique en appliquant l</w:t>
      </w:r>
      <w:r w:rsidR="00E440F3">
        <w:rPr>
          <w:bCs/>
          <w:iCs/>
          <w:snapToGrid w:val="0"/>
          <w:kern w:val="22"/>
          <w:sz w:val="22"/>
          <w:szCs w:val="22"/>
          <w:lang w:val="fr-CA"/>
        </w:rPr>
        <w:t>’</w:t>
      </w:r>
      <w:r w:rsidRPr="002D6CEA">
        <w:rPr>
          <w:bCs/>
          <w:iCs/>
          <w:snapToGrid w:val="0"/>
          <w:kern w:val="22"/>
          <w:sz w:val="22"/>
          <w:szCs w:val="22"/>
          <w:lang w:val="fr-CA"/>
        </w:rPr>
        <w:t xml:space="preserve">évaluation méthodologique aux scénarios et modèles concernant la biodiversité et les services </w:t>
      </w:r>
      <w:r w:rsidRPr="002D6CEA">
        <w:rPr>
          <w:bCs/>
          <w:iCs/>
          <w:noProof/>
          <w:snapToGrid w:val="0"/>
          <w:kern w:val="22"/>
          <w:sz w:val="22"/>
          <w:szCs w:val="22"/>
          <w:lang w:val="fr-CA"/>
        </w:rPr>
        <w:t>écosystémiques;</w:t>
      </w:r>
    </w:p>
    <w:p w:rsidR="00A71B8D" w:rsidRPr="002D6CEA" w:rsidRDefault="00BA27FE" w:rsidP="00BA27FE">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noProof/>
          <w:snapToGrid w:val="0"/>
          <w:kern w:val="22"/>
          <w:sz w:val="22"/>
          <w:szCs w:val="22"/>
          <w:lang w:val="fr-CA"/>
        </w:rPr>
      </w:pPr>
      <w:r w:rsidRPr="002D6CEA">
        <w:rPr>
          <w:bCs/>
          <w:iCs/>
          <w:noProof/>
          <w:snapToGrid w:val="0"/>
          <w:kern w:val="22"/>
          <w:sz w:val="22"/>
          <w:szCs w:val="22"/>
          <w:lang w:val="fr-CA"/>
        </w:rPr>
        <w:t>La Conférence des Parties a approuvé les messages clés émanant de l</w:t>
      </w:r>
      <w:r w:rsidR="00E440F3">
        <w:rPr>
          <w:bCs/>
          <w:iCs/>
          <w:noProof/>
          <w:snapToGrid w:val="0"/>
          <w:kern w:val="22"/>
          <w:sz w:val="22"/>
          <w:szCs w:val="22"/>
          <w:lang w:val="fr-CA"/>
        </w:rPr>
        <w:t>’</w:t>
      </w:r>
      <w:r w:rsidRPr="002D6CEA">
        <w:rPr>
          <w:bCs/>
          <w:iCs/>
          <w:noProof/>
          <w:snapToGrid w:val="0"/>
          <w:kern w:val="22"/>
          <w:sz w:val="22"/>
          <w:szCs w:val="22"/>
          <w:lang w:val="fr-CA"/>
        </w:rPr>
        <w:t>évaluation thématique sur la dégradation et la restauration des terres qui appuient la réalisation des objectifs de développement durable au moyen d</w:t>
      </w:r>
      <w:r w:rsidR="00E440F3">
        <w:rPr>
          <w:bCs/>
          <w:iCs/>
          <w:noProof/>
          <w:snapToGrid w:val="0"/>
          <w:kern w:val="22"/>
          <w:sz w:val="22"/>
          <w:szCs w:val="22"/>
          <w:lang w:val="fr-CA"/>
        </w:rPr>
        <w:t>’</w:t>
      </w:r>
      <w:r w:rsidRPr="002D6CEA">
        <w:rPr>
          <w:bCs/>
          <w:iCs/>
          <w:noProof/>
          <w:snapToGrid w:val="0"/>
          <w:kern w:val="22"/>
          <w:sz w:val="22"/>
          <w:szCs w:val="22"/>
          <w:lang w:val="fr-CA"/>
        </w:rPr>
        <w:t>approches écosystémiques d</w:t>
      </w:r>
      <w:r w:rsidR="00E440F3">
        <w:rPr>
          <w:bCs/>
          <w:iCs/>
          <w:noProof/>
          <w:snapToGrid w:val="0"/>
          <w:kern w:val="22"/>
          <w:sz w:val="22"/>
          <w:szCs w:val="22"/>
          <w:lang w:val="fr-CA"/>
        </w:rPr>
        <w:t>’</w:t>
      </w:r>
      <w:r w:rsidRPr="002D6CEA">
        <w:rPr>
          <w:bCs/>
          <w:iCs/>
          <w:noProof/>
          <w:snapToGrid w:val="0"/>
          <w:kern w:val="22"/>
          <w:sz w:val="22"/>
          <w:szCs w:val="22"/>
          <w:lang w:val="fr-CA"/>
        </w:rPr>
        <w:t>adaptation aux changements climatiques et d</w:t>
      </w:r>
      <w:r w:rsidR="00E440F3">
        <w:rPr>
          <w:bCs/>
          <w:iCs/>
          <w:noProof/>
          <w:snapToGrid w:val="0"/>
          <w:kern w:val="22"/>
          <w:sz w:val="22"/>
          <w:szCs w:val="22"/>
          <w:lang w:val="fr-CA"/>
        </w:rPr>
        <w:t>’</w:t>
      </w:r>
      <w:r w:rsidRPr="002D6CEA">
        <w:rPr>
          <w:bCs/>
          <w:iCs/>
          <w:noProof/>
          <w:snapToGrid w:val="0"/>
          <w:kern w:val="22"/>
          <w:sz w:val="22"/>
          <w:szCs w:val="22"/>
          <w:lang w:val="fr-CA"/>
        </w:rPr>
        <w:t>atténuation de leurs effets, de réduction des risques de catastrophes, et de lutte contre la dégradation des terres</w:t>
      </w:r>
      <w:r w:rsidR="00A72795" w:rsidRPr="002D6CEA">
        <w:rPr>
          <w:bCs/>
          <w:iCs/>
          <w:noProof/>
          <w:snapToGrid w:val="0"/>
          <w:kern w:val="22"/>
          <w:sz w:val="22"/>
          <w:szCs w:val="22"/>
          <w:lang w:val="fr-CA"/>
        </w:rPr>
        <w:t>.</w:t>
      </w:r>
    </w:p>
    <w:p w:rsidR="00A71B8D" w:rsidRPr="002D6CEA" w:rsidRDefault="00BA27FE"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noProof/>
          <w:snapToGrid w:val="0"/>
          <w:kern w:val="22"/>
          <w:sz w:val="22"/>
          <w:szCs w:val="22"/>
          <w:lang w:val="fr-CA"/>
        </w:rPr>
      </w:pPr>
      <w:r w:rsidRPr="002D6CEA">
        <w:rPr>
          <w:bCs/>
          <w:iCs/>
          <w:noProof/>
          <w:snapToGrid w:val="0"/>
          <w:kern w:val="22"/>
          <w:sz w:val="22"/>
          <w:szCs w:val="22"/>
          <w:lang w:val="fr-CA"/>
        </w:rPr>
        <w:t>Par ailleurs, comme demandé dans les décisions</w:t>
      </w:r>
      <w:r w:rsidRPr="002D6CEA">
        <w:rPr>
          <w:noProof/>
          <w:lang w:val="fr-CA"/>
        </w:rPr>
        <w:t xml:space="preserve"> </w:t>
      </w:r>
      <w:hyperlink r:id="rId19" w:history="1">
        <w:r w:rsidRPr="002D6CEA">
          <w:rPr>
            <w:rStyle w:val="Hyperlink"/>
            <w:noProof/>
            <w:sz w:val="22"/>
            <w:szCs w:val="22"/>
            <w:lang w:val="fr-CA"/>
          </w:rPr>
          <w:t>14/1</w:t>
        </w:r>
      </w:hyperlink>
      <w:r w:rsidRPr="002D6CEA">
        <w:rPr>
          <w:noProof/>
          <w:lang w:val="fr-CA"/>
        </w:rPr>
        <w:t xml:space="preserve"> </w:t>
      </w:r>
      <w:r w:rsidRPr="002D6CEA">
        <w:rPr>
          <w:bCs/>
          <w:iCs/>
          <w:noProof/>
          <w:snapToGrid w:val="0"/>
          <w:kern w:val="22"/>
          <w:sz w:val="22"/>
          <w:szCs w:val="22"/>
          <w:lang w:val="fr-CA"/>
        </w:rPr>
        <w:t>et</w:t>
      </w:r>
      <w:r w:rsidRPr="002D6CEA">
        <w:rPr>
          <w:noProof/>
          <w:lang w:val="fr-CA"/>
        </w:rPr>
        <w:t xml:space="preserve"> </w:t>
      </w:r>
      <w:hyperlink r:id="rId20" w:history="1">
        <w:r w:rsidRPr="002D6CEA">
          <w:rPr>
            <w:rStyle w:val="Hyperlink"/>
            <w:noProof/>
            <w:sz w:val="22"/>
            <w:szCs w:val="22"/>
            <w:lang w:val="fr-CA"/>
          </w:rPr>
          <w:t>14/34</w:t>
        </w:r>
      </w:hyperlink>
      <w:r w:rsidRPr="002D6CEA">
        <w:rPr>
          <w:noProof/>
          <w:lang w:val="fr-CA"/>
        </w:rPr>
        <w:t xml:space="preserve"> </w:t>
      </w:r>
      <w:r w:rsidRPr="002D6CEA">
        <w:rPr>
          <w:bCs/>
          <w:iCs/>
          <w:noProof/>
          <w:snapToGrid w:val="0"/>
          <w:kern w:val="22"/>
          <w:sz w:val="22"/>
          <w:szCs w:val="22"/>
          <w:lang w:val="fr-CA"/>
        </w:rPr>
        <w:t>, les évaluations de l</w:t>
      </w:r>
      <w:r w:rsidR="00E440F3">
        <w:rPr>
          <w:bCs/>
          <w:iCs/>
          <w:noProof/>
          <w:snapToGrid w:val="0"/>
          <w:kern w:val="22"/>
          <w:sz w:val="22"/>
          <w:szCs w:val="22"/>
          <w:lang w:val="fr-CA"/>
        </w:rPr>
        <w:t>’</w:t>
      </w:r>
      <w:r w:rsidRPr="002D6CEA">
        <w:rPr>
          <w:bCs/>
          <w:iCs/>
          <w:noProof/>
          <w:snapToGrid w:val="0"/>
          <w:kern w:val="22"/>
          <w:sz w:val="22"/>
          <w:szCs w:val="22"/>
          <w:lang w:val="fr-CA"/>
        </w:rPr>
        <w:t>IPBES ont été largement utilisées dans le processus d</w:t>
      </w:r>
      <w:r w:rsidR="00E440F3">
        <w:rPr>
          <w:bCs/>
          <w:iCs/>
          <w:noProof/>
          <w:snapToGrid w:val="0"/>
          <w:kern w:val="22"/>
          <w:sz w:val="22"/>
          <w:szCs w:val="22"/>
          <w:lang w:val="fr-CA"/>
        </w:rPr>
        <w:t>’</w:t>
      </w:r>
      <w:r w:rsidRPr="002D6CEA">
        <w:rPr>
          <w:bCs/>
          <w:iCs/>
          <w:noProof/>
          <w:snapToGrid w:val="0"/>
          <w:kern w:val="22"/>
          <w:sz w:val="22"/>
          <w:szCs w:val="22"/>
          <w:lang w:val="fr-CA"/>
        </w:rPr>
        <w:t>élaboration du cadre mondial de la biodiversité pour l</w:t>
      </w:r>
      <w:r w:rsidR="00E440F3">
        <w:rPr>
          <w:bCs/>
          <w:iCs/>
          <w:noProof/>
          <w:snapToGrid w:val="0"/>
          <w:kern w:val="22"/>
          <w:sz w:val="22"/>
          <w:szCs w:val="22"/>
          <w:lang w:val="fr-CA"/>
        </w:rPr>
        <w:t>’</w:t>
      </w:r>
      <w:r w:rsidRPr="002D6CEA">
        <w:rPr>
          <w:bCs/>
          <w:iCs/>
          <w:noProof/>
          <w:snapToGrid w:val="0"/>
          <w:kern w:val="22"/>
          <w:sz w:val="22"/>
          <w:szCs w:val="22"/>
          <w:lang w:val="fr-CA"/>
        </w:rPr>
        <w:t>après</w:t>
      </w:r>
      <w:r w:rsidR="00E440F3">
        <w:rPr>
          <w:bCs/>
          <w:iCs/>
          <w:noProof/>
          <w:snapToGrid w:val="0"/>
          <w:kern w:val="22"/>
          <w:sz w:val="22"/>
          <w:szCs w:val="22"/>
          <w:lang w:val="fr-CA"/>
        </w:rPr>
        <w:noBreakHyphen/>
      </w:r>
      <w:r w:rsidRPr="002D6CEA">
        <w:rPr>
          <w:bCs/>
          <w:iCs/>
          <w:noProof/>
          <w:snapToGrid w:val="0"/>
          <w:kern w:val="22"/>
          <w:sz w:val="22"/>
          <w:szCs w:val="22"/>
          <w:lang w:val="fr-CA"/>
        </w:rPr>
        <w:t>2020. Par exemple :</w:t>
      </w:r>
    </w:p>
    <w:p w:rsidR="00A71B8D" w:rsidRPr="002D6CEA" w:rsidRDefault="00FD0820"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noProof/>
          <w:snapToGrid w:val="0"/>
          <w:kern w:val="22"/>
          <w:sz w:val="22"/>
          <w:szCs w:val="22"/>
          <w:lang w:val="fr-CA"/>
        </w:rPr>
      </w:pPr>
      <w:r w:rsidRPr="002D6CEA">
        <w:rPr>
          <w:bCs/>
          <w:iCs/>
          <w:noProof/>
          <w:snapToGrid w:val="0"/>
          <w:kern w:val="22"/>
          <w:sz w:val="22"/>
          <w:szCs w:val="22"/>
          <w:lang w:val="fr-CA"/>
        </w:rPr>
        <w:t>Les consultations régionales initiales ont été éclairées par les évaluations régionales de la biodiversité et des services écosystémiques pour l</w:t>
      </w:r>
      <w:r w:rsidR="00E440F3">
        <w:rPr>
          <w:bCs/>
          <w:iCs/>
          <w:noProof/>
          <w:snapToGrid w:val="0"/>
          <w:kern w:val="22"/>
          <w:sz w:val="22"/>
          <w:szCs w:val="22"/>
          <w:lang w:val="fr-CA"/>
        </w:rPr>
        <w:t>’</w:t>
      </w:r>
      <w:r w:rsidRPr="002D6CEA">
        <w:rPr>
          <w:bCs/>
          <w:iCs/>
          <w:noProof/>
          <w:snapToGrid w:val="0"/>
          <w:kern w:val="22"/>
          <w:sz w:val="22"/>
          <w:szCs w:val="22"/>
          <w:lang w:val="fr-CA"/>
        </w:rPr>
        <w:t>Afrique, les Amériques, l</w:t>
      </w:r>
      <w:r w:rsidR="00E440F3">
        <w:rPr>
          <w:bCs/>
          <w:iCs/>
          <w:noProof/>
          <w:snapToGrid w:val="0"/>
          <w:kern w:val="22"/>
          <w:sz w:val="22"/>
          <w:szCs w:val="22"/>
          <w:lang w:val="fr-CA"/>
        </w:rPr>
        <w:t>’</w:t>
      </w:r>
      <w:r w:rsidRPr="002D6CEA">
        <w:rPr>
          <w:bCs/>
          <w:iCs/>
          <w:noProof/>
          <w:snapToGrid w:val="0"/>
          <w:kern w:val="22"/>
          <w:sz w:val="22"/>
          <w:szCs w:val="22"/>
          <w:lang w:val="fr-CA"/>
        </w:rPr>
        <w:t>Asie et Pacifique, et l</w:t>
      </w:r>
      <w:r w:rsidR="00E440F3">
        <w:rPr>
          <w:bCs/>
          <w:iCs/>
          <w:noProof/>
          <w:snapToGrid w:val="0"/>
          <w:kern w:val="22"/>
          <w:sz w:val="22"/>
          <w:szCs w:val="22"/>
          <w:lang w:val="fr-CA"/>
        </w:rPr>
        <w:t>’</w:t>
      </w:r>
      <w:r w:rsidRPr="002D6CEA">
        <w:rPr>
          <w:bCs/>
          <w:iCs/>
          <w:noProof/>
          <w:snapToGrid w:val="0"/>
          <w:kern w:val="22"/>
          <w:sz w:val="22"/>
          <w:szCs w:val="22"/>
          <w:lang w:val="fr-CA"/>
        </w:rPr>
        <w:t>Europe et Asie</w:t>
      </w:r>
      <w:r w:rsidR="002E46E7" w:rsidRPr="002D6CEA">
        <w:rPr>
          <w:bCs/>
          <w:iCs/>
          <w:noProof/>
          <w:snapToGrid w:val="0"/>
          <w:spacing w:val="-1"/>
          <w:kern w:val="22"/>
          <w:sz w:val="22"/>
          <w:szCs w:val="22"/>
          <w:lang w:val="fr-CA"/>
        </w:rPr>
        <w:t>;</w:t>
      </w:r>
    </w:p>
    <w:p w:rsidR="00BA27FE" w:rsidRPr="002D6CEA" w:rsidRDefault="00FD0820" w:rsidP="00BA27FE">
      <w:pPr>
        <w:numPr>
          <w:ilvl w:val="1"/>
          <w:numId w:val="6"/>
        </w:numPr>
        <w:suppressLineNumbers/>
        <w:suppressAutoHyphens/>
        <w:kinsoku w:val="0"/>
        <w:overflowPunct w:val="0"/>
        <w:autoSpaceDE w:val="0"/>
        <w:autoSpaceDN w:val="0"/>
        <w:spacing w:before="120" w:after="120"/>
        <w:ind w:left="0" w:firstLine="709"/>
        <w:jc w:val="both"/>
        <w:rPr>
          <w:bCs/>
          <w:iCs/>
          <w:noProof/>
          <w:snapToGrid w:val="0"/>
          <w:kern w:val="22"/>
          <w:sz w:val="22"/>
          <w:szCs w:val="22"/>
          <w:lang w:val="fr-CA"/>
        </w:rPr>
      </w:pPr>
      <w:r w:rsidRPr="002D6CEA">
        <w:rPr>
          <w:bCs/>
          <w:iCs/>
          <w:noProof/>
          <w:snapToGrid w:val="0"/>
          <w:kern w:val="22"/>
          <w:sz w:val="22"/>
          <w:szCs w:val="22"/>
          <w:lang w:val="fr-CA"/>
        </w:rPr>
        <w:t>À sa vingt</w:t>
      </w:r>
      <w:r w:rsidR="00E440F3">
        <w:rPr>
          <w:bCs/>
          <w:iCs/>
          <w:noProof/>
          <w:snapToGrid w:val="0"/>
          <w:kern w:val="22"/>
          <w:sz w:val="22"/>
          <w:szCs w:val="22"/>
          <w:lang w:val="fr-CA"/>
        </w:rPr>
        <w:noBreakHyphen/>
      </w:r>
      <w:r w:rsidRPr="002D6CEA">
        <w:rPr>
          <w:bCs/>
          <w:iCs/>
          <w:noProof/>
          <w:snapToGrid w:val="0"/>
          <w:kern w:val="22"/>
          <w:sz w:val="22"/>
          <w:szCs w:val="22"/>
          <w:lang w:val="fr-CA"/>
        </w:rPr>
        <w:t>troisième réunion, l</w:t>
      </w:r>
      <w:r w:rsidR="00E440F3">
        <w:rPr>
          <w:bCs/>
          <w:iCs/>
          <w:noProof/>
          <w:snapToGrid w:val="0"/>
          <w:kern w:val="22"/>
          <w:sz w:val="22"/>
          <w:szCs w:val="22"/>
          <w:lang w:val="fr-CA"/>
        </w:rPr>
        <w:t>’</w:t>
      </w:r>
      <w:r w:rsidRPr="002D6CEA">
        <w:rPr>
          <w:bCs/>
          <w:iCs/>
          <w:noProof/>
          <w:snapToGrid w:val="0"/>
          <w:kern w:val="22"/>
          <w:sz w:val="22"/>
          <w:szCs w:val="22"/>
          <w:lang w:val="fr-CA"/>
        </w:rPr>
        <w:t xml:space="preserve">Organe subsidiaire a : examiné un aperçu des conclusions du </w:t>
      </w:r>
      <w:r w:rsidRPr="002D6CEA">
        <w:rPr>
          <w:bCs/>
          <w:i/>
          <w:iCs/>
          <w:noProof/>
          <w:snapToGrid w:val="0"/>
          <w:kern w:val="22"/>
          <w:sz w:val="22"/>
          <w:szCs w:val="22"/>
          <w:lang w:val="fr-CA"/>
        </w:rPr>
        <w:t>bilan mondial sur la biodiversité et les services écosystémiques</w:t>
      </w:r>
      <w:r w:rsidRPr="002D6CEA">
        <w:rPr>
          <w:bCs/>
          <w:iCs/>
          <w:snapToGrid w:val="0"/>
          <w:kern w:val="22"/>
          <w:sz w:val="22"/>
          <w:szCs w:val="22"/>
          <w:lang w:val="fr-CA"/>
        </w:rPr>
        <w:t>, d</w:t>
      </w:r>
      <w:r w:rsidR="00E440F3">
        <w:rPr>
          <w:bCs/>
          <w:iCs/>
          <w:snapToGrid w:val="0"/>
          <w:kern w:val="22"/>
          <w:sz w:val="22"/>
          <w:szCs w:val="22"/>
          <w:lang w:val="fr-CA"/>
        </w:rPr>
        <w:t>’</w:t>
      </w:r>
      <w:r w:rsidRPr="002D6CEA">
        <w:rPr>
          <w:bCs/>
          <w:iCs/>
          <w:snapToGrid w:val="0"/>
          <w:kern w:val="22"/>
          <w:sz w:val="22"/>
          <w:szCs w:val="22"/>
          <w:lang w:val="fr-CA"/>
        </w:rPr>
        <w:t>autres évaluations de l</w:t>
      </w:r>
      <w:r w:rsidR="00E440F3">
        <w:rPr>
          <w:bCs/>
          <w:iCs/>
          <w:snapToGrid w:val="0"/>
          <w:kern w:val="22"/>
          <w:sz w:val="22"/>
          <w:szCs w:val="22"/>
          <w:lang w:val="fr-CA"/>
        </w:rPr>
        <w:t>’</w:t>
      </w:r>
      <w:r w:rsidRPr="002D6CEA">
        <w:rPr>
          <w:bCs/>
          <w:iCs/>
          <w:snapToGrid w:val="0"/>
          <w:kern w:val="22"/>
          <w:sz w:val="22"/>
          <w:szCs w:val="22"/>
          <w:lang w:val="fr-CA"/>
        </w:rPr>
        <w:t>IPBES ainsi que d</w:t>
      </w:r>
      <w:r w:rsidR="00E440F3">
        <w:rPr>
          <w:bCs/>
          <w:iCs/>
          <w:snapToGrid w:val="0"/>
          <w:kern w:val="22"/>
          <w:sz w:val="22"/>
          <w:szCs w:val="22"/>
          <w:lang w:val="fr-CA"/>
        </w:rPr>
        <w:t>’</w:t>
      </w:r>
      <w:r w:rsidRPr="002D6CEA">
        <w:rPr>
          <w:bCs/>
          <w:iCs/>
          <w:snapToGrid w:val="0"/>
          <w:kern w:val="22"/>
          <w:sz w:val="22"/>
          <w:szCs w:val="22"/>
          <w:lang w:val="fr-CA"/>
        </w:rPr>
        <w:t>autres évaluations pertinentes, et les incidences pour les travaux de la Convention et du cadre mondial de la biodiversité pour l</w:t>
      </w:r>
      <w:r w:rsidR="00E440F3">
        <w:rPr>
          <w:bCs/>
          <w:iCs/>
          <w:snapToGrid w:val="0"/>
          <w:kern w:val="22"/>
          <w:sz w:val="22"/>
          <w:szCs w:val="22"/>
          <w:lang w:val="fr-CA"/>
        </w:rPr>
        <w:t>’</w:t>
      </w:r>
      <w:r w:rsidRPr="002D6CEA">
        <w:rPr>
          <w:bCs/>
          <w:iCs/>
          <w:snapToGrid w:val="0"/>
          <w:kern w:val="22"/>
          <w:sz w:val="22"/>
          <w:szCs w:val="22"/>
          <w:lang w:val="fr-CA"/>
        </w:rPr>
        <w:t>après</w:t>
      </w:r>
      <w:r w:rsidR="00E440F3">
        <w:rPr>
          <w:bCs/>
          <w:iCs/>
          <w:snapToGrid w:val="0"/>
          <w:kern w:val="22"/>
          <w:sz w:val="22"/>
          <w:szCs w:val="22"/>
          <w:lang w:val="fr-CA"/>
        </w:rPr>
        <w:noBreakHyphen/>
      </w:r>
      <w:r w:rsidRPr="002D6CEA">
        <w:rPr>
          <w:bCs/>
          <w:iCs/>
          <w:snapToGrid w:val="0"/>
          <w:kern w:val="22"/>
          <w:sz w:val="22"/>
          <w:szCs w:val="22"/>
          <w:lang w:val="fr-CA"/>
        </w:rPr>
        <w:t>2020, élaboré par le Secrétariat; souligné la nécessité de prendre d</w:t>
      </w:r>
      <w:r w:rsidR="00E440F3">
        <w:rPr>
          <w:bCs/>
          <w:iCs/>
          <w:snapToGrid w:val="0"/>
          <w:kern w:val="22"/>
          <w:sz w:val="22"/>
          <w:szCs w:val="22"/>
          <w:lang w:val="fr-CA"/>
        </w:rPr>
        <w:t>’</w:t>
      </w:r>
      <w:r w:rsidRPr="002D6CEA">
        <w:rPr>
          <w:bCs/>
          <w:iCs/>
          <w:snapToGrid w:val="0"/>
          <w:kern w:val="22"/>
          <w:sz w:val="22"/>
          <w:szCs w:val="22"/>
          <w:lang w:val="fr-CA"/>
        </w:rPr>
        <w:t>urgence des mesures pour aborder les moteurs de la perte de biodiversité, conformément aux conclusions de l</w:t>
      </w:r>
      <w:r w:rsidR="00E440F3">
        <w:rPr>
          <w:bCs/>
          <w:iCs/>
          <w:snapToGrid w:val="0"/>
          <w:kern w:val="22"/>
          <w:sz w:val="22"/>
          <w:szCs w:val="22"/>
          <w:lang w:val="fr-CA"/>
        </w:rPr>
        <w:t>’</w:t>
      </w:r>
      <w:r w:rsidRPr="002D6CEA">
        <w:rPr>
          <w:bCs/>
          <w:iCs/>
          <w:snapToGrid w:val="0"/>
          <w:kern w:val="22"/>
          <w:sz w:val="22"/>
          <w:szCs w:val="22"/>
          <w:lang w:val="fr-CA"/>
        </w:rPr>
        <w:t>évaluation; demandé aux gouvernements de faire en sorte que l</w:t>
      </w:r>
      <w:r w:rsidR="00E440F3">
        <w:rPr>
          <w:bCs/>
          <w:iCs/>
          <w:snapToGrid w:val="0"/>
          <w:kern w:val="22"/>
          <w:sz w:val="22"/>
          <w:szCs w:val="22"/>
          <w:lang w:val="fr-CA"/>
        </w:rPr>
        <w:t>’</w:t>
      </w:r>
      <w:r w:rsidRPr="002D6CEA">
        <w:rPr>
          <w:bCs/>
          <w:iCs/>
          <w:snapToGrid w:val="0"/>
          <w:kern w:val="22"/>
          <w:sz w:val="22"/>
          <w:szCs w:val="22"/>
          <w:lang w:val="fr-CA"/>
        </w:rPr>
        <w:t>élaboration du cadre mondial de la biodiversité pour l</w:t>
      </w:r>
      <w:r w:rsidR="00E440F3">
        <w:rPr>
          <w:bCs/>
          <w:iCs/>
          <w:snapToGrid w:val="0"/>
          <w:kern w:val="22"/>
          <w:sz w:val="22"/>
          <w:szCs w:val="22"/>
          <w:lang w:val="fr-CA"/>
        </w:rPr>
        <w:t>’</w:t>
      </w:r>
      <w:r w:rsidRPr="002D6CEA">
        <w:rPr>
          <w:bCs/>
          <w:iCs/>
          <w:snapToGrid w:val="0"/>
          <w:kern w:val="22"/>
          <w:sz w:val="22"/>
          <w:szCs w:val="22"/>
          <w:lang w:val="fr-CA"/>
        </w:rPr>
        <w:t>après</w:t>
      </w:r>
      <w:r w:rsidR="00E440F3">
        <w:rPr>
          <w:bCs/>
          <w:iCs/>
          <w:snapToGrid w:val="0"/>
          <w:kern w:val="22"/>
          <w:sz w:val="22"/>
          <w:szCs w:val="22"/>
          <w:lang w:val="fr-CA"/>
        </w:rPr>
        <w:noBreakHyphen/>
      </w:r>
      <w:r w:rsidRPr="002D6CEA">
        <w:rPr>
          <w:bCs/>
          <w:iCs/>
          <w:snapToGrid w:val="0"/>
          <w:kern w:val="22"/>
          <w:sz w:val="22"/>
          <w:szCs w:val="22"/>
          <w:lang w:val="fr-CA"/>
        </w:rPr>
        <w:t>2020 devienne une question hautement prioritaire pour tous leurs ministères, agences et bureaux; et reconnu qu</w:t>
      </w:r>
      <w:r w:rsidR="00E440F3">
        <w:rPr>
          <w:bCs/>
          <w:iCs/>
          <w:snapToGrid w:val="0"/>
          <w:kern w:val="22"/>
          <w:sz w:val="22"/>
          <w:szCs w:val="22"/>
          <w:lang w:val="fr-CA"/>
        </w:rPr>
        <w:t>’</w:t>
      </w:r>
      <w:r w:rsidRPr="002D6CEA">
        <w:rPr>
          <w:bCs/>
          <w:iCs/>
          <w:snapToGrid w:val="0"/>
          <w:kern w:val="22"/>
          <w:sz w:val="22"/>
          <w:szCs w:val="22"/>
          <w:lang w:val="fr-CA"/>
        </w:rPr>
        <w:t>un élément clé dans l</w:t>
      </w:r>
      <w:r w:rsidR="00E440F3">
        <w:rPr>
          <w:bCs/>
          <w:iCs/>
          <w:snapToGrid w:val="0"/>
          <w:kern w:val="22"/>
          <w:sz w:val="22"/>
          <w:szCs w:val="22"/>
          <w:lang w:val="fr-CA"/>
        </w:rPr>
        <w:t>’</w:t>
      </w:r>
      <w:r w:rsidRPr="002D6CEA">
        <w:rPr>
          <w:bCs/>
          <w:iCs/>
          <w:snapToGrid w:val="0"/>
          <w:kern w:val="22"/>
          <w:sz w:val="22"/>
          <w:szCs w:val="22"/>
          <w:lang w:val="fr-CA"/>
        </w:rPr>
        <w:t xml:space="preserve">élaboration de voies menant à une vie en harmonie avec la nature inclut un remaniement des systèmes </w:t>
      </w:r>
      <w:r w:rsidRPr="002D6CEA">
        <w:rPr>
          <w:bCs/>
          <w:iCs/>
          <w:noProof/>
          <w:snapToGrid w:val="0"/>
          <w:kern w:val="22"/>
          <w:sz w:val="22"/>
          <w:szCs w:val="22"/>
          <w:lang w:val="fr-CA"/>
        </w:rPr>
        <w:t>financiers et économiques mondiaux</w:t>
      </w:r>
      <w:r w:rsidR="00BA27FE" w:rsidRPr="002D6CEA">
        <w:rPr>
          <w:bCs/>
          <w:iCs/>
          <w:noProof/>
          <w:snapToGrid w:val="0"/>
          <w:kern w:val="22"/>
          <w:sz w:val="22"/>
          <w:szCs w:val="22"/>
          <w:lang w:val="fr-CA"/>
        </w:rPr>
        <w:t>;</w:t>
      </w:r>
    </w:p>
    <w:p w:rsidR="00A71B8D" w:rsidRPr="002D6CEA" w:rsidRDefault="00FD0820" w:rsidP="00BA27FE">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2D6CEA">
        <w:rPr>
          <w:bCs/>
          <w:iCs/>
          <w:noProof/>
          <w:snapToGrid w:val="0"/>
          <w:kern w:val="22"/>
          <w:sz w:val="22"/>
          <w:szCs w:val="22"/>
          <w:lang w:val="fr-CA"/>
        </w:rPr>
        <w:t>Le bilan mondial a éclairé l</w:t>
      </w:r>
      <w:r w:rsidR="00E440F3">
        <w:rPr>
          <w:bCs/>
          <w:iCs/>
          <w:noProof/>
          <w:snapToGrid w:val="0"/>
          <w:kern w:val="22"/>
          <w:sz w:val="22"/>
          <w:szCs w:val="22"/>
          <w:lang w:val="fr-CA"/>
        </w:rPr>
        <w:t>’</w:t>
      </w:r>
      <w:r w:rsidRPr="002D6CEA">
        <w:rPr>
          <w:bCs/>
          <w:iCs/>
          <w:noProof/>
          <w:snapToGrid w:val="0"/>
          <w:kern w:val="22"/>
          <w:sz w:val="22"/>
          <w:szCs w:val="22"/>
          <w:lang w:val="fr-CA"/>
        </w:rPr>
        <w:t>élaboration de l</w:t>
      </w:r>
      <w:r w:rsidR="00E440F3">
        <w:rPr>
          <w:bCs/>
          <w:iCs/>
          <w:noProof/>
          <w:snapToGrid w:val="0"/>
          <w:kern w:val="22"/>
          <w:sz w:val="22"/>
          <w:szCs w:val="22"/>
          <w:lang w:val="fr-CA"/>
        </w:rPr>
        <w:t>’</w:t>
      </w:r>
      <w:r w:rsidRPr="002D6CEA">
        <w:rPr>
          <w:bCs/>
          <w:iCs/>
          <w:noProof/>
          <w:snapToGrid w:val="0"/>
          <w:kern w:val="22"/>
          <w:sz w:val="22"/>
          <w:szCs w:val="22"/>
          <w:lang w:val="fr-CA"/>
        </w:rPr>
        <w:t>avant</w:t>
      </w:r>
      <w:r w:rsidR="00E440F3">
        <w:rPr>
          <w:bCs/>
          <w:iCs/>
          <w:noProof/>
          <w:snapToGrid w:val="0"/>
          <w:kern w:val="22"/>
          <w:sz w:val="22"/>
          <w:szCs w:val="22"/>
          <w:lang w:val="fr-CA"/>
        </w:rPr>
        <w:noBreakHyphen/>
      </w:r>
      <w:r w:rsidRPr="002D6CEA">
        <w:rPr>
          <w:bCs/>
          <w:iCs/>
          <w:noProof/>
          <w:snapToGrid w:val="0"/>
          <w:kern w:val="22"/>
          <w:sz w:val="22"/>
          <w:szCs w:val="22"/>
          <w:lang w:val="fr-CA"/>
        </w:rPr>
        <w:t>projet du cadre mondial de la biodiversité pour l</w:t>
      </w:r>
      <w:r w:rsidR="00E440F3">
        <w:rPr>
          <w:bCs/>
          <w:iCs/>
          <w:noProof/>
          <w:snapToGrid w:val="0"/>
          <w:kern w:val="22"/>
          <w:sz w:val="22"/>
          <w:szCs w:val="22"/>
          <w:lang w:val="fr-CA"/>
        </w:rPr>
        <w:t>’</w:t>
      </w:r>
      <w:r w:rsidRPr="002D6CEA">
        <w:rPr>
          <w:bCs/>
          <w:iCs/>
          <w:noProof/>
          <w:snapToGrid w:val="0"/>
          <w:kern w:val="22"/>
          <w:sz w:val="22"/>
          <w:szCs w:val="22"/>
          <w:lang w:val="fr-CA"/>
        </w:rPr>
        <w:t>après</w:t>
      </w:r>
      <w:r w:rsidR="00E440F3">
        <w:rPr>
          <w:bCs/>
          <w:iCs/>
          <w:noProof/>
          <w:snapToGrid w:val="0"/>
          <w:kern w:val="22"/>
          <w:sz w:val="22"/>
          <w:szCs w:val="22"/>
          <w:lang w:val="fr-CA"/>
        </w:rPr>
        <w:noBreakHyphen/>
      </w:r>
      <w:r w:rsidRPr="002D6CEA">
        <w:rPr>
          <w:bCs/>
          <w:iCs/>
          <w:noProof/>
          <w:snapToGrid w:val="0"/>
          <w:kern w:val="22"/>
          <w:sz w:val="22"/>
          <w:szCs w:val="22"/>
          <w:lang w:val="fr-CA"/>
        </w:rPr>
        <w:t>2020 et les travaux du groupe de travail à composition</w:t>
      </w:r>
      <w:r w:rsidRPr="002D6CEA">
        <w:rPr>
          <w:bCs/>
          <w:iCs/>
          <w:snapToGrid w:val="0"/>
          <w:kern w:val="22"/>
          <w:sz w:val="22"/>
          <w:szCs w:val="22"/>
          <w:lang w:val="fr-CA"/>
        </w:rPr>
        <w:t xml:space="preserve"> non limitée sur le cadre mondial de la biodiversité pour l</w:t>
      </w:r>
      <w:r w:rsidR="00E440F3">
        <w:rPr>
          <w:bCs/>
          <w:iCs/>
          <w:snapToGrid w:val="0"/>
          <w:kern w:val="22"/>
          <w:sz w:val="22"/>
          <w:szCs w:val="22"/>
          <w:lang w:val="fr-CA"/>
        </w:rPr>
        <w:t>’</w:t>
      </w:r>
      <w:r w:rsidRPr="002D6CEA">
        <w:rPr>
          <w:bCs/>
          <w:iCs/>
          <w:snapToGrid w:val="0"/>
          <w:kern w:val="22"/>
          <w:sz w:val="22"/>
          <w:szCs w:val="22"/>
          <w:lang w:val="fr-CA"/>
        </w:rPr>
        <w:t>après</w:t>
      </w:r>
      <w:r w:rsidR="00E440F3">
        <w:rPr>
          <w:bCs/>
          <w:iCs/>
          <w:snapToGrid w:val="0"/>
          <w:kern w:val="22"/>
          <w:sz w:val="22"/>
          <w:szCs w:val="22"/>
          <w:lang w:val="fr-CA"/>
        </w:rPr>
        <w:noBreakHyphen/>
      </w:r>
      <w:r w:rsidRPr="002D6CEA">
        <w:rPr>
          <w:bCs/>
          <w:iCs/>
          <w:snapToGrid w:val="0"/>
          <w:kern w:val="22"/>
          <w:sz w:val="22"/>
          <w:szCs w:val="22"/>
          <w:lang w:val="fr-CA"/>
        </w:rPr>
        <w:t>2020</w:t>
      </w:r>
      <w:r w:rsidR="00024FA3" w:rsidRPr="002D6CEA">
        <w:rPr>
          <w:bCs/>
          <w:iCs/>
          <w:snapToGrid w:val="0"/>
          <w:kern w:val="22"/>
          <w:sz w:val="22"/>
          <w:szCs w:val="22"/>
          <w:lang w:val="fr-CA"/>
        </w:rPr>
        <w:t>;</w:t>
      </w:r>
    </w:p>
    <w:p w:rsidR="00A71B8D" w:rsidRPr="002D6CEA" w:rsidRDefault="00FD0820"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2D6CEA">
        <w:rPr>
          <w:bCs/>
          <w:iCs/>
          <w:snapToGrid w:val="0"/>
          <w:kern w:val="22"/>
          <w:sz w:val="22"/>
          <w:szCs w:val="22"/>
          <w:lang w:val="fr-CA"/>
        </w:rPr>
        <w:lastRenderedPageBreak/>
        <w:t>Le bilan mondial s</w:t>
      </w:r>
      <w:r w:rsidR="00E440F3">
        <w:rPr>
          <w:bCs/>
          <w:iCs/>
          <w:snapToGrid w:val="0"/>
          <w:kern w:val="22"/>
          <w:sz w:val="22"/>
          <w:szCs w:val="22"/>
          <w:lang w:val="fr-CA"/>
        </w:rPr>
        <w:t>’</w:t>
      </w:r>
      <w:r w:rsidRPr="002D6CEA">
        <w:rPr>
          <w:bCs/>
          <w:iCs/>
          <w:snapToGrid w:val="0"/>
          <w:kern w:val="22"/>
          <w:sz w:val="22"/>
          <w:szCs w:val="22"/>
          <w:lang w:val="fr-CA"/>
        </w:rPr>
        <w:t xml:space="preserve">est avéré une importante source de données factuelles pour la cinquième édition des </w:t>
      </w:r>
      <w:r w:rsidRPr="002D6CEA">
        <w:rPr>
          <w:bCs/>
          <w:i/>
          <w:iCs/>
          <w:snapToGrid w:val="0"/>
          <w:kern w:val="22"/>
          <w:sz w:val="22"/>
          <w:szCs w:val="22"/>
          <w:lang w:val="fr-CA"/>
        </w:rPr>
        <w:t>Perspectives mondiales de la diversité biologique</w:t>
      </w:r>
      <w:r w:rsidR="003603C3">
        <w:rPr>
          <w:bCs/>
          <w:i/>
          <w:iCs/>
          <w:snapToGrid w:val="0"/>
          <w:kern w:val="22"/>
          <w:sz w:val="22"/>
          <w:szCs w:val="22"/>
          <w:lang w:val="fr-CA"/>
        </w:rPr>
        <w:t xml:space="preserve"> </w:t>
      </w:r>
      <w:r w:rsidR="003603C3" w:rsidRPr="003603C3">
        <w:rPr>
          <w:bCs/>
          <w:iCs/>
          <w:snapToGrid w:val="0"/>
          <w:kern w:val="22"/>
          <w:sz w:val="22"/>
          <w:szCs w:val="22"/>
          <w:lang w:val="fr-CA"/>
        </w:rPr>
        <w:t>(</w:t>
      </w:r>
      <w:r w:rsidR="003603C3">
        <w:rPr>
          <w:noProof/>
          <w:kern w:val="22"/>
          <w:sz w:val="22"/>
          <w:szCs w:val="22"/>
        </w:rPr>
        <w:t>PMDB</w:t>
      </w:r>
      <w:r w:rsidR="003603C3">
        <w:rPr>
          <w:noProof/>
          <w:kern w:val="22"/>
          <w:sz w:val="22"/>
          <w:szCs w:val="22"/>
        </w:rPr>
        <w:noBreakHyphen/>
        <w:t>5)</w:t>
      </w:r>
      <w:r w:rsidRPr="002D6CEA">
        <w:rPr>
          <w:bCs/>
          <w:iCs/>
          <w:snapToGrid w:val="0"/>
          <w:kern w:val="22"/>
          <w:sz w:val="22"/>
          <w:szCs w:val="22"/>
          <w:lang w:val="fr-CA"/>
        </w:rPr>
        <w:t>, éclairant notamment l</w:t>
      </w:r>
      <w:r w:rsidR="00E440F3">
        <w:rPr>
          <w:bCs/>
          <w:iCs/>
          <w:snapToGrid w:val="0"/>
          <w:kern w:val="22"/>
          <w:sz w:val="22"/>
          <w:szCs w:val="22"/>
          <w:lang w:val="fr-CA"/>
        </w:rPr>
        <w:t>’</w:t>
      </w:r>
      <w:r w:rsidRPr="002D6CEA">
        <w:rPr>
          <w:bCs/>
          <w:iCs/>
          <w:snapToGrid w:val="0"/>
          <w:kern w:val="22"/>
          <w:sz w:val="22"/>
          <w:szCs w:val="22"/>
          <w:lang w:val="fr-CA"/>
        </w:rPr>
        <w:t>analyse sur les liens entre la diversité biologique et les objectifs de développement durable, l</w:t>
      </w:r>
      <w:r w:rsidR="00E440F3">
        <w:rPr>
          <w:bCs/>
          <w:iCs/>
          <w:snapToGrid w:val="0"/>
          <w:kern w:val="22"/>
          <w:sz w:val="22"/>
          <w:szCs w:val="22"/>
          <w:lang w:val="fr-CA"/>
        </w:rPr>
        <w:t>’</w:t>
      </w:r>
      <w:r w:rsidRPr="002D6CEA">
        <w:rPr>
          <w:bCs/>
          <w:iCs/>
          <w:snapToGrid w:val="0"/>
          <w:kern w:val="22"/>
          <w:sz w:val="22"/>
          <w:szCs w:val="22"/>
          <w:lang w:val="fr-CA"/>
        </w:rPr>
        <w:t>évaluation des progrès dans la réalisation des Objectifs d</w:t>
      </w:r>
      <w:r w:rsidR="00E440F3">
        <w:rPr>
          <w:bCs/>
          <w:iCs/>
          <w:snapToGrid w:val="0"/>
          <w:kern w:val="22"/>
          <w:sz w:val="22"/>
          <w:szCs w:val="22"/>
          <w:lang w:val="fr-CA"/>
        </w:rPr>
        <w:t>’</w:t>
      </w:r>
      <w:r w:rsidRPr="002D6CEA">
        <w:rPr>
          <w:bCs/>
          <w:iCs/>
          <w:snapToGrid w:val="0"/>
          <w:kern w:val="22"/>
          <w:sz w:val="22"/>
          <w:szCs w:val="22"/>
          <w:lang w:val="fr-CA"/>
        </w:rPr>
        <w:t>Aichi pour la biodiversité, et l</w:t>
      </w:r>
      <w:r w:rsidR="00E440F3">
        <w:rPr>
          <w:bCs/>
          <w:iCs/>
          <w:snapToGrid w:val="0"/>
          <w:kern w:val="22"/>
          <w:sz w:val="22"/>
          <w:szCs w:val="22"/>
          <w:lang w:val="fr-CA"/>
        </w:rPr>
        <w:t>’</w:t>
      </w:r>
      <w:r w:rsidRPr="002D6CEA">
        <w:rPr>
          <w:bCs/>
          <w:iCs/>
          <w:snapToGrid w:val="0"/>
          <w:kern w:val="22"/>
          <w:sz w:val="22"/>
          <w:szCs w:val="22"/>
          <w:lang w:val="fr-CA"/>
        </w:rPr>
        <w:t xml:space="preserve">identification de sept ou huit domaines de transition présentés dans les </w:t>
      </w:r>
      <w:r w:rsidRPr="002D6CEA">
        <w:rPr>
          <w:bCs/>
          <w:i/>
          <w:iCs/>
          <w:snapToGrid w:val="0"/>
          <w:kern w:val="22"/>
          <w:sz w:val="22"/>
          <w:szCs w:val="22"/>
          <w:lang w:val="fr-CA"/>
        </w:rPr>
        <w:t>Perspectives</w:t>
      </w:r>
      <w:r w:rsidRPr="002D6CEA">
        <w:rPr>
          <w:bCs/>
          <w:iCs/>
          <w:snapToGrid w:val="0"/>
          <w:kern w:val="22"/>
          <w:sz w:val="22"/>
          <w:szCs w:val="22"/>
          <w:lang w:val="fr-CA"/>
        </w:rPr>
        <w:t>. Les Secrétariats de l</w:t>
      </w:r>
      <w:r w:rsidR="00E440F3">
        <w:rPr>
          <w:bCs/>
          <w:iCs/>
          <w:snapToGrid w:val="0"/>
          <w:kern w:val="22"/>
          <w:sz w:val="22"/>
          <w:szCs w:val="22"/>
          <w:lang w:val="fr-CA"/>
        </w:rPr>
        <w:t>’</w:t>
      </w:r>
      <w:r w:rsidRPr="002D6CEA">
        <w:rPr>
          <w:bCs/>
          <w:iCs/>
          <w:snapToGrid w:val="0"/>
          <w:kern w:val="22"/>
          <w:sz w:val="22"/>
          <w:szCs w:val="22"/>
          <w:lang w:val="fr-CA"/>
        </w:rPr>
        <w:t>IPBES et de la Convention ont également, par le biais d</w:t>
      </w:r>
      <w:r w:rsidR="00E440F3">
        <w:rPr>
          <w:bCs/>
          <w:iCs/>
          <w:snapToGrid w:val="0"/>
          <w:kern w:val="22"/>
          <w:sz w:val="22"/>
          <w:szCs w:val="22"/>
          <w:lang w:val="fr-CA"/>
        </w:rPr>
        <w:t>’</w:t>
      </w:r>
      <w:r w:rsidRPr="002D6CEA">
        <w:rPr>
          <w:bCs/>
          <w:iCs/>
          <w:snapToGrid w:val="0"/>
          <w:kern w:val="22"/>
          <w:sz w:val="22"/>
          <w:szCs w:val="22"/>
          <w:lang w:val="fr-CA"/>
        </w:rPr>
        <w:t>une stratégie de communication conjointe, collaboré à la promotion des conclusions autant du bilan mondial de l</w:t>
      </w:r>
      <w:r w:rsidR="00E440F3">
        <w:rPr>
          <w:bCs/>
          <w:iCs/>
          <w:snapToGrid w:val="0"/>
          <w:kern w:val="22"/>
          <w:sz w:val="22"/>
          <w:szCs w:val="22"/>
          <w:lang w:val="fr-CA"/>
        </w:rPr>
        <w:t>’</w:t>
      </w:r>
      <w:r w:rsidRPr="002D6CEA">
        <w:rPr>
          <w:bCs/>
          <w:iCs/>
          <w:snapToGrid w:val="0"/>
          <w:kern w:val="22"/>
          <w:sz w:val="22"/>
          <w:szCs w:val="22"/>
          <w:lang w:val="fr-CA"/>
        </w:rPr>
        <w:t xml:space="preserve">IPBES que de la cinquième édition des </w:t>
      </w:r>
      <w:r w:rsidRPr="002D6CEA">
        <w:rPr>
          <w:bCs/>
          <w:i/>
          <w:iCs/>
          <w:snapToGrid w:val="0"/>
          <w:kern w:val="22"/>
          <w:sz w:val="22"/>
          <w:szCs w:val="22"/>
          <w:lang w:val="fr-CA"/>
        </w:rPr>
        <w:t>Perspectives mondiales de la diversité biologique</w:t>
      </w:r>
      <w:r w:rsidR="000E7E4C" w:rsidRPr="002D6CEA">
        <w:rPr>
          <w:bCs/>
          <w:iCs/>
          <w:snapToGrid w:val="0"/>
          <w:kern w:val="22"/>
          <w:sz w:val="22"/>
          <w:szCs w:val="22"/>
          <w:lang w:val="fr-CA"/>
        </w:rPr>
        <w:t>.</w:t>
      </w:r>
    </w:p>
    <w:p w:rsidR="00E1124B" w:rsidRPr="002D6CEA" w:rsidRDefault="00E1124B" w:rsidP="00766960">
      <w:pPr>
        <w:keepNext/>
        <w:keepLines/>
        <w:suppressLineNumbers/>
        <w:suppressAutoHyphens/>
        <w:kinsoku w:val="0"/>
        <w:overflowPunct w:val="0"/>
        <w:autoSpaceDE w:val="0"/>
        <w:autoSpaceDN w:val="0"/>
        <w:adjustRightInd w:val="0"/>
        <w:snapToGrid w:val="0"/>
        <w:spacing w:after="120" w:line="235" w:lineRule="auto"/>
        <w:rPr>
          <w:b/>
          <w:bCs/>
          <w:snapToGrid w:val="0"/>
          <w:kern w:val="22"/>
          <w:sz w:val="22"/>
          <w:szCs w:val="22"/>
          <w:lang w:val="fr-CA"/>
        </w:rPr>
      </w:pPr>
      <w:r w:rsidRPr="002D6CEA">
        <w:rPr>
          <w:b/>
          <w:bCs/>
          <w:snapToGrid w:val="0"/>
          <w:kern w:val="22"/>
          <w:sz w:val="22"/>
          <w:szCs w:val="22"/>
          <w:lang w:val="fr-CA"/>
        </w:rPr>
        <w:t>Table</w:t>
      </w:r>
      <w:r w:rsidR="00593094" w:rsidRPr="002D6CEA">
        <w:rPr>
          <w:b/>
          <w:bCs/>
          <w:snapToGrid w:val="0"/>
          <w:kern w:val="22"/>
          <w:sz w:val="22"/>
          <w:szCs w:val="22"/>
          <w:lang w:val="fr-CA"/>
        </w:rPr>
        <w:t>au</w:t>
      </w:r>
      <w:r w:rsidRPr="002D6CEA">
        <w:rPr>
          <w:b/>
          <w:bCs/>
          <w:snapToGrid w:val="0"/>
          <w:kern w:val="22"/>
          <w:sz w:val="22"/>
          <w:szCs w:val="22"/>
          <w:lang w:val="fr-CA"/>
        </w:rPr>
        <w:br/>
      </w:r>
      <w:r w:rsidR="00DB0440">
        <w:rPr>
          <w:b/>
          <w:bCs/>
          <w:kern w:val="22"/>
          <w:sz w:val="22"/>
          <w:szCs w:val="22"/>
          <w:lang w:val="fr-CA"/>
        </w:rPr>
        <w:t>Aperçu des produits de l</w:t>
      </w:r>
      <w:r w:rsidR="00E440F3">
        <w:rPr>
          <w:b/>
          <w:bCs/>
          <w:kern w:val="22"/>
          <w:sz w:val="22"/>
          <w:szCs w:val="22"/>
          <w:lang w:val="fr-CA"/>
        </w:rPr>
        <w:t>’</w:t>
      </w:r>
      <w:r w:rsidR="00DB0440">
        <w:rPr>
          <w:b/>
          <w:bCs/>
          <w:kern w:val="22"/>
          <w:sz w:val="22"/>
          <w:szCs w:val="22"/>
          <w:lang w:val="fr-CA"/>
        </w:rPr>
        <w:t>IPBES, de leur examen par l</w:t>
      </w:r>
      <w:r w:rsidR="00E440F3">
        <w:rPr>
          <w:b/>
          <w:bCs/>
          <w:kern w:val="22"/>
          <w:sz w:val="22"/>
          <w:szCs w:val="22"/>
          <w:lang w:val="fr-CA"/>
        </w:rPr>
        <w:t>’</w:t>
      </w:r>
      <w:r w:rsidR="00DB0440">
        <w:rPr>
          <w:b/>
          <w:bCs/>
          <w:kern w:val="22"/>
          <w:sz w:val="22"/>
          <w:szCs w:val="22"/>
          <w:lang w:val="fr-CA"/>
        </w:rPr>
        <w:t xml:space="preserve">OSASTT et la </w:t>
      </w:r>
      <w:r w:rsidR="00DB0440">
        <w:rPr>
          <w:b/>
          <w:bCs/>
          <w:noProof/>
          <w:kern w:val="22"/>
          <w:sz w:val="22"/>
          <w:szCs w:val="22"/>
          <w:lang w:val="fr-CA"/>
        </w:rPr>
        <w:t xml:space="preserve">CdP </w:t>
      </w:r>
      <w:r w:rsidR="00DB0440">
        <w:rPr>
          <w:b/>
          <w:bCs/>
          <w:kern w:val="22"/>
          <w:sz w:val="22"/>
          <w:szCs w:val="22"/>
          <w:lang w:val="fr-CA"/>
        </w:rPr>
        <w:t>et des conclusions de cet examen</w:t>
      </w:r>
    </w:p>
    <w:tbl>
      <w:tblPr>
        <w:tblStyle w:val="TableGrid"/>
        <w:tblW w:w="0" w:type="auto"/>
        <w:jc w:val="center"/>
        <w:tblLook w:val="04A0"/>
      </w:tblPr>
      <w:tblGrid>
        <w:gridCol w:w="4341"/>
        <w:gridCol w:w="1796"/>
        <w:gridCol w:w="3439"/>
      </w:tblGrid>
      <w:tr w:rsidR="00DB0440" w:rsidRPr="002D6CEA" w:rsidTr="00162F62">
        <w:trPr>
          <w:tblHeader/>
          <w:jc w:val="center"/>
        </w:trPr>
        <w:tc>
          <w:tcPr>
            <w:tcW w:w="2850" w:type="dxa"/>
            <w:shd w:val="clear" w:color="auto" w:fill="D9D9D9" w:themeFill="background1" w:themeFillShade="D9"/>
          </w:tcPr>
          <w:p w:rsidR="00DB0440" w:rsidRPr="00A73232" w:rsidRDefault="00DB0440" w:rsidP="00162F62">
            <w:pPr>
              <w:spacing w:before="40" w:after="40"/>
              <w:rPr>
                <w:rFonts w:ascii="Times New Roman" w:hAnsi="Times New Roman" w:cs="Times New Roman"/>
                <w:b/>
                <w:bCs/>
                <w:noProof/>
                <w:kern w:val="22"/>
                <w:sz w:val="22"/>
                <w:szCs w:val="22"/>
              </w:rPr>
            </w:pPr>
            <w:r>
              <w:rPr>
                <w:rFonts w:ascii="Times New Roman" w:hAnsi="Times New Roman" w:cs="Times New Roman"/>
                <w:b/>
                <w:bCs/>
                <w:noProof/>
                <w:kern w:val="22"/>
                <w:sz w:val="22"/>
                <w:szCs w:val="22"/>
              </w:rPr>
              <w:t>Produits de</w:t>
            </w:r>
            <w:r w:rsidRPr="00A73232">
              <w:rPr>
                <w:rFonts w:ascii="Times New Roman" w:hAnsi="Times New Roman" w:cs="Times New Roman"/>
                <w:b/>
                <w:bCs/>
                <w:noProof/>
                <w:kern w:val="22"/>
                <w:sz w:val="22"/>
                <w:szCs w:val="22"/>
              </w:rPr>
              <w:t xml:space="preserve"> </w:t>
            </w:r>
            <w:r>
              <w:rPr>
                <w:rFonts w:ascii="Times New Roman" w:hAnsi="Times New Roman" w:cs="Times New Roman"/>
                <w:b/>
                <w:bCs/>
                <w:noProof/>
                <w:kern w:val="22"/>
                <w:sz w:val="22"/>
                <w:szCs w:val="22"/>
              </w:rPr>
              <w:t>l</w:t>
            </w:r>
            <w:r w:rsidR="00E440F3">
              <w:rPr>
                <w:rFonts w:ascii="Times New Roman" w:hAnsi="Times New Roman" w:cs="Times New Roman"/>
                <w:b/>
                <w:bCs/>
                <w:noProof/>
                <w:kern w:val="22"/>
                <w:sz w:val="22"/>
                <w:szCs w:val="22"/>
              </w:rPr>
              <w:t>’</w:t>
            </w:r>
            <w:r w:rsidRPr="00A73232">
              <w:rPr>
                <w:rFonts w:ascii="Times New Roman" w:hAnsi="Times New Roman" w:cs="Times New Roman"/>
                <w:b/>
                <w:bCs/>
                <w:noProof/>
                <w:kern w:val="22"/>
                <w:sz w:val="22"/>
                <w:szCs w:val="22"/>
              </w:rPr>
              <w:t>IPBES</w:t>
            </w:r>
          </w:p>
        </w:tc>
        <w:tc>
          <w:tcPr>
            <w:tcW w:w="1976" w:type="dxa"/>
            <w:shd w:val="clear" w:color="auto" w:fill="D9D9D9" w:themeFill="background1" w:themeFillShade="D9"/>
          </w:tcPr>
          <w:p w:rsidR="00DB0440" w:rsidRPr="00A73232" w:rsidRDefault="00DB0440" w:rsidP="00162F62">
            <w:pPr>
              <w:spacing w:before="40" w:after="40"/>
              <w:rPr>
                <w:rFonts w:ascii="Times New Roman" w:hAnsi="Times New Roman" w:cs="Times New Roman"/>
                <w:b/>
                <w:bCs/>
                <w:noProof/>
                <w:kern w:val="22"/>
                <w:sz w:val="22"/>
                <w:szCs w:val="22"/>
              </w:rPr>
            </w:pPr>
            <w:r>
              <w:rPr>
                <w:rFonts w:ascii="Times New Roman" w:hAnsi="Times New Roman" w:cs="Times New Roman"/>
                <w:b/>
                <w:bCs/>
                <w:noProof/>
                <w:kern w:val="22"/>
                <w:sz w:val="22"/>
                <w:szCs w:val="22"/>
              </w:rPr>
              <w:t>Examen par l</w:t>
            </w:r>
            <w:r w:rsidR="00E440F3">
              <w:rPr>
                <w:rFonts w:ascii="Times New Roman" w:hAnsi="Times New Roman" w:cs="Times New Roman"/>
                <w:b/>
                <w:bCs/>
                <w:noProof/>
                <w:kern w:val="22"/>
                <w:sz w:val="22"/>
                <w:szCs w:val="22"/>
              </w:rPr>
              <w:t>’</w:t>
            </w:r>
            <w:r>
              <w:rPr>
                <w:rFonts w:ascii="Times New Roman" w:hAnsi="Times New Roman" w:cs="Times New Roman"/>
                <w:b/>
                <w:bCs/>
                <w:noProof/>
                <w:kern w:val="22"/>
                <w:sz w:val="22"/>
                <w:szCs w:val="22"/>
              </w:rPr>
              <w:t xml:space="preserve">OSASTT et la CdP </w:t>
            </w:r>
          </w:p>
        </w:tc>
        <w:tc>
          <w:tcPr>
            <w:tcW w:w="4524" w:type="dxa"/>
            <w:shd w:val="clear" w:color="auto" w:fill="D9D9D9" w:themeFill="background1" w:themeFillShade="D9"/>
          </w:tcPr>
          <w:p w:rsidR="00DB0440" w:rsidRPr="00A73232" w:rsidRDefault="00DB0440" w:rsidP="00162F62">
            <w:pPr>
              <w:spacing w:before="40" w:after="40"/>
              <w:rPr>
                <w:rFonts w:ascii="Times New Roman" w:hAnsi="Times New Roman" w:cs="Times New Roman"/>
                <w:b/>
                <w:bCs/>
                <w:noProof/>
                <w:kern w:val="22"/>
                <w:sz w:val="22"/>
                <w:szCs w:val="22"/>
              </w:rPr>
            </w:pPr>
            <w:r>
              <w:rPr>
                <w:rFonts w:ascii="Times New Roman" w:hAnsi="Times New Roman" w:cs="Times New Roman"/>
                <w:b/>
                <w:bCs/>
                <w:noProof/>
                <w:kern w:val="22"/>
                <w:sz w:val="22"/>
                <w:szCs w:val="22"/>
              </w:rPr>
              <w:t>Directives de l</w:t>
            </w:r>
            <w:r w:rsidR="00E440F3">
              <w:rPr>
                <w:rFonts w:ascii="Times New Roman" w:hAnsi="Times New Roman" w:cs="Times New Roman"/>
                <w:b/>
                <w:bCs/>
                <w:noProof/>
                <w:kern w:val="22"/>
                <w:sz w:val="22"/>
                <w:szCs w:val="22"/>
              </w:rPr>
              <w:t>’</w:t>
            </w:r>
            <w:r>
              <w:rPr>
                <w:rFonts w:ascii="Times New Roman" w:hAnsi="Times New Roman" w:cs="Times New Roman"/>
                <w:b/>
                <w:bCs/>
                <w:noProof/>
                <w:kern w:val="22"/>
                <w:sz w:val="22"/>
                <w:szCs w:val="22"/>
              </w:rPr>
              <w:t>OSASTT et de la CdP découlant de l</w:t>
            </w:r>
            <w:r w:rsidR="00E440F3">
              <w:rPr>
                <w:rFonts w:ascii="Times New Roman" w:hAnsi="Times New Roman" w:cs="Times New Roman"/>
                <w:b/>
                <w:bCs/>
                <w:noProof/>
                <w:kern w:val="22"/>
                <w:sz w:val="22"/>
                <w:szCs w:val="22"/>
              </w:rPr>
              <w:t>’</w:t>
            </w:r>
            <w:r>
              <w:rPr>
                <w:rFonts w:ascii="Times New Roman" w:hAnsi="Times New Roman" w:cs="Times New Roman"/>
                <w:b/>
                <w:bCs/>
                <w:noProof/>
                <w:kern w:val="22"/>
                <w:sz w:val="22"/>
                <w:szCs w:val="22"/>
              </w:rPr>
              <w:t>examen</w:t>
            </w:r>
          </w:p>
        </w:tc>
      </w:tr>
      <w:tr w:rsidR="00DB0440" w:rsidRPr="002D6CEA" w:rsidTr="00162F62">
        <w:trPr>
          <w:jc w:val="center"/>
        </w:trPr>
        <w:tc>
          <w:tcPr>
            <w:tcW w:w="2850" w:type="dxa"/>
            <w:vMerge w:val="restart"/>
          </w:tcPr>
          <w:p w:rsidR="00DB0440" w:rsidRDefault="00861837" w:rsidP="00162F62">
            <w:pPr>
              <w:spacing w:before="40" w:after="40"/>
              <w:rPr>
                <w:rFonts w:ascii="Times New Roman" w:hAnsi="Times New Roman" w:cs="Times New Roman"/>
                <w:b/>
                <w:bCs/>
                <w:noProof/>
                <w:kern w:val="22"/>
                <w:sz w:val="22"/>
                <w:szCs w:val="22"/>
              </w:rPr>
            </w:pPr>
            <w:r>
              <w:rPr>
                <w:rFonts w:ascii="Times New Roman" w:hAnsi="Times New Roman" w:cs="Times New Roman"/>
                <w:b/>
                <w:bCs/>
                <w:noProof/>
                <w:kern w:val="22"/>
                <w:sz w:val="22"/>
                <w:szCs w:val="22"/>
              </w:rPr>
              <w:t>Rapport d</w:t>
            </w:r>
            <w:r w:rsidR="00E440F3">
              <w:rPr>
                <w:rFonts w:ascii="Times New Roman" w:hAnsi="Times New Roman" w:cs="Times New Roman"/>
                <w:b/>
                <w:bCs/>
                <w:noProof/>
                <w:kern w:val="22"/>
                <w:sz w:val="22"/>
                <w:szCs w:val="22"/>
              </w:rPr>
              <w:t>’</w:t>
            </w:r>
            <w:r w:rsidR="00DB0440">
              <w:rPr>
                <w:rFonts w:ascii="Times New Roman" w:hAnsi="Times New Roman" w:cs="Times New Roman"/>
                <w:b/>
                <w:bCs/>
                <w:noProof/>
                <w:kern w:val="22"/>
                <w:sz w:val="22"/>
                <w:szCs w:val="22"/>
              </w:rPr>
              <w:t xml:space="preserve">évaluation </w:t>
            </w:r>
            <w:r>
              <w:rPr>
                <w:rFonts w:ascii="Times New Roman" w:hAnsi="Times New Roman" w:cs="Times New Roman"/>
                <w:b/>
                <w:bCs/>
                <w:noProof/>
                <w:kern w:val="22"/>
                <w:sz w:val="22"/>
                <w:szCs w:val="22"/>
              </w:rPr>
              <w:t>concnernant l</w:t>
            </w:r>
            <w:r w:rsidR="00DB0440">
              <w:rPr>
                <w:rFonts w:ascii="Times New Roman" w:hAnsi="Times New Roman" w:cs="Times New Roman"/>
                <w:b/>
                <w:bCs/>
                <w:noProof/>
                <w:kern w:val="22"/>
                <w:sz w:val="22"/>
                <w:szCs w:val="22"/>
              </w:rPr>
              <w:t xml:space="preserve">es pollinisateurs, la </w:t>
            </w:r>
            <w:r>
              <w:rPr>
                <w:rFonts w:ascii="Times New Roman" w:hAnsi="Times New Roman" w:cs="Times New Roman"/>
                <w:b/>
                <w:bCs/>
                <w:noProof/>
                <w:kern w:val="22"/>
                <w:sz w:val="22"/>
                <w:szCs w:val="22"/>
              </w:rPr>
              <w:t xml:space="preserve">pollinisation et </w:t>
            </w:r>
            <w:r w:rsidR="00DB0440">
              <w:rPr>
                <w:rFonts w:ascii="Times New Roman" w:hAnsi="Times New Roman" w:cs="Times New Roman"/>
                <w:b/>
                <w:bCs/>
                <w:noProof/>
                <w:kern w:val="22"/>
                <w:sz w:val="22"/>
                <w:szCs w:val="22"/>
              </w:rPr>
              <w:t>la production alimentaire</w:t>
            </w:r>
          </w:p>
          <w:p w:rsidR="00DB0440" w:rsidRDefault="00DB0440" w:rsidP="00162F62">
            <w:pPr>
              <w:spacing w:before="40" w:after="40"/>
              <w:rPr>
                <w:rFonts w:ascii="Times New Roman" w:hAnsi="Times New Roman" w:cs="Times New Roman"/>
                <w:noProof/>
                <w:kern w:val="22"/>
                <w:sz w:val="22"/>
                <w:szCs w:val="22"/>
              </w:rPr>
            </w:pPr>
            <w:r w:rsidRPr="00A73232">
              <w:rPr>
                <w:rFonts w:ascii="Times New Roman" w:hAnsi="Times New Roman" w:cs="Times New Roman"/>
                <w:noProof/>
                <w:kern w:val="22"/>
                <w:sz w:val="22"/>
                <w:szCs w:val="22"/>
              </w:rPr>
              <w:t>Appro</w:t>
            </w:r>
            <w:r>
              <w:rPr>
                <w:rFonts w:ascii="Times New Roman" w:hAnsi="Times New Roman" w:cs="Times New Roman"/>
                <w:noProof/>
                <w:kern w:val="22"/>
                <w:sz w:val="22"/>
                <w:szCs w:val="22"/>
              </w:rPr>
              <w:t>uvé à l</w:t>
            </w:r>
            <w:r w:rsidR="00E440F3">
              <w:rPr>
                <w:rFonts w:ascii="Times New Roman" w:hAnsi="Times New Roman" w:cs="Times New Roman"/>
                <w:noProof/>
                <w:kern w:val="22"/>
                <w:sz w:val="22"/>
                <w:szCs w:val="22"/>
              </w:rPr>
              <w:t>’</w:t>
            </w:r>
            <w:r w:rsidRPr="00A73232">
              <w:rPr>
                <w:rFonts w:ascii="Times New Roman" w:hAnsi="Times New Roman" w:cs="Times New Roman"/>
                <w:noProof/>
                <w:kern w:val="22"/>
                <w:sz w:val="22"/>
                <w:szCs w:val="22"/>
              </w:rPr>
              <w:t>IPBES</w:t>
            </w:r>
            <w:r w:rsidR="00E440F3">
              <w:rPr>
                <w:rFonts w:ascii="Times New Roman" w:hAnsi="Times New Roman" w:cs="Times New Roman"/>
                <w:noProof/>
                <w:kern w:val="22"/>
                <w:sz w:val="22"/>
                <w:szCs w:val="22"/>
              </w:rPr>
              <w:noBreakHyphen/>
            </w:r>
            <w:r w:rsidRPr="00A73232">
              <w:rPr>
                <w:rFonts w:ascii="Times New Roman" w:hAnsi="Times New Roman" w:cs="Times New Roman"/>
                <w:noProof/>
                <w:kern w:val="22"/>
                <w:sz w:val="22"/>
                <w:szCs w:val="22"/>
              </w:rPr>
              <w:t>4 (2016)</w:t>
            </w:r>
          </w:p>
          <w:p w:rsidR="00DB0440" w:rsidRDefault="00D974A2" w:rsidP="00162F62">
            <w:pPr>
              <w:spacing w:before="40" w:after="40"/>
              <w:rPr>
                <w:rFonts w:ascii="Times New Roman" w:hAnsi="Times New Roman" w:cs="Times New Roman"/>
                <w:b/>
                <w:bCs/>
                <w:noProof/>
                <w:kern w:val="22"/>
                <w:sz w:val="22"/>
                <w:szCs w:val="22"/>
              </w:rPr>
            </w:pPr>
            <w:hyperlink r:id="rId21" w:history="1">
              <w:r w:rsidR="00DB0440" w:rsidRPr="00A73232">
                <w:rPr>
                  <w:rStyle w:val="Hyperlink"/>
                  <w:rFonts w:ascii="Times New Roman" w:hAnsi="Times New Roman" w:cs="Times New Roman"/>
                  <w:noProof/>
                  <w:kern w:val="22"/>
                  <w:sz w:val="22"/>
                  <w:szCs w:val="22"/>
                </w:rPr>
                <w:t>https://ipbes.net/assessmen</w:t>
              </w:r>
              <w:r w:rsidR="00DB0440" w:rsidRPr="00A73232">
                <w:rPr>
                  <w:rStyle w:val="Hyperlink"/>
                  <w:rFonts w:ascii="Times New Roman" w:hAnsi="Times New Roman" w:cs="Times New Roman"/>
                  <w:noProof/>
                  <w:kern w:val="22"/>
                  <w:sz w:val="22"/>
                  <w:szCs w:val="22"/>
                </w:rPr>
                <w:t>t</w:t>
              </w:r>
              <w:r w:rsidR="00E440F3">
                <w:rPr>
                  <w:rStyle w:val="Hyperlink"/>
                  <w:rFonts w:ascii="Times New Roman" w:hAnsi="Times New Roman" w:cs="Times New Roman"/>
                  <w:noProof/>
                  <w:kern w:val="22"/>
                  <w:sz w:val="22"/>
                  <w:szCs w:val="22"/>
                </w:rPr>
                <w:noBreakHyphen/>
              </w:r>
              <w:r w:rsidR="00DB0440" w:rsidRPr="00A73232">
                <w:rPr>
                  <w:rStyle w:val="Hyperlink"/>
                  <w:rFonts w:ascii="Times New Roman" w:hAnsi="Times New Roman" w:cs="Times New Roman"/>
                  <w:noProof/>
                  <w:kern w:val="22"/>
                  <w:sz w:val="22"/>
                  <w:szCs w:val="22"/>
                </w:rPr>
                <w:t>reports/pollinators</w:t>
              </w:r>
            </w:hyperlink>
          </w:p>
          <w:p w:rsidR="00DB0440" w:rsidRPr="00A73232" w:rsidRDefault="00DB0440" w:rsidP="00162F62">
            <w:pPr>
              <w:spacing w:before="40" w:after="40"/>
              <w:rPr>
                <w:rFonts w:ascii="Times New Roman" w:hAnsi="Times New Roman" w:cs="Times New Roman"/>
                <w:noProof/>
                <w:color w:val="0000FF"/>
                <w:kern w:val="22"/>
                <w:sz w:val="22"/>
                <w:szCs w:val="22"/>
                <w:u w:val="single"/>
              </w:rPr>
            </w:pPr>
          </w:p>
        </w:tc>
        <w:tc>
          <w:tcPr>
            <w:tcW w:w="1976" w:type="dxa"/>
          </w:tcPr>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OSASTT</w:t>
            </w:r>
            <w:r w:rsidRPr="00A73232">
              <w:rPr>
                <w:rFonts w:ascii="Times New Roman" w:hAnsi="Times New Roman" w:cs="Times New Roman"/>
                <w:kern w:val="22"/>
                <w:sz w:val="22"/>
                <w:szCs w:val="22"/>
              </w:rPr>
              <w:t xml:space="preserve"> r</w:t>
            </w:r>
            <w:r>
              <w:rPr>
                <w:rFonts w:ascii="Times New Roman" w:hAnsi="Times New Roman" w:cs="Times New Roman"/>
                <w:kern w:val="22"/>
                <w:sz w:val="22"/>
                <w:szCs w:val="22"/>
              </w:rPr>
              <w:t xml:space="preserve">ec. </w:t>
            </w:r>
            <w:r w:rsidRPr="00A73232">
              <w:rPr>
                <w:rFonts w:ascii="Times New Roman" w:hAnsi="Times New Roman" w:cs="Times New Roman"/>
                <w:kern w:val="22"/>
                <w:sz w:val="22"/>
                <w:szCs w:val="22"/>
              </w:rPr>
              <w:t>XX/9</w:t>
            </w:r>
          </w:p>
          <w:p w:rsidR="00DB0440" w:rsidRPr="00A73232" w:rsidRDefault="00DB0440" w:rsidP="00162F62">
            <w:pPr>
              <w:spacing w:before="40" w:after="40"/>
              <w:rPr>
                <w:rFonts w:ascii="Times New Roman" w:hAnsi="Times New Roman" w:cs="Times New Roman"/>
                <w:b/>
                <w:bCs/>
                <w:kern w:val="22"/>
                <w:sz w:val="22"/>
                <w:szCs w:val="22"/>
              </w:rPr>
            </w:pPr>
            <w:r>
              <w:rPr>
                <w:rFonts w:ascii="Times New Roman" w:hAnsi="Times New Roman" w:cs="Times New Roman"/>
                <w:noProof/>
                <w:kern w:val="22"/>
                <w:sz w:val="22"/>
                <w:szCs w:val="22"/>
              </w:rPr>
              <w:t>CdP</w:t>
            </w:r>
            <w:r>
              <w:rPr>
                <w:rFonts w:ascii="Times New Roman" w:hAnsi="Times New Roman" w:cs="Times New Roman"/>
                <w:kern w:val="22"/>
                <w:sz w:val="22"/>
                <w:szCs w:val="22"/>
              </w:rPr>
              <w:t xml:space="preserve"> dé</w:t>
            </w:r>
            <w:r w:rsidRPr="00A73232">
              <w:rPr>
                <w:rFonts w:ascii="Times New Roman" w:hAnsi="Times New Roman" w:cs="Times New Roman"/>
                <w:kern w:val="22"/>
                <w:sz w:val="22"/>
                <w:szCs w:val="22"/>
              </w:rPr>
              <w:t xml:space="preserve">cision XIII/15  </w:t>
            </w:r>
          </w:p>
        </w:tc>
        <w:tc>
          <w:tcPr>
            <w:tcW w:w="4524" w:type="dxa"/>
          </w:tcPr>
          <w:p w:rsidR="00DB0440" w:rsidRPr="00A73232" w:rsidRDefault="00DB0440" w:rsidP="00162F62">
            <w:pPr>
              <w:spacing w:before="40" w:after="40"/>
              <w:rPr>
                <w:rFonts w:ascii="Times New Roman" w:hAnsi="Times New Roman" w:cs="Times New Roman"/>
                <w:noProof/>
                <w:kern w:val="22"/>
                <w:sz w:val="22"/>
                <w:szCs w:val="22"/>
              </w:rPr>
            </w:pPr>
            <w:r>
              <w:rPr>
                <w:rFonts w:ascii="Times New Roman" w:hAnsi="Times New Roman" w:cs="Times New Roman"/>
                <w:noProof/>
                <w:kern w:val="22"/>
                <w:sz w:val="22"/>
                <w:szCs w:val="22"/>
              </w:rPr>
              <w:t>La CdP s</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est félicitée du résumé à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intention des décideurs et du rapport intégral de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évaluation, a approuvé ses messages clés, et a encouragé les Parties et autres intéressés à avoir recours à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évaluation.</w:t>
            </w:r>
          </w:p>
          <w:p w:rsidR="00DB0440" w:rsidRPr="00A73232" w:rsidRDefault="00DB0440" w:rsidP="00162F62">
            <w:pPr>
              <w:spacing w:before="40" w:after="40"/>
              <w:rPr>
                <w:rFonts w:ascii="Times New Roman" w:hAnsi="Times New Roman" w:cs="Times New Roman"/>
                <w:noProof/>
                <w:kern w:val="22"/>
                <w:sz w:val="22"/>
                <w:szCs w:val="22"/>
              </w:rPr>
            </w:pPr>
            <w:r>
              <w:rPr>
                <w:rFonts w:ascii="Times New Roman" w:hAnsi="Times New Roman" w:cs="Times New Roman"/>
                <w:noProof/>
                <w:kern w:val="22"/>
                <w:sz w:val="22"/>
                <w:szCs w:val="22"/>
              </w:rPr>
              <w:t>La CdP a adopté des conseils pratiques, à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intention des gouvernements, du milieu des affaires et d</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autres intéressés, visant à renforcer la conservation et la gestion des pollinisateurs, à s</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attaquer aux moteurs du déclin des pollinisateurs, et à œuvrer en faveur de systèmes de production alimentaire et d</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agriculture durables.</w:t>
            </w:r>
          </w:p>
        </w:tc>
      </w:tr>
      <w:tr w:rsidR="00DB0440" w:rsidRPr="002D6CEA" w:rsidTr="00162F62">
        <w:trPr>
          <w:jc w:val="center"/>
        </w:trPr>
        <w:tc>
          <w:tcPr>
            <w:tcW w:w="2850" w:type="dxa"/>
            <w:vMerge/>
          </w:tcPr>
          <w:p w:rsidR="00DB0440" w:rsidRPr="002D6CEA" w:rsidRDefault="00DB0440"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noProof/>
                <w:snapToGrid w:val="0"/>
                <w:kern w:val="22"/>
                <w:sz w:val="22"/>
                <w:szCs w:val="22"/>
              </w:rPr>
            </w:pPr>
          </w:p>
        </w:tc>
        <w:tc>
          <w:tcPr>
            <w:tcW w:w="1976" w:type="dxa"/>
          </w:tcPr>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 xml:space="preserve">Examiné ultérieurement à OSASTT et </w:t>
            </w:r>
            <w:r>
              <w:rPr>
                <w:rFonts w:ascii="Times New Roman" w:hAnsi="Times New Roman" w:cs="Times New Roman"/>
                <w:noProof/>
                <w:kern w:val="22"/>
                <w:sz w:val="22"/>
                <w:szCs w:val="22"/>
              </w:rPr>
              <w:t>CdP </w:t>
            </w:r>
            <w:r>
              <w:rPr>
                <w:rFonts w:ascii="Times New Roman" w:hAnsi="Times New Roman" w:cs="Times New Roman"/>
                <w:kern w:val="22"/>
                <w:sz w:val="22"/>
                <w:szCs w:val="22"/>
              </w:rPr>
              <w:t>14 (pour donner suite à la décision XIII/15)</w:t>
            </w:r>
            <w:r w:rsidRPr="00A73232">
              <w:rPr>
                <w:rFonts w:ascii="Times New Roman" w:hAnsi="Times New Roman" w:cs="Times New Roman"/>
                <w:kern w:val="22"/>
                <w:sz w:val="22"/>
                <w:szCs w:val="22"/>
              </w:rPr>
              <w:t xml:space="preserve"> </w:t>
            </w:r>
          </w:p>
          <w:p w:rsidR="00DB0440" w:rsidRPr="002D6CEA" w:rsidRDefault="00DB0440"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rPr>
            </w:pPr>
          </w:p>
        </w:tc>
        <w:tc>
          <w:tcPr>
            <w:tcW w:w="4524" w:type="dxa"/>
          </w:tcPr>
          <w:p w:rsidR="00DB0440" w:rsidRPr="002D6CEA" w:rsidRDefault="00DB0440"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noProof/>
                <w:snapToGrid w:val="0"/>
                <w:kern w:val="22"/>
                <w:sz w:val="22"/>
                <w:szCs w:val="22"/>
              </w:rPr>
            </w:pPr>
            <w:r>
              <w:rPr>
                <w:rFonts w:ascii="Times New Roman" w:hAnsi="Times New Roman" w:cs="Times New Roman"/>
                <w:noProof/>
                <w:kern w:val="22"/>
                <w:sz w:val="22"/>
                <w:szCs w:val="22"/>
              </w:rPr>
              <w:t xml:space="preserve">Mise à jour </w:t>
            </w:r>
            <w:r w:rsidRPr="0088693E">
              <w:rPr>
                <w:rFonts w:ascii="Times New Roman" w:hAnsi="Times New Roman" w:cs="Times New Roman"/>
                <w:noProof/>
                <w:kern w:val="22"/>
                <w:sz w:val="22"/>
                <w:szCs w:val="22"/>
              </w:rPr>
              <w:t>du</w:t>
            </w:r>
            <w:r>
              <w:rPr>
                <w:rFonts w:ascii="Times New Roman" w:hAnsi="Times New Roman" w:cs="Times New Roman"/>
                <w:noProof/>
                <w:kern w:val="22"/>
                <w:sz w:val="22"/>
                <w:szCs w:val="22"/>
              </w:rPr>
              <w:t xml:space="preserve"> plan d</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action pour</w:t>
            </w:r>
            <w:r w:rsidRPr="0088693E">
              <w:rPr>
                <w:rFonts w:ascii="Times New Roman" w:hAnsi="Times New Roman" w:cs="Times New Roman"/>
                <w:noProof/>
                <w:kern w:val="22"/>
                <w:sz w:val="22"/>
                <w:szCs w:val="22"/>
              </w:rPr>
              <w:t xml:space="preserve"> </w:t>
            </w:r>
            <w:r>
              <w:rPr>
                <w:rFonts w:ascii="Times New Roman" w:hAnsi="Times New Roman" w:cs="Times New Roman"/>
                <w:noProof/>
                <w:kern w:val="22"/>
                <w:sz w:val="22"/>
                <w:szCs w:val="22"/>
              </w:rPr>
              <w:t>l</w:t>
            </w:r>
            <w:r w:rsidR="00E440F3">
              <w:rPr>
                <w:rFonts w:ascii="Times New Roman" w:hAnsi="Times New Roman" w:cs="Times New Roman"/>
                <w:noProof/>
                <w:kern w:val="22"/>
                <w:sz w:val="22"/>
                <w:szCs w:val="22"/>
              </w:rPr>
              <w:t>’</w:t>
            </w:r>
            <w:r>
              <w:rPr>
                <w:rFonts w:ascii="Times New Roman" w:hAnsi="Times New Roman" w:cs="Times New Roman"/>
                <w:iCs/>
                <w:noProof/>
                <w:kern w:val="22"/>
                <w:sz w:val="22"/>
                <w:szCs w:val="22"/>
              </w:rPr>
              <w:t>Initiative internationale pour la conservation et l</w:t>
            </w:r>
            <w:r w:rsidR="00E440F3">
              <w:rPr>
                <w:rFonts w:ascii="Times New Roman" w:hAnsi="Times New Roman" w:cs="Times New Roman"/>
                <w:iCs/>
                <w:noProof/>
                <w:kern w:val="22"/>
                <w:sz w:val="22"/>
                <w:szCs w:val="22"/>
              </w:rPr>
              <w:t>’</w:t>
            </w:r>
            <w:r>
              <w:rPr>
                <w:rFonts w:ascii="Times New Roman" w:hAnsi="Times New Roman" w:cs="Times New Roman"/>
                <w:iCs/>
                <w:noProof/>
                <w:kern w:val="22"/>
                <w:sz w:val="22"/>
                <w:szCs w:val="22"/>
              </w:rPr>
              <w:t>utilisation durable des pollinisateurs, et élaboration d</w:t>
            </w:r>
            <w:r w:rsidR="00E440F3">
              <w:rPr>
                <w:rFonts w:ascii="Times New Roman" w:hAnsi="Times New Roman" w:cs="Times New Roman"/>
                <w:iCs/>
                <w:noProof/>
                <w:kern w:val="22"/>
                <w:sz w:val="22"/>
                <w:szCs w:val="22"/>
              </w:rPr>
              <w:t>’</w:t>
            </w:r>
            <w:r>
              <w:rPr>
                <w:rFonts w:ascii="Times New Roman" w:hAnsi="Times New Roman" w:cs="Times New Roman"/>
                <w:iCs/>
                <w:noProof/>
                <w:kern w:val="22"/>
                <w:sz w:val="22"/>
                <w:szCs w:val="22"/>
              </w:rPr>
              <w:t>un projet de plan d</w:t>
            </w:r>
            <w:r w:rsidR="00E440F3">
              <w:rPr>
                <w:rFonts w:ascii="Times New Roman" w:hAnsi="Times New Roman" w:cs="Times New Roman"/>
                <w:iCs/>
                <w:noProof/>
                <w:kern w:val="22"/>
                <w:sz w:val="22"/>
                <w:szCs w:val="22"/>
              </w:rPr>
              <w:t>’</w:t>
            </w:r>
            <w:r>
              <w:rPr>
                <w:rFonts w:ascii="Times New Roman" w:hAnsi="Times New Roman" w:cs="Times New Roman"/>
                <w:iCs/>
                <w:noProof/>
                <w:kern w:val="22"/>
                <w:sz w:val="22"/>
                <w:szCs w:val="22"/>
              </w:rPr>
              <w:t>action actualisé et simplifié, comprenant le renforcement des capacités.</w:t>
            </w:r>
          </w:p>
        </w:tc>
      </w:tr>
      <w:tr w:rsidR="00DB0440" w:rsidRPr="002D6CEA" w:rsidTr="00162F62">
        <w:trPr>
          <w:jc w:val="center"/>
        </w:trPr>
        <w:tc>
          <w:tcPr>
            <w:tcW w:w="2850" w:type="dxa"/>
            <w:vMerge w:val="restart"/>
          </w:tcPr>
          <w:p w:rsidR="00DB0440" w:rsidRPr="00A73232" w:rsidRDefault="00DB0440" w:rsidP="00162F62">
            <w:pPr>
              <w:spacing w:before="40" w:after="40"/>
              <w:rPr>
                <w:rFonts w:ascii="Times New Roman" w:hAnsi="Times New Roman" w:cs="Times New Roman"/>
                <w:noProof/>
                <w:kern w:val="22"/>
                <w:sz w:val="22"/>
                <w:szCs w:val="22"/>
              </w:rPr>
            </w:pPr>
            <w:r>
              <w:rPr>
                <w:rFonts w:ascii="Times New Roman" w:hAnsi="Times New Roman" w:cs="Times New Roman"/>
                <w:b/>
                <w:bCs/>
                <w:noProof/>
                <w:kern w:val="22"/>
                <w:sz w:val="22"/>
                <w:szCs w:val="22"/>
              </w:rPr>
              <w:t>Rapport de l</w:t>
            </w:r>
            <w:r w:rsidR="00E440F3">
              <w:rPr>
                <w:rFonts w:ascii="Times New Roman" w:hAnsi="Times New Roman" w:cs="Times New Roman"/>
                <w:b/>
                <w:bCs/>
                <w:noProof/>
                <w:kern w:val="22"/>
                <w:sz w:val="22"/>
                <w:szCs w:val="22"/>
              </w:rPr>
              <w:t>’</w:t>
            </w:r>
            <w:r w:rsidR="00861837">
              <w:rPr>
                <w:rFonts w:ascii="Times New Roman" w:hAnsi="Times New Roman" w:cs="Times New Roman"/>
                <w:b/>
                <w:bCs/>
                <w:noProof/>
                <w:kern w:val="22"/>
                <w:sz w:val="22"/>
                <w:szCs w:val="22"/>
              </w:rPr>
              <w:t xml:space="preserve">évaluation méthodologique des scénarios et </w:t>
            </w:r>
            <w:r>
              <w:rPr>
                <w:rFonts w:ascii="Times New Roman" w:hAnsi="Times New Roman" w:cs="Times New Roman"/>
                <w:b/>
                <w:bCs/>
                <w:noProof/>
                <w:kern w:val="22"/>
                <w:sz w:val="22"/>
                <w:szCs w:val="22"/>
              </w:rPr>
              <w:t>modèles de la biodiversité et des services écosystémiques</w:t>
            </w:r>
          </w:p>
          <w:p w:rsidR="00DB0440" w:rsidRPr="00A73232" w:rsidRDefault="00DB0440" w:rsidP="00162F62">
            <w:pPr>
              <w:spacing w:before="40" w:after="40"/>
              <w:rPr>
                <w:rStyle w:val="Hyperlink"/>
                <w:rFonts w:ascii="Times New Roman" w:hAnsi="Times New Roman" w:cs="Times New Roman"/>
                <w:noProof/>
                <w:color w:val="auto"/>
                <w:kern w:val="22"/>
                <w:sz w:val="22"/>
                <w:szCs w:val="22"/>
                <w:u w:val="none"/>
              </w:rPr>
            </w:pPr>
            <w:r w:rsidRPr="00A73232">
              <w:rPr>
                <w:rFonts w:ascii="Times New Roman" w:hAnsi="Times New Roman" w:cs="Times New Roman"/>
                <w:noProof/>
                <w:kern w:val="22"/>
                <w:sz w:val="22"/>
                <w:szCs w:val="22"/>
              </w:rPr>
              <w:t>App</w:t>
            </w:r>
            <w:r>
              <w:rPr>
                <w:rFonts w:ascii="Times New Roman" w:hAnsi="Times New Roman" w:cs="Times New Roman"/>
                <w:noProof/>
                <w:kern w:val="22"/>
                <w:sz w:val="22"/>
                <w:szCs w:val="22"/>
              </w:rPr>
              <w:t>rouvé</w:t>
            </w:r>
            <w:r w:rsidRPr="00A73232">
              <w:rPr>
                <w:rFonts w:ascii="Times New Roman" w:hAnsi="Times New Roman" w:cs="Times New Roman"/>
                <w:noProof/>
                <w:kern w:val="22"/>
                <w:sz w:val="22"/>
                <w:szCs w:val="22"/>
              </w:rPr>
              <w:t xml:space="preserve"> </w:t>
            </w:r>
            <w:r>
              <w:rPr>
                <w:rFonts w:ascii="Times New Roman" w:hAnsi="Times New Roman" w:cs="Times New Roman"/>
                <w:noProof/>
                <w:kern w:val="22"/>
                <w:sz w:val="22"/>
                <w:szCs w:val="22"/>
              </w:rPr>
              <w:t>à</w:t>
            </w:r>
            <w:r w:rsidRPr="00A73232">
              <w:rPr>
                <w:rFonts w:ascii="Times New Roman" w:hAnsi="Times New Roman" w:cs="Times New Roman"/>
                <w:noProof/>
                <w:kern w:val="22"/>
                <w:sz w:val="22"/>
                <w:szCs w:val="22"/>
              </w:rPr>
              <w:t xml:space="preserve"> IPBES</w:t>
            </w:r>
            <w:r w:rsidR="00E440F3">
              <w:rPr>
                <w:rFonts w:ascii="Times New Roman" w:hAnsi="Times New Roman" w:cs="Times New Roman"/>
                <w:noProof/>
                <w:kern w:val="22"/>
                <w:sz w:val="22"/>
                <w:szCs w:val="22"/>
              </w:rPr>
              <w:noBreakHyphen/>
            </w:r>
            <w:r w:rsidRPr="00A73232">
              <w:rPr>
                <w:rFonts w:ascii="Times New Roman" w:hAnsi="Times New Roman" w:cs="Times New Roman"/>
                <w:noProof/>
                <w:kern w:val="22"/>
                <w:sz w:val="22"/>
                <w:szCs w:val="22"/>
              </w:rPr>
              <w:t>4 (2016)</w:t>
            </w:r>
          </w:p>
          <w:p w:rsidR="00DB0440" w:rsidRPr="00A73232" w:rsidRDefault="00D974A2" w:rsidP="00162F62">
            <w:pPr>
              <w:spacing w:before="40" w:after="40"/>
              <w:rPr>
                <w:rFonts w:ascii="Times New Roman" w:hAnsi="Times New Roman" w:cs="Times New Roman"/>
                <w:noProof/>
                <w:kern w:val="22"/>
                <w:sz w:val="22"/>
                <w:szCs w:val="22"/>
              </w:rPr>
            </w:pPr>
            <w:hyperlink r:id="rId22" w:history="1">
              <w:r w:rsidR="00DB0440" w:rsidRPr="00A73232">
                <w:rPr>
                  <w:rStyle w:val="Hyperlink"/>
                  <w:rFonts w:ascii="Times New Roman" w:hAnsi="Times New Roman" w:cs="Times New Roman"/>
                  <w:noProof/>
                  <w:kern w:val="22"/>
                  <w:sz w:val="22"/>
                  <w:szCs w:val="22"/>
                </w:rPr>
                <w:t>https://ipbes.net/assessment</w:t>
              </w:r>
              <w:r w:rsidR="00E440F3">
                <w:rPr>
                  <w:rStyle w:val="Hyperlink"/>
                  <w:rFonts w:ascii="Times New Roman" w:hAnsi="Times New Roman" w:cs="Times New Roman"/>
                  <w:noProof/>
                  <w:kern w:val="22"/>
                  <w:sz w:val="22"/>
                  <w:szCs w:val="22"/>
                </w:rPr>
                <w:noBreakHyphen/>
              </w:r>
              <w:r w:rsidR="00DB0440" w:rsidRPr="00A73232">
                <w:rPr>
                  <w:rStyle w:val="Hyperlink"/>
                  <w:rFonts w:ascii="Times New Roman" w:hAnsi="Times New Roman" w:cs="Times New Roman"/>
                  <w:noProof/>
                  <w:kern w:val="22"/>
                  <w:sz w:val="22"/>
                  <w:szCs w:val="22"/>
                </w:rPr>
                <w:t>re</w:t>
              </w:r>
              <w:r w:rsidR="00DB0440" w:rsidRPr="00A73232">
                <w:rPr>
                  <w:rStyle w:val="Hyperlink"/>
                  <w:rFonts w:ascii="Times New Roman" w:hAnsi="Times New Roman" w:cs="Times New Roman"/>
                  <w:noProof/>
                  <w:kern w:val="22"/>
                  <w:sz w:val="22"/>
                  <w:szCs w:val="22"/>
                </w:rPr>
                <w:t>p</w:t>
              </w:r>
              <w:r w:rsidR="00DB0440" w:rsidRPr="00A73232">
                <w:rPr>
                  <w:rStyle w:val="Hyperlink"/>
                  <w:rFonts w:ascii="Times New Roman" w:hAnsi="Times New Roman" w:cs="Times New Roman"/>
                  <w:noProof/>
                  <w:kern w:val="22"/>
                  <w:sz w:val="22"/>
                  <w:szCs w:val="22"/>
                </w:rPr>
                <w:t>orts/scenarios</w:t>
              </w:r>
            </w:hyperlink>
            <w:r w:rsidR="00DB0440" w:rsidRPr="00A73232">
              <w:rPr>
                <w:rFonts w:ascii="Times New Roman" w:hAnsi="Times New Roman" w:cs="Times New Roman"/>
                <w:noProof/>
                <w:kern w:val="22"/>
                <w:sz w:val="22"/>
                <w:szCs w:val="22"/>
              </w:rPr>
              <w:t xml:space="preserve"> </w:t>
            </w:r>
          </w:p>
        </w:tc>
        <w:tc>
          <w:tcPr>
            <w:tcW w:w="1976" w:type="dxa"/>
          </w:tcPr>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Examiné à OSASTT</w:t>
            </w:r>
            <w:r w:rsidR="00E440F3">
              <w:rPr>
                <w:rFonts w:ascii="Times New Roman" w:hAnsi="Times New Roman" w:cs="Times New Roman"/>
                <w:kern w:val="22"/>
                <w:sz w:val="22"/>
                <w:szCs w:val="22"/>
              </w:rPr>
              <w:noBreakHyphen/>
            </w:r>
            <w:r>
              <w:rPr>
                <w:rFonts w:ascii="Times New Roman" w:hAnsi="Times New Roman" w:cs="Times New Roman"/>
                <w:kern w:val="22"/>
                <w:sz w:val="22"/>
                <w:szCs w:val="22"/>
              </w:rPr>
              <w:t>20 (rec. </w:t>
            </w:r>
            <w:r w:rsidRPr="00A73232">
              <w:rPr>
                <w:rFonts w:ascii="Times New Roman" w:hAnsi="Times New Roman" w:cs="Times New Roman"/>
                <w:kern w:val="22"/>
                <w:sz w:val="22"/>
                <w:szCs w:val="22"/>
              </w:rPr>
              <w:t xml:space="preserve">XX/13) </w:t>
            </w:r>
            <w:r>
              <w:rPr>
                <w:rFonts w:ascii="Times New Roman" w:hAnsi="Times New Roman" w:cs="Times New Roman"/>
                <w:kern w:val="22"/>
                <w:sz w:val="22"/>
                <w:szCs w:val="22"/>
              </w:rPr>
              <w:t>et Cd</w:t>
            </w:r>
            <w:r w:rsidRPr="00A73232">
              <w:rPr>
                <w:rFonts w:ascii="Times New Roman" w:hAnsi="Times New Roman" w:cs="Times New Roman"/>
                <w:kern w:val="22"/>
                <w:sz w:val="22"/>
                <w:szCs w:val="22"/>
              </w:rPr>
              <w:t>P</w:t>
            </w:r>
            <w:r w:rsidR="00E440F3">
              <w:rPr>
                <w:rFonts w:ascii="Times New Roman" w:hAnsi="Times New Roman" w:cs="Times New Roman"/>
                <w:kern w:val="22"/>
                <w:sz w:val="22"/>
                <w:szCs w:val="22"/>
              </w:rPr>
              <w:noBreakHyphen/>
            </w:r>
            <w:r>
              <w:rPr>
                <w:rFonts w:ascii="Times New Roman" w:hAnsi="Times New Roman" w:cs="Times New Roman"/>
                <w:kern w:val="22"/>
                <w:sz w:val="22"/>
                <w:szCs w:val="22"/>
              </w:rPr>
              <w:t>13 (dé</w:t>
            </w:r>
            <w:r w:rsidRPr="00A73232">
              <w:rPr>
                <w:rFonts w:ascii="Times New Roman" w:hAnsi="Times New Roman" w:cs="Times New Roman"/>
                <w:kern w:val="22"/>
                <w:sz w:val="22"/>
                <w:szCs w:val="22"/>
              </w:rPr>
              <w:t>cision XIII/29)</w:t>
            </w:r>
          </w:p>
          <w:p w:rsidR="00DB0440" w:rsidRPr="00A73232" w:rsidRDefault="00DB0440" w:rsidP="00162F62">
            <w:pPr>
              <w:spacing w:before="40" w:after="40"/>
              <w:rPr>
                <w:rFonts w:ascii="Times New Roman" w:hAnsi="Times New Roman" w:cs="Times New Roman"/>
                <w:kern w:val="22"/>
                <w:sz w:val="22"/>
                <w:szCs w:val="22"/>
              </w:rPr>
            </w:pPr>
          </w:p>
        </w:tc>
        <w:tc>
          <w:tcPr>
            <w:tcW w:w="4524" w:type="dxa"/>
          </w:tcPr>
          <w:p w:rsidR="00DB0440" w:rsidRPr="00A73232" w:rsidRDefault="00DB0440" w:rsidP="00162F62">
            <w:pPr>
              <w:spacing w:before="40" w:after="40"/>
              <w:rPr>
                <w:rFonts w:ascii="Times New Roman" w:hAnsi="Times New Roman" w:cs="Times New Roman"/>
                <w:noProof/>
                <w:kern w:val="22"/>
                <w:sz w:val="22"/>
                <w:szCs w:val="22"/>
              </w:rPr>
            </w:pPr>
            <w:r>
              <w:rPr>
                <w:rFonts w:ascii="Times New Roman" w:hAnsi="Times New Roman" w:cs="Times New Roman"/>
                <w:noProof/>
                <w:kern w:val="22"/>
                <w:sz w:val="22"/>
                <w:szCs w:val="22"/>
              </w:rPr>
              <w:t>La CdP s</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est félicitée de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évaluation, a reconnu son niveau de pertinence élevé pour les travaux au titre de la Convention, et en particulier pour PMDB</w:t>
            </w:r>
            <w:r w:rsidR="00E440F3">
              <w:rPr>
                <w:rFonts w:ascii="Times New Roman" w:hAnsi="Times New Roman" w:cs="Times New Roman"/>
                <w:noProof/>
                <w:kern w:val="22"/>
                <w:sz w:val="22"/>
                <w:szCs w:val="22"/>
              </w:rPr>
              <w:noBreakHyphen/>
            </w:r>
            <w:r>
              <w:rPr>
                <w:rFonts w:ascii="Times New Roman" w:hAnsi="Times New Roman" w:cs="Times New Roman"/>
                <w:noProof/>
                <w:kern w:val="22"/>
                <w:sz w:val="22"/>
                <w:szCs w:val="22"/>
              </w:rPr>
              <w:t>5, a encouragé les Parties et les autres intéressés à élaborer davantage et à utiliser les scénarios et modèles pour soutenir la prise de décisions et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 xml:space="preserve">évaluation des politiques, et a invité la communauté scientifique à </w:t>
            </w:r>
            <w:r>
              <w:rPr>
                <w:rFonts w:ascii="Times New Roman" w:hAnsi="Times New Roman" w:cs="Times New Roman"/>
                <w:noProof/>
                <w:kern w:val="22"/>
                <w:sz w:val="22"/>
                <w:szCs w:val="22"/>
              </w:rPr>
              <w:lastRenderedPageBreak/>
              <w:t>combler les principales lacunes dans les méthodes de modélisation des impacts des moteurs et dans les interventions au niveau des politiques relatives à la biodiversité et aux services écosystémiques.</w:t>
            </w:r>
          </w:p>
        </w:tc>
      </w:tr>
      <w:tr w:rsidR="00DB0440" w:rsidRPr="002D6CEA" w:rsidTr="00162F62">
        <w:trPr>
          <w:jc w:val="center"/>
        </w:trPr>
        <w:tc>
          <w:tcPr>
            <w:tcW w:w="2850" w:type="dxa"/>
            <w:vMerge/>
          </w:tcPr>
          <w:p w:rsidR="00DB0440" w:rsidRPr="002D6CEA" w:rsidRDefault="00DB0440"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noProof/>
                <w:snapToGrid w:val="0"/>
                <w:kern w:val="22"/>
                <w:sz w:val="22"/>
                <w:szCs w:val="22"/>
              </w:rPr>
            </w:pPr>
          </w:p>
        </w:tc>
        <w:tc>
          <w:tcPr>
            <w:tcW w:w="1976" w:type="dxa"/>
          </w:tcPr>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OSASTT</w:t>
            </w:r>
            <w:r w:rsidR="00E440F3">
              <w:rPr>
                <w:rFonts w:ascii="Times New Roman" w:hAnsi="Times New Roman" w:cs="Times New Roman"/>
                <w:kern w:val="22"/>
                <w:sz w:val="22"/>
                <w:szCs w:val="22"/>
              </w:rPr>
              <w:noBreakHyphen/>
            </w:r>
            <w:r>
              <w:rPr>
                <w:rFonts w:ascii="Times New Roman" w:hAnsi="Times New Roman" w:cs="Times New Roman"/>
                <w:kern w:val="22"/>
                <w:sz w:val="22"/>
                <w:szCs w:val="22"/>
              </w:rPr>
              <w:t>21 (rec. </w:t>
            </w:r>
            <w:r w:rsidRPr="00A73232">
              <w:rPr>
                <w:rFonts w:ascii="Times New Roman" w:hAnsi="Times New Roman" w:cs="Times New Roman"/>
                <w:kern w:val="22"/>
                <w:sz w:val="22"/>
                <w:szCs w:val="22"/>
              </w:rPr>
              <w:t>XXI/1)</w:t>
            </w:r>
          </w:p>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Cd</w:t>
            </w:r>
            <w:r w:rsidRPr="00A73232">
              <w:rPr>
                <w:rFonts w:ascii="Times New Roman" w:hAnsi="Times New Roman" w:cs="Times New Roman"/>
                <w:kern w:val="22"/>
                <w:sz w:val="22"/>
                <w:szCs w:val="22"/>
              </w:rPr>
              <w:t>P</w:t>
            </w:r>
            <w:r w:rsidR="00E440F3">
              <w:rPr>
                <w:rFonts w:ascii="Times New Roman" w:hAnsi="Times New Roman" w:cs="Times New Roman"/>
                <w:kern w:val="22"/>
                <w:sz w:val="22"/>
                <w:szCs w:val="22"/>
              </w:rPr>
              <w:noBreakHyphen/>
            </w:r>
            <w:r w:rsidRPr="00A73232">
              <w:rPr>
                <w:rFonts w:ascii="Times New Roman" w:hAnsi="Times New Roman" w:cs="Times New Roman"/>
                <w:kern w:val="22"/>
                <w:sz w:val="22"/>
                <w:szCs w:val="22"/>
              </w:rPr>
              <w:t>14 (</w:t>
            </w:r>
            <w:r>
              <w:rPr>
                <w:rFonts w:ascii="Times New Roman" w:hAnsi="Times New Roman" w:cs="Times New Roman"/>
                <w:kern w:val="22"/>
                <w:sz w:val="22"/>
                <w:szCs w:val="22"/>
              </w:rPr>
              <w:t>dé</w:t>
            </w:r>
            <w:r w:rsidRPr="00A73232">
              <w:rPr>
                <w:rFonts w:ascii="Times New Roman" w:hAnsi="Times New Roman" w:cs="Times New Roman"/>
                <w:kern w:val="22"/>
                <w:sz w:val="22"/>
                <w:szCs w:val="22"/>
              </w:rPr>
              <w:t>cision 14/1)</w:t>
            </w:r>
          </w:p>
        </w:tc>
        <w:tc>
          <w:tcPr>
            <w:tcW w:w="4524" w:type="dxa"/>
          </w:tcPr>
          <w:p w:rsidR="00DB0440" w:rsidRDefault="00DB0440" w:rsidP="00162F62">
            <w:pPr>
              <w:spacing w:before="40" w:after="40"/>
              <w:rPr>
                <w:rFonts w:ascii="Times New Roman" w:hAnsi="Times New Roman" w:cs="Times New Roman"/>
                <w:bCs/>
                <w:iCs/>
                <w:noProof/>
                <w:kern w:val="22"/>
                <w:sz w:val="22"/>
                <w:szCs w:val="22"/>
              </w:rPr>
            </w:pPr>
            <w:r>
              <w:rPr>
                <w:rFonts w:ascii="Times New Roman" w:hAnsi="Times New Roman" w:cs="Times New Roman"/>
                <w:bCs/>
                <w:iCs/>
                <w:noProof/>
                <w:kern w:val="22"/>
                <w:sz w:val="22"/>
                <w:szCs w:val="22"/>
              </w:rPr>
              <w:t>L</w:t>
            </w:r>
            <w:r w:rsidR="00E440F3">
              <w:rPr>
                <w:rFonts w:ascii="Times New Roman" w:hAnsi="Times New Roman" w:cs="Times New Roman"/>
                <w:bCs/>
                <w:iCs/>
                <w:noProof/>
                <w:kern w:val="22"/>
                <w:sz w:val="22"/>
                <w:szCs w:val="22"/>
              </w:rPr>
              <w:t>’</w:t>
            </w:r>
            <w:r>
              <w:rPr>
                <w:rFonts w:ascii="Times New Roman" w:hAnsi="Times New Roman" w:cs="Times New Roman"/>
                <w:bCs/>
                <w:iCs/>
                <w:noProof/>
                <w:kern w:val="22"/>
                <w:sz w:val="22"/>
                <w:szCs w:val="22"/>
              </w:rPr>
              <w:t>OSASTT a formulé des conclusions sur les scénarios pour la Vision 2050 pour la diversité biologique.</w:t>
            </w:r>
          </w:p>
          <w:p w:rsidR="00DB0440" w:rsidRPr="002D65FC" w:rsidRDefault="00DB0440" w:rsidP="00162F62">
            <w:pPr>
              <w:spacing w:before="40" w:after="40"/>
              <w:rPr>
                <w:rFonts w:ascii="Times New Roman" w:hAnsi="Times New Roman" w:cs="Times New Roman"/>
                <w:bCs/>
                <w:iCs/>
                <w:noProof/>
                <w:kern w:val="22"/>
                <w:sz w:val="22"/>
                <w:szCs w:val="22"/>
              </w:rPr>
            </w:pPr>
            <w:r>
              <w:rPr>
                <w:rFonts w:ascii="Times New Roman" w:hAnsi="Times New Roman" w:cs="Times New Roman"/>
                <w:bCs/>
                <w:iCs/>
                <w:noProof/>
                <w:kern w:val="22"/>
                <w:sz w:val="22"/>
                <w:szCs w:val="22"/>
              </w:rPr>
              <w:t>La CdP a pris note de la pertinence de l</w:t>
            </w:r>
            <w:r w:rsidR="00E440F3">
              <w:rPr>
                <w:rFonts w:ascii="Times New Roman" w:hAnsi="Times New Roman" w:cs="Times New Roman"/>
                <w:bCs/>
                <w:iCs/>
                <w:noProof/>
                <w:kern w:val="22"/>
                <w:sz w:val="22"/>
                <w:szCs w:val="22"/>
              </w:rPr>
              <w:t>’</w:t>
            </w:r>
            <w:r>
              <w:rPr>
                <w:rFonts w:ascii="Times New Roman" w:hAnsi="Times New Roman" w:cs="Times New Roman"/>
                <w:bCs/>
                <w:iCs/>
                <w:noProof/>
                <w:kern w:val="22"/>
                <w:sz w:val="22"/>
                <w:szCs w:val="22"/>
              </w:rPr>
              <w:t>évaluation pour les discussions sur la direction stratégique à long terme de la Vision 2050 pour la diversité biologique et du processus d</w:t>
            </w:r>
            <w:r w:rsidR="00E440F3">
              <w:rPr>
                <w:rFonts w:ascii="Times New Roman" w:hAnsi="Times New Roman" w:cs="Times New Roman"/>
                <w:bCs/>
                <w:iCs/>
                <w:noProof/>
                <w:kern w:val="22"/>
                <w:sz w:val="22"/>
                <w:szCs w:val="22"/>
              </w:rPr>
              <w:t>’</w:t>
            </w:r>
            <w:r>
              <w:rPr>
                <w:rFonts w:ascii="Times New Roman" w:hAnsi="Times New Roman" w:cs="Times New Roman"/>
                <w:bCs/>
                <w:iCs/>
                <w:noProof/>
                <w:kern w:val="22"/>
                <w:sz w:val="22"/>
                <w:szCs w:val="22"/>
              </w:rPr>
              <w:t>élaboration d</w:t>
            </w:r>
            <w:r w:rsidR="00E440F3">
              <w:rPr>
                <w:rFonts w:ascii="Times New Roman" w:hAnsi="Times New Roman" w:cs="Times New Roman"/>
                <w:bCs/>
                <w:iCs/>
                <w:noProof/>
                <w:kern w:val="22"/>
                <w:sz w:val="22"/>
                <w:szCs w:val="22"/>
              </w:rPr>
              <w:t>’</w:t>
            </w:r>
            <w:r>
              <w:rPr>
                <w:rFonts w:ascii="Times New Roman" w:hAnsi="Times New Roman" w:cs="Times New Roman"/>
                <w:bCs/>
                <w:iCs/>
                <w:noProof/>
                <w:kern w:val="22"/>
                <w:sz w:val="22"/>
                <w:szCs w:val="22"/>
              </w:rPr>
              <w:t>un cadre mondial de la biodiversité pour l</w:t>
            </w:r>
            <w:r w:rsidR="00E440F3">
              <w:rPr>
                <w:rFonts w:ascii="Times New Roman" w:hAnsi="Times New Roman" w:cs="Times New Roman"/>
                <w:bCs/>
                <w:iCs/>
                <w:noProof/>
                <w:kern w:val="22"/>
                <w:sz w:val="22"/>
                <w:szCs w:val="22"/>
              </w:rPr>
              <w:t>’</w:t>
            </w:r>
            <w:r>
              <w:rPr>
                <w:rFonts w:ascii="Times New Roman" w:hAnsi="Times New Roman" w:cs="Times New Roman"/>
                <w:bCs/>
                <w:iCs/>
                <w:noProof/>
                <w:kern w:val="22"/>
                <w:sz w:val="22"/>
                <w:szCs w:val="22"/>
              </w:rPr>
              <w:t>après</w:t>
            </w:r>
            <w:r w:rsidR="00E440F3">
              <w:rPr>
                <w:rFonts w:ascii="Times New Roman" w:hAnsi="Times New Roman" w:cs="Times New Roman"/>
                <w:bCs/>
                <w:iCs/>
                <w:noProof/>
                <w:kern w:val="22"/>
                <w:sz w:val="22"/>
                <w:szCs w:val="22"/>
              </w:rPr>
              <w:noBreakHyphen/>
            </w:r>
            <w:r>
              <w:rPr>
                <w:rFonts w:ascii="Times New Roman" w:hAnsi="Times New Roman" w:cs="Times New Roman"/>
                <w:bCs/>
                <w:iCs/>
                <w:noProof/>
                <w:kern w:val="22"/>
                <w:sz w:val="22"/>
                <w:szCs w:val="22"/>
              </w:rPr>
              <w:t>2020.</w:t>
            </w:r>
            <w:r w:rsidRPr="00A73232">
              <w:rPr>
                <w:rFonts w:ascii="Times New Roman" w:hAnsi="Times New Roman" w:cs="Times New Roman"/>
                <w:bCs/>
                <w:iCs/>
                <w:noProof/>
                <w:kern w:val="22"/>
                <w:sz w:val="22"/>
                <w:szCs w:val="22"/>
              </w:rPr>
              <w:t xml:space="preserve"> </w:t>
            </w:r>
          </w:p>
        </w:tc>
      </w:tr>
      <w:tr w:rsidR="00DB0440" w:rsidRPr="002D6CEA" w:rsidTr="00162F62">
        <w:trPr>
          <w:jc w:val="center"/>
        </w:trPr>
        <w:tc>
          <w:tcPr>
            <w:tcW w:w="2850" w:type="dxa"/>
            <w:vMerge w:val="restart"/>
          </w:tcPr>
          <w:p w:rsidR="00DB0440" w:rsidRPr="00A73232" w:rsidRDefault="00DB0440" w:rsidP="00162F62">
            <w:pPr>
              <w:spacing w:before="40" w:after="40"/>
              <w:rPr>
                <w:rStyle w:val="Hyperlink"/>
                <w:rFonts w:ascii="Times New Roman" w:hAnsi="Times New Roman" w:cs="Times New Roman"/>
                <w:b/>
                <w:bCs/>
                <w:noProof/>
                <w:color w:val="auto"/>
                <w:kern w:val="22"/>
                <w:sz w:val="22"/>
                <w:szCs w:val="22"/>
              </w:rPr>
            </w:pPr>
            <w:r>
              <w:rPr>
                <w:rFonts w:ascii="Times New Roman" w:hAnsi="Times New Roman" w:cs="Times New Roman"/>
                <w:b/>
                <w:bCs/>
                <w:noProof/>
                <w:kern w:val="22"/>
                <w:sz w:val="22"/>
                <w:szCs w:val="22"/>
              </w:rPr>
              <w:t>Rapport de l</w:t>
            </w:r>
            <w:r w:rsidR="00E440F3">
              <w:rPr>
                <w:rFonts w:ascii="Times New Roman" w:hAnsi="Times New Roman" w:cs="Times New Roman"/>
                <w:b/>
                <w:bCs/>
                <w:noProof/>
                <w:kern w:val="22"/>
                <w:sz w:val="22"/>
                <w:szCs w:val="22"/>
              </w:rPr>
              <w:t>’</w:t>
            </w:r>
            <w:r>
              <w:rPr>
                <w:rFonts w:ascii="Times New Roman" w:hAnsi="Times New Roman" w:cs="Times New Roman"/>
                <w:b/>
                <w:bCs/>
                <w:noProof/>
                <w:kern w:val="22"/>
                <w:sz w:val="22"/>
                <w:szCs w:val="22"/>
              </w:rPr>
              <w:t xml:space="preserve">évaluation sur la dégradation et la restauration des terres  </w:t>
            </w:r>
          </w:p>
          <w:p w:rsidR="00DB0440" w:rsidRPr="00A73232" w:rsidRDefault="00DB0440" w:rsidP="00162F62">
            <w:pPr>
              <w:spacing w:before="40" w:after="40"/>
              <w:rPr>
                <w:rStyle w:val="Hyperlink"/>
                <w:rFonts w:ascii="Times New Roman" w:hAnsi="Times New Roman" w:cs="Times New Roman"/>
                <w:noProof/>
                <w:color w:val="auto"/>
                <w:kern w:val="22"/>
                <w:sz w:val="22"/>
                <w:szCs w:val="22"/>
                <w:u w:val="none"/>
              </w:rPr>
            </w:pPr>
            <w:r w:rsidRPr="00A73232">
              <w:rPr>
                <w:rFonts w:ascii="Times New Roman" w:hAnsi="Times New Roman" w:cs="Times New Roman"/>
                <w:noProof/>
                <w:kern w:val="22"/>
                <w:sz w:val="22"/>
                <w:szCs w:val="22"/>
              </w:rPr>
              <w:t>Appro</w:t>
            </w:r>
            <w:r>
              <w:rPr>
                <w:rFonts w:ascii="Times New Roman" w:hAnsi="Times New Roman" w:cs="Times New Roman"/>
                <w:noProof/>
                <w:kern w:val="22"/>
                <w:sz w:val="22"/>
                <w:szCs w:val="22"/>
              </w:rPr>
              <w:t xml:space="preserve">uvé à </w:t>
            </w:r>
            <w:r w:rsidRPr="00A73232">
              <w:rPr>
                <w:rFonts w:ascii="Times New Roman" w:hAnsi="Times New Roman" w:cs="Times New Roman"/>
                <w:noProof/>
                <w:kern w:val="22"/>
                <w:sz w:val="22"/>
                <w:szCs w:val="22"/>
              </w:rPr>
              <w:t>IPBES</w:t>
            </w:r>
            <w:r w:rsidR="00E440F3">
              <w:rPr>
                <w:rFonts w:ascii="Times New Roman" w:hAnsi="Times New Roman" w:cs="Times New Roman"/>
                <w:noProof/>
                <w:kern w:val="22"/>
                <w:sz w:val="22"/>
                <w:szCs w:val="22"/>
              </w:rPr>
              <w:noBreakHyphen/>
            </w:r>
            <w:r w:rsidRPr="00A73232">
              <w:rPr>
                <w:rFonts w:ascii="Times New Roman" w:hAnsi="Times New Roman" w:cs="Times New Roman"/>
                <w:noProof/>
                <w:kern w:val="22"/>
                <w:sz w:val="22"/>
                <w:szCs w:val="22"/>
              </w:rPr>
              <w:t>6 (2018)</w:t>
            </w:r>
          </w:p>
          <w:p w:rsidR="00DB0440" w:rsidRPr="00A73232" w:rsidRDefault="00D974A2" w:rsidP="00162F62">
            <w:pPr>
              <w:spacing w:before="40" w:after="40"/>
              <w:rPr>
                <w:rFonts w:ascii="Times New Roman" w:hAnsi="Times New Roman" w:cs="Times New Roman"/>
                <w:noProof/>
                <w:kern w:val="22"/>
                <w:sz w:val="22"/>
                <w:szCs w:val="22"/>
              </w:rPr>
            </w:pPr>
            <w:hyperlink r:id="rId23" w:history="1">
              <w:r w:rsidR="00DB0440" w:rsidRPr="00A73232">
                <w:rPr>
                  <w:rStyle w:val="Hyperlink"/>
                  <w:rFonts w:ascii="Times New Roman" w:hAnsi="Times New Roman" w:cs="Times New Roman"/>
                  <w:noProof/>
                  <w:kern w:val="22"/>
                  <w:sz w:val="22"/>
                  <w:szCs w:val="22"/>
                </w:rPr>
                <w:t>https://ipbes.net/assessm</w:t>
              </w:r>
              <w:r w:rsidR="00DB0440" w:rsidRPr="00A73232">
                <w:rPr>
                  <w:rStyle w:val="Hyperlink"/>
                  <w:rFonts w:ascii="Times New Roman" w:hAnsi="Times New Roman" w:cs="Times New Roman"/>
                  <w:noProof/>
                  <w:kern w:val="22"/>
                  <w:sz w:val="22"/>
                  <w:szCs w:val="22"/>
                </w:rPr>
                <w:t>e</w:t>
              </w:r>
              <w:r w:rsidR="00DB0440" w:rsidRPr="00A73232">
                <w:rPr>
                  <w:rStyle w:val="Hyperlink"/>
                  <w:rFonts w:ascii="Times New Roman" w:hAnsi="Times New Roman" w:cs="Times New Roman"/>
                  <w:noProof/>
                  <w:kern w:val="22"/>
                  <w:sz w:val="22"/>
                  <w:szCs w:val="22"/>
                </w:rPr>
                <w:t>nt</w:t>
              </w:r>
              <w:r w:rsidR="00E440F3">
                <w:rPr>
                  <w:rStyle w:val="Hyperlink"/>
                  <w:rFonts w:ascii="Times New Roman" w:hAnsi="Times New Roman" w:cs="Times New Roman"/>
                  <w:noProof/>
                  <w:kern w:val="22"/>
                  <w:sz w:val="22"/>
                  <w:szCs w:val="22"/>
                </w:rPr>
                <w:noBreakHyphen/>
              </w:r>
              <w:r w:rsidR="00DB0440" w:rsidRPr="00A73232">
                <w:rPr>
                  <w:rStyle w:val="Hyperlink"/>
                  <w:rFonts w:ascii="Times New Roman" w:hAnsi="Times New Roman" w:cs="Times New Roman"/>
                  <w:noProof/>
                  <w:kern w:val="22"/>
                  <w:sz w:val="22"/>
                  <w:szCs w:val="22"/>
                </w:rPr>
                <w:t>reports/ldr</w:t>
              </w:r>
            </w:hyperlink>
            <w:r w:rsidR="00DB0440" w:rsidRPr="00A73232">
              <w:rPr>
                <w:rFonts w:ascii="Times New Roman" w:hAnsi="Times New Roman" w:cs="Times New Roman"/>
                <w:noProof/>
                <w:kern w:val="22"/>
                <w:sz w:val="22"/>
                <w:szCs w:val="22"/>
              </w:rPr>
              <w:t xml:space="preserve"> </w:t>
            </w:r>
          </w:p>
        </w:tc>
        <w:tc>
          <w:tcPr>
            <w:tcW w:w="1976" w:type="dxa"/>
          </w:tcPr>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OSASTT  rec. </w:t>
            </w:r>
            <w:r w:rsidRPr="00A73232">
              <w:rPr>
                <w:rFonts w:ascii="Times New Roman" w:hAnsi="Times New Roman" w:cs="Times New Roman"/>
                <w:kern w:val="22"/>
                <w:sz w:val="22"/>
                <w:szCs w:val="22"/>
              </w:rPr>
              <w:t xml:space="preserve">22/4 </w:t>
            </w:r>
            <w:r>
              <w:rPr>
                <w:rFonts w:ascii="Times New Roman" w:hAnsi="Times New Roman" w:cs="Times New Roman"/>
                <w:kern w:val="22"/>
                <w:sz w:val="22"/>
                <w:szCs w:val="22"/>
              </w:rPr>
              <w:t>et</w:t>
            </w:r>
            <w:r w:rsidRPr="00A73232">
              <w:rPr>
                <w:rFonts w:ascii="Times New Roman" w:hAnsi="Times New Roman" w:cs="Times New Roman"/>
                <w:kern w:val="22"/>
                <w:sz w:val="22"/>
                <w:szCs w:val="22"/>
              </w:rPr>
              <w:t xml:space="preserve"> 23/1,</w:t>
            </w:r>
          </w:p>
        </w:tc>
        <w:tc>
          <w:tcPr>
            <w:tcW w:w="4524" w:type="dxa"/>
          </w:tcPr>
          <w:p w:rsidR="00DB0440" w:rsidRPr="00A73232" w:rsidRDefault="00DB0440" w:rsidP="00162F62">
            <w:pPr>
              <w:spacing w:before="40" w:after="40"/>
              <w:rPr>
                <w:rFonts w:ascii="Times New Roman" w:hAnsi="Times New Roman" w:cs="Times New Roman"/>
                <w:noProof/>
                <w:kern w:val="22"/>
                <w:sz w:val="22"/>
                <w:szCs w:val="22"/>
              </w:rPr>
            </w:pPr>
            <w:r>
              <w:rPr>
                <w:rFonts w:ascii="Times New Roman" w:hAnsi="Times New Roman" w:cs="Times New Roman"/>
                <w:noProof/>
                <w:kern w:val="22"/>
                <w:sz w:val="22"/>
                <w:szCs w:val="22"/>
              </w:rPr>
              <w:t>La CdP s</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est félicitée de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évaluation.</w:t>
            </w:r>
          </w:p>
        </w:tc>
      </w:tr>
      <w:tr w:rsidR="00DB0440" w:rsidRPr="002D6CEA" w:rsidTr="00162F62">
        <w:trPr>
          <w:jc w:val="center"/>
        </w:trPr>
        <w:tc>
          <w:tcPr>
            <w:tcW w:w="2850" w:type="dxa"/>
            <w:vMerge/>
          </w:tcPr>
          <w:p w:rsidR="00DB0440" w:rsidRPr="002D6CEA" w:rsidRDefault="00DB0440"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noProof/>
                <w:snapToGrid w:val="0"/>
                <w:kern w:val="22"/>
                <w:sz w:val="22"/>
                <w:szCs w:val="22"/>
              </w:rPr>
            </w:pPr>
          </w:p>
        </w:tc>
        <w:tc>
          <w:tcPr>
            <w:tcW w:w="1976" w:type="dxa"/>
          </w:tcPr>
          <w:p w:rsidR="00DB0440" w:rsidRPr="002D6CEA" w:rsidRDefault="00DB0440"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rPr>
            </w:pPr>
            <w:r>
              <w:rPr>
                <w:rFonts w:ascii="Times New Roman" w:hAnsi="Times New Roman" w:cs="Times New Roman"/>
                <w:noProof/>
                <w:kern w:val="22"/>
                <w:sz w:val="22"/>
                <w:szCs w:val="22"/>
              </w:rPr>
              <w:t xml:space="preserve">CdP </w:t>
            </w:r>
            <w:r>
              <w:rPr>
                <w:rFonts w:ascii="Times New Roman" w:hAnsi="Times New Roman" w:cs="Times New Roman"/>
                <w:kern w:val="22"/>
                <w:sz w:val="22"/>
                <w:szCs w:val="22"/>
              </w:rPr>
              <w:t>dé</w:t>
            </w:r>
            <w:r w:rsidRPr="00A73232">
              <w:rPr>
                <w:rFonts w:ascii="Times New Roman" w:hAnsi="Times New Roman" w:cs="Times New Roman"/>
                <w:kern w:val="22"/>
                <w:sz w:val="22"/>
                <w:szCs w:val="22"/>
              </w:rPr>
              <w:t>cision</w:t>
            </w:r>
            <w:r>
              <w:rPr>
                <w:rFonts w:ascii="Times New Roman" w:hAnsi="Times New Roman" w:cs="Times New Roman"/>
                <w:kern w:val="22"/>
                <w:sz w:val="22"/>
                <w:szCs w:val="22"/>
              </w:rPr>
              <w:t> </w:t>
            </w:r>
            <w:r w:rsidRPr="00A73232">
              <w:rPr>
                <w:rFonts w:ascii="Times New Roman" w:hAnsi="Times New Roman" w:cs="Times New Roman"/>
                <w:kern w:val="22"/>
                <w:sz w:val="22"/>
                <w:szCs w:val="22"/>
              </w:rPr>
              <w:t xml:space="preserve">14/5 </w:t>
            </w:r>
          </w:p>
        </w:tc>
        <w:tc>
          <w:tcPr>
            <w:tcW w:w="4524" w:type="dxa"/>
          </w:tcPr>
          <w:p w:rsidR="00DB0440" w:rsidRPr="002D6CEA" w:rsidRDefault="00DB0440"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iCs/>
                <w:noProof/>
                <w:snapToGrid w:val="0"/>
                <w:kern w:val="22"/>
                <w:sz w:val="22"/>
                <w:szCs w:val="22"/>
              </w:rPr>
            </w:pPr>
            <w:r>
              <w:rPr>
                <w:rFonts w:ascii="Times New Roman" w:hAnsi="Times New Roman" w:cs="Times New Roman"/>
                <w:iCs/>
                <w:noProof/>
                <w:kern w:val="22"/>
                <w:sz w:val="22"/>
                <w:szCs w:val="22"/>
              </w:rPr>
              <w:t>La CdP s</w:t>
            </w:r>
            <w:r w:rsidR="00E440F3">
              <w:rPr>
                <w:rFonts w:ascii="Times New Roman" w:hAnsi="Times New Roman" w:cs="Times New Roman"/>
                <w:iCs/>
                <w:noProof/>
                <w:kern w:val="22"/>
                <w:sz w:val="22"/>
                <w:szCs w:val="22"/>
              </w:rPr>
              <w:t>’</w:t>
            </w:r>
            <w:r>
              <w:rPr>
                <w:rFonts w:ascii="Times New Roman" w:hAnsi="Times New Roman" w:cs="Times New Roman"/>
                <w:iCs/>
                <w:noProof/>
                <w:kern w:val="22"/>
                <w:sz w:val="22"/>
                <w:szCs w:val="22"/>
              </w:rPr>
              <w:t>est félicité de l</w:t>
            </w:r>
            <w:r w:rsidR="00E440F3">
              <w:rPr>
                <w:rFonts w:ascii="Times New Roman" w:hAnsi="Times New Roman" w:cs="Times New Roman"/>
                <w:iCs/>
                <w:noProof/>
                <w:kern w:val="22"/>
                <w:sz w:val="22"/>
                <w:szCs w:val="22"/>
              </w:rPr>
              <w:t>’</w:t>
            </w:r>
            <w:r>
              <w:rPr>
                <w:rFonts w:ascii="Times New Roman" w:hAnsi="Times New Roman" w:cs="Times New Roman"/>
                <w:iCs/>
                <w:noProof/>
                <w:kern w:val="22"/>
                <w:sz w:val="22"/>
                <w:szCs w:val="22"/>
              </w:rPr>
              <w:t>évaluation, a approuvé les messages clés qui appuient la réalisation des objectifs de développement durable au moyen d</w:t>
            </w:r>
            <w:r w:rsidR="00E440F3">
              <w:rPr>
                <w:rFonts w:ascii="Times New Roman" w:hAnsi="Times New Roman" w:cs="Times New Roman"/>
                <w:iCs/>
                <w:noProof/>
                <w:kern w:val="22"/>
                <w:sz w:val="22"/>
                <w:szCs w:val="22"/>
              </w:rPr>
              <w:t>’</w:t>
            </w:r>
            <w:r>
              <w:rPr>
                <w:rFonts w:ascii="Times New Roman" w:hAnsi="Times New Roman" w:cs="Times New Roman"/>
                <w:iCs/>
                <w:noProof/>
                <w:kern w:val="22"/>
                <w:sz w:val="22"/>
                <w:szCs w:val="22"/>
              </w:rPr>
              <w:t>approches écosystémiques d</w:t>
            </w:r>
            <w:r w:rsidR="00E440F3">
              <w:rPr>
                <w:rFonts w:ascii="Times New Roman" w:hAnsi="Times New Roman" w:cs="Times New Roman"/>
                <w:iCs/>
                <w:noProof/>
                <w:kern w:val="22"/>
                <w:sz w:val="22"/>
                <w:szCs w:val="22"/>
              </w:rPr>
              <w:t>’</w:t>
            </w:r>
            <w:r>
              <w:rPr>
                <w:rFonts w:ascii="Times New Roman" w:hAnsi="Times New Roman" w:cs="Times New Roman"/>
                <w:iCs/>
                <w:noProof/>
                <w:kern w:val="22"/>
                <w:sz w:val="22"/>
                <w:szCs w:val="22"/>
              </w:rPr>
              <w:t>adaptation aux changements climatiques, d</w:t>
            </w:r>
            <w:r w:rsidR="00E440F3">
              <w:rPr>
                <w:rFonts w:ascii="Times New Roman" w:hAnsi="Times New Roman" w:cs="Times New Roman"/>
                <w:iCs/>
                <w:noProof/>
                <w:kern w:val="22"/>
                <w:sz w:val="22"/>
                <w:szCs w:val="22"/>
              </w:rPr>
              <w:t>’</w:t>
            </w:r>
            <w:r>
              <w:rPr>
                <w:rFonts w:ascii="Times New Roman" w:hAnsi="Times New Roman" w:cs="Times New Roman"/>
                <w:iCs/>
                <w:noProof/>
                <w:kern w:val="22"/>
                <w:sz w:val="22"/>
                <w:szCs w:val="22"/>
              </w:rPr>
              <w:t>atténuation de leurs effets, de réduction des risques de catastrophes, et de lutte contre la dégradation des terres.</w:t>
            </w:r>
          </w:p>
        </w:tc>
      </w:tr>
      <w:tr w:rsidR="00DB0440" w:rsidRPr="002D6CEA" w:rsidTr="00162F62">
        <w:trPr>
          <w:jc w:val="center"/>
        </w:trPr>
        <w:tc>
          <w:tcPr>
            <w:tcW w:w="2850" w:type="dxa"/>
          </w:tcPr>
          <w:p w:rsidR="00DB0440" w:rsidRPr="00A73232" w:rsidRDefault="00E60CB8" w:rsidP="00162F62">
            <w:pPr>
              <w:spacing w:before="40" w:after="40"/>
              <w:rPr>
                <w:rFonts w:ascii="Times New Roman" w:hAnsi="Times New Roman" w:cs="Times New Roman"/>
                <w:b/>
                <w:bCs/>
                <w:noProof/>
                <w:kern w:val="22"/>
                <w:sz w:val="22"/>
                <w:szCs w:val="22"/>
              </w:rPr>
            </w:pPr>
            <w:r>
              <w:rPr>
                <w:rFonts w:ascii="Times New Roman" w:hAnsi="Times New Roman" w:cs="Times New Roman"/>
                <w:b/>
                <w:bCs/>
                <w:noProof/>
                <w:kern w:val="22"/>
                <w:sz w:val="22"/>
                <w:szCs w:val="22"/>
              </w:rPr>
              <w:t>Rapports sur l</w:t>
            </w:r>
            <w:r w:rsidR="00DB0440">
              <w:rPr>
                <w:rFonts w:ascii="Times New Roman" w:hAnsi="Times New Roman" w:cs="Times New Roman"/>
                <w:b/>
                <w:bCs/>
                <w:noProof/>
                <w:kern w:val="22"/>
                <w:sz w:val="22"/>
                <w:szCs w:val="22"/>
              </w:rPr>
              <w:t xml:space="preserve">es évaluations régionales </w:t>
            </w:r>
            <w:r>
              <w:rPr>
                <w:rFonts w:ascii="Times New Roman" w:hAnsi="Times New Roman" w:cs="Times New Roman"/>
                <w:b/>
                <w:bCs/>
                <w:noProof/>
                <w:kern w:val="22"/>
                <w:sz w:val="22"/>
                <w:szCs w:val="22"/>
              </w:rPr>
              <w:t>de la biodiversité et d</w:t>
            </w:r>
            <w:r w:rsidR="00DB0440">
              <w:rPr>
                <w:rFonts w:ascii="Times New Roman" w:hAnsi="Times New Roman" w:cs="Times New Roman"/>
                <w:b/>
                <w:bCs/>
                <w:noProof/>
                <w:kern w:val="22"/>
                <w:sz w:val="22"/>
                <w:szCs w:val="22"/>
              </w:rPr>
              <w:t>es services écosystémiques pour les Amériques, l</w:t>
            </w:r>
            <w:r w:rsidR="00E440F3">
              <w:rPr>
                <w:rFonts w:ascii="Times New Roman" w:hAnsi="Times New Roman" w:cs="Times New Roman"/>
                <w:b/>
                <w:bCs/>
                <w:noProof/>
                <w:kern w:val="22"/>
                <w:sz w:val="22"/>
                <w:szCs w:val="22"/>
              </w:rPr>
              <w:t>’</w:t>
            </w:r>
            <w:r w:rsidR="00DB0440">
              <w:rPr>
                <w:rFonts w:ascii="Times New Roman" w:hAnsi="Times New Roman" w:cs="Times New Roman"/>
                <w:b/>
                <w:bCs/>
                <w:noProof/>
                <w:kern w:val="22"/>
                <w:sz w:val="22"/>
                <w:szCs w:val="22"/>
              </w:rPr>
              <w:t>Afrique, l</w:t>
            </w:r>
            <w:r w:rsidR="00E440F3">
              <w:rPr>
                <w:rFonts w:ascii="Times New Roman" w:hAnsi="Times New Roman" w:cs="Times New Roman"/>
                <w:b/>
                <w:bCs/>
                <w:noProof/>
                <w:kern w:val="22"/>
                <w:sz w:val="22"/>
                <w:szCs w:val="22"/>
              </w:rPr>
              <w:t>’</w:t>
            </w:r>
            <w:r w:rsidR="00DB0440">
              <w:rPr>
                <w:rFonts w:ascii="Times New Roman" w:hAnsi="Times New Roman" w:cs="Times New Roman"/>
                <w:b/>
                <w:bCs/>
                <w:noProof/>
                <w:kern w:val="22"/>
                <w:sz w:val="22"/>
                <w:szCs w:val="22"/>
              </w:rPr>
              <w:t>Asie et Pacifique, et l</w:t>
            </w:r>
            <w:r w:rsidR="00E440F3">
              <w:rPr>
                <w:rFonts w:ascii="Times New Roman" w:hAnsi="Times New Roman" w:cs="Times New Roman"/>
                <w:b/>
                <w:bCs/>
                <w:noProof/>
                <w:kern w:val="22"/>
                <w:sz w:val="22"/>
                <w:szCs w:val="22"/>
              </w:rPr>
              <w:t>’</w:t>
            </w:r>
            <w:r w:rsidR="00DB0440">
              <w:rPr>
                <w:rFonts w:ascii="Times New Roman" w:hAnsi="Times New Roman" w:cs="Times New Roman"/>
                <w:b/>
                <w:bCs/>
                <w:noProof/>
                <w:kern w:val="22"/>
                <w:sz w:val="22"/>
                <w:szCs w:val="22"/>
              </w:rPr>
              <w:t>Europe et Asie centrale</w:t>
            </w:r>
          </w:p>
          <w:p w:rsidR="00DB0440" w:rsidRPr="00A73232" w:rsidRDefault="00DB0440" w:rsidP="00162F62">
            <w:pPr>
              <w:spacing w:before="40" w:after="40"/>
              <w:rPr>
                <w:rFonts w:ascii="Times New Roman" w:hAnsi="Times New Roman" w:cs="Times New Roman"/>
                <w:noProof/>
                <w:kern w:val="22"/>
                <w:sz w:val="22"/>
                <w:szCs w:val="22"/>
              </w:rPr>
            </w:pPr>
            <w:r w:rsidRPr="00A73232">
              <w:rPr>
                <w:rFonts w:ascii="Times New Roman" w:hAnsi="Times New Roman" w:cs="Times New Roman"/>
                <w:noProof/>
                <w:kern w:val="22"/>
                <w:sz w:val="22"/>
                <w:szCs w:val="22"/>
              </w:rPr>
              <w:t>Appro</w:t>
            </w:r>
            <w:r>
              <w:rPr>
                <w:rFonts w:ascii="Times New Roman" w:hAnsi="Times New Roman" w:cs="Times New Roman"/>
                <w:noProof/>
                <w:kern w:val="22"/>
                <w:sz w:val="22"/>
                <w:szCs w:val="22"/>
              </w:rPr>
              <w:t xml:space="preserve">uvé à </w:t>
            </w:r>
            <w:r w:rsidRPr="00A73232">
              <w:rPr>
                <w:rFonts w:ascii="Times New Roman" w:hAnsi="Times New Roman" w:cs="Times New Roman"/>
                <w:noProof/>
                <w:kern w:val="22"/>
                <w:sz w:val="22"/>
                <w:szCs w:val="22"/>
              </w:rPr>
              <w:t>IPBES</w:t>
            </w:r>
            <w:r w:rsidR="00E440F3">
              <w:rPr>
                <w:rFonts w:ascii="Times New Roman" w:hAnsi="Times New Roman" w:cs="Times New Roman"/>
                <w:noProof/>
                <w:kern w:val="22"/>
                <w:sz w:val="22"/>
                <w:szCs w:val="22"/>
              </w:rPr>
              <w:noBreakHyphen/>
            </w:r>
            <w:r w:rsidRPr="00A73232">
              <w:rPr>
                <w:rFonts w:ascii="Times New Roman" w:hAnsi="Times New Roman" w:cs="Times New Roman"/>
                <w:noProof/>
                <w:kern w:val="22"/>
                <w:sz w:val="22"/>
                <w:szCs w:val="22"/>
              </w:rPr>
              <w:t>6 (2018)</w:t>
            </w:r>
          </w:p>
          <w:p w:rsidR="00DB0440" w:rsidRPr="00A73232" w:rsidRDefault="00D974A2" w:rsidP="00162F62">
            <w:pPr>
              <w:spacing w:before="40" w:after="40"/>
              <w:rPr>
                <w:rStyle w:val="Hyperlink"/>
                <w:rFonts w:ascii="Times New Roman" w:hAnsi="Times New Roman" w:cs="Times New Roman"/>
                <w:noProof/>
                <w:color w:val="auto"/>
                <w:kern w:val="22"/>
                <w:sz w:val="22"/>
                <w:szCs w:val="22"/>
                <w:u w:val="none"/>
              </w:rPr>
            </w:pPr>
            <w:hyperlink r:id="rId24" w:history="1">
              <w:r w:rsidR="00DB0440" w:rsidRPr="00A73232">
                <w:rPr>
                  <w:rStyle w:val="Hyperlink"/>
                  <w:rFonts w:ascii="Times New Roman" w:hAnsi="Times New Roman" w:cs="Times New Roman"/>
                  <w:noProof/>
                  <w:kern w:val="22"/>
                  <w:sz w:val="22"/>
                  <w:szCs w:val="22"/>
                </w:rPr>
                <w:t>https://ipbes.net/regi</w:t>
              </w:r>
              <w:r w:rsidR="00DB0440" w:rsidRPr="00A73232">
                <w:rPr>
                  <w:rStyle w:val="Hyperlink"/>
                  <w:rFonts w:ascii="Times New Roman" w:hAnsi="Times New Roman" w:cs="Times New Roman"/>
                  <w:noProof/>
                  <w:kern w:val="22"/>
                  <w:sz w:val="22"/>
                  <w:szCs w:val="22"/>
                </w:rPr>
                <w:t>o</w:t>
              </w:r>
              <w:r w:rsidR="00DB0440" w:rsidRPr="00A73232">
                <w:rPr>
                  <w:rStyle w:val="Hyperlink"/>
                  <w:rFonts w:ascii="Times New Roman" w:hAnsi="Times New Roman" w:cs="Times New Roman"/>
                  <w:noProof/>
                  <w:kern w:val="22"/>
                  <w:sz w:val="22"/>
                  <w:szCs w:val="22"/>
                </w:rPr>
                <w:t>nal</w:t>
              </w:r>
              <w:r w:rsidR="00E440F3">
                <w:rPr>
                  <w:rStyle w:val="Hyperlink"/>
                  <w:rFonts w:ascii="Times New Roman" w:hAnsi="Times New Roman" w:cs="Times New Roman"/>
                  <w:noProof/>
                  <w:kern w:val="22"/>
                  <w:sz w:val="22"/>
                  <w:szCs w:val="22"/>
                </w:rPr>
                <w:noBreakHyphen/>
              </w:r>
              <w:r w:rsidR="00DB0440" w:rsidRPr="00A73232">
                <w:rPr>
                  <w:rStyle w:val="Hyperlink"/>
                  <w:rFonts w:ascii="Times New Roman" w:hAnsi="Times New Roman" w:cs="Times New Roman"/>
                  <w:noProof/>
                  <w:kern w:val="22"/>
                  <w:sz w:val="22"/>
                  <w:szCs w:val="22"/>
                </w:rPr>
                <w:t>assessments</w:t>
              </w:r>
            </w:hyperlink>
            <w:r w:rsidR="00DB0440" w:rsidRPr="00A73232">
              <w:rPr>
                <w:rStyle w:val="Hyperlink"/>
                <w:rFonts w:ascii="Times New Roman" w:hAnsi="Times New Roman" w:cs="Times New Roman"/>
                <w:noProof/>
                <w:kern w:val="22"/>
                <w:sz w:val="22"/>
                <w:szCs w:val="22"/>
              </w:rPr>
              <w:t xml:space="preserve"> </w:t>
            </w:r>
          </w:p>
          <w:p w:rsidR="00DB0440" w:rsidRPr="00A73232" w:rsidRDefault="00DB0440" w:rsidP="00162F62">
            <w:pPr>
              <w:spacing w:before="40" w:after="40"/>
              <w:rPr>
                <w:rFonts w:ascii="Times New Roman" w:hAnsi="Times New Roman" w:cs="Times New Roman"/>
                <w:noProof/>
                <w:kern w:val="22"/>
                <w:sz w:val="22"/>
                <w:szCs w:val="22"/>
              </w:rPr>
            </w:pPr>
          </w:p>
        </w:tc>
        <w:tc>
          <w:tcPr>
            <w:tcW w:w="1976" w:type="dxa"/>
          </w:tcPr>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OSASTT rec. </w:t>
            </w:r>
            <w:r w:rsidRPr="00A73232">
              <w:rPr>
                <w:rFonts w:ascii="Times New Roman" w:hAnsi="Times New Roman" w:cs="Times New Roman"/>
                <w:kern w:val="22"/>
                <w:sz w:val="22"/>
                <w:szCs w:val="22"/>
              </w:rPr>
              <w:t>22/4</w:t>
            </w:r>
          </w:p>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noProof/>
                <w:kern w:val="22"/>
                <w:sz w:val="22"/>
                <w:szCs w:val="22"/>
              </w:rPr>
              <w:t xml:space="preserve">CdP </w:t>
            </w:r>
            <w:r>
              <w:rPr>
                <w:rFonts w:ascii="Times New Roman" w:hAnsi="Times New Roman" w:cs="Times New Roman"/>
                <w:kern w:val="22"/>
                <w:sz w:val="22"/>
                <w:szCs w:val="22"/>
              </w:rPr>
              <w:t>dé</w:t>
            </w:r>
            <w:r w:rsidRPr="00A73232">
              <w:rPr>
                <w:rFonts w:ascii="Times New Roman" w:hAnsi="Times New Roman" w:cs="Times New Roman"/>
                <w:kern w:val="22"/>
                <w:sz w:val="22"/>
                <w:szCs w:val="22"/>
              </w:rPr>
              <w:t xml:space="preserve">cisions 14/1 </w:t>
            </w:r>
            <w:r>
              <w:rPr>
                <w:rFonts w:ascii="Times New Roman" w:hAnsi="Times New Roman" w:cs="Times New Roman"/>
                <w:kern w:val="22"/>
                <w:sz w:val="22"/>
                <w:szCs w:val="22"/>
              </w:rPr>
              <w:t>et</w:t>
            </w:r>
            <w:r w:rsidRPr="00A73232">
              <w:rPr>
                <w:rFonts w:ascii="Times New Roman" w:hAnsi="Times New Roman" w:cs="Times New Roman"/>
                <w:kern w:val="22"/>
                <w:sz w:val="22"/>
                <w:szCs w:val="22"/>
              </w:rPr>
              <w:t xml:space="preserve"> 14/34 </w:t>
            </w:r>
          </w:p>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OSASTT rec. 23/1</w:t>
            </w:r>
            <w:r w:rsidRPr="00A73232">
              <w:rPr>
                <w:rFonts w:ascii="Times New Roman" w:hAnsi="Times New Roman" w:cs="Times New Roman"/>
                <w:kern w:val="22"/>
                <w:sz w:val="22"/>
                <w:szCs w:val="22"/>
              </w:rPr>
              <w:t xml:space="preserve"> </w:t>
            </w:r>
          </w:p>
          <w:p w:rsidR="00DB0440" w:rsidRPr="00A73232" w:rsidRDefault="00DB0440" w:rsidP="00162F62">
            <w:pPr>
              <w:spacing w:before="40" w:after="40"/>
              <w:rPr>
                <w:rFonts w:ascii="Times New Roman" w:hAnsi="Times New Roman" w:cs="Times New Roman"/>
                <w:b/>
                <w:bCs/>
                <w:kern w:val="22"/>
                <w:sz w:val="22"/>
                <w:szCs w:val="22"/>
              </w:rPr>
            </w:pPr>
          </w:p>
          <w:p w:rsidR="00DB0440" w:rsidRPr="00A73232" w:rsidRDefault="00DB0440" w:rsidP="00162F62">
            <w:pPr>
              <w:spacing w:before="40" w:after="40"/>
              <w:rPr>
                <w:rFonts w:ascii="Times New Roman" w:hAnsi="Times New Roman" w:cs="Times New Roman"/>
                <w:b/>
                <w:bCs/>
                <w:kern w:val="22"/>
                <w:sz w:val="22"/>
                <w:szCs w:val="22"/>
              </w:rPr>
            </w:pPr>
          </w:p>
        </w:tc>
        <w:tc>
          <w:tcPr>
            <w:tcW w:w="4524" w:type="dxa"/>
          </w:tcPr>
          <w:p w:rsidR="00DB0440" w:rsidRPr="00A73232" w:rsidRDefault="00DB0440" w:rsidP="00162F62">
            <w:pPr>
              <w:spacing w:before="40" w:after="40"/>
              <w:rPr>
                <w:rFonts w:ascii="Times New Roman" w:hAnsi="Times New Roman" w:cs="Times New Roman"/>
                <w:noProof/>
                <w:kern w:val="22"/>
                <w:sz w:val="22"/>
                <w:szCs w:val="22"/>
              </w:rPr>
            </w:pPr>
            <w:r>
              <w:rPr>
                <w:rFonts w:ascii="Times New Roman" w:hAnsi="Times New Roman" w:cs="Times New Roman"/>
                <w:noProof/>
                <w:kern w:val="22"/>
                <w:sz w:val="22"/>
                <w:szCs w:val="22"/>
              </w:rPr>
              <w:t>La CdP s</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est félicitée des évaluations et a préconisé leur emploi lors de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élaboration du cadre mondial de la biodiversité pour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après</w:t>
            </w:r>
            <w:r w:rsidR="00E440F3">
              <w:rPr>
                <w:rFonts w:ascii="Times New Roman" w:hAnsi="Times New Roman" w:cs="Times New Roman"/>
                <w:noProof/>
                <w:kern w:val="22"/>
                <w:sz w:val="22"/>
                <w:szCs w:val="22"/>
              </w:rPr>
              <w:noBreakHyphen/>
            </w:r>
            <w:r>
              <w:rPr>
                <w:rFonts w:ascii="Times New Roman" w:hAnsi="Times New Roman" w:cs="Times New Roman"/>
                <w:noProof/>
                <w:kern w:val="22"/>
                <w:sz w:val="22"/>
                <w:szCs w:val="22"/>
              </w:rPr>
              <w:t>2020.</w:t>
            </w:r>
          </w:p>
        </w:tc>
      </w:tr>
      <w:tr w:rsidR="00DB0440" w:rsidRPr="002D6CEA" w:rsidTr="00162F62">
        <w:trPr>
          <w:jc w:val="center"/>
        </w:trPr>
        <w:tc>
          <w:tcPr>
            <w:tcW w:w="2850" w:type="dxa"/>
          </w:tcPr>
          <w:p w:rsidR="00DB0440" w:rsidRPr="00A73232" w:rsidRDefault="00E60CB8" w:rsidP="00162F62">
            <w:pPr>
              <w:spacing w:before="40" w:after="40"/>
              <w:rPr>
                <w:rFonts w:ascii="Times New Roman" w:hAnsi="Times New Roman" w:cs="Times New Roman"/>
                <w:b/>
                <w:bCs/>
                <w:noProof/>
                <w:kern w:val="22"/>
                <w:sz w:val="22"/>
                <w:szCs w:val="22"/>
              </w:rPr>
            </w:pPr>
            <w:r>
              <w:rPr>
                <w:rFonts w:ascii="Times New Roman" w:hAnsi="Times New Roman" w:cs="Times New Roman"/>
                <w:b/>
                <w:bCs/>
                <w:noProof/>
                <w:kern w:val="22"/>
                <w:sz w:val="22"/>
                <w:szCs w:val="22"/>
              </w:rPr>
              <w:t>Rapport sur</w:t>
            </w:r>
            <w:r w:rsidR="00DB0440">
              <w:rPr>
                <w:rFonts w:ascii="Times New Roman" w:hAnsi="Times New Roman" w:cs="Times New Roman"/>
                <w:b/>
                <w:bCs/>
                <w:noProof/>
                <w:kern w:val="22"/>
                <w:sz w:val="22"/>
                <w:szCs w:val="22"/>
              </w:rPr>
              <w:t xml:space="preserve"> l</w:t>
            </w:r>
            <w:r w:rsidR="00E440F3">
              <w:rPr>
                <w:rFonts w:ascii="Times New Roman" w:hAnsi="Times New Roman" w:cs="Times New Roman"/>
                <w:b/>
                <w:bCs/>
                <w:noProof/>
                <w:kern w:val="22"/>
                <w:sz w:val="22"/>
                <w:szCs w:val="22"/>
              </w:rPr>
              <w:t>’</w:t>
            </w:r>
            <w:r>
              <w:rPr>
                <w:rFonts w:ascii="Times New Roman" w:hAnsi="Times New Roman" w:cs="Times New Roman"/>
                <w:b/>
                <w:bCs/>
                <w:noProof/>
                <w:kern w:val="22"/>
                <w:sz w:val="22"/>
                <w:szCs w:val="22"/>
              </w:rPr>
              <w:t>évaluation mondiale de la biodiversité et d</w:t>
            </w:r>
            <w:r w:rsidR="00DB0440">
              <w:rPr>
                <w:rFonts w:ascii="Times New Roman" w:hAnsi="Times New Roman" w:cs="Times New Roman"/>
                <w:b/>
                <w:bCs/>
                <w:noProof/>
                <w:kern w:val="22"/>
                <w:sz w:val="22"/>
                <w:szCs w:val="22"/>
              </w:rPr>
              <w:t>es services écosystémiques</w:t>
            </w:r>
          </w:p>
          <w:p w:rsidR="00DB0440" w:rsidRPr="00A73232" w:rsidRDefault="00DB0440" w:rsidP="00162F62">
            <w:pPr>
              <w:spacing w:before="40" w:after="40"/>
              <w:rPr>
                <w:rStyle w:val="Hyperlink"/>
                <w:rFonts w:ascii="Times New Roman" w:hAnsi="Times New Roman" w:cs="Times New Roman"/>
                <w:noProof/>
                <w:color w:val="auto"/>
                <w:kern w:val="22"/>
                <w:sz w:val="22"/>
                <w:szCs w:val="22"/>
                <w:u w:val="none"/>
              </w:rPr>
            </w:pPr>
            <w:r w:rsidRPr="00A73232">
              <w:rPr>
                <w:rFonts w:ascii="Times New Roman" w:hAnsi="Times New Roman" w:cs="Times New Roman"/>
                <w:noProof/>
                <w:kern w:val="22"/>
                <w:sz w:val="22"/>
                <w:szCs w:val="22"/>
              </w:rPr>
              <w:t>Appro</w:t>
            </w:r>
            <w:r>
              <w:rPr>
                <w:rFonts w:ascii="Times New Roman" w:hAnsi="Times New Roman" w:cs="Times New Roman"/>
                <w:noProof/>
                <w:kern w:val="22"/>
                <w:sz w:val="22"/>
                <w:szCs w:val="22"/>
              </w:rPr>
              <w:t xml:space="preserve">uvé à </w:t>
            </w:r>
            <w:r w:rsidRPr="00A73232">
              <w:rPr>
                <w:rFonts w:ascii="Times New Roman" w:hAnsi="Times New Roman" w:cs="Times New Roman"/>
                <w:noProof/>
                <w:kern w:val="22"/>
                <w:sz w:val="22"/>
                <w:szCs w:val="22"/>
              </w:rPr>
              <w:t>IPBES</w:t>
            </w:r>
            <w:r w:rsidR="00E440F3">
              <w:rPr>
                <w:rFonts w:ascii="Times New Roman" w:hAnsi="Times New Roman" w:cs="Times New Roman"/>
                <w:noProof/>
                <w:kern w:val="22"/>
                <w:sz w:val="22"/>
                <w:szCs w:val="22"/>
              </w:rPr>
              <w:noBreakHyphen/>
            </w:r>
            <w:r w:rsidRPr="00A73232">
              <w:rPr>
                <w:rFonts w:ascii="Times New Roman" w:hAnsi="Times New Roman" w:cs="Times New Roman"/>
                <w:noProof/>
                <w:kern w:val="22"/>
                <w:sz w:val="22"/>
                <w:szCs w:val="22"/>
              </w:rPr>
              <w:t>7 (2019)</w:t>
            </w:r>
          </w:p>
          <w:p w:rsidR="00DB0440" w:rsidRPr="00A73232" w:rsidRDefault="00D974A2" w:rsidP="00162F62">
            <w:pPr>
              <w:spacing w:before="40" w:after="40"/>
              <w:rPr>
                <w:rFonts w:ascii="Times New Roman" w:hAnsi="Times New Roman" w:cs="Times New Roman"/>
                <w:noProof/>
                <w:kern w:val="22"/>
                <w:sz w:val="22"/>
                <w:szCs w:val="22"/>
              </w:rPr>
            </w:pPr>
            <w:hyperlink r:id="rId25" w:history="1">
              <w:r w:rsidR="00DB0440" w:rsidRPr="00A73232">
                <w:rPr>
                  <w:rStyle w:val="Hyperlink"/>
                  <w:rFonts w:ascii="Times New Roman" w:hAnsi="Times New Roman" w:cs="Times New Roman"/>
                  <w:noProof/>
                  <w:kern w:val="22"/>
                  <w:sz w:val="22"/>
                  <w:szCs w:val="22"/>
                </w:rPr>
                <w:t>https://ipbes.net/global</w:t>
              </w:r>
              <w:r w:rsidR="00E440F3">
                <w:rPr>
                  <w:rStyle w:val="Hyperlink"/>
                  <w:rFonts w:ascii="Times New Roman" w:hAnsi="Times New Roman" w:cs="Times New Roman"/>
                  <w:noProof/>
                  <w:kern w:val="22"/>
                  <w:sz w:val="22"/>
                  <w:szCs w:val="22"/>
                </w:rPr>
                <w:noBreakHyphen/>
              </w:r>
              <w:r w:rsidR="00DB0440" w:rsidRPr="00A73232">
                <w:rPr>
                  <w:rStyle w:val="Hyperlink"/>
                  <w:rFonts w:ascii="Times New Roman" w:hAnsi="Times New Roman" w:cs="Times New Roman"/>
                  <w:noProof/>
                  <w:kern w:val="22"/>
                  <w:sz w:val="22"/>
                  <w:szCs w:val="22"/>
                </w:rPr>
                <w:t>a</w:t>
              </w:r>
              <w:r w:rsidR="00DB0440" w:rsidRPr="00A73232">
                <w:rPr>
                  <w:rStyle w:val="Hyperlink"/>
                  <w:rFonts w:ascii="Times New Roman" w:hAnsi="Times New Roman" w:cs="Times New Roman"/>
                  <w:noProof/>
                  <w:kern w:val="22"/>
                  <w:sz w:val="22"/>
                  <w:szCs w:val="22"/>
                </w:rPr>
                <w:t>ssessment</w:t>
              </w:r>
            </w:hyperlink>
            <w:r w:rsidR="00DB0440" w:rsidRPr="00A73232">
              <w:rPr>
                <w:rFonts w:ascii="Times New Roman" w:hAnsi="Times New Roman" w:cs="Times New Roman"/>
                <w:noProof/>
                <w:kern w:val="22"/>
                <w:sz w:val="22"/>
                <w:szCs w:val="22"/>
              </w:rPr>
              <w:t xml:space="preserve"> </w:t>
            </w:r>
          </w:p>
        </w:tc>
        <w:tc>
          <w:tcPr>
            <w:tcW w:w="1976" w:type="dxa"/>
          </w:tcPr>
          <w:p w:rsidR="00DB0440" w:rsidRPr="00A73232" w:rsidRDefault="00DB0440" w:rsidP="00162F62">
            <w:pPr>
              <w:spacing w:before="40" w:after="40"/>
              <w:rPr>
                <w:rFonts w:ascii="Times New Roman" w:hAnsi="Times New Roman" w:cs="Times New Roman"/>
                <w:kern w:val="22"/>
                <w:sz w:val="22"/>
                <w:szCs w:val="22"/>
              </w:rPr>
            </w:pPr>
            <w:r>
              <w:rPr>
                <w:rFonts w:ascii="Times New Roman" w:hAnsi="Times New Roman" w:cs="Times New Roman"/>
                <w:kern w:val="22"/>
                <w:sz w:val="22"/>
                <w:szCs w:val="22"/>
              </w:rPr>
              <w:t>OSASTT rec. </w:t>
            </w:r>
            <w:r w:rsidRPr="00A73232">
              <w:rPr>
                <w:rFonts w:ascii="Times New Roman" w:hAnsi="Times New Roman" w:cs="Times New Roman"/>
                <w:kern w:val="22"/>
                <w:sz w:val="22"/>
                <w:szCs w:val="22"/>
              </w:rPr>
              <w:t>23/1</w:t>
            </w:r>
          </w:p>
        </w:tc>
        <w:tc>
          <w:tcPr>
            <w:tcW w:w="4524" w:type="dxa"/>
          </w:tcPr>
          <w:p w:rsidR="00DB0440" w:rsidRPr="00A73232" w:rsidRDefault="00DB0440" w:rsidP="00E60CB8">
            <w:pPr>
              <w:spacing w:before="40" w:after="40"/>
              <w:rPr>
                <w:rFonts w:ascii="Times New Roman" w:hAnsi="Times New Roman" w:cs="Times New Roman"/>
                <w:noProof/>
                <w:kern w:val="22"/>
                <w:sz w:val="22"/>
                <w:szCs w:val="22"/>
              </w:rPr>
            </w:pPr>
            <w:r>
              <w:rPr>
                <w:rFonts w:ascii="Times New Roman" w:hAnsi="Times New Roman" w:cs="Times New Roman"/>
                <w:noProof/>
                <w:kern w:val="22"/>
                <w:sz w:val="22"/>
                <w:szCs w:val="22"/>
              </w:rPr>
              <w:t>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OSASTT s</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 xml:space="preserve">est félicité du rapport </w:t>
            </w:r>
            <w:r w:rsidR="00E60CB8">
              <w:rPr>
                <w:rFonts w:ascii="Times New Roman" w:hAnsi="Times New Roman" w:cs="Times New Roman"/>
                <w:noProof/>
                <w:kern w:val="22"/>
                <w:sz w:val="22"/>
                <w:szCs w:val="22"/>
              </w:rPr>
              <w:t>sur</w:t>
            </w:r>
            <w:r>
              <w:rPr>
                <w:rFonts w:ascii="Times New Roman" w:hAnsi="Times New Roman" w:cs="Times New Roman"/>
                <w:noProof/>
                <w:kern w:val="22"/>
                <w:sz w:val="22"/>
                <w:szCs w:val="22"/>
              </w:rPr>
              <w:t xml:space="preserv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évaluation mondiale et a pris note des informations présentées dans la note de la Secrétaire exécutive, qui comprenaient un aperçu des conclusions de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 xml:space="preserve">évaluation mondiale et des incidences sur les travaux de la Convention, préparée par la Secrétaire exécutive; a demandé aux </w:t>
            </w:r>
            <w:r>
              <w:rPr>
                <w:rFonts w:ascii="Times New Roman" w:hAnsi="Times New Roman" w:cs="Times New Roman"/>
                <w:noProof/>
                <w:kern w:val="22"/>
                <w:sz w:val="22"/>
                <w:szCs w:val="22"/>
              </w:rPr>
              <w:lastRenderedPageBreak/>
              <w:t>coprésidents du groupe de travail à composition non limitée sur le cadre mondial de la biodiversité pour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après</w:t>
            </w:r>
            <w:r w:rsidR="00E440F3">
              <w:rPr>
                <w:rFonts w:ascii="Times New Roman" w:hAnsi="Times New Roman" w:cs="Times New Roman"/>
                <w:noProof/>
                <w:kern w:val="22"/>
                <w:sz w:val="22"/>
                <w:szCs w:val="22"/>
              </w:rPr>
              <w:noBreakHyphen/>
            </w:r>
            <w:r>
              <w:rPr>
                <w:rFonts w:ascii="Times New Roman" w:hAnsi="Times New Roman" w:cs="Times New Roman"/>
                <w:noProof/>
                <w:kern w:val="22"/>
                <w:sz w:val="22"/>
                <w:szCs w:val="22"/>
              </w:rPr>
              <w:t>2020 d</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examiner les conclusions de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évaluation mondiale lors de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élaboration de la documentation pour la deuxième réunion du groupe de travail; et a invité le groupe de travail à composition non limitée sur le cadre mondial de la biodiversité pour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après</w:t>
            </w:r>
            <w:r w:rsidR="00E440F3">
              <w:rPr>
                <w:rFonts w:ascii="Times New Roman" w:hAnsi="Times New Roman" w:cs="Times New Roman"/>
                <w:noProof/>
                <w:kern w:val="22"/>
                <w:sz w:val="22"/>
                <w:szCs w:val="22"/>
              </w:rPr>
              <w:noBreakHyphen/>
            </w:r>
            <w:r w:rsidR="00E60CB8">
              <w:rPr>
                <w:rFonts w:ascii="Times New Roman" w:hAnsi="Times New Roman" w:cs="Times New Roman"/>
                <w:noProof/>
                <w:kern w:val="22"/>
                <w:sz w:val="22"/>
                <w:szCs w:val="22"/>
              </w:rPr>
              <w:t xml:space="preserve">2020 à </w:t>
            </w:r>
            <w:r>
              <w:rPr>
                <w:rFonts w:ascii="Times New Roman" w:hAnsi="Times New Roman" w:cs="Times New Roman"/>
                <w:noProof/>
                <w:kern w:val="22"/>
                <w:sz w:val="22"/>
                <w:szCs w:val="22"/>
              </w:rPr>
              <w:t>examiner les conclusions de l</w:t>
            </w:r>
            <w:r w:rsidR="00E440F3">
              <w:rPr>
                <w:rFonts w:ascii="Times New Roman" w:hAnsi="Times New Roman" w:cs="Times New Roman"/>
                <w:noProof/>
                <w:kern w:val="22"/>
                <w:sz w:val="22"/>
                <w:szCs w:val="22"/>
              </w:rPr>
              <w:t>’</w:t>
            </w:r>
            <w:r>
              <w:rPr>
                <w:rFonts w:ascii="Times New Roman" w:hAnsi="Times New Roman" w:cs="Times New Roman"/>
                <w:noProof/>
                <w:kern w:val="22"/>
                <w:sz w:val="22"/>
                <w:szCs w:val="22"/>
              </w:rPr>
              <w:t>évaluation mondiale lors de ses délibérations.</w:t>
            </w:r>
          </w:p>
        </w:tc>
      </w:tr>
    </w:tbl>
    <w:p w:rsidR="00E1124B" w:rsidRPr="002D6CEA" w:rsidRDefault="00E1124B" w:rsidP="00766960">
      <w:pPr>
        <w:suppressLineNumbers/>
        <w:suppressAutoHyphens/>
        <w:kinsoku w:val="0"/>
        <w:overflowPunct w:val="0"/>
        <w:autoSpaceDE w:val="0"/>
        <w:autoSpaceDN w:val="0"/>
        <w:adjustRightInd w:val="0"/>
        <w:snapToGrid w:val="0"/>
        <w:spacing w:line="235" w:lineRule="auto"/>
        <w:jc w:val="both"/>
        <w:rPr>
          <w:bCs/>
          <w:iCs/>
          <w:snapToGrid w:val="0"/>
          <w:kern w:val="22"/>
          <w:sz w:val="22"/>
          <w:szCs w:val="22"/>
          <w:lang w:val="fr-CA"/>
        </w:rPr>
      </w:pPr>
    </w:p>
    <w:p w:rsidR="002E46E7" w:rsidRPr="002D6CEA" w:rsidRDefault="00593094"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2D6CEA">
        <w:rPr>
          <w:bCs/>
          <w:iCs/>
          <w:snapToGrid w:val="0"/>
          <w:kern w:val="22"/>
          <w:sz w:val="22"/>
          <w:szCs w:val="22"/>
          <w:lang w:val="fr-CA"/>
        </w:rPr>
        <w:t>La Conférence des Parties a également encouragé le recours aux rapports d</w:t>
      </w:r>
      <w:r w:rsidR="00E440F3">
        <w:rPr>
          <w:bCs/>
          <w:iCs/>
          <w:snapToGrid w:val="0"/>
          <w:kern w:val="22"/>
          <w:sz w:val="22"/>
          <w:szCs w:val="22"/>
          <w:lang w:val="fr-CA"/>
        </w:rPr>
        <w:t>’</w:t>
      </w:r>
      <w:r w:rsidRPr="002D6CEA">
        <w:rPr>
          <w:bCs/>
          <w:iCs/>
          <w:snapToGrid w:val="0"/>
          <w:kern w:val="22"/>
          <w:sz w:val="22"/>
          <w:szCs w:val="22"/>
          <w:lang w:val="fr-CA"/>
        </w:rPr>
        <w:t>évaluation au niveau national et invité les gouvernements et les organisations concernées à renforcer les capacités des correspondants nationaux pour la Convention et des décideurs, afin qu</w:t>
      </w:r>
      <w:r w:rsidR="00E440F3">
        <w:rPr>
          <w:bCs/>
          <w:iCs/>
          <w:snapToGrid w:val="0"/>
          <w:kern w:val="22"/>
          <w:sz w:val="22"/>
          <w:szCs w:val="22"/>
          <w:lang w:val="fr-CA"/>
        </w:rPr>
        <w:t>’</w:t>
      </w:r>
      <w:r w:rsidRPr="002D6CEA">
        <w:rPr>
          <w:bCs/>
          <w:iCs/>
          <w:snapToGrid w:val="0"/>
          <w:kern w:val="22"/>
          <w:sz w:val="22"/>
          <w:szCs w:val="22"/>
          <w:lang w:val="fr-CA"/>
        </w:rPr>
        <w:t>ils puissent utiliser efficacement les conclusions clés des évaluations. Dans ce contexte, le Centre mondial de surveillance pour la conservation du Programme des Nations Unies pour l</w:t>
      </w:r>
      <w:r w:rsidR="00E440F3">
        <w:rPr>
          <w:bCs/>
          <w:iCs/>
          <w:snapToGrid w:val="0"/>
          <w:kern w:val="22"/>
          <w:sz w:val="22"/>
          <w:szCs w:val="22"/>
          <w:lang w:val="fr-CA"/>
        </w:rPr>
        <w:t>’</w:t>
      </w:r>
      <w:r w:rsidRPr="002D6CEA">
        <w:rPr>
          <w:bCs/>
          <w:iCs/>
          <w:snapToGrid w:val="0"/>
          <w:kern w:val="22"/>
          <w:sz w:val="22"/>
          <w:szCs w:val="22"/>
          <w:lang w:val="fr-CA"/>
        </w:rPr>
        <w:t>environnement (WCMC</w:t>
      </w:r>
      <w:r w:rsidR="00E440F3">
        <w:rPr>
          <w:bCs/>
          <w:iCs/>
          <w:snapToGrid w:val="0"/>
          <w:kern w:val="22"/>
          <w:sz w:val="22"/>
          <w:szCs w:val="22"/>
          <w:lang w:val="fr-CA"/>
        </w:rPr>
        <w:noBreakHyphen/>
      </w:r>
      <w:r w:rsidRPr="002D6CEA">
        <w:rPr>
          <w:bCs/>
          <w:iCs/>
          <w:snapToGrid w:val="0"/>
          <w:kern w:val="22"/>
          <w:sz w:val="22"/>
          <w:szCs w:val="22"/>
          <w:lang w:val="fr-CA"/>
        </w:rPr>
        <w:t>PNUE) appuie actuellement douze pays afin qu</w:t>
      </w:r>
      <w:r w:rsidR="00E440F3">
        <w:rPr>
          <w:bCs/>
          <w:iCs/>
          <w:snapToGrid w:val="0"/>
          <w:kern w:val="22"/>
          <w:sz w:val="22"/>
          <w:szCs w:val="22"/>
          <w:lang w:val="fr-CA"/>
        </w:rPr>
        <w:t>’</w:t>
      </w:r>
      <w:r w:rsidRPr="002D6CEA">
        <w:rPr>
          <w:bCs/>
          <w:iCs/>
          <w:snapToGrid w:val="0"/>
          <w:kern w:val="22"/>
          <w:sz w:val="22"/>
          <w:szCs w:val="22"/>
          <w:lang w:val="fr-CA"/>
        </w:rPr>
        <w:t>ils entreprennent des évaluations nationales de leurs écosystèmes et élaborent des plateformes scientifiques et politiques nationales (voir annexe).</w:t>
      </w:r>
    </w:p>
    <w:p w:rsidR="00727964" w:rsidRPr="002D6CEA" w:rsidRDefault="00593094"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2D6CEA">
        <w:rPr>
          <w:bCs/>
          <w:iCs/>
          <w:snapToGrid w:val="0"/>
          <w:kern w:val="22"/>
          <w:sz w:val="22"/>
          <w:szCs w:val="22"/>
          <w:lang w:val="fr-CA"/>
        </w:rPr>
        <w:t>Les secrétariats de l</w:t>
      </w:r>
      <w:r w:rsidR="00E440F3">
        <w:rPr>
          <w:bCs/>
          <w:iCs/>
          <w:snapToGrid w:val="0"/>
          <w:kern w:val="22"/>
          <w:sz w:val="22"/>
          <w:szCs w:val="22"/>
          <w:lang w:val="fr-CA"/>
        </w:rPr>
        <w:t>’</w:t>
      </w:r>
      <w:r w:rsidRPr="002D6CEA">
        <w:rPr>
          <w:bCs/>
          <w:iCs/>
          <w:snapToGrid w:val="0"/>
          <w:kern w:val="22"/>
          <w:sz w:val="22"/>
          <w:szCs w:val="22"/>
          <w:lang w:val="fr-CA"/>
        </w:rPr>
        <w:t>IPBES et de la Convention ont également collaboré à des fonctions de la Plateforme autres que la production d</w:t>
      </w:r>
      <w:r w:rsidR="00E440F3">
        <w:rPr>
          <w:bCs/>
          <w:iCs/>
          <w:snapToGrid w:val="0"/>
          <w:kern w:val="22"/>
          <w:sz w:val="22"/>
          <w:szCs w:val="22"/>
          <w:lang w:val="fr-CA"/>
        </w:rPr>
        <w:t>’</w:t>
      </w:r>
      <w:r w:rsidRPr="002D6CEA">
        <w:rPr>
          <w:bCs/>
          <w:iCs/>
          <w:snapToGrid w:val="0"/>
          <w:kern w:val="22"/>
          <w:sz w:val="22"/>
          <w:szCs w:val="22"/>
          <w:lang w:val="fr-CA"/>
        </w:rPr>
        <w:t>évaluations. Par exemple, les deux secrétariats ont ensemble appuyé l</w:t>
      </w:r>
      <w:r w:rsidR="00E440F3">
        <w:rPr>
          <w:bCs/>
          <w:iCs/>
          <w:snapToGrid w:val="0"/>
          <w:kern w:val="22"/>
          <w:sz w:val="22"/>
          <w:szCs w:val="22"/>
          <w:lang w:val="fr-CA"/>
        </w:rPr>
        <w:t>’</w:t>
      </w:r>
      <w:r w:rsidRPr="002D6CEA">
        <w:rPr>
          <w:bCs/>
          <w:iCs/>
          <w:snapToGrid w:val="0"/>
          <w:kern w:val="22"/>
          <w:sz w:val="22"/>
          <w:szCs w:val="22"/>
          <w:lang w:val="fr-CA"/>
        </w:rPr>
        <w:t>organisation de dialogues avec des représentants de peuples autochtones et de communautés locales pour fournir des apports au bilan mondial et à l</w:t>
      </w:r>
      <w:r w:rsidR="00E440F3">
        <w:rPr>
          <w:bCs/>
          <w:iCs/>
          <w:snapToGrid w:val="0"/>
          <w:kern w:val="22"/>
          <w:sz w:val="22"/>
          <w:szCs w:val="22"/>
          <w:lang w:val="fr-CA"/>
        </w:rPr>
        <w:t>’</w:t>
      </w:r>
      <w:r w:rsidRPr="002D6CEA">
        <w:rPr>
          <w:bCs/>
          <w:iCs/>
          <w:snapToGrid w:val="0"/>
          <w:kern w:val="22"/>
          <w:sz w:val="22"/>
          <w:szCs w:val="22"/>
          <w:lang w:val="fr-CA"/>
        </w:rPr>
        <w:t>évaluation sur les espèces exotiques envahissantes, et pour faciliter la participation de l</w:t>
      </w:r>
      <w:r w:rsidR="00E440F3">
        <w:rPr>
          <w:bCs/>
          <w:iCs/>
          <w:snapToGrid w:val="0"/>
          <w:kern w:val="22"/>
          <w:sz w:val="22"/>
          <w:szCs w:val="22"/>
          <w:lang w:val="fr-CA"/>
        </w:rPr>
        <w:t>’</w:t>
      </w:r>
      <w:r w:rsidRPr="002D6CEA">
        <w:rPr>
          <w:bCs/>
          <w:iCs/>
          <w:snapToGrid w:val="0"/>
          <w:kern w:val="22"/>
          <w:sz w:val="22"/>
          <w:szCs w:val="22"/>
          <w:lang w:val="fr-CA"/>
        </w:rPr>
        <w:t>équipe spéciale de l</w:t>
      </w:r>
      <w:r w:rsidR="00E440F3">
        <w:rPr>
          <w:bCs/>
          <w:iCs/>
          <w:snapToGrid w:val="0"/>
          <w:kern w:val="22"/>
          <w:sz w:val="22"/>
          <w:szCs w:val="22"/>
          <w:lang w:val="fr-CA"/>
        </w:rPr>
        <w:t>’</w:t>
      </w:r>
      <w:r w:rsidRPr="002D6CEA">
        <w:rPr>
          <w:bCs/>
          <w:iCs/>
          <w:snapToGrid w:val="0"/>
          <w:kern w:val="22"/>
          <w:sz w:val="22"/>
          <w:szCs w:val="22"/>
          <w:lang w:val="fr-CA"/>
        </w:rPr>
        <w:t>IPBES sur les savoirs et les données au Partenariat relatif aux indicateurs de biodiversité</w:t>
      </w:r>
      <w:r w:rsidRPr="002D6CEA">
        <w:rPr>
          <w:rStyle w:val="preferred"/>
          <w:lang w:val="fr-CA"/>
        </w:rPr>
        <w:t>.</w:t>
      </w:r>
      <w:r w:rsidRPr="002D6CEA">
        <w:rPr>
          <w:bCs/>
          <w:iCs/>
          <w:snapToGrid w:val="0"/>
          <w:kern w:val="22"/>
          <w:sz w:val="22"/>
          <w:szCs w:val="22"/>
          <w:lang w:val="fr-CA"/>
        </w:rPr>
        <w:t xml:space="preserve"> En outre, les deux secrétariats ont encouragé la participation des auteurs des rapports de la Plateforme et de ses autres experts aux réunions pertinentes au titre de la Convention, y compris aux consultations régionales et thématiques organisées à l</w:t>
      </w:r>
      <w:r w:rsidR="00E440F3">
        <w:rPr>
          <w:bCs/>
          <w:iCs/>
          <w:snapToGrid w:val="0"/>
          <w:kern w:val="22"/>
          <w:sz w:val="22"/>
          <w:szCs w:val="22"/>
          <w:lang w:val="fr-CA"/>
        </w:rPr>
        <w:t>’</w:t>
      </w:r>
      <w:r w:rsidRPr="002D6CEA">
        <w:rPr>
          <w:bCs/>
          <w:iCs/>
          <w:snapToGrid w:val="0"/>
          <w:kern w:val="22"/>
          <w:sz w:val="22"/>
          <w:szCs w:val="22"/>
          <w:lang w:val="fr-CA"/>
        </w:rPr>
        <w:t>appui de l</w:t>
      </w:r>
      <w:r w:rsidR="00E440F3">
        <w:rPr>
          <w:bCs/>
          <w:iCs/>
          <w:snapToGrid w:val="0"/>
          <w:kern w:val="22"/>
          <w:sz w:val="22"/>
          <w:szCs w:val="22"/>
          <w:lang w:val="fr-CA"/>
        </w:rPr>
        <w:t>’</w:t>
      </w:r>
      <w:r w:rsidRPr="002D6CEA">
        <w:rPr>
          <w:bCs/>
          <w:iCs/>
          <w:snapToGrid w:val="0"/>
          <w:kern w:val="22"/>
          <w:sz w:val="22"/>
          <w:szCs w:val="22"/>
          <w:lang w:val="fr-CA"/>
        </w:rPr>
        <w:t>élaboration du cadre mondial de la biodiversité pour l</w:t>
      </w:r>
      <w:r w:rsidR="00E440F3">
        <w:rPr>
          <w:bCs/>
          <w:iCs/>
          <w:snapToGrid w:val="0"/>
          <w:kern w:val="22"/>
          <w:sz w:val="22"/>
          <w:szCs w:val="22"/>
          <w:lang w:val="fr-CA"/>
        </w:rPr>
        <w:t>’</w:t>
      </w:r>
      <w:r w:rsidRPr="002D6CEA">
        <w:rPr>
          <w:bCs/>
          <w:iCs/>
          <w:snapToGrid w:val="0"/>
          <w:kern w:val="22"/>
          <w:sz w:val="22"/>
          <w:szCs w:val="22"/>
          <w:lang w:val="fr-CA"/>
        </w:rPr>
        <w:t>après</w:t>
      </w:r>
      <w:r w:rsidR="00E440F3">
        <w:rPr>
          <w:bCs/>
          <w:iCs/>
          <w:snapToGrid w:val="0"/>
          <w:kern w:val="22"/>
          <w:sz w:val="22"/>
          <w:szCs w:val="22"/>
          <w:lang w:val="fr-CA"/>
        </w:rPr>
        <w:noBreakHyphen/>
      </w:r>
      <w:r w:rsidRPr="002D6CEA">
        <w:rPr>
          <w:bCs/>
          <w:iCs/>
          <w:snapToGrid w:val="0"/>
          <w:kern w:val="22"/>
          <w:sz w:val="22"/>
          <w:szCs w:val="22"/>
          <w:lang w:val="fr-CA"/>
        </w:rPr>
        <w:t>2020</w:t>
      </w:r>
      <w:r w:rsidR="00DB148C" w:rsidRPr="002D6CEA">
        <w:rPr>
          <w:bCs/>
          <w:iCs/>
          <w:snapToGrid w:val="0"/>
          <w:kern w:val="22"/>
          <w:sz w:val="22"/>
          <w:szCs w:val="22"/>
          <w:lang w:val="fr-CA"/>
        </w:rPr>
        <w:t>.</w:t>
      </w:r>
    </w:p>
    <w:p w:rsidR="00615702" w:rsidRPr="002D6CEA" w:rsidRDefault="00593094"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2D6CEA">
        <w:rPr>
          <w:bCs/>
          <w:iCs/>
          <w:snapToGrid w:val="0"/>
          <w:kern w:val="22"/>
          <w:sz w:val="22"/>
          <w:szCs w:val="22"/>
          <w:lang w:val="fr-CA"/>
        </w:rPr>
        <w:t>Un examen indépendant de la Plateforme a récemment été entrepris suivant la conclusion de son premier programme de travail. Le rapport du comité d</w:t>
      </w:r>
      <w:r w:rsidR="00E440F3">
        <w:rPr>
          <w:bCs/>
          <w:iCs/>
          <w:snapToGrid w:val="0"/>
          <w:kern w:val="22"/>
          <w:sz w:val="22"/>
          <w:szCs w:val="22"/>
          <w:lang w:val="fr-CA"/>
        </w:rPr>
        <w:t>’</w:t>
      </w:r>
      <w:r w:rsidRPr="002D6CEA">
        <w:rPr>
          <w:bCs/>
          <w:iCs/>
          <w:snapToGrid w:val="0"/>
          <w:kern w:val="22"/>
          <w:sz w:val="22"/>
          <w:szCs w:val="22"/>
          <w:lang w:val="fr-CA"/>
        </w:rPr>
        <w:t>examen s</w:t>
      </w:r>
      <w:r w:rsidR="00E440F3">
        <w:rPr>
          <w:bCs/>
          <w:iCs/>
          <w:snapToGrid w:val="0"/>
          <w:kern w:val="22"/>
          <w:sz w:val="22"/>
          <w:szCs w:val="22"/>
          <w:lang w:val="fr-CA"/>
        </w:rPr>
        <w:t>’</w:t>
      </w:r>
      <w:r w:rsidRPr="002D6CEA">
        <w:rPr>
          <w:bCs/>
          <w:iCs/>
          <w:snapToGrid w:val="0"/>
          <w:kern w:val="22"/>
          <w:sz w:val="22"/>
          <w:szCs w:val="22"/>
          <w:lang w:val="fr-CA"/>
        </w:rPr>
        <w:t>est révélé très positif pour ce qui est de la mise en œuvre du programme de travail de la Plateforme. Cependant, le comité a identifié six domaines primordiaux qui requièrent l</w:t>
      </w:r>
      <w:r w:rsidR="00E440F3">
        <w:rPr>
          <w:bCs/>
          <w:iCs/>
          <w:snapToGrid w:val="0"/>
          <w:kern w:val="22"/>
          <w:sz w:val="22"/>
          <w:szCs w:val="22"/>
          <w:lang w:val="fr-CA"/>
        </w:rPr>
        <w:t>’</w:t>
      </w:r>
      <w:r w:rsidRPr="002D6CEA">
        <w:rPr>
          <w:bCs/>
          <w:iCs/>
          <w:snapToGrid w:val="0"/>
          <w:kern w:val="22"/>
          <w:sz w:val="22"/>
          <w:szCs w:val="22"/>
          <w:lang w:val="fr-CA"/>
        </w:rPr>
        <w:t>attention des membres, des dirigeants, des partenaires et des parties prenantes de la Plateforme. À sa septième réunion en 2019, la Plénière de l</w:t>
      </w:r>
      <w:r w:rsidR="00E440F3">
        <w:rPr>
          <w:bCs/>
          <w:iCs/>
          <w:snapToGrid w:val="0"/>
          <w:kern w:val="22"/>
          <w:sz w:val="22"/>
          <w:szCs w:val="22"/>
          <w:lang w:val="fr-CA"/>
        </w:rPr>
        <w:t>’</w:t>
      </w:r>
      <w:r w:rsidRPr="002D6CEA">
        <w:rPr>
          <w:bCs/>
          <w:iCs/>
          <w:snapToGrid w:val="0"/>
          <w:kern w:val="22"/>
          <w:sz w:val="22"/>
          <w:szCs w:val="22"/>
          <w:lang w:val="fr-CA"/>
        </w:rPr>
        <w:t>IPBES s</w:t>
      </w:r>
      <w:r w:rsidR="00E440F3">
        <w:rPr>
          <w:bCs/>
          <w:iCs/>
          <w:snapToGrid w:val="0"/>
          <w:kern w:val="22"/>
          <w:sz w:val="22"/>
          <w:szCs w:val="22"/>
          <w:lang w:val="fr-CA"/>
        </w:rPr>
        <w:t>’</w:t>
      </w:r>
      <w:r w:rsidRPr="002D6CEA">
        <w:rPr>
          <w:bCs/>
          <w:iCs/>
          <w:snapToGrid w:val="0"/>
          <w:kern w:val="22"/>
          <w:sz w:val="22"/>
          <w:szCs w:val="22"/>
          <w:lang w:val="fr-CA"/>
        </w:rPr>
        <w:t>est félicitée du rapport sur l</w:t>
      </w:r>
      <w:r w:rsidR="00E440F3">
        <w:rPr>
          <w:bCs/>
          <w:iCs/>
          <w:snapToGrid w:val="0"/>
          <w:kern w:val="22"/>
          <w:sz w:val="22"/>
          <w:szCs w:val="22"/>
          <w:lang w:val="fr-CA"/>
        </w:rPr>
        <w:t>’</w:t>
      </w:r>
      <w:r w:rsidRPr="002D6CEA">
        <w:rPr>
          <w:bCs/>
          <w:iCs/>
          <w:snapToGrid w:val="0"/>
          <w:kern w:val="22"/>
          <w:sz w:val="22"/>
          <w:szCs w:val="22"/>
          <w:lang w:val="fr-CA"/>
        </w:rPr>
        <w:t>examen de la Plateforme.</w:t>
      </w:r>
      <w:r w:rsidRPr="002D6CEA">
        <w:rPr>
          <w:bCs/>
          <w:iCs/>
          <w:snapToGrid w:val="0"/>
          <w:kern w:val="22"/>
          <w:sz w:val="22"/>
          <w:szCs w:val="22"/>
          <w:vertAlign w:val="superscript"/>
          <w:lang w:val="fr-CA"/>
        </w:rPr>
        <w:footnoteReference w:id="3"/>
      </w:r>
      <w:r w:rsidRPr="002D6CEA">
        <w:rPr>
          <w:bCs/>
          <w:iCs/>
          <w:snapToGrid w:val="0"/>
          <w:kern w:val="22"/>
          <w:sz w:val="22"/>
          <w:szCs w:val="22"/>
          <w:lang w:val="fr-CA"/>
        </w:rPr>
        <w:t xml:space="preserve"> S</w:t>
      </w:r>
      <w:r w:rsidR="00E440F3">
        <w:rPr>
          <w:bCs/>
          <w:iCs/>
          <w:snapToGrid w:val="0"/>
          <w:kern w:val="22"/>
          <w:sz w:val="22"/>
          <w:szCs w:val="22"/>
          <w:lang w:val="fr-CA"/>
        </w:rPr>
        <w:t>’</w:t>
      </w:r>
      <w:r w:rsidRPr="002D6CEA">
        <w:rPr>
          <w:bCs/>
          <w:iCs/>
          <w:snapToGrid w:val="0"/>
          <w:kern w:val="22"/>
          <w:sz w:val="22"/>
          <w:szCs w:val="22"/>
          <w:lang w:val="fr-CA"/>
        </w:rPr>
        <w:t>agissant de l</w:t>
      </w:r>
      <w:r w:rsidR="00E440F3">
        <w:rPr>
          <w:bCs/>
          <w:iCs/>
          <w:snapToGrid w:val="0"/>
          <w:kern w:val="22"/>
          <w:sz w:val="22"/>
          <w:szCs w:val="22"/>
          <w:lang w:val="fr-CA"/>
        </w:rPr>
        <w:t>’</w:t>
      </w:r>
      <w:r w:rsidRPr="002D6CEA">
        <w:rPr>
          <w:bCs/>
          <w:iCs/>
          <w:snapToGrid w:val="0"/>
          <w:kern w:val="22"/>
          <w:sz w:val="22"/>
          <w:szCs w:val="22"/>
          <w:lang w:val="fr-CA"/>
        </w:rPr>
        <w:t>engagement de l</w:t>
      </w:r>
      <w:r w:rsidR="00E440F3">
        <w:rPr>
          <w:bCs/>
          <w:iCs/>
          <w:snapToGrid w:val="0"/>
          <w:kern w:val="22"/>
          <w:sz w:val="22"/>
          <w:szCs w:val="22"/>
          <w:lang w:val="fr-CA"/>
        </w:rPr>
        <w:t>’</w:t>
      </w:r>
      <w:r w:rsidRPr="002D6CEA">
        <w:rPr>
          <w:bCs/>
          <w:iCs/>
          <w:snapToGrid w:val="0"/>
          <w:kern w:val="22"/>
          <w:sz w:val="22"/>
          <w:szCs w:val="22"/>
          <w:lang w:val="fr-CA"/>
        </w:rPr>
        <w:t>IPBES avec les conventions relatives à la biodiversité, le rapport intégral prend note de ce qui suit :</w:t>
      </w:r>
    </w:p>
    <w:p w:rsidR="00AF7872" w:rsidRPr="002D6CEA" w:rsidRDefault="00807D1D" w:rsidP="00766960">
      <w:pPr>
        <w:suppressLineNumbers/>
        <w:suppressAutoHyphens/>
        <w:kinsoku w:val="0"/>
        <w:overflowPunct w:val="0"/>
        <w:autoSpaceDE w:val="0"/>
        <w:autoSpaceDN w:val="0"/>
        <w:adjustRightInd w:val="0"/>
        <w:snapToGrid w:val="0"/>
        <w:spacing w:before="120" w:after="120" w:line="235" w:lineRule="auto"/>
        <w:ind w:left="567"/>
        <w:jc w:val="both"/>
        <w:rPr>
          <w:bCs/>
          <w:iCs/>
          <w:snapToGrid w:val="0"/>
          <w:kern w:val="22"/>
          <w:sz w:val="22"/>
          <w:szCs w:val="22"/>
          <w:lang w:val="fr-CA"/>
        </w:rPr>
      </w:pPr>
      <w:r w:rsidRPr="002D6CEA">
        <w:rPr>
          <w:bCs/>
          <w:iCs/>
          <w:snapToGrid w:val="0"/>
          <w:kern w:val="22"/>
          <w:sz w:val="22"/>
          <w:szCs w:val="22"/>
          <w:lang w:val="fr-CA"/>
        </w:rPr>
        <w:lastRenderedPageBreak/>
        <w:t>« La collaboration avec la Convention sur la diversité biologique est bien établie et les deux côtés en perçoivent la valeur. La grande majorité des répondants à notre sondage en ligne estime que la complémentarité entre l</w:t>
      </w:r>
      <w:r w:rsidR="00E440F3">
        <w:rPr>
          <w:bCs/>
          <w:iCs/>
          <w:snapToGrid w:val="0"/>
          <w:kern w:val="22"/>
          <w:sz w:val="22"/>
          <w:szCs w:val="22"/>
          <w:lang w:val="fr-CA"/>
        </w:rPr>
        <w:t>’</w:t>
      </w:r>
      <w:r w:rsidRPr="002D6CEA">
        <w:rPr>
          <w:bCs/>
          <w:iCs/>
          <w:snapToGrid w:val="0"/>
          <w:kern w:val="22"/>
          <w:sz w:val="22"/>
          <w:szCs w:val="22"/>
          <w:lang w:val="fr-CA"/>
        </w:rPr>
        <w:t>IPBES et la Convention est bonne ou excellente. L</w:t>
      </w:r>
      <w:r w:rsidR="00E440F3">
        <w:rPr>
          <w:bCs/>
          <w:iCs/>
          <w:snapToGrid w:val="0"/>
          <w:kern w:val="22"/>
          <w:sz w:val="22"/>
          <w:szCs w:val="22"/>
          <w:lang w:val="fr-CA"/>
        </w:rPr>
        <w:t>’</w:t>
      </w:r>
      <w:r w:rsidRPr="002D6CEA">
        <w:rPr>
          <w:bCs/>
          <w:iCs/>
          <w:snapToGrid w:val="0"/>
          <w:kern w:val="22"/>
          <w:sz w:val="22"/>
          <w:szCs w:val="22"/>
          <w:lang w:val="fr-CA"/>
        </w:rPr>
        <w:t xml:space="preserve">analyse </w:t>
      </w:r>
      <w:r w:rsidRPr="002D6CEA">
        <w:rPr>
          <w:bCs/>
          <w:iCs/>
          <w:noProof/>
          <w:snapToGrid w:val="0"/>
          <w:kern w:val="22"/>
          <w:sz w:val="22"/>
          <w:szCs w:val="22"/>
          <w:lang w:val="fr-CA"/>
        </w:rPr>
        <w:t>bibliométrique confirme que la CDB se démarque des autres accords multilatéraux relatifs à l</w:t>
      </w:r>
      <w:r w:rsidR="00E440F3">
        <w:rPr>
          <w:bCs/>
          <w:iCs/>
          <w:noProof/>
          <w:snapToGrid w:val="0"/>
          <w:kern w:val="22"/>
          <w:sz w:val="22"/>
          <w:szCs w:val="22"/>
          <w:lang w:val="fr-CA"/>
        </w:rPr>
        <w:t>’</w:t>
      </w:r>
      <w:r w:rsidRPr="002D6CEA">
        <w:rPr>
          <w:bCs/>
          <w:iCs/>
          <w:noProof/>
          <w:snapToGrid w:val="0"/>
          <w:kern w:val="22"/>
          <w:sz w:val="22"/>
          <w:szCs w:val="22"/>
          <w:lang w:val="fr-CA"/>
        </w:rPr>
        <w:t>environnement quant à son recours à l</w:t>
      </w:r>
      <w:r w:rsidR="00E440F3">
        <w:rPr>
          <w:bCs/>
          <w:iCs/>
          <w:noProof/>
          <w:snapToGrid w:val="0"/>
          <w:kern w:val="22"/>
          <w:sz w:val="22"/>
          <w:szCs w:val="22"/>
          <w:lang w:val="fr-CA"/>
        </w:rPr>
        <w:t>’</w:t>
      </w:r>
      <w:r w:rsidRPr="002D6CEA">
        <w:rPr>
          <w:bCs/>
          <w:iCs/>
          <w:noProof/>
          <w:snapToGrid w:val="0"/>
          <w:kern w:val="22"/>
          <w:sz w:val="22"/>
          <w:szCs w:val="22"/>
          <w:lang w:val="fr-CA"/>
        </w:rPr>
        <w:t>IPBES, car la Plateforme est mentionnée dans tous les rapports de la CdP depuis 2012, et l</w:t>
      </w:r>
      <w:r w:rsidR="00E440F3">
        <w:rPr>
          <w:bCs/>
          <w:iCs/>
          <w:noProof/>
          <w:snapToGrid w:val="0"/>
          <w:kern w:val="22"/>
          <w:sz w:val="22"/>
          <w:szCs w:val="22"/>
          <w:lang w:val="fr-CA"/>
        </w:rPr>
        <w:t>’</w:t>
      </w:r>
      <w:r w:rsidRPr="002D6CEA">
        <w:rPr>
          <w:bCs/>
          <w:iCs/>
          <w:noProof/>
          <w:snapToGrid w:val="0"/>
          <w:kern w:val="22"/>
          <w:sz w:val="22"/>
          <w:szCs w:val="22"/>
          <w:lang w:val="fr-CA"/>
        </w:rPr>
        <w:t>IPBES est citée régulièrement dans un grand nombre de documents de trav</w:t>
      </w:r>
      <w:r w:rsidRPr="002D6CEA">
        <w:rPr>
          <w:bCs/>
          <w:iCs/>
          <w:snapToGrid w:val="0"/>
          <w:kern w:val="22"/>
          <w:sz w:val="22"/>
          <w:szCs w:val="22"/>
          <w:lang w:val="fr-CA"/>
        </w:rPr>
        <w:t>ail de la CDB. Dans l</w:t>
      </w:r>
      <w:r w:rsidR="00E440F3">
        <w:rPr>
          <w:bCs/>
          <w:iCs/>
          <w:snapToGrid w:val="0"/>
          <w:kern w:val="22"/>
          <w:sz w:val="22"/>
          <w:szCs w:val="22"/>
          <w:lang w:val="fr-CA"/>
        </w:rPr>
        <w:t>’</w:t>
      </w:r>
      <w:r w:rsidRPr="002D6CEA">
        <w:rPr>
          <w:bCs/>
          <w:iCs/>
          <w:snapToGrid w:val="0"/>
          <w:kern w:val="22"/>
          <w:sz w:val="22"/>
          <w:szCs w:val="22"/>
          <w:lang w:val="fr-CA"/>
        </w:rPr>
        <w:t>ensemble, la Plateforme s</w:t>
      </w:r>
      <w:r w:rsidR="00E440F3">
        <w:rPr>
          <w:bCs/>
          <w:iCs/>
          <w:snapToGrid w:val="0"/>
          <w:kern w:val="22"/>
          <w:sz w:val="22"/>
          <w:szCs w:val="22"/>
          <w:lang w:val="fr-CA"/>
        </w:rPr>
        <w:t>’</w:t>
      </w:r>
      <w:r w:rsidRPr="002D6CEA">
        <w:rPr>
          <w:bCs/>
          <w:iCs/>
          <w:snapToGrid w:val="0"/>
          <w:kern w:val="22"/>
          <w:sz w:val="22"/>
          <w:szCs w:val="22"/>
          <w:lang w:val="fr-CA"/>
        </w:rPr>
        <w:t>est montrée réceptive aux demandes formulées par la CDB (par ex. la pollinisation a été jugée prioritaire par la Convention), et la Convention a appuyé le recours aux évaluations de l</w:t>
      </w:r>
      <w:r w:rsidR="00E440F3">
        <w:rPr>
          <w:bCs/>
          <w:iCs/>
          <w:snapToGrid w:val="0"/>
          <w:kern w:val="22"/>
          <w:sz w:val="22"/>
          <w:szCs w:val="22"/>
          <w:lang w:val="fr-CA"/>
        </w:rPr>
        <w:t>’</w:t>
      </w:r>
      <w:r w:rsidRPr="002D6CEA">
        <w:rPr>
          <w:bCs/>
          <w:iCs/>
          <w:snapToGrid w:val="0"/>
          <w:kern w:val="22"/>
          <w:sz w:val="22"/>
          <w:szCs w:val="22"/>
          <w:lang w:val="fr-CA"/>
        </w:rPr>
        <w:t>IPBES, par exemple les recommandations de politiques sur la pollinisation et les pollinisateurs adoptées lors de la treizième réunion de la Conférence des Parties (CdP</w:t>
      </w:r>
      <w:r w:rsidR="00E440F3">
        <w:rPr>
          <w:bCs/>
          <w:iCs/>
          <w:snapToGrid w:val="0"/>
          <w:kern w:val="22"/>
          <w:sz w:val="22"/>
          <w:szCs w:val="22"/>
          <w:lang w:val="fr-CA"/>
        </w:rPr>
        <w:noBreakHyphen/>
      </w:r>
      <w:r w:rsidRPr="002D6CEA">
        <w:rPr>
          <w:bCs/>
          <w:iCs/>
          <w:snapToGrid w:val="0"/>
          <w:kern w:val="22"/>
          <w:sz w:val="22"/>
          <w:szCs w:val="22"/>
          <w:lang w:val="fr-CA"/>
        </w:rPr>
        <w:t>13). D</w:t>
      </w:r>
      <w:r w:rsidR="00E440F3">
        <w:rPr>
          <w:bCs/>
          <w:iCs/>
          <w:snapToGrid w:val="0"/>
          <w:kern w:val="22"/>
          <w:sz w:val="22"/>
          <w:szCs w:val="22"/>
          <w:lang w:val="fr-CA"/>
        </w:rPr>
        <w:t>’</w:t>
      </w:r>
      <w:r w:rsidRPr="002D6CEA">
        <w:rPr>
          <w:bCs/>
          <w:iCs/>
          <w:snapToGrid w:val="0"/>
          <w:kern w:val="22"/>
          <w:sz w:val="22"/>
          <w:szCs w:val="22"/>
          <w:lang w:val="fr-CA"/>
        </w:rPr>
        <w:t>autres indices de lien direct incluent le recours aux évaluations de scénarios et de modèles de l</w:t>
      </w:r>
      <w:r w:rsidR="00E440F3">
        <w:rPr>
          <w:bCs/>
          <w:iCs/>
          <w:snapToGrid w:val="0"/>
          <w:kern w:val="22"/>
          <w:sz w:val="22"/>
          <w:szCs w:val="22"/>
          <w:lang w:val="fr-CA"/>
        </w:rPr>
        <w:t>’</w:t>
      </w:r>
      <w:r w:rsidRPr="002D6CEA">
        <w:rPr>
          <w:bCs/>
          <w:iCs/>
          <w:snapToGrid w:val="0"/>
          <w:kern w:val="22"/>
          <w:sz w:val="22"/>
          <w:szCs w:val="22"/>
          <w:lang w:val="fr-CA"/>
        </w:rPr>
        <w:t>IPBES par l</w:t>
      </w:r>
      <w:r w:rsidR="00E440F3">
        <w:rPr>
          <w:bCs/>
          <w:iCs/>
          <w:snapToGrid w:val="0"/>
          <w:kern w:val="22"/>
          <w:sz w:val="22"/>
          <w:szCs w:val="22"/>
          <w:lang w:val="fr-CA"/>
        </w:rPr>
        <w:t>’</w:t>
      </w:r>
      <w:r w:rsidRPr="002D6CEA">
        <w:rPr>
          <w:bCs/>
          <w:iCs/>
          <w:snapToGrid w:val="0"/>
          <w:kern w:val="22"/>
          <w:sz w:val="22"/>
          <w:szCs w:val="22"/>
          <w:lang w:val="fr-CA"/>
        </w:rPr>
        <w:t>OSASTT, ou les procédures en place pour que la Convention puisse apporter des contributions au nouveau programme de travail proposé de l</w:t>
      </w:r>
      <w:r w:rsidR="00E440F3">
        <w:rPr>
          <w:bCs/>
          <w:iCs/>
          <w:snapToGrid w:val="0"/>
          <w:kern w:val="22"/>
          <w:sz w:val="22"/>
          <w:szCs w:val="22"/>
          <w:lang w:val="fr-CA"/>
        </w:rPr>
        <w:t>’</w:t>
      </w:r>
      <w:r w:rsidRPr="002D6CEA">
        <w:rPr>
          <w:bCs/>
          <w:iCs/>
          <w:snapToGrid w:val="0"/>
          <w:kern w:val="22"/>
          <w:sz w:val="22"/>
          <w:szCs w:val="22"/>
          <w:lang w:val="fr-CA"/>
        </w:rPr>
        <w:t>IPBES. »</w:t>
      </w:r>
    </w:p>
    <w:p w:rsidR="00AF7872" w:rsidRPr="002D6CEA" w:rsidRDefault="00E42E66"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2D6CEA">
        <w:rPr>
          <w:bCs/>
          <w:iCs/>
          <w:snapToGrid w:val="0"/>
          <w:kern w:val="22"/>
          <w:sz w:val="22"/>
          <w:szCs w:val="22"/>
          <w:lang w:val="fr-CA"/>
        </w:rPr>
        <w:t>À la lumière de l</w:t>
      </w:r>
      <w:r w:rsidR="00E440F3">
        <w:rPr>
          <w:bCs/>
          <w:iCs/>
          <w:snapToGrid w:val="0"/>
          <w:kern w:val="22"/>
          <w:sz w:val="22"/>
          <w:szCs w:val="22"/>
          <w:lang w:val="fr-CA"/>
        </w:rPr>
        <w:t>’</w:t>
      </w:r>
      <w:r w:rsidRPr="002D6CEA">
        <w:rPr>
          <w:bCs/>
          <w:iCs/>
          <w:snapToGrid w:val="0"/>
          <w:kern w:val="22"/>
          <w:sz w:val="22"/>
          <w:szCs w:val="22"/>
          <w:lang w:val="fr-CA"/>
        </w:rPr>
        <w:t>examen susmentionné de la considération des produits de l</w:t>
      </w:r>
      <w:r w:rsidR="00E440F3">
        <w:rPr>
          <w:bCs/>
          <w:iCs/>
          <w:snapToGrid w:val="0"/>
          <w:kern w:val="22"/>
          <w:sz w:val="22"/>
          <w:szCs w:val="22"/>
          <w:lang w:val="fr-CA"/>
        </w:rPr>
        <w:t>’</w:t>
      </w:r>
      <w:r w:rsidRPr="002D6CEA">
        <w:rPr>
          <w:bCs/>
          <w:iCs/>
          <w:snapToGrid w:val="0"/>
          <w:kern w:val="22"/>
          <w:sz w:val="22"/>
          <w:szCs w:val="22"/>
          <w:lang w:val="fr-CA"/>
        </w:rPr>
        <w:t>IPBES par l</w:t>
      </w:r>
      <w:r w:rsidR="00E440F3">
        <w:rPr>
          <w:bCs/>
          <w:iCs/>
          <w:snapToGrid w:val="0"/>
          <w:kern w:val="22"/>
          <w:sz w:val="22"/>
          <w:szCs w:val="22"/>
          <w:lang w:val="fr-CA"/>
        </w:rPr>
        <w:t>’</w:t>
      </w:r>
      <w:r w:rsidRPr="002D6CEA">
        <w:rPr>
          <w:bCs/>
          <w:iCs/>
          <w:snapToGrid w:val="0"/>
          <w:kern w:val="22"/>
          <w:sz w:val="22"/>
          <w:szCs w:val="22"/>
          <w:lang w:val="fr-CA"/>
        </w:rPr>
        <w:t>Organe subsidiaire chargé de fournir des avis scientifiques, techniques et technologiques, il semblerait que la procédure établie dans la décision XII/25 permette déjà à l</w:t>
      </w:r>
      <w:r w:rsidR="00E440F3">
        <w:rPr>
          <w:bCs/>
          <w:iCs/>
          <w:snapToGrid w:val="0"/>
          <w:kern w:val="22"/>
          <w:sz w:val="22"/>
          <w:szCs w:val="22"/>
          <w:lang w:val="fr-CA"/>
        </w:rPr>
        <w:t>’</w:t>
      </w:r>
      <w:r w:rsidRPr="002D6CEA">
        <w:rPr>
          <w:bCs/>
          <w:iCs/>
          <w:snapToGrid w:val="0"/>
          <w:kern w:val="22"/>
          <w:sz w:val="22"/>
          <w:szCs w:val="22"/>
          <w:lang w:val="fr-CA"/>
        </w:rPr>
        <w:t>Organe subsidiaire et à la Conférence des Parties d</w:t>
      </w:r>
      <w:r w:rsidR="00E440F3">
        <w:rPr>
          <w:bCs/>
          <w:iCs/>
          <w:snapToGrid w:val="0"/>
          <w:kern w:val="22"/>
          <w:sz w:val="22"/>
          <w:szCs w:val="22"/>
          <w:lang w:val="fr-CA"/>
        </w:rPr>
        <w:t>’</w:t>
      </w:r>
      <w:r w:rsidRPr="002D6CEA">
        <w:rPr>
          <w:bCs/>
          <w:iCs/>
          <w:snapToGrid w:val="0"/>
          <w:kern w:val="22"/>
          <w:sz w:val="22"/>
          <w:szCs w:val="22"/>
          <w:lang w:val="fr-CA"/>
        </w:rPr>
        <w:t>examiner systématiquement tous les produits de la Plateforme, disponibles en temps voulu et dans un format pertinent pour la Convention. Cela semble également corroboré par l</w:t>
      </w:r>
      <w:r w:rsidR="00E440F3">
        <w:rPr>
          <w:bCs/>
          <w:iCs/>
          <w:snapToGrid w:val="0"/>
          <w:kern w:val="22"/>
          <w:sz w:val="22"/>
          <w:szCs w:val="22"/>
          <w:lang w:val="fr-CA"/>
        </w:rPr>
        <w:t>’</w:t>
      </w:r>
      <w:r w:rsidRPr="002D6CEA">
        <w:rPr>
          <w:bCs/>
          <w:iCs/>
          <w:snapToGrid w:val="0"/>
          <w:kern w:val="22"/>
          <w:sz w:val="22"/>
          <w:szCs w:val="22"/>
          <w:lang w:val="fr-CA"/>
        </w:rPr>
        <w:t>examen indépendant de la Plateforme. Des modalités additionnelles nécessaires pour assurer l</w:t>
      </w:r>
      <w:r w:rsidR="00E440F3">
        <w:rPr>
          <w:bCs/>
          <w:iCs/>
          <w:snapToGrid w:val="0"/>
          <w:kern w:val="22"/>
          <w:sz w:val="22"/>
          <w:szCs w:val="22"/>
          <w:lang w:val="fr-CA"/>
        </w:rPr>
        <w:t>’</w:t>
      </w:r>
      <w:r w:rsidRPr="002D6CEA">
        <w:rPr>
          <w:bCs/>
          <w:iCs/>
          <w:snapToGrid w:val="0"/>
          <w:kern w:val="22"/>
          <w:sz w:val="22"/>
          <w:szCs w:val="22"/>
          <w:lang w:val="fr-CA"/>
        </w:rPr>
        <w:t>examen systématique des produits de l</w:t>
      </w:r>
      <w:r w:rsidR="00E440F3">
        <w:rPr>
          <w:bCs/>
          <w:iCs/>
          <w:snapToGrid w:val="0"/>
          <w:kern w:val="22"/>
          <w:sz w:val="22"/>
          <w:szCs w:val="22"/>
          <w:lang w:val="fr-CA"/>
        </w:rPr>
        <w:t>’</w:t>
      </w:r>
      <w:r w:rsidRPr="002D6CEA">
        <w:rPr>
          <w:bCs/>
          <w:iCs/>
          <w:snapToGrid w:val="0"/>
          <w:kern w:val="22"/>
          <w:sz w:val="22"/>
          <w:szCs w:val="22"/>
          <w:lang w:val="fr-CA"/>
        </w:rPr>
        <w:t>IPBES sont dès lors peu évidentes. Cependant, des occasions pour renforcer davantage la coopération se rapportant aux autres fonctions de l</w:t>
      </w:r>
      <w:r w:rsidR="00E440F3">
        <w:rPr>
          <w:bCs/>
          <w:iCs/>
          <w:snapToGrid w:val="0"/>
          <w:kern w:val="22"/>
          <w:sz w:val="22"/>
          <w:szCs w:val="22"/>
          <w:lang w:val="fr-CA"/>
        </w:rPr>
        <w:t>’</w:t>
      </w:r>
      <w:r w:rsidRPr="002D6CEA">
        <w:rPr>
          <w:bCs/>
          <w:iCs/>
          <w:snapToGrid w:val="0"/>
          <w:kern w:val="22"/>
          <w:sz w:val="22"/>
          <w:szCs w:val="22"/>
          <w:lang w:val="fr-CA"/>
        </w:rPr>
        <w:t>IPBES pourraient être explorées plus avant</w:t>
      </w:r>
      <w:r w:rsidR="009544D2" w:rsidRPr="002D6CEA">
        <w:rPr>
          <w:bCs/>
          <w:iCs/>
          <w:snapToGrid w:val="0"/>
          <w:kern w:val="22"/>
          <w:sz w:val="22"/>
          <w:szCs w:val="22"/>
          <w:lang w:val="fr-CA"/>
        </w:rPr>
        <w:t>.</w:t>
      </w:r>
    </w:p>
    <w:p w:rsidR="00FC562D" w:rsidRPr="002D6CEA" w:rsidRDefault="00F11DCC" w:rsidP="00766960">
      <w:pPr>
        <w:pStyle w:val="ListParagraph"/>
        <w:keepNext/>
        <w:numPr>
          <w:ilvl w:val="0"/>
          <w:numId w:val="14"/>
        </w:numPr>
        <w:suppressLineNumbers/>
        <w:suppressAutoHyphens/>
        <w:kinsoku w:val="0"/>
        <w:overflowPunct w:val="0"/>
        <w:autoSpaceDE w:val="0"/>
        <w:autoSpaceDN w:val="0"/>
        <w:adjustRightInd w:val="0"/>
        <w:snapToGrid w:val="0"/>
        <w:spacing w:before="120" w:after="120" w:line="235" w:lineRule="auto"/>
        <w:ind w:left="1134" w:hanging="567"/>
        <w:contextualSpacing w:val="0"/>
        <w:outlineLvl w:val="0"/>
        <w:rPr>
          <w:b/>
          <w:bCs/>
          <w:caps/>
          <w:snapToGrid w:val="0"/>
          <w:kern w:val="22"/>
          <w:sz w:val="22"/>
          <w:szCs w:val="22"/>
          <w:lang w:val="fr-CA"/>
        </w:rPr>
      </w:pPr>
      <w:r w:rsidRPr="002D6CEA">
        <w:rPr>
          <w:b/>
          <w:caps/>
          <w:snapToGrid w:val="0"/>
          <w:kern w:val="22"/>
          <w:sz w:val="22"/>
          <w:szCs w:val="22"/>
          <w:lang w:val="fr-CA"/>
        </w:rPr>
        <w:t>mise à jour sur les travaux de l</w:t>
      </w:r>
      <w:r w:rsidR="00E440F3">
        <w:rPr>
          <w:b/>
          <w:caps/>
          <w:snapToGrid w:val="0"/>
          <w:kern w:val="22"/>
          <w:sz w:val="22"/>
          <w:szCs w:val="22"/>
          <w:lang w:val="fr-CA"/>
        </w:rPr>
        <w:t>’</w:t>
      </w:r>
      <w:r w:rsidRPr="002D6CEA">
        <w:rPr>
          <w:b/>
          <w:caps/>
          <w:snapToGrid w:val="0"/>
          <w:kern w:val="22"/>
          <w:sz w:val="22"/>
          <w:szCs w:val="22"/>
          <w:lang w:val="fr-CA"/>
        </w:rPr>
        <w:t>Plateforme intergouvernementale science</w:t>
      </w:r>
      <w:r w:rsidR="00E440F3">
        <w:rPr>
          <w:b/>
          <w:caps/>
          <w:snapToGrid w:val="0"/>
          <w:kern w:val="22"/>
          <w:sz w:val="22"/>
          <w:szCs w:val="22"/>
          <w:lang w:val="fr-CA"/>
        </w:rPr>
        <w:noBreakHyphen/>
      </w:r>
      <w:r w:rsidRPr="002D6CEA">
        <w:rPr>
          <w:b/>
          <w:caps/>
          <w:snapToGrid w:val="0"/>
          <w:kern w:val="22"/>
          <w:sz w:val="22"/>
          <w:szCs w:val="22"/>
          <w:lang w:val="fr-CA"/>
        </w:rPr>
        <w:t>politique sur la biodiversité et les services écosystémiques</w:t>
      </w:r>
    </w:p>
    <w:p w:rsidR="00DD1AA0" w:rsidRPr="002D6CEA" w:rsidRDefault="009D1061" w:rsidP="00766960">
      <w:pPr>
        <w:keepNext/>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snapToGrid w:val="0"/>
          <w:kern w:val="22"/>
          <w:sz w:val="22"/>
          <w:szCs w:val="22"/>
          <w:lang w:val="fr-CA"/>
        </w:rPr>
      </w:pPr>
      <w:r w:rsidRPr="002D6CEA">
        <w:rPr>
          <w:bCs/>
          <w:iCs/>
          <w:snapToGrid w:val="0"/>
          <w:spacing w:val="-4"/>
          <w:kern w:val="22"/>
          <w:sz w:val="22"/>
          <w:szCs w:val="22"/>
          <w:lang w:val="fr-CA"/>
        </w:rPr>
        <w:t>À sa septième réunion, la Plénière de l</w:t>
      </w:r>
      <w:r w:rsidR="00E440F3">
        <w:rPr>
          <w:bCs/>
          <w:iCs/>
          <w:snapToGrid w:val="0"/>
          <w:spacing w:val="-4"/>
          <w:kern w:val="22"/>
          <w:sz w:val="22"/>
          <w:szCs w:val="22"/>
          <w:lang w:val="fr-CA"/>
        </w:rPr>
        <w:t>’</w:t>
      </w:r>
      <w:r w:rsidRPr="002D6CEA">
        <w:rPr>
          <w:bCs/>
          <w:iCs/>
          <w:snapToGrid w:val="0"/>
          <w:spacing w:val="-4"/>
          <w:kern w:val="22"/>
          <w:sz w:val="22"/>
          <w:szCs w:val="22"/>
          <w:lang w:val="fr-CA"/>
        </w:rPr>
        <w:t>IPBES a adopté, dans sa décision IPBES</w:t>
      </w:r>
      <w:r w:rsidR="00E440F3">
        <w:rPr>
          <w:bCs/>
          <w:iCs/>
          <w:snapToGrid w:val="0"/>
          <w:spacing w:val="-4"/>
          <w:kern w:val="22"/>
          <w:sz w:val="22"/>
          <w:szCs w:val="22"/>
          <w:lang w:val="fr-CA"/>
        </w:rPr>
        <w:noBreakHyphen/>
      </w:r>
      <w:r w:rsidRPr="002D6CEA">
        <w:rPr>
          <w:bCs/>
          <w:iCs/>
          <w:snapToGrid w:val="0"/>
          <w:spacing w:val="-4"/>
          <w:kern w:val="22"/>
          <w:sz w:val="22"/>
          <w:szCs w:val="22"/>
          <w:lang w:val="fr-CA"/>
        </w:rPr>
        <w:t xml:space="preserve">7, le programme de travail glissant de la Plateforme </w:t>
      </w:r>
      <w:r w:rsidRPr="002D6CEA">
        <w:rPr>
          <w:iCs/>
          <w:noProof/>
          <w:snapToGrid w:val="0"/>
          <w:sz w:val="22"/>
          <w:szCs w:val="22"/>
          <w:lang w:val="fr-CA"/>
        </w:rPr>
        <w:t>pour la période allant</w:t>
      </w:r>
      <w:r w:rsidRPr="002D6CEA">
        <w:rPr>
          <w:bCs/>
          <w:iCs/>
          <w:snapToGrid w:val="0"/>
          <w:spacing w:val="-4"/>
          <w:kern w:val="22"/>
          <w:sz w:val="22"/>
          <w:szCs w:val="22"/>
          <w:lang w:val="fr-CA"/>
        </w:rPr>
        <w:t xml:space="preserve"> jusqu</w:t>
      </w:r>
      <w:r w:rsidR="00E440F3">
        <w:rPr>
          <w:bCs/>
          <w:iCs/>
          <w:snapToGrid w:val="0"/>
          <w:spacing w:val="-4"/>
          <w:kern w:val="22"/>
          <w:sz w:val="22"/>
          <w:szCs w:val="22"/>
          <w:lang w:val="fr-CA"/>
        </w:rPr>
        <w:t>’</w:t>
      </w:r>
      <w:r w:rsidRPr="002D6CEA">
        <w:rPr>
          <w:bCs/>
          <w:iCs/>
          <w:snapToGrid w:val="0"/>
          <w:spacing w:val="-4"/>
          <w:kern w:val="22"/>
          <w:sz w:val="22"/>
          <w:szCs w:val="22"/>
          <w:lang w:val="fr-CA"/>
        </w:rPr>
        <w:t>en 2030. Ce programme comprend six objectifs : évaluer les connaissances, renforcer les capacités, consolider la base des connaissances, fournir une aide à l</w:t>
      </w:r>
      <w:r w:rsidR="00E440F3">
        <w:rPr>
          <w:bCs/>
          <w:iCs/>
          <w:snapToGrid w:val="0"/>
          <w:spacing w:val="-4"/>
          <w:kern w:val="22"/>
          <w:sz w:val="22"/>
          <w:szCs w:val="22"/>
          <w:lang w:val="fr-CA"/>
        </w:rPr>
        <w:t>’</w:t>
      </w:r>
      <w:r w:rsidRPr="002D6CEA">
        <w:rPr>
          <w:bCs/>
          <w:iCs/>
          <w:snapToGrid w:val="0"/>
          <w:spacing w:val="-4"/>
          <w:kern w:val="22"/>
          <w:sz w:val="22"/>
          <w:szCs w:val="22"/>
          <w:lang w:val="fr-CA"/>
        </w:rPr>
        <w:t>élaboration des politiques, renforcer la communication et la participation, renforcer l</w:t>
      </w:r>
      <w:r w:rsidR="00E440F3">
        <w:rPr>
          <w:bCs/>
          <w:iCs/>
          <w:snapToGrid w:val="0"/>
          <w:spacing w:val="-4"/>
          <w:kern w:val="22"/>
          <w:sz w:val="22"/>
          <w:szCs w:val="22"/>
          <w:lang w:val="fr-CA"/>
        </w:rPr>
        <w:t>’</w:t>
      </w:r>
      <w:r w:rsidRPr="002D6CEA">
        <w:rPr>
          <w:bCs/>
          <w:iCs/>
          <w:snapToGrid w:val="0"/>
          <w:spacing w:val="-4"/>
          <w:kern w:val="22"/>
          <w:sz w:val="22"/>
          <w:szCs w:val="22"/>
          <w:lang w:val="fr-CA"/>
        </w:rPr>
        <w:t>efficacité de la Plateforme. La présente section donne un aperçu du programme de travail. De plus amples détails figurent dans le document</w:t>
      </w:r>
      <w:r w:rsidRPr="002D6CEA">
        <w:rPr>
          <w:bCs/>
          <w:iCs/>
          <w:snapToGrid w:val="0"/>
          <w:kern w:val="22"/>
          <w:sz w:val="22"/>
          <w:szCs w:val="22"/>
          <w:lang w:val="fr-CA"/>
        </w:rPr>
        <w:t xml:space="preserve"> CBD/SBSTTA/24/INF/17</w:t>
      </w:r>
      <w:r w:rsidR="00D51F62" w:rsidRPr="002D6CEA">
        <w:rPr>
          <w:bCs/>
          <w:iCs/>
          <w:snapToGrid w:val="0"/>
          <w:kern w:val="22"/>
          <w:sz w:val="22"/>
          <w:szCs w:val="22"/>
          <w:lang w:val="fr-CA"/>
        </w:rPr>
        <w:t>.</w:t>
      </w:r>
    </w:p>
    <w:p w:rsidR="00A309C0" w:rsidRPr="002D6CEA" w:rsidRDefault="009D1061" w:rsidP="00766960">
      <w:pPr>
        <w:keepNext/>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snapToGrid w:val="0"/>
          <w:kern w:val="22"/>
          <w:sz w:val="22"/>
          <w:szCs w:val="22"/>
          <w:lang w:val="fr-CA"/>
        </w:rPr>
      </w:pPr>
      <w:r w:rsidRPr="002D6CEA">
        <w:rPr>
          <w:bCs/>
          <w:iCs/>
          <w:snapToGrid w:val="0"/>
          <w:spacing w:val="-4"/>
          <w:kern w:val="22"/>
          <w:sz w:val="22"/>
          <w:szCs w:val="22"/>
          <w:lang w:val="fr-CA"/>
        </w:rPr>
        <w:t xml:space="preserve">Le programme de travail glissant </w:t>
      </w:r>
      <w:r w:rsidRPr="002D6CEA">
        <w:rPr>
          <w:iCs/>
          <w:noProof/>
          <w:snapToGrid w:val="0"/>
          <w:sz w:val="22"/>
          <w:szCs w:val="22"/>
          <w:lang w:val="fr-CA"/>
        </w:rPr>
        <w:t xml:space="preserve">pour la période allant </w:t>
      </w:r>
      <w:r w:rsidRPr="002D6CEA">
        <w:rPr>
          <w:bCs/>
          <w:iCs/>
          <w:snapToGrid w:val="0"/>
          <w:spacing w:val="-4"/>
          <w:kern w:val="22"/>
          <w:sz w:val="22"/>
          <w:szCs w:val="22"/>
          <w:lang w:val="fr-CA"/>
        </w:rPr>
        <w:t>jusqu</w:t>
      </w:r>
      <w:r w:rsidR="00E440F3">
        <w:rPr>
          <w:bCs/>
          <w:iCs/>
          <w:snapToGrid w:val="0"/>
          <w:spacing w:val="-4"/>
          <w:kern w:val="22"/>
          <w:sz w:val="22"/>
          <w:szCs w:val="22"/>
          <w:lang w:val="fr-CA"/>
        </w:rPr>
        <w:t>’</w:t>
      </w:r>
      <w:r w:rsidRPr="002D6CEA">
        <w:rPr>
          <w:bCs/>
          <w:iCs/>
          <w:snapToGrid w:val="0"/>
          <w:spacing w:val="-4"/>
          <w:kern w:val="22"/>
          <w:sz w:val="22"/>
          <w:szCs w:val="22"/>
          <w:lang w:val="fr-CA"/>
        </w:rPr>
        <w:t>en 2030 inclut les trois évaluations en cours suivantes qui ont été entreprises dans le cadre du premier programme de travail (le calendrier d</w:t>
      </w:r>
      <w:r w:rsidR="00E440F3">
        <w:rPr>
          <w:bCs/>
          <w:iCs/>
          <w:snapToGrid w:val="0"/>
          <w:spacing w:val="-4"/>
          <w:kern w:val="22"/>
          <w:sz w:val="22"/>
          <w:szCs w:val="22"/>
          <w:lang w:val="fr-CA"/>
        </w:rPr>
        <w:t>’</w:t>
      </w:r>
      <w:r w:rsidRPr="002D6CEA">
        <w:rPr>
          <w:bCs/>
          <w:iCs/>
          <w:snapToGrid w:val="0"/>
          <w:spacing w:val="-4"/>
          <w:kern w:val="22"/>
          <w:sz w:val="22"/>
          <w:szCs w:val="22"/>
          <w:lang w:val="fr-CA"/>
        </w:rPr>
        <w:t xml:space="preserve">examen des diverses versions figure dans le document </w:t>
      </w:r>
      <w:r w:rsidRPr="002D6CEA">
        <w:rPr>
          <w:bCs/>
          <w:iCs/>
          <w:snapToGrid w:val="0"/>
          <w:kern w:val="22"/>
          <w:sz w:val="22"/>
          <w:szCs w:val="22"/>
          <w:lang w:val="fr-CA"/>
        </w:rPr>
        <w:t>CBD/SBSTTA/24/INF/17) :</w:t>
      </w:r>
    </w:p>
    <w:p w:rsidR="00A309C0" w:rsidRPr="002D6CEA" w:rsidRDefault="009D1061"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bookmarkStart w:id="0" w:name="_Hlk6403152"/>
      <w:r w:rsidRPr="002D6CEA">
        <w:rPr>
          <w:bCs/>
          <w:iCs/>
          <w:snapToGrid w:val="0"/>
          <w:spacing w:val="-4"/>
          <w:kern w:val="22"/>
          <w:sz w:val="22"/>
          <w:szCs w:val="22"/>
          <w:lang w:val="fr-CA"/>
        </w:rPr>
        <w:t xml:space="preserve">Une évaluation méthodologique des divers modes de conceptualisation des multiples valeurs de la nature et de ses contributions, dont font partie la biodiversité et les fonctions et services assurés par les </w:t>
      </w:r>
      <w:r w:rsidRPr="002D6CEA">
        <w:rPr>
          <w:bCs/>
          <w:iCs/>
          <w:snapToGrid w:val="0"/>
          <w:spacing w:val="-4"/>
          <w:kern w:val="22"/>
          <w:sz w:val="22"/>
          <w:szCs w:val="22"/>
          <w:lang w:val="fr-CA"/>
        </w:rPr>
        <w:lastRenderedPageBreak/>
        <w:t xml:space="preserve">écosystèmes (évaluation des valeurs), </w:t>
      </w:r>
      <w:r w:rsidRPr="002D6CEA">
        <w:rPr>
          <w:bCs/>
          <w:iCs/>
          <w:snapToGrid w:val="0"/>
          <w:kern w:val="22"/>
          <w:sz w:val="22"/>
          <w:szCs w:val="22"/>
          <w:lang w:val="fr-CA"/>
        </w:rPr>
        <w:t>à être achevée aux fins d</w:t>
      </w:r>
      <w:r w:rsidR="00E440F3">
        <w:rPr>
          <w:bCs/>
          <w:iCs/>
          <w:snapToGrid w:val="0"/>
          <w:kern w:val="22"/>
          <w:sz w:val="22"/>
          <w:szCs w:val="22"/>
          <w:lang w:val="fr-CA"/>
        </w:rPr>
        <w:t>’</w:t>
      </w:r>
      <w:r w:rsidRPr="002D6CEA">
        <w:rPr>
          <w:bCs/>
          <w:iCs/>
          <w:snapToGrid w:val="0"/>
          <w:kern w:val="22"/>
          <w:sz w:val="22"/>
          <w:szCs w:val="22"/>
          <w:lang w:val="fr-CA"/>
        </w:rPr>
        <w:t>examen par la Plénière à sa neuvième session (première moitié de 2022)</w:t>
      </w:r>
      <w:r w:rsidR="00A309C0" w:rsidRPr="002D6CEA">
        <w:rPr>
          <w:bCs/>
          <w:iCs/>
          <w:snapToGrid w:val="0"/>
          <w:kern w:val="22"/>
          <w:sz w:val="22"/>
          <w:szCs w:val="22"/>
          <w:lang w:val="fr-CA"/>
        </w:rPr>
        <w:t>;</w:t>
      </w:r>
    </w:p>
    <w:p w:rsidR="00A309C0" w:rsidRPr="002D6CEA" w:rsidRDefault="009D1061"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2D6CEA">
        <w:rPr>
          <w:bCs/>
          <w:iCs/>
          <w:snapToGrid w:val="0"/>
          <w:kern w:val="22"/>
          <w:sz w:val="22"/>
          <w:szCs w:val="22"/>
          <w:lang w:val="fr-CA"/>
        </w:rPr>
        <w:t>Une évaluation thématique de l</w:t>
      </w:r>
      <w:r w:rsidR="00E440F3">
        <w:rPr>
          <w:bCs/>
          <w:iCs/>
          <w:snapToGrid w:val="0"/>
          <w:kern w:val="22"/>
          <w:sz w:val="22"/>
          <w:szCs w:val="22"/>
          <w:lang w:val="fr-CA"/>
        </w:rPr>
        <w:t>’</w:t>
      </w:r>
      <w:r w:rsidRPr="002D6CEA">
        <w:rPr>
          <w:bCs/>
          <w:iCs/>
          <w:snapToGrid w:val="0"/>
          <w:kern w:val="22"/>
          <w:sz w:val="22"/>
          <w:szCs w:val="22"/>
          <w:lang w:val="fr-CA"/>
        </w:rPr>
        <w:t>utilisation durable des espèces sauvages (évaluation de l</w:t>
      </w:r>
      <w:r w:rsidR="00E440F3">
        <w:rPr>
          <w:bCs/>
          <w:iCs/>
          <w:snapToGrid w:val="0"/>
          <w:kern w:val="22"/>
          <w:sz w:val="22"/>
          <w:szCs w:val="22"/>
          <w:lang w:val="fr-CA"/>
        </w:rPr>
        <w:t>’</w:t>
      </w:r>
      <w:r w:rsidRPr="002D6CEA">
        <w:rPr>
          <w:bCs/>
          <w:iCs/>
          <w:snapToGrid w:val="0"/>
          <w:kern w:val="22"/>
          <w:sz w:val="22"/>
          <w:szCs w:val="22"/>
          <w:lang w:val="fr-CA"/>
        </w:rPr>
        <w:t>utilisation durable), à être achevée aux fins d</w:t>
      </w:r>
      <w:r w:rsidR="00E440F3">
        <w:rPr>
          <w:bCs/>
          <w:iCs/>
          <w:snapToGrid w:val="0"/>
          <w:kern w:val="22"/>
          <w:sz w:val="22"/>
          <w:szCs w:val="22"/>
          <w:lang w:val="fr-CA"/>
        </w:rPr>
        <w:t>’</w:t>
      </w:r>
      <w:r w:rsidRPr="002D6CEA">
        <w:rPr>
          <w:bCs/>
          <w:iCs/>
          <w:snapToGrid w:val="0"/>
          <w:kern w:val="22"/>
          <w:sz w:val="22"/>
          <w:szCs w:val="22"/>
          <w:lang w:val="fr-CA"/>
        </w:rPr>
        <w:t>examen par la Plénière à sa neuvième session (première moitié de 2022)</w:t>
      </w:r>
      <w:r w:rsidR="00A309C0" w:rsidRPr="002D6CEA">
        <w:rPr>
          <w:bCs/>
          <w:iCs/>
          <w:snapToGrid w:val="0"/>
          <w:kern w:val="22"/>
          <w:sz w:val="22"/>
          <w:szCs w:val="22"/>
          <w:lang w:val="fr-CA"/>
        </w:rPr>
        <w:t>;</w:t>
      </w:r>
    </w:p>
    <w:p w:rsidR="00FC562D" w:rsidRPr="002D6CEA" w:rsidRDefault="009D1061"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2D6CEA">
        <w:rPr>
          <w:bCs/>
          <w:iCs/>
          <w:snapToGrid w:val="0"/>
          <w:kern w:val="22"/>
          <w:sz w:val="22"/>
          <w:szCs w:val="22"/>
          <w:lang w:val="fr-CA"/>
        </w:rPr>
        <w:t>Une évaluation thématique des espèces exotiques envahissantes, à être achevée aux fins d</w:t>
      </w:r>
      <w:r w:rsidR="00E440F3">
        <w:rPr>
          <w:bCs/>
          <w:iCs/>
          <w:snapToGrid w:val="0"/>
          <w:kern w:val="22"/>
          <w:sz w:val="22"/>
          <w:szCs w:val="22"/>
          <w:lang w:val="fr-CA"/>
        </w:rPr>
        <w:t>’</w:t>
      </w:r>
      <w:r w:rsidRPr="002D6CEA">
        <w:rPr>
          <w:bCs/>
          <w:iCs/>
          <w:snapToGrid w:val="0"/>
          <w:kern w:val="22"/>
          <w:sz w:val="22"/>
          <w:szCs w:val="22"/>
          <w:lang w:val="fr-CA"/>
        </w:rPr>
        <w:t>examen par la Plénière à sa dixième session (première moitié de 2023)</w:t>
      </w:r>
      <w:bookmarkEnd w:id="0"/>
      <w:r w:rsidRPr="002D6CEA">
        <w:rPr>
          <w:bCs/>
          <w:iCs/>
          <w:snapToGrid w:val="0"/>
          <w:kern w:val="22"/>
          <w:sz w:val="22"/>
          <w:szCs w:val="22"/>
          <w:lang w:val="fr-CA"/>
        </w:rPr>
        <w:t>.</w:t>
      </w:r>
    </w:p>
    <w:p w:rsidR="009D7F06" w:rsidRPr="002D6CEA" w:rsidRDefault="000638C9"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2D6CEA">
        <w:rPr>
          <w:bCs/>
          <w:iCs/>
          <w:snapToGrid w:val="0"/>
          <w:kern w:val="22"/>
          <w:sz w:val="22"/>
          <w:szCs w:val="22"/>
          <w:lang w:val="fr-CA"/>
        </w:rPr>
        <w:t xml:space="preserve">Dans le programme de travail glissant de la Plateforme </w:t>
      </w:r>
      <w:r w:rsidRPr="002D6CEA">
        <w:rPr>
          <w:iCs/>
          <w:noProof/>
          <w:snapToGrid w:val="0"/>
          <w:sz w:val="22"/>
          <w:szCs w:val="22"/>
          <w:lang w:val="fr-CA"/>
        </w:rPr>
        <w:t xml:space="preserve">pour la période allant </w:t>
      </w:r>
      <w:r w:rsidRPr="002D6CEA">
        <w:rPr>
          <w:bCs/>
          <w:iCs/>
          <w:snapToGrid w:val="0"/>
          <w:kern w:val="22"/>
          <w:sz w:val="22"/>
          <w:szCs w:val="22"/>
          <w:lang w:val="fr-CA"/>
        </w:rPr>
        <w:t>jusqu</w:t>
      </w:r>
      <w:r w:rsidR="00E440F3">
        <w:rPr>
          <w:bCs/>
          <w:iCs/>
          <w:snapToGrid w:val="0"/>
          <w:kern w:val="22"/>
          <w:sz w:val="22"/>
          <w:szCs w:val="22"/>
          <w:lang w:val="fr-CA"/>
        </w:rPr>
        <w:t>’</w:t>
      </w:r>
      <w:r w:rsidRPr="002D6CEA">
        <w:rPr>
          <w:bCs/>
          <w:iCs/>
          <w:snapToGrid w:val="0"/>
          <w:kern w:val="22"/>
          <w:sz w:val="22"/>
          <w:szCs w:val="22"/>
          <w:lang w:val="fr-CA"/>
        </w:rPr>
        <w:t>en 2030, adopté par la décision IPBES</w:t>
      </w:r>
      <w:r w:rsidR="00E440F3">
        <w:rPr>
          <w:bCs/>
          <w:iCs/>
          <w:snapToGrid w:val="0"/>
          <w:kern w:val="22"/>
          <w:sz w:val="22"/>
          <w:szCs w:val="22"/>
          <w:lang w:val="fr-CA"/>
        </w:rPr>
        <w:noBreakHyphen/>
      </w:r>
      <w:r w:rsidRPr="002D6CEA">
        <w:rPr>
          <w:bCs/>
          <w:iCs/>
          <w:snapToGrid w:val="0"/>
          <w:kern w:val="22"/>
          <w:sz w:val="22"/>
          <w:szCs w:val="22"/>
          <w:lang w:val="fr-CA"/>
        </w:rPr>
        <w:t>7/1, les quatre produits suivants ont été inclus :</w:t>
      </w:r>
    </w:p>
    <w:p w:rsidR="000638C9" w:rsidRPr="002D6CEA" w:rsidRDefault="000638C9" w:rsidP="000638C9">
      <w:pPr>
        <w:pStyle w:val="ListParagraph"/>
        <w:numPr>
          <w:ilvl w:val="0"/>
          <w:numId w:val="35"/>
        </w:numPr>
        <w:suppressLineNumbers/>
        <w:suppressAutoHyphens/>
        <w:kinsoku w:val="0"/>
        <w:overflowPunct w:val="0"/>
        <w:autoSpaceDE w:val="0"/>
        <w:autoSpaceDN w:val="0"/>
        <w:spacing w:before="120" w:after="60"/>
        <w:ind w:left="0" w:firstLine="720"/>
        <w:contextualSpacing w:val="0"/>
        <w:jc w:val="both"/>
        <w:rPr>
          <w:bCs/>
          <w:iCs/>
          <w:snapToGrid w:val="0"/>
          <w:kern w:val="22"/>
          <w:sz w:val="22"/>
          <w:szCs w:val="22"/>
          <w:lang w:val="fr-CA"/>
        </w:rPr>
      </w:pPr>
      <w:r w:rsidRPr="002D6CEA">
        <w:rPr>
          <w:bCs/>
          <w:iCs/>
          <w:snapToGrid w:val="0"/>
          <w:kern w:val="22"/>
          <w:sz w:val="22"/>
          <w:szCs w:val="22"/>
          <w:lang w:val="fr-CA"/>
        </w:rPr>
        <w:t>Une évaluation thématique des liens d</w:t>
      </w:r>
      <w:r w:rsidR="00E440F3">
        <w:rPr>
          <w:bCs/>
          <w:iCs/>
          <w:snapToGrid w:val="0"/>
          <w:kern w:val="22"/>
          <w:sz w:val="22"/>
          <w:szCs w:val="22"/>
          <w:lang w:val="fr-CA"/>
        </w:rPr>
        <w:t>’</w:t>
      </w:r>
      <w:r w:rsidRPr="002D6CEA">
        <w:rPr>
          <w:bCs/>
          <w:iCs/>
          <w:snapToGrid w:val="0"/>
          <w:kern w:val="22"/>
          <w:sz w:val="22"/>
          <w:szCs w:val="22"/>
          <w:lang w:val="fr-CA"/>
        </w:rPr>
        <w:t>interdépendance entre la biodiversité, l</w:t>
      </w:r>
      <w:r w:rsidR="00E440F3">
        <w:rPr>
          <w:bCs/>
          <w:iCs/>
          <w:snapToGrid w:val="0"/>
          <w:kern w:val="22"/>
          <w:sz w:val="22"/>
          <w:szCs w:val="22"/>
          <w:lang w:val="fr-CA"/>
        </w:rPr>
        <w:t>’</w:t>
      </w:r>
      <w:r w:rsidRPr="002D6CEA">
        <w:rPr>
          <w:bCs/>
          <w:iCs/>
          <w:snapToGrid w:val="0"/>
          <w:kern w:val="22"/>
          <w:sz w:val="22"/>
          <w:szCs w:val="22"/>
          <w:lang w:val="fr-CA"/>
        </w:rPr>
        <w:t>eau, l</w:t>
      </w:r>
      <w:r w:rsidR="00E440F3">
        <w:rPr>
          <w:bCs/>
          <w:iCs/>
          <w:snapToGrid w:val="0"/>
          <w:kern w:val="22"/>
          <w:sz w:val="22"/>
          <w:szCs w:val="22"/>
          <w:lang w:val="fr-CA"/>
        </w:rPr>
        <w:t>’</w:t>
      </w:r>
      <w:r w:rsidRPr="002D6CEA">
        <w:rPr>
          <w:bCs/>
          <w:iCs/>
          <w:snapToGrid w:val="0"/>
          <w:kern w:val="22"/>
          <w:sz w:val="22"/>
          <w:szCs w:val="22"/>
          <w:lang w:val="fr-CA"/>
        </w:rPr>
        <w:t>alimentation et la santé (évaluation par lien);</w:t>
      </w:r>
    </w:p>
    <w:p w:rsidR="000638C9" w:rsidRPr="002D6CEA" w:rsidRDefault="000638C9" w:rsidP="000638C9">
      <w:pPr>
        <w:pStyle w:val="ListParagraph"/>
        <w:numPr>
          <w:ilvl w:val="0"/>
          <w:numId w:val="35"/>
        </w:numPr>
        <w:suppressLineNumbers/>
        <w:suppressAutoHyphens/>
        <w:kinsoku w:val="0"/>
        <w:overflowPunct w:val="0"/>
        <w:autoSpaceDE w:val="0"/>
        <w:autoSpaceDN w:val="0"/>
        <w:spacing w:before="120" w:after="60"/>
        <w:ind w:left="0" w:firstLine="720"/>
        <w:contextualSpacing w:val="0"/>
        <w:jc w:val="both"/>
        <w:rPr>
          <w:bCs/>
          <w:iCs/>
          <w:snapToGrid w:val="0"/>
          <w:kern w:val="22"/>
          <w:sz w:val="22"/>
          <w:szCs w:val="22"/>
          <w:lang w:val="fr-CA"/>
        </w:rPr>
      </w:pPr>
      <w:r w:rsidRPr="002D6CEA">
        <w:rPr>
          <w:bCs/>
          <w:iCs/>
          <w:snapToGrid w:val="0"/>
          <w:kern w:val="22"/>
          <w:sz w:val="22"/>
          <w:szCs w:val="22"/>
          <w:lang w:val="fr-CA"/>
        </w:rPr>
        <w:t>Un document technique sur les liens d</w:t>
      </w:r>
      <w:r w:rsidR="00E440F3">
        <w:rPr>
          <w:bCs/>
          <w:iCs/>
          <w:snapToGrid w:val="0"/>
          <w:kern w:val="22"/>
          <w:sz w:val="22"/>
          <w:szCs w:val="22"/>
          <w:lang w:val="fr-CA"/>
        </w:rPr>
        <w:t>’</w:t>
      </w:r>
      <w:r w:rsidRPr="002D6CEA">
        <w:rPr>
          <w:bCs/>
          <w:iCs/>
          <w:snapToGrid w:val="0"/>
          <w:kern w:val="22"/>
          <w:sz w:val="22"/>
          <w:szCs w:val="22"/>
          <w:lang w:val="fr-CA"/>
        </w:rPr>
        <w:t>interdépendance entre la biodiversité et les changements climatiques;</w:t>
      </w:r>
    </w:p>
    <w:p w:rsidR="000638C9" w:rsidRPr="002D6CEA" w:rsidRDefault="000638C9" w:rsidP="000638C9">
      <w:pPr>
        <w:pStyle w:val="ListParagraph"/>
        <w:numPr>
          <w:ilvl w:val="0"/>
          <w:numId w:val="35"/>
        </w:numPr>
        <w:suppressLineNumbers/>
        <w:suppressAutoHyphens/>
        <w:kinsoku w:val="0"/>
        <w:overflowPunct w:val="0"/>
        <w:autoSpaceDE w:val="0"/>
        <w:autoSpaceDN w:val="0"/>
        <w:spacing w:before="120" w:after="60"/>
        <w:ind w:left="0" w:firstLine="720"/>
        <w:contextualSpacing w:val="0"/>
        <w:jc w:val="both"/>
        <w:rPr>
          <w:bCs/>
          <w:iCs/>
          <w:snapToGrid w:val="0"/>
          <w:kern w:val="22"/>
          <w:sz w:val="22"/>
          <w:szCs w:val="22"/>
          <w:lang w:val="fr-CA"/>
        </w:rPr>
      </w:pPr>
      <w:r w:rsidRPr="002D6CEA">
        <w:rPr>
          <w:bCs/>
          <w:iCs/>
          <w:snapToGrid w:val="0"/>
          <w:kern w:val="22"/>
          <w:sz w:val="22"/>
          <w:szCs w:val="22"/>
          <w:lang w:val="fr-CA"/>
        </w:rPr>
        <w:t>Une évaluation thématique des causes profondes de l</w:t>
      </w:r>
      <w:r w:rsidR="00E440F3">
        <w:rPr>
          <w:bCs/>
          <w:iCs/>
          <w:snapToGrid w:val="0"/>
          <w:kern w:val="22"/>
          <w:sz w:val="22"/>
          <w:szCs w:val="22"/>
          <w:lang w:val="fr-CA"/>
        </w:rPr>
        <w:t>’</w:t>
      </w:r>
      <w:r w:rsidRPr="002D6CEA">
        <w:rPr>
          <w:bCs/>
          <w:iCs/>
          <w:snapToGrid w:val="0"/>
          <w:kern w:val="22"/>
          <w:sz w:val="22"/>
          <w:szCs w:val="22"/>
          <w:lang w:val="fr-CA"/>
        </w:rPr>
        <w:t>érosion de la biodiversité et des déterminants des changements transformateurs et les solutions pour réaliser la Vision 2050 pour la diversité biologique (évaluation des changements transformateurs);</w:t>
      </w:r>
    </w:p>
    <w:p w:rsidR="009D7F06" w:rsidRPr="002D6CEA" w:rsidRDefault="000638C9" w:rsidP="000638C9">
      <w:pPr>
        <w:pStyle w:val="ListParagraph"/>
        <w:numPr>
          <w:ilvl w:val="0"/>
          <w:numId w:val="35"/>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bCs/>
          <w:iCs/>
          <w:snapToGrid w:val="0"/>
          <w:kern w:val="22"/>
          <w:sz w:val="22"/>
          <w:szCs w:val="22"/>
          <w:lang w:val="fr-CA"/>
        </w:rPr>
      </w:pPr>
      <w:r w:rsidRPr="002D6CEA">
        <w:rPr>
          <w:bCs/>
          <w:iCs/>
          <w:snapToGrid w:val="0"/>
          <w:kern w:val="22"/>
          <w:sz w:val="22"/>
          <w:szCs w:val="22"/>
          <w:lang w:val="fr-CA"/>
        </w:rPr>
        <w:t>Une évaluation méthodologique de l</w:t>
      </w:r>
      <w:r w:rsidR="00E440F3">
        <w:rPr>
          <w:bCs/>
          <w:iCs/>
          <w:snapToGrid w:val="0"/>
          <w:kern w:val="22"/>
          <w:sz w:val="22"/>
          <w:szCs w:val="22"/>
          <w:lang w:val="fr-CA"/>
        </w:rPr>
        <w:t>’</w:t>
      </w:r>
      <w:r w:rsidRPr="002D6CEA">
        <w:rPr>
          <w:bCs/>
          <w:iCs/>
          <w:snapToGrid w:val="0"/>
          <w:kern w:val="22"/>
          <w:sz w:val="22"/>
          <w:szCs w:val="22"/>
          <w:lang w:val="fr-CA"/>
        </w:rPr>
        <w:t>impact et de la dépendance des entreprises à l</w:t>
      </w:r>
      <w:r w:rsidR="00E440F3">
        <w:rPr>
          <w:bCs/>
          <w:iCs/>
          <w:snapToGrid w:val="0"/>
          <w:kern w:val="22"/>
          <w:sz w:val="22"/>
          <w:szCs w:val="22"/>
          <w:lang w:val="fr-CA"/>
        </w:rPr>
        <w:t>’</w:t>
      </w:r>
      <w:r w:rsidRPr="002D6CEA">
        <w:rPr>
          <w:bCs/>
          <w:iCs/>
          <w:snapToGrid w:val="0"/>
          <w:kern w:val="22"/>
          <w:sz w:val="22"/>
          <w:szCs w:val="22"/>
          <w:lang w:val="fr-CA"/>
        </w:rPr>
        <w:t>égard de la biodiversité et des contributions de la nature aux populations (évaluation entreprises et biodiversité)</w:t>
      </w:r>
      <w:r w:rsidR="009D7F06" w:rsidRPr="002D6CEA">
        <w:rPr>
          <w:bCs/>
          <w:iCs/>
          <w:snapToGrid w:val="0"/>
          <w:kern w:val="22"/>
          <w:sz w:val="22"/>
          <w:szCs w:val="22"/>
          <w:lang w:val="fr-CA"/>
        </w:rPr>
        <w:t>.</w:t>
      </w:r>
    </w:p>
    <w:p w:rsidR="000638C9" w:rsidRPr="002D6CEA" w:rsidRDefault="000638C9" w:rsidP="000638C9">
      <w:pPr>
        <w:numPr>
          <w:ilvl w:val="0"/>
          <w:numId w:val="6"/>
        </w:numPr>
        <w:suppressLineNumbers/>
        <w:suppressAutoHyphens/>
        <w:kinsoku w:val="0"/>
        <w:overflowPunct w:val="0"/>
        <w:autoSpaceDE w:val="0"/>
        <w:autoSpaceDN w:val="0"/>
        <w:spacing w:before="120" w:after="120"/>
        <w:ind w:left="0" w:firstLine="0"/>
        <w:jc w:val="both"/>
        <w:rPr>
          <w:bCs/>
          <w:iCs/>
          <w:noProof/>
          <w:snapToGrid w:val="0"/>
          <w:kern w:val="22"/>
          <w:sz w:val="22"/>
          <w:szCs w:val="22"/>
          <w:lang w:val="fr-CA"/>
        </w:rPr>
      </w:pPr>
      <w:r w:rsidRPr="002D6CEA">
        <w:rPr>
          <w:bCs/>
          <w:iCs/>
          <w:snapToGrid w:val="0"/>
          <w:kern w:val="22"/>
          <w:sz w:val="22"/>
          <w:szCs w:val="22"/>
          <w:lang w:val="fr-CA"/>
        </w:rPr>
        <w:t>Dans la même décision, la Plénière a approuvé des processus de cadrage pour l</w:t>
      </w:r>
      <w:r w:rsidR="00E440F3">
        <w:rPr>
          <w:bCs/>
          <w:iCs/>
          <w:snapToGrid w:val="0"/>
          <w:kern w:val="22"/>
          <w:sz w:val="22"/>
          <w:szCs w:val="22"/>
          <w:lang w:val="fr-CA"/>
        </w:rPr>
        <w:t>’</w:t>
      </w:r>
      <w:r w:rsidRPr="002D6CEA">
        <w:rPr>
          <w:bCs/>
          <w:iCs/>
          <w:snapToGrid w:val="0"/>
          <w:kern w:val="22"/>
          <w:sz w:val="22"/>
          <w:szCs w:val="22"/>
          <w:lang w:val="fr-CA"/>
        </w:rPr>
        <w:t>évaluation par lien et l</w:t>
      </w:r>
      <w:r w:rsidR="00E440F3">
        <w:rPr>
          <w:bCs/>
          <w:iCs/>
          <w:snapToGrid w:val="0"/>
          <w:kern w:val="22"/>
          <w:sz w:val="22"/>
          <w:szCs w:val="22"/>
          <w:lang w:val="fr-CA"/>
        </w:rPr>
        <w:t>’</w:t>
      </w:r>
      <w:r w:rsidRPr="002D6CEA">
        <w:rPr>
          <w:bCs/>
          <w:iCs/>
          <w:snapToGrid w:val="0"/>
          <w:kern w:val="22"/>
          <w:sz w:val="22"/>
          <w:szCs w:val="22"/>
          <w:lang w:val="fr-CA"/>
        </w:rPr>
        <w:t>évaluation des changements transformateurs sur la base des rapports initiaux de cadrage pour les évaluations figurant à l</w:t>
      </w:r>
      <w:r w:rsidR="00E440F3">
        <w:rPr>
          <w:bCs/>
          <w:iCs/>
          <w:snapToGrid w:val="0"/>
          <w:kern w:val="22"/>
          <w:sz w:val="22"/>
          <w:szCs w:val="22"/>
          <w:lang w:val="fr-CA"/>
        </w:rPr>
        <w:t>’</w:t>
      </w:r>
      <w:r w:rsidRPr="002D6CEA">
        <w:rPr>
          <w:bCs/>
          <w:iCs/>
          <w:snapToGrid w:val="0"/>
          <w:kern w:val="22"/>
          <w:sz w:val="22"/>
          <w:szCs w:val="22"/>
          <w:lang w:val="fr-CA"/>
        </w:rPr>
        <w:t xml:space="preserve">appendice II du </w:t>
      </w:r>
      <w:r w:rsidRPr="002D6CEA">
        <w:rPr>
          <w:bCs/>
          <w:iCs/>
          <w:noProof/>
          <w:snapToGrid w:val="0"/>
          <w:kern w:val="22"/>
          <w:sz w:val="22"/>
          <w:szCs w:val="22"/>
          <w:lang w:val="fr-CA"/>
        </w:rPr>
        <w:t>document IPBES/7/6, aux fins d</w:t>
      </w:r>
      <w:r w:rsidR="00E440F3">
        <w:rPr>
          <w:bCs/>
          <w:iCs/>
          <w:noProof/>
          <w:snapToGrid w:val="0"/>
          <w:kern w:val="22"/>
          <w:sz w:val="22"/>
          <w:szCs w:val="22"/>
          <w:lang w:val="fr-CA"/>
        </w:rPr>
        <w:t>’</w:t>
      </w:r>
      <w:r w:rsidRPr="002D6CEA">
        <w:rPr>
          <w:bCs/>
          <w:iCs/>
          <w:noProof/>
          <w:snapToGrid w:val="0"/>
          <w:kern w:val="22"/>
          <w:sz w:val="22"/>
          <w:szCs w:val="22"/>
          <w:lang w:val="fr-CA"/>
        </w:rPr>
        <w:t>examen par la Plénière à sa huitième session. La Plénière a approuvé un processus de cadrage pour l</w:t>
      </w:r>
      <w:r w:rsidR="00E440F3">
        <w:rPr>
          <w:bCs/>
          <w:iCs/>
          <w:noProof/>
          <w:snapToGrid w:val="0"/>
          <w:kern w:val="22"/>
          <w:sz w:val="22"/>
          <w:szCs w:val="22"/>
          <w:lang w:val="fr-CA"/>
        </w:rPr>
        <w:t>’</w:t>
      </w:r>
      <w:r w:rsidRPr="002D6CEA">
        <w:rPr>
          <w:bCs/>
          <w:iCs/>
          <w:noProof/>
          <w:snapToGrid w:val="0"/>
          <w:kern w:val="22"/>
          <w:sz w:val="22"/>
          <w:szCs w:val="22"/>
          <w:lang w:val="fr-CA"/>
        </w:rPr>
        <w:t>évaluation entreprises et biodiversité à être présentée aux fins d</w:t>
      </w:r>
      <w:r w:rsidR="00E440F3">
        <w:rPr>
          <w:bCs/>
          <w:iCs/>
          <w:noProof/>
          <w:snapToGrid w:val="0"/>
          <w:kern w:val="22"/>
          <w:sz w:val="22"/>
          <w:szCs w:val="22"/>
          <w:lang w:val="fr-CA"/>
        </w:rPr>
        <w:t>’</w:t>
      </w:r>
      <w:r w:rsidRPr="002D6CEA">
        <w:rPr>
          <w:bCs/>
          <w:iCs/>
          <w:noProof/>
          <w:snapToGrid w:val="0"/>
          <w:kern w:val="22"/>
          <w:sz w:val="22"/>
          <w:szCs w:val="22"/>
          <w:lang w:val="fr-CA"/>
        </w:rPr>
        <w:t>examen par celle</w:t>
      </w:r>
      <w:r w:rsidR="00E440F3">
        <w:rPr>
          <w:bCs/>
          <w:iCs/>
          <w:noProof/>
          <w:snapToGrid w:val="0"/>
          <w:kern w:val="22"/>
          <w:sz w:val="22"/>
          <w:szCs w:val="22"/>
          <w:lang w:val="fr-CA"/>
        </w:rPr>
        <w:noBreakHyphen/>
      </w:r>
      <w:r w:rsidRPr="002D6CEA">
        <w:rPr>
          <w:bCs/>
          <w:iCs/>
          <w:noProof/>
          <w:snapToGrid w:val="0"/>
          <w:kern w:val="22"/>
          <w:sz w:val="22"/>
          <w:szCs w:val="22"/>
          <w:lang w:val="fr-CA"/>
        </w:rPr>
        <w:t>ci à sa neuvième session.</w:t>
      </w:r>
    </w:p>
    <w:p w:rsidR="00DC641C" w:rsidRPr="002D6CEA" w:rsidRDefault="000638C9" w:rsidP="000638C9">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fr-CA"/>
        </w:rPr>
      </w:pPr>
      <w:r w:rsidRPr="002D6CEA">
        <w:rPr>
          <w:noProof/>
          <w:snapToGrid w:val="0"/>
          <w:kern w:val="22"/>
          <w:sz w:val="22"/>
          <w:szCs w:val="22"/>
          <w:lang w:val="fr-CA"/>
        </w:rPr>
        <w:t>S</w:t>
      </w:r>
      <w:r w:rsidR="00E440F3">
        <w:rPr>
          <w:noProof/>
          <w:snapToGrid w:val="0"/>
          <w:kern w:val="22"/>
          <w:sz w:val="22"/>
          <w:szCs w:val="22"/>
          <w:lang w:val="fr-CA"/>
        </w:rPr>
        <w:t>’</w:t>
      </w:r>
      <w:r w:rsidRPr="002D6CEA">
        <w:rPr>
          <w:noProof/>
          <w:snapToGrid w:val="0"/>
          <w:kern w:val="22"/>
          <w:sz w:val="22"/>
          <w:szCs w:val="22"/>
          <w:lang w:val="fr-CA"/>
        </w:rPr>
        <w:t>appuyant sur les deux conférences en ligne tenues en 2019, les réunions de cadrage pour l</w:t>
      </w:r>
      <w:r w:rsidR="00E440F3">
        <w:rPr>
          <w:noProof/>
          <w:snapToGrid w:val="0"/>
          <w:kern w:val="22"/>
          <w:sz w:val="22"/>
          <w:szCs w:val="22"/>
          <w:lang w:val="fr-CA"/>
        </w:rPr>
        <w:t>’</w:t>
      </w:r>
      <w:r w:rsidRPr="002D6CEA">
        <w:rPr>
          <w:noProof/>
          <w:snapToGrid w:val="0"/>
          <w:kern w:val="22"/>
          <w:sz w:val="22"/>
          <w:szCs w:val="22"/>
          <w:lang w:val="fr-CA"/>
        </w:rPr>
        <w:t>évaluation par lien et celle des changements transformateurs</w:t>
      </w:r>
      <w:r w:rsidRPr="002D6CEA">
        <w:rPr>
          <w:snapToGrid w:val="0"/>
          <w:kern w:val="22"/>
          <w:sz w:val="22"/>
          <w:szCs w:val="22"/>
          <w:lang w:val="fr-CA"/>
        </w:rPr>
        <w:t xml:space="preserve"> ont eu lieu virtuellement en mars et avril 2020 respectivement, et ont été suivies par des examens externes des projets de rapport de cadrage. Les projets de rapport de cadrage seront examinés à nouveau et finalisés pour la huitième session de l</w:t>
      </w:r>
      <w:r w:rsidR="00E440F3">
        <w:rPr>
          <w:snapToGrid w:val="0"/>
          <w:kern w:val="22"/>
          <w:sz w:val="22"/>
          <w:szCs w:val="22"/>
          <w:lang w:val="fr-CA"/>
        </w:rPr>
        <w:t>’</w:t>
      </w:r>
      <w:r w:rsidRPr="002D6CEA">
        <w:rPr>
          <w:snapToGrid w:val="0"/>
          <w:kern w:val="22"/>
          <w:sz w:val="22"/>
          <w:szCs w:val="22"/>
          <w:lang w:val="fr-CA"/>
        </w:rPr>
        <w:t>IPBES.</w:t>
      </w:r>
    </w:p>
    <w:p w:rsidR="004C7894" w:rsidRPr="002D6CEA" w:rsidRDefault="00AC1930"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fr-CA"/>
        </w:rPr>
      </w:pPr>
      <w:r w:rsidRPr="002D6CEA">
        <w:rPr>
          <w:snapToGrid w:val="0"/>
          <w:kern w:val="22"/>
          <w:sz w:val="22"/>
          <w:szCs w:val="22"/>
          <w:lang w:val="fr-CA"/>
        </w:rPr>
        <w:t>Compte tenu de la situation extraordinaire causée par la COVID</w:t>
      </w:r>
      <w:r w:rsidR="00E440F3">
        <w:rPr>
          <w:snapToGrid w:val="0"/>
          <w:kern w:val="22"/>
          <w:sz w:val="22"/>
          <w:szCs w:val="22"/>
          <w:lang w:val="fr-CA"/>
        </w:rPr>
        <w:noBreakHyphen/>
      </w:r>
      <w:r w:rsidRPr="002D6CEA">
        <w:rPr>
          <w:snapToGrid w:val="0"/>
          <w:kern w:val="22"/>
          <w:sz w:val="22"/>
          <w:szCs w:val="22"/>
          <w:lang w:val="fr-CA"/>
        </w:rPr>
        <w:t>19 et étant donné le rôle que peut tenir la Plateforme en matière de renforcement de la base de connaissances sur la biodiversité, l</w:t>
      </w:r>
      <w:r w:rsidR="00E440F3">
        <w:rPr>
          <w:snapToGrid w:val="0"/>
          <w:kern w:val="22"/>
          <w:sz w:val="22"/>
          <w:szCs w:val="22"/>
          <w:lang w:val="fr-CA"/>
        </w:rPr>
        <w:t>’</w:t>
      </w:r>
      <w:r w:rsidRPr="002D6CEA">
        <w:rPr>
          <w:snapToGrid w:val="0"/>
          <w:kern w:val="22"/>
          <w:sz w:val="22"/>
          <w:szCs w:val="22"/>
          <w:lang w:val="fr-CA"/>
        </w:rPr>
        <w:t>IPBES a organisé un atelier virtuel sur la biodiversité et les pandémies, tenu en juillet 2020. Le rapport de l</w:t>
      </w:r>
      <w:r w:rsidR="00E440F3">
        <w:rPr>
          <w:snapToGrid w:val="0"/>
          <w:kern w:val="22"/>
          <w:sz w:val="22"/>
          <w:szCs w:val="22"/>
          <w:lang w:val="fr-CA"/>
        </w:rPr>
        <w:t>’</w:t>
      </w:r>
      <w:r w:rsidRPr="002D6CEA">
        <w:rPr>
          <w:snapToGrid w:val="0"/>
          <w:kern w:val="22"/>
          <w:sz w:val="22"/>
          <w:szCs w:val="22"/>
          <w:lang w:val="fr-CA"/>
        </w:rPr>
        <w:t>atelier visait à appuyer l</w:t>
      </w:r>
      <w:r w:rsidR="00E440F3">
        <w:rPr>
          <w:snapToGrid w:val="0"/>
          <w:kern w:val="22"/>
          <w:sz w:val="22"/>
          <w:szCs w:val="22"/>
          <w:lang w:val="fr-CA"/>
        </w:rPr>
        <w:t>’</w:t>
      </w:r>
      <w:r w:rsidRPr="002D6CEA">
        <w:rPr>
          <w:snapToGrid w:val="0"/>
          <w:kern w:val="22"/>
          <w:sz w:val="22"/>
          <w:szCs w:val="22"/>
          <w:lang w:val="fr-CA"/>
        </w:rPr>
        <w:t>élaboration des produits, en cours ou futurs, de l</w:t>
      </w:r>
      <w:r w:rsidR="00E440F3">
        <w:rPr>
          <w:snapToGrid w:val="0"/>
          <w:kern w:val="22"/>
          <w:sz w:val="22"/>
          <w:szCs w:val="22"/>
          <w:lang w:val="fr-CA"/>
        </w:rPr>
        <w:t>’</w:t>
      </w:r>
      <w:r w:rsidRPr="002D6CEA">
        <w:rPr>
          <w:snapToGrid w:val="0"/>
          <w:kern w:val="22"/>
          <w:sz w:val="22"/>
          <w:szCs w:val="22"/>
          <w:lang w:val="fr-CA"/>
        </w:rPr>
        <w:t>IPBES, tels que le cadrage de l</w:t>
      </w:r>
      <w:r w:rsidR="00E440F3">
        <w:rPr>
          <w:snapToGrid w:val="0"/>
          <w:kern w:val="22"/>
          <w:sz w:val="22"/>
          <w:szCs w:val="22"/>
          <w:lang w:val="fr-CA"/>
        </w:rPr>
        <w:t>’</w:t>
      </w:r>
      <w:r w:rsidRPr="002D6CEA">
        <w:rPr>
          <w:snapToGrid w:val="0"/>
          <w:kern w:val="22"/>
          <w:sz w:val="22"/>
          <w:szCs w:val="22"/>
          <w:lang w:val="fr-CA"/>
        </w:rPr>
        <w:t>évaluation par lien, et à éclairer les autres évaluations en cours et prévues. L</w:t>
      </w:r>
      <w:r w:rsidR="00E440F3">
        <w:rPr>
          <w:snapToGrid w:val="0"/>
          <w:kern w:val="22"/>
          <w:sz w:val="22"/>
          <w:szCs w:val="22"/>
          <w:lang w:val="fr-CA"/>
        </w:rPr>
        <w:t>’</w:t>
      </w:r>
      <w:r w:rsidRPr="002D6CEA">
        <w:rPr>
          <w:snapToGrid w:val="0"/>
          <w:kern w:val="22"/>
          <w:sz w:val="22"/>
          <w:szCs w:val="22"/>
          <w:lang w:val="fr-CA"/>
        </w:rPr>
        <w:t>atelier a réuni 17 experts choisis par le Groupe d</w:t>
      </w:r>
      <w:r w:rsidR="00E440F3">
        <w:rPr>
          <w:snapToGrid w:val="0"/>
          <w:kern w:val="22"/>
          <w:sz w:val="22"/>
          <w:szCs w:val="22"/>
          <w:lang w:val="fr-CA"/>
        </w:rPr>
        <w:t>’</w:t>
      </w:r>
      <w:r w:rsidRPr="002D6CEA">
        <w:rPr>
          <w:snapToGrid w:val="0"/>
          <w:kern w:val="22"/>
          <w:sz w:val="22"/>
          <w:szCs w:val="22"/>
          <w:lang w:val="fr-CA"/>
        </w:rPr>
        <w:t>experts multidisciplinaire ainsi que cinq experts effectuant les évaluations en cours de l</w:t>
      </w:r>
      <w:r w:rsidR="00E440F3">
        <w:rPr>
          <w:snapToGrid w:val="0"/>
          <w:kern w:val="22"/>
          <w:sz w:val="22"/>
          <w:szCs w:val="22"/>
          <w:lang w:val="fr-CA"/>
        </w:rPr>
        <w:t>’</w:t>
      </w:r>
      <w:r w:rsidRPr="002D6CEA">
        <w:rPr>
          <w:snapToGrid w:val="0"/>
          <w:kern w:val="22"/>
          <w:sz w:val="22"/>
          <w:szCs w:val="22"/>
          <w:lang w:val="fr-CA"/>
        </w:rPr>
        <w:t xml:space="preserve">IPBES. Par ailleurs, </w:t>
      </w:r>
      <w:r w:rsidRPr="002D6CEA">
        <w:rPr>
          <w:noProof/>
          <w:snapToGrid w:val="0"/>
          <w:kern w:val="22"/>
          <w:sz w:val="22"/>
          <w:szCs w:val="22"/>
          <w:lang w:val="fr-CA"/>
        </w:rPr>
        <w:t>des personnes</w:t>
      </w:r>
      <w:r w:rsidR="00E440F3">
        <w:rPr>
          <w:noProof/>
          <w:snapToGrid w:val="0"/>
          <w:kern w:val="22"/>
          <w:sz w:val="22"/>
          <w:szCs w:val="22"/>
          <w:lang w:val="fr-CA"/>
        </w:rPr>
        <w:noBreakHyphen/>
      </w:r>
      <w:r w:rsidRPr="002D6CEA">
        <w:rPr>
          <w:noProof/>
          <w:snapToGrid w:val="0"/>
          <w:kern w:val="22"/>
          <w:sz w:val="22"/>
          <w:szCs w:val="22"/>
          <w:lang w:val="fr-CA"/>
        </w:rPr>
        <w:t>ressources émanant d</w:t>
      </w:r>
      <w:r w:rsidR="00E440F3">
        <w:rPr>
          <w:noProof/>
          <w:snapToGrid w:val="0"/>
          <w:kern w:val="22"/>
          <w:sz w:val="22"/>
          <w:szCs w:val="22"/>
          <w:lang w:val="fr-CA"/>
        </w:rPr>
        <w:t>’</w:t>
      </w:r>
      <w:r w:rsidRPr="002D6CEA">
        <w:rPr>
          <w:noProof/>
          <w:snapToGrid w:val="0"/>
          <w:kern w:val="22"/>
          <w:sz w:val="22"/>
          <w:szCs w:val="22"/>
          <w:lang w:val="fr-CA"/>
        </w:rPr>
        <w:t>organisations concernées, y compris la Convention sur la diversité biologique, ont participé à l</w:t>
      </w:r>
      <w:r w:rsidR="00E440F3">
        <w:rPr>
          <w:noProof/>
          <w:snapToGrid w:val="0"/>
          <w:kern w:val="22"/>
          <w:sz w:val="22"/>
          <w:szCs w:val="22"/>
          <w:lang w:val="fr-CA"/>
        </w:rPr>
        <w:t>’</w:t>
      </w:r>
      <w:r w:rsidRPr="002D6CEA">
        <w:rPr>
          <w:noProof/>
          <w:snapToGrid w:val="0"/>
          <w:kern w:val="22"/>
          <w:sz w:val="22"/>
          <w:szCs w:val="22"/>
          <w:lang w:val="fr-CA"/>
        </w:rPr>
        <w:t>atelier. Le rapport de l</w:t>
      </w:r>
      <w:r w:rsidR="00E440F3">
        <w:rPr>
          <w:noProof/>
          <w:snapToGrid w:val="0"/>
          <w:kern w:val="22"/>
          <w:sz w:val="22"/>
          <w:szCs w:val="22"/>
          <w:lang w:val="fr-CA"/>
        </w:rPr>
        <w:t>’</w:t>
      </w:r>
      <w:r w:rsidRPr="002D6CEA">
        <w:rPr>
          <w:noProof/>
          <w:snapToGrid w:val="0"/>
          <w:kern w:val="22"/>
          <w:sz w:val="22"/>
          <w:szCs w:val="22"/>
          <w:lang w:val="fr-CA"/>
        </w:rPr>
        <w:t>atelier a été publié le 29 octobre 2020, et sa version définitive est disponible à l</w:t>
      </w:r>
      <w:r w:rsidR="00E440F3">
        <w:rPr>
          <w:noProof/>
          <w:snapToGrid w:val="0"/>
          <w:kern w:val="22"/>
          <w:sz w:val="22"/>
          <w:szCs w:val="22"/>
          <w:lang w:val="fr-CA"/>
        </w:rPr>
        <w:t>’</w:t>
      </w:r>
      <w:r w:rsidRPr="002D6CEA">
        <w:rPr>
          <w:noProof/>
          <w:snapToGrid w:val="0"/>
          <w:kern w:val="22"/>
          <w:sz w:val="22"/>
          <w:szCs w:val="22"/>
          <w:lang w:val="fr-CA"/>
        </w:rPr>
        <w:t xml:space="preserve">adresse </w:t>
      </w:r>
      <w:hyperlink r:id="rId26" w:history="1">
        <w:r w:rsidRPr="002D6CEA">
          <w:rPr>
            <w:rStyle w:val="Hyperlink"/>
            <w:noProof/>
            <w:snapToGrid w:val="0"/>
            <w:kern w:val="22"/>
            <w:sz w:val="22"/>
            <w:szCs w:val="22"/>
            <w:lang w:val="fr-CA"/>
          </w:rPr>
          <w:t>https://ipbes.net/pandemics</w:t>
        </w:r>
      </w:hyperlink>
      <w:r w:rsidRPr="002D6CEA">
        <w:rPr>
          <w:lang w:val="fr-CA"/>
        </w:rPr>
        <w:t>.</w:t>
      </w:r>
    </w:p>
    <w:p w:rsidR="009E0061" w:rsidRPr="002D6CEA" w:rsidRDefault="009E0061" w:rsidP="009E0061">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fr-CA"/>
        </w:rPr>
      </w:pPr>
      <w:r w:rsidRPr="002D6CEA">
        <w:rPr>
          <w:snapToGrid w:val="0"/>
          <w:kern w:val="22"/>
          <w:sz w:val="22"/>
          <w:szCs w:val="22"/>
          <w:lang w:val="fr-CA"/>
        </w:rPr>
        <w:t>Suite à des consultations avec le Groupe d</w:t>
      </w:r>
      <w:r w:rsidR="00E440F3">
        <w:rPr>
          <w:snapToGrid w:val="0"/>
          <w:kern w:val="22"/>
          <w:sz w:val="22"/>
          <w:szCs w:val="22"/>
          <w:lang w:val="fr-CA"/>
        </w:rPr>
        <w:t>’</w:t>
      </w:r>
      <w:r w:rsidRPr="002D6CEA">
        <w:rPr>
          <w:snapToGrid w:val="0"/>
          <w:kern w:val="22"/>
          <w:sz w:val="22"/>
          <w:szCs w:val="22"/>
          <w:lang w:val="fr-CA"/>
        </w:rPr>
        <w:t>experts intergouvernemental sur l</w:t>
      </w:r>
      <w:r w:rsidR="00E440F3">
        <w:rPr>
          <w:snapToGrid w:val="0"/>
          <w:kern w:val="22"/>
          <w:sz w:val="22"/>
          <w:szCs w:val="22"/>
          <w:lang w:val="fr-CA"/>
        </w:rPr>
        <w:t>’</w:t>
      </w:r>
      <w:r w:rsidRPr="002D6CEA">
        <w:rPr>
          <w:snapToGrid w:val="0"/>
          <w:kern w:val="22"/>
          <w:sz w:val="22"/>
          <w:szCs w:val="22"/>
          <w:lang w:val="fr-CA"/>
        </w:rPr>
        <w:t>évolution du climat (GIEC), les deux organes ont décidé d</w:t>
      </w:r>
      <w:r w:rsidR="00E440F3">
        <w:rPr>
          <w:snapToGrid w:val="0"/>
          <w:kern w:val="22"/>
          <w:sz w:val="22"/>
          <w:szCs w:val="22"/>
          <w:lang w:val="fr-CA"/>
        </w:rPr>
        <w:t>’</w:t>
      </w:r>
      <w:r w:rsidRPr="002D6CEA">
        <w:rPr>
          <w:snapToGrid w:val="0"/>
          <w:kern w:val="22"/>
          <w:sz w:val="22"/>
          <w:szCs w:val="22"/>
          <w:lang w:val="fr-CA"/>
        </w:rPr>
        <w:t xml:space="preserve">organiser un atelier coparrainé sur la biodiversité et les changements climatiques, qui se tiendra en ligne du 14 au 17 décembre 2020. Le rapport de cet atelier appuiera </w:t>
      </w:r>
      <w:r w:rsidRPr="002D6CEA">
        <w:rPr>
          <w:noProof/>
          <w:snapToGrid w:val="0"/>
          <w:kern w:val="22"/>
          <w:sz w:val="22"/>
          <w:szCs w:val="22"/>
          <w:lang w:val="fr-CA"/>
        </w:rPr>
        <w:t>la préparation du cadrage de l</w:t>
      </w:r>
      <w:r w:rsidR="00E440F3">
        <w:rPr>
          <w:noProof/>
          <w:snapToGrid w:val="0"/>
          <w:kern w:val="22"/>
          <w:sz w:val="22"/>
          <w:szCs w:val="22"/>
          <w:lang w:val="fr-CA"/>
        </w:rPr>
        <w:t>’</w:t>
      </w:r>
      <w:r w:rsidRPr="002D6CEA">
        <w:rPr>
          <w:noProof/>
          <w:snapToGrid w:val="0"/>
          <w:kern w:val="22"/>
          <w:sz w:val="22"/>
          <w:szCs w:val="22"/>
          <w:lang w:val="fr-CA"/>
        </w:rPr>
        <w:t>évaluation par lien, en plus de contribuer à l</w:t>
      </w:r>
      <w:r w:rsidR="00E440F3">
        <w:rPr>
          <w:noProof/>
          <w:snapToGrid w:val="0"/>
          <w:kern w:val="22"/>
          <w:sz w:val="22"/>
          <w:szCs w:val="22"/>
          <w:lang w:val="fr-CA"/>
        </w:rPr>
        <w:t>’</w:t>
      </w:r>
      <w:r w:rsidRPr="002D6CEA">
        <w:rPr>
          <w:noProof/>
          <w:snapToGrid w:val="0"/>
          <w:kern w:val="22"/>
          <w:sz w:val="22"/>
          <w:szCs w:val="22"/>
          <w:lang w:val="fr-CA"/>
        </w:rPr>
        <w:t>évaluation par lien elle</w:t>
      </w:r>
      <w:r w:rsidR="00E440F3">
        <w:rPr>
          <w:noProof/>
          <w:snapToGrid w:val="0"/>
          <w:kern w:val="22"/>
          <w:sz w:val="22"/>
          <w:szCs w:val="22"/>
          <w:lang w:val="fr-CA"/>
        </w:rPr>
        <w:noBreakHyphen/>
      </w:r>
      <w:r w:rsidRPr="002D6CEA">
        <w:rPr>
          <w:noProof/>
          <w:snapToGrid w:val="0"/>
          <w:kern w:val="22"/>
          <w:sz w:val="22"/>
          <w:szCs w:val="22"/>
          <w:lang w:val="fr-CA"/>
        </w:rPr>
        <w:t>même de la Plateforme, ainsi qu</w:t>
      </w:r>
      <w:r w:rsidR="00E440F3">
        <w:rPr>
          <w:noProof/>
          <w:snapToGrid w:val="0"/>
          <w:kern w:val="22"/>
          <w:sz w:val="22"/>
          <w:szCs w:val="22"/>
          <w:lang w:val="fr-CA"/>
        </w:rPr>
        <w:t>’</w:t>
      </w:r>
      <w:r w:rsidRPr="002D6CEA">
        <w:rPr>
          <w:noProof/>
          <w:snapToGrid w:val="0"/>
          <w:kern w:val="22"/>
          <w:sz w:val="22"/>
          <w:szCs w:val="22"/>
          <w:lang w:val="fr-CA"/>
        </w:rPr>
        <w:t>au rapport de la sixième évaluation (AR6) du GIEC et à son rapport de synthèse.</w:t>
      </w:r>
    </w:p>
    <w:p w:rsidR="00567519" w:rsidRPr="002D6CEA" w:rsidRDefault="009E0061" w:rsidP="009E0061">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fr-CA"/>
        </w:rPr>
      </w:pPr>
      <w:r w:rsidRPr="002D6CEA">
        <w:rPr>
          <w:snapToGrid w:val="0"/>
          <w:kern w:val="22"/>
          <w:sz w:val="22"/>
          <w:szCs w:val="22"/>
          <w:lang w:val="fr-CA"/>
        </w:rPr>
        <w:lastRenderedPageBreak/>
        <w:t>Un appel à la nomination d</w:t>
      </w:r>
      <w:r w:rsidR="00E440F3">
        <w:rPr>
          <w:snapToGrid w:val="0"/>
          <w:kern w:val="22"/>
          <w:sz w:val="22"/>
          <w:szCs w:val="22"/>
          <w:lang w:val="fr-CA"/>
        </w:rPr>
        <w:t>’</w:t>
      </w:r>
      <w:r w:rsidRPr="002D6CEA">
        <w:rPr>
          <w:snapToGrid w:val="0"/>
          <w:kern w:val="22"/>
          <w:sz w:val="22"/>
          <w:szCs w:val="22"/>
          <w:lang w:val="fr-CA"/>
        </w:rPr>
        <w:t>experts pour assister avec le cadrage de l</w:t>
      </w:r>
      <w:r w:rsidR="00E440F3">
        <w:rPr>
          <w:snapToGrid w:val="0"/>
          <w:kern w:val="22"/>
          <w:sz w:val="22"/>
          <w:szCs w:val="22"/>
          <w:lang w:val="fr-CA"/>
        </w:rPr>
        <w:t>’</w:t>
      </w:r>
      <w:r w:rsidRPr="002D6CEA">
        <w:rPr>
          <w:snapToGrid w:val="0"/>
          <w:kern w:val="22"/>
          <w:sz w:val="22"/>
          <w:szCs w:val="22"/>
          <w:lang w:val="fr-CA"/>
        </w:rPr>
        <w:t>évaluation entreprises et biodiversité a été lancé le 12 novembre 2020, avec échéance le 1</w:t>
      </w:r>
      <w:r w:rsidRPr="002D6CEA">
        <w:rPr>
          <w:snapToGrid w:val="0"/>
          <w:kern w:val="22"/>
          <w:sz w:val="22"/>
          <w:szCs w:val="22"/>
          <w:vertAlign w:val="superscript"/>
          <w:lang w:val="fr-CA"/>
        </w:rPr>
        <w:t>er</w:t>
      </w:r>
      <w:r w:rsidRPr="002D6CEA">
        <w:rPr>
          <w:snapToGrid w:val="0"/>
          <w:kern w:val="22"/>
          <w:sz w:val="22"/>
          <w:szCs w:val="22"/>
          <w:lang w:val="fr-CA"/>
        </w:rPr>
        <w:t> février 2021.</w:t>
      </w:r>
      <w:r w:rsidRPr="002D6CEA">
        <w:rPr>
          <w:rStyle w:val="FootnoteReference"/>
          <w:snapToGrid w:val="0"/>
          <w:kern w:val="22"/>
          <w:szCs w:val="22"/>
          <w:lang w:val="fr-CA"/>
        </w:rPr>
        <w:footnoteReference w:id="4"/>
      </w:r>
      <w:r w:rsidRPr="002D6CEA">
        <w:rPr>
          <w:snapToGrid w:val="0"/>
          <w:kern w:val="22"/>
          <w:sz w:val="22"/>
          <w:szCs w:val="22"/>
          <w:lang w:val="fr-CA"/>
        </w:rPr>
        <w:t xml:space="preserve"> Une conférence en ligne pour obtenir des commentaires initiaux relatifs au processus de cadrage est provisoirement prévue pour janvier 2021, et la réunion de cadrage en ligne pour avril 2021</w:t>
      </w:r>
      <w:r w:rsidR="00FB276B" w:rsidRPr="002D6CEA">
        <w:rPr>
          <w:snapToGrid w:val="0"/>
          <w:kern w:val="22"/>
          <w:sz w:val="22"/>
          <w:szCs w:val="22"/>
          <w:lang w:val="fr-CA"/>
        </w:rPr>
        <w:t>.</w:t>
      </w:r>
    </w:p>
    <w:p w:rsidR="009E0061" w:rsidRPr="002D6CEA" w:rsidRDefault="009E0061" w:rsidP="009E0061">
      <w:pPr>
        <w:keepNext/>
        <w:numPr>
          <w:ilvl w:val="0"/>
          <w:numId w:val="6"/>
        </w:numPr>
        <w:suppressLineNumbers/>
        <w:suppressAutoHyphens/>
        <w:kinsoku w:val="0"/>
        <w:overflowPunct w:val="0"/>
        <w:autoSpaceDE w:val="0"/>
        <w:autoSpaceDN w:val="0"/>
        <w:spacing w:before="120" w:after="120"/>
        <w:ind w:left="0" w:firstLine="0"/>
        <w:jc w:val="both"/>
        <w:rPr>
          <w:bCs/>
          <w:snapToGrid w:val="0"/>
          <w:spacing w:val="-4"/>
          <w:kern w:val="22"/>
          <w:sz w:val="22"/>
          <w:szCs w:val="22"/>
          <w:lang w:val="fr-CA"/>
        </w:rPr>
      </w:pPr>
      <w:r w:rsidRPr="002D6CEA">
        <w:rPr>
          <w:snapToGrid w:val="0"/>
          <w:kern w:val="22"/>
          <w:sz w:val="22"/>
          <w:szCs w:val="22"/>
          <w:lang w:val="fr-CA"/>
        </w:rPr>
        <w:t>Dans la décision IPBES</w:t>
      </w:r>
      <w:r w:rsidR="00E440F3">
        <w:rPr>
          <w:snapToGrid w:val="0"/>
          <w:kern w:val="22"/>
          <w:sz w:val="22"/>
          <w:szCs w:val="22"/>
          <w:lang w:val="fr-CA"/>
        </w:rPr>
        <w:noBreakHyphen/>
      </w:r>
      <w:r w:rsidRPr="002D6CEA">
        <w:rPr>
          <w:snapToGrid w:val="0"/>
          <w:kern w:val="22"/>
          <w:sz w:val="22"/>
          <w:szCs w:val="22"/>
          <w:lang w:val="fr-CA"/>
        </w:rPr>
        <w:t>7/1, la Plénière a également prorogé les mandats des équipes spéciales sur le renforcement des capacités, sur les connaissances et les données, et sur les connaissances autochtones et locales pour la mise en œuvre des objectifs respectifs du programme de travail glissant de l</w:t>
      </w:r>
      <w:r w:rsidR="00E440F3">
        <w:rPr>
          <w:snapToGrid w:val="0"/>
          <w:kern w:val="22"/>
          <w:sz w:val="22"/>
          <w:szCs w:val="22"/>
          <w:lang w:val="fr-CA"/>
        </w:rPr>
        <w:t>’</w:t>
      </w:r>
      <w:r w:rsidRPr="002D6CEA">
        <w:rPr>
          <w:snapToGrid w:val="0"/>
          <w:kern w:val="22"/>
          <w:sz w:val="22"/>
          <w:szCs w:val="22"/>
          <w:lang w:val="fr-CA"/>
        </w:rPr>
        <w:t xml:space="preserve">IPBES </w:t>
      </w:r>
      <w:r w:rsidRPr="002D6CEA">
        <w:rPr>
          <w:iCs/>
          <w:noProof/>
          <w:snapToGrid w:val="0"/>
          <w:sz w:val="22"/>
          <w:szCs w:val="22"/>
          <w:lang w:val="fr-CA"/>
        </w:rPr>
        <w:t xml:space="preserve">pour la période allant </w:t>
      </w:r>
      <w:r w:rsidRPr="002D6CEA">
        <w:rPr>
          <w:snapToGrid w:val="0"/>
          <w:kern w:val="22"/>
          <w:sz w:val="22"/>
          <w:szCs w:val="22"/>
          <w:lang w:val="fr-CA"/>
        </w:rPr>
        <w:t>jusqu</w:t>
      </w:r>
      <w:r w:rsidR="00E440F3">
        <w:rPr>
          <w:snapToGrid w:val="0"/>
          <w:kern w:val="22"/>
          <w:sz w:val="22"/>
          <w:szCs w:val="22"/>
          <w:lang w:val="fr-CA"/>
        </w:rPr>
        <w:t>’</w:t>
      </w:r>
      <w:r w:rsidRPr="002D6CEA">
        <w:rPr>
          <w:snapToGrid w:val="0"/>
          <w:kern w:val="22"/>
          <w:sz w:val="22"/>
          <w:szCs w:val="22"/>
          <w:lang w:val="fr-CA"/>
        </w:rPr>
        <w:t>en 2030. Elle a également créé des équipes spéciales sur les outils et méthodes d</w:t>
      </w:r>
      <w:r w:rsidR="00E440F3">
        <w:rPr>
          <w:snapToGrid w:val="0"/>
          <w:kern w:val="22"/>
          <w:sz w:val="22"/>
          <w:szCs w:val="22"/>
          <w:lang w:val="fr-CA"/>
        </w:rPr>
        <w:t>’</w:t>
      </w:r>
      <w:r w:rsidRPr="002D6CEA">
        <w:rPr>
          <w:snapToGrid w:val="0"/>
          <w:kern w:val="22"/>
          <w:sz w:val="22"/>
          <w:szCs w:val="22"/>
          <w:lang w:val="fr-CA"/>
        </w:rPr>
        <w:t>appui aux politiques, et sur les scénarios et modèles. De plus amples détails sur les travaux des équipes spéciales figurent dans l</w:t>
      </w:r>
      <w:r w:rsidR="00E440F3">
        <w:rPr>
          <w:snapToGrid w:val="0"/>
          <w:kern w:val="22"/>
          <w:sz w:val="22"/>
          <w:szCs w:val="22"/>
          <w:lang w:val="fr-CA"/>
        </w:rPr>
        <w:t>’</w:t>
      </w:r>
      <w:r w:rsidRPr="002D6CEA">
        <w:rPr>
          <w:snapToGrid w:val="0"/>
          <w:kern w:val="22"/>
          <w:sz w:val="22"/>
          <w:szCs w:val="22"/>
          <w:lang w:val="fr-CA"/>
        </w:rPr>
        <w:t>annexe II à la décision IPBES</w:t>
      </w:r>
      <w:r w:rsidR="00E440F3">
        <w:rPr>
          <w:snapToGrid w:val="0"/>
          <w:kern w:val="22"/>
          <w:sz w:val="22"/>
          <w:szCs w:val="22"/>
          <w:lang w:val="fr-CA"/>
        </w:rPr>
        <w:noBreakHyphen/>
      </w:r>
      <w:r w:rsidRPr="002D6CEA">
        <w:rPr>
          <w:snapToGrid w:val="0"/>
          <w:kern w:val="22"/>
          <w:sz w:val="22"/>
          <w:szCs w:val="22"/>
          <w:lang w:val="fr-CA"/>
        </w:rPr>
        <w:t>7/1.</w:t>
      </w:r>
    </w:p>
    <w:p w:rsidR="00F013D4" w:rsidRPr="002D6CEA" w:rsidRDefault="009E0061" w:rsidP="009E0061">
      <w:pPr>
        <w:keepNext/>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snapToGrid w:val="0"/>
          <w:kern w:val="22"/>
          <w:sz w:val="22"/>
          <w:szCs w:val="22"/>
          <w:lang w:val="fr-CA"/>
        </w:rPr>
      </w:pPr>
      <w:r w:rsidRPr="002D6CEA">
        <w:rPr>
          <w:bCs/>
          <w:iCs/>
          <w:snapToGrid w:val="0"/>
          <w:spacing w:val="-4"/>
          <w:kern w:val="22"/>
          <w:sz w:val="22"/>
          <w:szCs w:val="22"/>
          <w:lang w:val="fr-CA"/>
        </w:rPr>
        <w:t>La huitième session de la Plénière de la Plateforme est prévue en tant que réunion en ligne du 14 au 24 juin 2021</w:t>
      </w:r>
      <w:r w:rsidR="00567519" w:rsidRPr="002D6CEA">
        <w:rPr>
          <w:bCs/>
          <w:iCs/>
          <w:snapToGrid w:val="0"/>
          <w:kern w:val="22"/>
          <w:sz w:val="22"/>
          <w:szCs w:val="22"/>
          <w:lang w:val="fr-CA"/>
        </w:rPr>
        <w:t>.</w:t>
      </w:r>
    </w:p>
    <w:p w:rsidR="002F11EC" w:rsidRPr="002D6CEA" w:rsidRDefault="00E91B89" w:rsidP="00766960">
      <w:pPr>
        <w:pStyle w:val="ListParagraph"/>
        <w:keepNext/>
        <w:numPr>
          <w:ilvl w:val="0"/>
          <w:numId w:val="14"/>
        </w:numPr>
        <w:suppressLineNumbers/>
        <w:suppressAutoHyphens/>
        <w:kinsoku w:val="0"/>
        <w:overflowPunct w:val="0"/>
        <w:autoSpaceDE w:val="0"/>
        <w:autoSpaceDN w:val="0"/>
        <w:adjustRightInd w:val="0"/>
        <w:snapToGrid w:val="0"/>
        <w:spacing w:before="120" w:after="120" w:line="235" w:lineRule="auto"/>
        <w:ind w:left="1276" w:hanging="567"/>
        <w:contextualSpacing w:val="0"/>
        <w:outlineLvl w:val="0"/>
        <w:rPr>
          <w:bCs/>
          <w:caps/>
          <w:snapToGrid w:val="0"/>
          <w:spacing w:val="-4"/>
          <w:kern w:val="22"/>
          <w:sz w:val="22"/>
          <w:szCs w:val="22"/>
          <w:lang w:val="fr-CA"/>
        </w:rPr>
      </w:pPr>
      <w:r w:rsidRPr="002D6CEA">
        <w:rPr>
          <w:b/>
          <w:caps/>
          <w:snapToGrid w:val="0"/>
          <w:kern w:val="22"/>
          <w:sz w:val="22"/>
          <w:szCs w:val="22"/>
          <w:lang w:val="fr-CA"/>
        </w:rPr>
        <w:t>propositions de nouvelle demande à examiner pour inclusion dans le programme de travail de la Plateforme pour la période allant jusqu</w:t>
      </w:r>
      <w:r w:rsidR="00E440F3">
        <w:rPr>
          <w:b/>
          <w:caps/>
          <w:snapToGrid w:val="0"/>
          <w:kern w:val="22"/>
          <w:sz w:val="22"/>
          <w:szCs w:val="22"/>
          <w:lang w:val="fr-CA"/>
        </w:rPr>
        <w:t>’</w:t>
      </w:r>
      <w:r w:rsidRPr="002D6CEA">
        <w:rPr>
          <w:b/>
          <w:caps/>
          <w:snapToGrid w:val="0"/>
          <w:kern w:val="22"/>
          <w:sz w:val="22"/>
          <w:szCs w:val="22"/>
          <w:lang w:val="fr-CA"/>
        </w:rPr>
        <w:t>en 2030</w:t>
      </w:r>
    </w:p>
    <w:p w:rsidR="00F371D3" w:rsidRPr="002D6CEA" w:rsidRDefault="00F371D3" w:rsidP="00F371D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fr-CA"/>
        </w:rPr>
      </w:pPr>
      <w:r w:rsidRPr="002D6CEA">
        <w:rPr>
          <w:bCs/>
          <w:iCs/>
          <w:snapToGrid w:val="0"/>
          <w:kern w:val="22"/>
          <w:sz w:val="22"/>
          <w:szCs w:val="22"/>
          <w:lang w:val="fr-CA"/>
        </w:rPr>
        <w:t xml:space="preserve">Comme indiqué </w:t>
      </w:r>
      <w:r w:rsidRPr="002D6CEA">
        <w:rPr>
          <w:bCs/>
          <w:iCs/>
          <w:noProof/>
          <w:snapToGrid w:val="0"/>
          <w:kern w:val="22"/>
          <w:sz w:val="22"/>
          <w:szCs w:val="22"/>
          <w:lang w:val="fr-CA"/>
        </w:rPr>
        <w:t>ci</w:t>
      </w:r>
      <w:r w:rsidR="00E440F3">
        <w:rPr>
          <w:bCs/>
          <w:iCs/>
          <w:noProof/>
          <w:snapToGrid w:val="0"/>
          <w:kern w:val="22"/>
          <w:sz w:val="22"/>
          <w:szCs w:val="22"/>
          <w:lang w:val="fr-CA"/>
        </w:rPr>
        <w:noBreakHyphen/>
      </w:r>
      <w:r w:rsidRPr="002D6CEA">
        <w:rPr>
          <w:bCs/>
          <w:iCs/>
          <w:noProof/>
          <w:snapToGrid w:val="0"/>
          <w:kern w:val="22"/>
          <w:sz w:val="22"/>
          <w:szCs w:val="22"/>
          <w:lang w:val="fr-CA"/>
        </w:rPr>
        <w:t xml:space="preserve">dessus, dans la décision14/36, la Conférence des Parties a invité la Plateforme à examiner une demande (annexée à la décision) dans le cadre de son programme de travail </w:t>
      </w:r>
      <w:r w:rsidRPr="002D6CEA">
        <w:rPr>
          <w:iCs/>
          <w:noProof/>
          <w:snapToGrid w:val="0"/>
          <w:sz w:val="22"/>
          <w:szCs w:val="22"/>
          <w:lang w:val="fr-CA"/>
        </w:rPr>
        <w:t>pour la période allant</w:t>
      </w:r>
      <w:r w:rsidRPr="002D6CEA">
        <w:rPr>
          <w:bCs/>
          <w:iCs/>
          <w:noProof/>
          <w:snapToGrid w:val="0"/>
          <w:kern w:val="22"/>
          <w:sz w:val="22"/>
          <w:szCs w:val="22"/>
          <w:lang w:val="fr-CA"/>
        </w:rPr>
        <w:t xml:space="preserve"> jusqu</w:t>
      </w:r>
      <w:r w:rsidR="00E440F3">
        <w:rPr>
          <w:bCs/>
          <w:iCs/>
          <w:noProof/>
          <w:snapToGrid w:val="0"/>
          <w:kern w:val="22"/>
          <w:sz w:val="22"/>
          <w:szCs w:val="22"/>
          <w:lang w:val="fr-CA"/>
        </w:rPr>
        <w:t>’</w:t>
      </w:r>
      <w:r w:rsidRPr="002D6CEA">
        <w:rPr>
          <w:bCs/>
          <w:iCs/>
          <w:noProof/>
          <w:snapToGrid w:val="0"/>
          <w:kern w:val="22"/>
          <w:sz w:val="22"/>
          <w:szCs w:val="22"/>
          <w:lang w:val="fr-CA"/>
        </w:rPr>
        <w:t>en 2030, et a également prié</w:t>
      </w:r>
      <w:r w:rsidRPr="002D6CEA">
        <w:rPr>
          <w:bCs/>
          <w:iCs/>
          <w:snapToGrid w:val="0"/>
          <w:kern w:val="22"/>
          <w:sz w:val="22"/>
          <w:szCs w:val="22"/>
          <w:lang w:val="fr-CA"/>
        </w:rPr>
        <w:t xml:space="preserve"> la Secrétaire exécutive d</w:t>
      </w:r>
      <w:r w:rsidR="00E440F3">
        <w:rPr>
          <w:bCs/>
          <w:iCs/>
          <w:snapToGrid w:val="0"/>
          <w:kern w:val="22"/>
          <w:sz w:val="22"/>
          <w:szCs w:val="22"/>
          <w:lang w:val="fr-CA"/>
        </w:rPr>
        <w:t>’</w:t>
      </w:r>
      <w:r w:rsidRPr="002D6CEA">
        <w:rPr>
          <w:bCs/>
          <w:iCs/>
          <w:snapToGrid w:val="0"/>
          <w:kern w:val="22"/>
          <w:sz w:val="22"/>
          <w:szCs w:val="22"/>
          <w:lang w:val="fr-CA"/>
        </w:rPr>
        <w:t>élaborer, aux fins d</w:t>
      </w:r>
      <w:r w:rsidR="00E440F3">
        <w:rPr>
          <w:bCs/>
          <w:iCs/>
          <w:snapToGrid w:val="0"/>
          <w:kern w:val="22"/>
          <w:sz w:val="22"/>
          <w:szCs w:val="22"/>
          <w:lang w:val="fr-CA"/>
        </w:rPr>
        <w:t>’</w:t>
      </w:r>
      <w:r w:rsidRPr="002D6CEA">
        <w:rPr>
          <w:bCs/>
          <w:iCs/>
          <w:snapToGrid w:val="0"/>
          <w:kern w:val="22"/>
          <w:sz w:val="22"/>
          <w:szCs w:val="22"/>
          <w:lang w:val="fr-CA"/>
        </w:rPr>
        <w:t>examen par l</w:t>
      </w:r>
      <w:r w:rsidR="00E440F3">
        <w:rPr>
          <w:bCs/>
          <w:iCs/>
          <w:snapToGrid w:val="0"/>
          <w:kern w:val="22"/>
          <w:sz w:val="22"/>
          <w:szCs w:val="22"/>
          <w:lang w:val="fr-CA"/>
        </w:rPr>
        <w:t>’</w:t>
      </w:r>
      <w:r w:rsidRPr="002D6CEA">
        <w:rPr>
          <w:bCs/>
          <w:iCs/>
          <w:snapToGrid w:val="0"/>
          <w:kern w:val="22"/>
          <w:sz w:val="22"/>
          <w:szCs w:val="22"/>
          <w:lang w:val="fr-CA"/>
        </w:rPr>
        <w:t>Organe subsidiaire chargé de fournir des avis scientifiques, techniques et technologiques et d</w:t>
      </w:r>
      <w:r w:rsidR="00E440F3">
        <w:rPr>
          <w:bCs/>
          <w:iCs/>
          <w:snapToGrid w:val="0"/>
          <w:kern w:val="22"/>
          <w:sz w:val="22"/>
          <w:szCs w:val="22"/>
          <w:lang w:val="fr-CA"/>
        </w:rPr>
        <w:t>’</w:t>
      </w:r>
      <w:r w:rsidRPr="002D6CEA">
        <w:rPr>
          <w:bCs/>
          <w:iCs/>
          <w:snapToGrid w:val="0"/>
          <w:kern w:val="22"/>
          <w:sz w:val="22"/>
          <w:szCs w:val="22"/>
          <w:lang w:val="fr-CA"/>
        </w:rPr>
        <w:t>examen ultérieur par la Conférence des Parties à sa quinzième réunion, des propositions concernant une autre demande à examiner pour inclusion dans le programme de travail à l</w:t>
      </w:r>
      <w:r w:rsidR="00E440F3">
        <w:rPr>
          <w:bCs/>
          <w:iCs/>
          <w:snapToGrid w:val="0"/>
          <w:kern w:val="22"/>
          <w:sz w:val="22"/>
          <w:szCs w:val="22"/>
          <w:lang w:val="fr-CA"/>
        </w:rPr>
        <w:t>’</w:t>
      </w:r>
      <w:r w:rsidRPr="002D6CEA">
        <w:rPr>
          <w:bCs/>
          <w:iCs/>
          <w:snapToGrid w:val="0"/>
          <w:kern w:val="22"/>
          <w:sz w:val="22"/>
          <w:szCs w:val="22"/>
          <w:lang w:val="fr-CA"/>
        </w:rPr>
        <w:t xml:space="preserve">horizon 2030 de la Plateforme intergouvernementale scientifique et politique sur la biodiversité et les </w:t>
      </w:r>
      <w:r w:rsidRPr="002D6CEA">
        <w:rPr>
          <w:bCs/>
          <w:iCs/>
          <w:noProof/>
          <w:snapToGrid w:val="0"/>
          <w:kern w:val="22"/>
          <w:sz w:val="22"/>
          <w:szCs w:val="22"/>
          <w:lang w:val="fr-CA"/>
        </w:rPr>
        <w:t>services écosystémiques,</w:t>
      </w:r>
      <w:r w:rsidRPr="002D6CEA">
        <w:rPr>
          <w:bCs/>
          <w:iCs/>
          <w:snapToGrid w:val="0"/>
          <w:kern w:val="22"/>
          <w:sz w:val="22"/>
          <w:szCs w:val="22"/>
          <w:lang w:val="fr-CA"/>
        </w:rPr>
        <w:t xml:space="preserve"> en vue de faciliter la mise en œuvre du cadre mondial de la biodiversité pour l</w:t>
      </w:r>
      <w:r w:rsidR="00E440F3">
        <w:rPr>
          <w:bCs/>
          <w:iCs/>
          <w:snapToGrid w:val="0"/>
          <w:kern w:val="22"/>
          <w:sz w:val="22"/>
          <w:szCs w:val="22"/>
          <w:lang w:val="fr-CA"/>
        </w:rPr>
        <w:t>’</w:t>
      </w:r>
      <w:r w:rsidRPr="002D6CEA">
        <w:rPr>
          <w:bCs/>
          <w:iCs/>
          <w:snapToGrid w:val="0"/>
          <w:kern w:val="22"/>
          <w:sz w:val="22"/>
          <w:szCs w:val="22"/>
          <w:lang w:val="fr-CA"/>
        </w:rPr>
        <w:t>après</w:t>
      </w:r>
      <w:r w:rsidR="00E440F3">
        <w:rPr>
          <w:bCs/>
          <w:iCs/>
          <w:snapToGrid w:val="0"/>
          <w:kern w:val="22"/>
          <w:sz w:val="22"/>
          <w:szCs w:val="22"/>
          <w:lang w:val="fr-CA"/>
        </w:rPr>
        <w:noBreakHyphen/>
      </w:r>
      <w:r w:rsidRPr="002D6CEA">
        <w:rPr>
          <w:bCs/>
          <w:iCs/>
          <w:snapToGrid w:val="0"/>
          <w:kern w:val="22"/>
          <w:sz w:val="22"/>
          <w:szCs w:val="22"/>
          <w:lang w:val="fr-CA"/>
        </w:rPr>
        <w:t>2020.</w:t>
      </w:r>
    </w:p>
    <w:p w:rsidR="00F371D3" w:rsidRPr="002D6CEA" w:rsidRDefault="00F371D3" w:rsidP="00F371D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fr-CA"/>
        </w:rPr>
      </w:pPr>
      <w:r w:rsidRPr="002D6CEA">
        <w:rPr>
          <w:bCs/>
          <w:iCs/>
          <w:snapToGrid w:val="0"/>
          <w:kern w:val="22"/>
          <w:sz w:val="22"/>
          <w:szCs w:val="22"/>
          <w:lang w:val="fr-CA"/>
        </w:rPr>
        <w:t xml:space="preserve">Le programme de travail glissant de la Plateforme </w:t>
      </w:r>
      <w:r w:rsidRPr="002D6CEA">
        <w:rPr>
          <w:iCs/>
          <w:noProof/>
          <w:snapToGrid w:val="0"/>
          <w:sz w:val="22"/>
          <w:szCs w:val="22"/>
          <w:lang w:val="fr-CA"/>
        </w:rPr>
        <w:t xml:space="preserve">pour la période allant </w:t>
      </w:r>
      <w:r w:rsidRPr="002D6CEA">
        <w:rPr>
          <w:bCs/>
          <w:iCs/>
          <w:snapToGrid w:val="0"/>
          <w:kern w:val="22"/>
          <w:sz w:val="22"/>
          <w:szCs w:val="22"/>
          <w:lang w:val="fr-CA"/>
        </w:rPr>
        <w:t>jusqu</w:t>
      </w:r>
      <w:r w:rsidR="00E440F3">
        <w:rPr>
          <w:bCs/>
          <w:iCs/>
          <w:snapToGrid w:val="0"/>
          <w:kern w:val="22"/>
          <w:sz w:val="22"/>
          <w:szCs w:val="22"/>
          <w:lang w:val="fr-CA"/>
        </w:rPr>
        <w:t>’</w:t>
      </w:r>
      <w:r w:rsidRPr="002D6CEA">
        <w:rPr>
          <w:bCs/>
          <w:iCs/>
          <w:snapToGrid w:val="0"/>
          <w:kern w:val="22"/>
          <w:sz w:val="22"/>
          <w:szCs w:val="22"/>
          <w:lang w:val="fr-CA"/>
        </w:rPr>
        <w:t>en 2030, adopté par la décision IPBES</w:t>
      </w:r>
      <w:r w:rsidR="00E440F3">
        <w:rPr>
          <w:bCs/>
          <w:iCs/>
          <w:snapToGrid w:val="0"/>
          <w:kern w:val="22"/>
          <w:sz w:val="22"/>
          <w:szCs w:val="22"/>
          <w:lang w:val="fr-CA"/>
        </w:rPr>
        <w:noBreakHyphen/>
      </w:r>
      <w:r w:rsidRPr="002D6CEA">
        <w:rPr>
          <w:bCs/>
          <w:iCs/>
          <w:snapToGrid w:val="0"/>
          <w:kern w:val="22"/>
          <w:sz w:val="22"/>
          <w:szCs w:val="22"/>
          <w:lang w:val="fr-CA"/>
        </w:rPr>
        <w:t>7/1, répond entièrement aux demandes de la Convention énoncées au paragraphe 2 de l</w:t>
      </w:r>
      <w:r w:rsidR="00E440F3">
        <w:rPr>
          <w:bCs/>
          <w:iCs/>
          <w:snapToGrid w:val="0"/>
          <w:kern w:val="22"/>
          <w:sz w:val="22"/>
          <w:szCs w:val="22"/>
          <w:lang w:val="fr-CA"/>
        </w:rPr>
        <w:t>’</w:t>
      </w:r>
      <w:r w:rsidRPr="002D6CEA">
        <w:rPr>
          <w:bCs/>
          <w:iCs/>
          <w:snapToGrid w:val="0"/>
          <w:kern w:val="22"/>
          <w:sz w:val="22"/>
          <w:szCs w:val="22"/>
          <w:lang w:val="fr-CA"/>
        </w:rPr>
        <w:t>annexe à la décision </w:t>
      </w:r>
      <w:r w:rsidRPr="002D6CEA">
        <w:rPr>
          <w:bCs/>
          <w:iCs/>
          <w:snapToGrid w:val="0"/>
          <w:spacing w:val="-4"/>
          <w:kern w:val="22"/>
          <w:sz w:val="22"/>
          <w:szCs w:val="22"/>
          <w:lang w:val="fr-CA"/>
        </w:rPr>
        <w:t>14/36. En particulier, les quatre nouveaux produits, à savoir l</w:t>
      </w:r>
      <w:r w:rsidR="00E440F3">
        <w:rPr>
          <w:bCs/>
          <w:iCs/>
          <w:snapToGrid w:val="0"/>
          <w:spacing w:val="-4"/>
          <w:kern w:val="22"/>
          <w:sz w:val="22"/>
          <w:szCs w:val="22"/>
          <w:lang w:val="fr-CA"/>
        </w:rPr>
        <w:t>’</w:t>
      </w:r>
      <w:r w:rsidRPr="002D6CEA">
        <w:rPr>
          <w:bCs/>
          <w:iCs/>
          <w:snapToGrid w:val="0"/>
          <w:spacing w:val="-4"/>
          <w:kern w:val="22"/>
          <w:sz w:val="22"/>
          <w:szCs w:val="22"/>
          <w:lang w:val="fr-CA"/>
        </w:rPr>
        <w:t>évaluation par lien, l</w:t>
      </w:r>
      <w:r w:rsidR="00E440F3">
        <w:rPr>
          <w:bCs/>
          <w:iCs/>
          <w:snapToGrid w:val="0"/>
          <w:spacing w:val="-4"/>
          <w:kern w:val="22"/>
          <w:sz w:val="22"/>
          <w:szCs w:val="22"/>
          <w:lang w:val="fr-CA"/>
        </w:rPr>
        <w:t>’</w:t>
      </w:r>
      <w:r w:rsidRPr="002D6CEA">
        <w:rPr>
          <w:bCs/>
          <w:iCs/>
          <w:snapToGrid w:val="0"/>
          <w:spacing w:val="-4"/>
          <w:kern w:val="22"/>
          <w:sz w:val="22"/>
          <w:szCs w:val="22"/>
          <w:lang w:val="fr-CA"/>
        </w:rPr>
        <w:t>évaluation des changements transformateurs, et l</w:t>
      </w:r>
      <w:r w:rsidR="00E440F3">
        <w:rPr>
          <w:bCs/>
          <w:iCs/>
          <w:snapToGrid w:val="0"/>
          <w:spacing w:val="-4"/>
          <w:kern w:val="22"/>
          <w:sz w:val="22"/>
          <w:szCs w:val="22"/>
          <w:lang w:val="fr-CA"/>
        </w:rPr>
        <w:t>’</w:t>
      </w:r>
      <w:r w:rsidRPr="002D6CEA">
        <w:rPr>
          <w:bCs/>
          <w:iCs/>
          <w:snapToGrid w:val="0"/>
          <w:spacing w:val="-4"/>
          <w:kern w:val="22"/>
          <w:sz w:val="22"/>
          <w:szCs w:val="22"/>
          <w:lang w:val="fr-CA"/>
        </w:rPr>
        <w:t>évaluation entreprises et biodiversité, et le document technique sur la biodiversité et les changements climatiques s</w:t>
      </w:r>
      <w:r w:rsidR="00E440F3">
        <w:rPr>
          <w:bCs/>
          <w:iCs/>
          <w:snapToGrid w:val="0"/>
          <w:spacing w:val="-4"/>
          <w:kern w:val="22"/>
          <w:sz w:val="22"/>
          <w:szCs w:val="22"/>
          <w:lang w:val="fr-CA"/>
        </w:rPr>
        <w:t>’</w:t>
      </w:r>
      <w:r w:rsidRPr="002D6CEA">
        <w:rPr>
          <w:bCs/>
          <w:iCs/>
          <w:snapToGrid w:val="0"/>
          <w:spacing w:val="-4"/>
          <w:kern w:val="22"/>
          <w:sz w:val="22"/>
          <w:szCs w:val="22"/>
          <w:lang w:val="fr-CA"/>
        </w:rPr>
        <w:t>alignent étroitement sur les demandes spécifiques. En outre, bien que le cadre mondial de la biodiversité pour l</w:t>
      </w:r>
      <w:r w:rsidR="00E440F3">
        <w:rPr>
          <w:bCs/>
          <w:iCs/>
          <w:snapToGrid w:val="0"/>
          <w:spacing w:val="-4"/>
          <w:kern w:val="22"/>
          <w:sz w:val="22"/>
          <w:szCs w:val="22"/>
          <w:lang w:val="fr-CA"/>
        </w:rPr>
        <w:t>’</w:t>
      </w:r>
      <w:r w:rsidRPr="002D6CEA">
        <w:rPr>
          <w:bCs/>
          <w:iCs/>
          <w:snapToGrid w:val="0"/>
          <w:spacing w:val="-4"/>
          <w:kern w:val="22"/>
          <w:sz w:val="22"/>
          <w:szCs w:val="22"/>
          <w:lang w:val="fr-CA"/>
        </w:rPr>
        <w:t>après</w:t>
      </w:r>
      <w:r w:rsidR="00E440F3">
        <w:rPr>
          <w:bCs/>
          <w:iCs/>
          <w:snapToGrid w:val="0"/>
          <w:spacing w:val="-4"/>
          <w:kern w:val="22"/>
          <w:sz w:val="22"/>
          <w:szCs w:val="22"/>
          <w:lang w:val="fr-CA"/>
        </w:rPr>
        <w:noBreakHyphen/>
      </w:r>
      <w:r w:rsidRPr="002D6CEA">
        <w:rPr>
          <w:bCs/>
          <w:iCs/>
          <w:snapToGrid w:val="0"/>
          <w:spacing w:val="-4"/>
          <w:kern w:val="22"/>
          <w:sz w:val="22"/>
          <w:szCs w:val="22"/>
          <w:lang w:val="fr-CA"/>
        </w:rPr>
        <w:t>2020 soit encore en cours d</w:t>
      </w:r>
      <w:r w:rsidR="00E440F3">
        <w:rPr>
          <w:bCs/>
          <w:iCs/>
          <w:snapToGrid w:val="0"/>
          <w:spacing w:val="-4"/>
          <w:kern w:val="22"/>
          <w:sz w:val="22"/>
          <w:szCs w:val="22"/>
          <w:lang w:val="fr-CA"/>
        </w:rPr>
        <w:t>’</w:t>
      </w:r>
      <w:r w:rsidRPr="002D6CEA">
        <w:rPr>
          <w:bCs/>
          <w:iCs/>
          <w:snapToGrid w:val="0"/>
          <w:spacing w:val="-4"/>
          <w:kern w:val="22"/>
          <w:sz w:val="22"/>
          <w:szCs w:val="22"/>
          <w:lang w:val="fr-CA"/>
        </w:rPr>
        <w:t>élaboration, il est clair que chacun des thèmes des évaluations prévues sera hautement pertinent, et il est donc envisagé qu</w:t>
      </w:r>
      <w:r w:rsidR="00E440F3">
        <w:rPr>
          <w:bCs/>
          <w:iCs/>
          <w:snapToGrid w:val="0"/>
          <w:spacing w:val="-4"/>
          <w:kern w:val="22"/>
          <w:sz w:val="22"/>
          <w:szCs w:val="22"/>
          <w:lang w:val="fr-CA"/>
        </w:rPr>
        <w:t>’</w:t>
      </w:r>
      <w:r w:rsidRPr="002D6CEA">
        <w:rPr>
          <w:bCs/>
          <w:iCs/>
          <w:snapToGrid w:val="0"/>
          <w:spacing w:val="-4"/>
          <w:kern w:val="22"/>
          <w:sz w:val="22"/>
          <w:szCs w:val="22"/>
          <w:lang w:val="fr-CA"/>
        </w:rPr>
        <w:t>elles étayeront la mise en œuvre du cadre.</w:t>
      </w:r>
    </w:p>
    <w:p w:rsidR="00E05C6E" w:rsidRPr="002D6CEA" w:rsidRDefault="00F371D3" w:rsidP="00F371D3">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noProof/>
          <w:snapToGrid w:val="0"/>
          <w:spacing w:val="-2"/>
          <w:kern w:val="22"/>
          <w:sz w:val="22"/>
          <w:szCs w:val="22"/>
          <w:lang w:val="fr-CA"/>
        </w:rPr>
      </w:pPr>
      <w:r w:rsidRPr="002D6CEA">
        <w:rPr>
          <w:bCs/>
          <w:iCs/>
          <w:snapToGrid w:val="0"/>
          <w:spacing w:val="-4"/>
          <w:kern w:val="22"/>
          <w:sz w:val="22"/>
          <w:szCs w:val="22"/>
          <w:lang w:val="fr-CA"/>
        </w:rPr>
        <w:t>La décision </w:t>
      </w:r>
      <w:r w:rsidRPr="002D6CEA">
        <w:rPr>
          <w:bCs/>
          <w:iCs/>
          <w:snapToGrid w:val="0"/>
          <w:kern w:val="22"/>
          <w:sz w:val="22"/>
          <w:szCs w:val="22"/>
          <w:lang w:val="fr-CA"/>
        </w:rPr>
        <w:t>IPBES</w:t>
      </w:r>
      <w:r w:rsidR="00E440F3">
        <w:rPr>
          <w:bCs/>
          <w:iCs/>
          <w:snapToGrid w:val="0"/>
          <w:kern w:val="22"/>
          <w:sz w:val="22"/>
          <w:szCs w:val="22"/>
          <w:lang w:val="fr-CA"/>
        </w:rPr>
        <w:noBreakHyphen/>
      </w:r>
      <w:r w:rsidRPr="002D6CEA">
        <w:rPr>
          <w:bCs/>
          <w:iCs/>
          <w:snapToGrid w:val="0"/>
          <w:kern w:val="22"/>
          <w:sz w:val="22"/>
          <w:szCs w:val="22"/>
          <w:lang w:val="fr-CA"/>
        </w:rPr>
        <w:t>7/1 contient également une invitation à examiner le champ d</w:t>
      </w:r>
      <w:r w:rsidR="00E440F3">
        <w:rPr>
          <w:bCs/>
          <w:iCs/>
          <w:snapToGrid w:val="0"/>
          <w:kern w:val="22"/>
          <w:sz w:val="22"/>
          <w:szCs w:val="22"/>
          <w:lang w:val="fr-CA"/>
        </w:rPr>
        <w:t>’</w:t>
      </w:r>
      <w:r w:rsidRPr="002D6CEA">
        <w:rPr>
          <w:bCs/>
          <w:iCs/>
          <w:snapToGrid w:val="0"/>
          <w:kern w:val="22"/>
          <w:sz w:val="22"/>
          <w:szCs w:val="22"/>
          <w:lang w:val="fr-CA"/>
        </w:rPr>
        <w:t>application et le calendrier d</w:t>
      </w:r>
      <w:r w:rsidR="00E440F3">
        <w:rPr>
          <w:bCs/>
          <w:iCs/>
          <w:snapToGrid w:val="0"/>
          <w:kern w:val="22"/>
          <w:sz w:val="22"/>
          <w:szCs w:val="22"/>
          <w:lang w:val="fr-CA"/>
        </w:rPr>
        <w:t>’</w:t>
      </w:r>
      <w:r w:rsidRPr="002D6CEA">
        <w:rPr>
          <w:bCs/>
          <w:iCs/>
          <w:snapToGrid w:val="0"/>
          <w:kern w:val="22"/>
          <w:sz w:val="22"/>
          <w:szCs w:val="22"/>
          <w:lang w:val="fr-CA"/>
        </w:rPr>
        <w:t xml:space="preserve">une future évaluation mondiale. Cette invitation devrait être abordée à la neuvième session de la Plénière (prévue pour la </w:t>
      </w:r>
      <w:r w:rsidRPr="002D6CEA">
        <w:rPr>
          <w:bCs/>
          <w:iCs/>
          <w:noProof/>
          <w:snapToGrid w:val="0"/>
          <w:kern w:val="22"/>
          <w:sz w:val="22"/>
          <w:szCs w:val="22"/>
          <w:lang w:val="fr-CA"/>
        </w:rPr>
        <w:t>première moitié de 2022), lors de laquelle la Plénière réexaminera les demandes, contributions et suggestions reçues suffisamment à l</w:t>
      </w:r>
      <w:r w:rsidR="00E440F3">
        <w:rPr>
          <w:bCs/>
          <w:iCs/>
          <w:noProof/>
          <w:snapToGrid w:val="0"/>
          <w:kern w:val="22"/>
          <w:sz w:val="22"/>
          <w:szCs w:val="22"/>
          <w:lang w:val="fr-CA"/>
        </w:rPr>
        <w:t>’</w:t>
      </w:r>
      <w:r w:rsidRPr="002D6CEA">
        <w:rPr>
          <w:bCs/>
          <w:iCs/>
          <w:noProof/>
          <w:snapToGrid w:val="0"/>
          <w:kern w:val="22"/>
          <w:sz w:val="22"/>
          <w:szCs w:val="22"/>
          <w:lang w:val="fr-CA"/>
        </w:rPr>
        <w:t>avance pour être examinées à ladite session, y compris aux fins d</w:t>
      </w:r>
      <w:r w:rsidR="00E440F3">
        <w:rPr>
          <w:bCs/>
          <w:iCs/>
          <w:noProof/>
          <w:snapToGrid w:val="0"/>
          <w:kern w:val="22"/>
          <w:sz w:val="22"/>
          <w:szCs w:val="22"/>
          <w:lang w:val="fr-CA"/>
        </w:rPr>
        <w:t>’</w:t>
      </w:r>
      <w:r w:rsidRPr="002D6CEA">
        <w:rPr>
          <w:bCs/>
          <w:iCs/>
          <w:noProof/>
          <w:snapToGrid w:val="0"/>
          <w:kern w:val="22"/>
          <w:sz w:val="22"/>
          <w:szCs w:val="22"/>
          <w:lang w:val="fr-CA"/>
        </w:rPr>
        <w:t>une deuxième évaluation mondiale de la biodiversité et des services écosystémiques et d</w:t>
      </w:r>
      <w:r w:rsidR="00E440F3">
        <w:rPr>
          <w:bCs/>
          <w:iCs/>
          <w:noProof/>
          <w:snapToGrid w:val="0"/>
          <w:kern w:val="22"/>
          <w:sz w:val="22"/>
          <w:szCs w:val="22"/>
          <w:lang w:val="fr-CA"/>
        </w:rPr>
        <w:t>’</w:t>
      </w:r>
      <w:r w:rsidRPr="002D6CEA">
        <w:rPr>
          <w:bCs/>
          <w:iCs/>
          <w:noProof/>
          <w:snapToGrid w:val="0"/>
          <w:kern w:val="22"/>
          <w:sz w:val="22"/>
          <w:szCs w:val="22"/>
          <w:lang w:val="fr-CA"/>
        </w:rPr>
        <w:t>une évaluation sur la connectivité écologique (par. 8 de la décision IPBES</w:t>
      </w:r>
      <w:r w:rsidR="00E440F3">
        <w:rPr>
          <w:bCs/>
          <w:iCs/>
          <w:noProof/>
          <w:snapToGrid w:val="0"/>
          <w:kern w:val="22"/>
          <w:sz w:val="22"/>
          <w:szCs w:val="22"/>
          <w:lang w:val="fr-CA"/>
        </w:rPr>
        <w:noBreakHyphen/>
      </w:r>
      <w:r w:rsidRPr="002D6CEA">
        <w:rPr>
          <w:bCs/>
          <w:iCs/>
          <w:noProof/>
          <w:snapToGrid w:val="0"/>
          <w:kern w:val="22"/>
          <w:sz w:val="22"/>
          <w:szCs w:val="22"/>
          <w:lang w:val="fr-CA"/>
        </w:rPr>
        <w:t xml:space="preserve">7/1). La Plénière a également décidé </w:t>
      </w:r>
      <w:r w:rsidRPr="002D6CEA">
        <w:rPr>
          <w:noProof/>
          <w:lang w:val="fr-CA"/>
        </w:rPr>
        <w:t xml:space="preserve">de </w:t>
      </w:r>
      <w:r w:rsidRPr="002D6CEA">
        <w:rPr>
          <w:bCs/>
          <w:iCs/>
          <w:noProof/>
          <w:snapToGrid w:val="0"/>
          <w:kern w:val="22"/>
          <w:sz w:val="22"/>
          <w:szCs w:val="22"/>
          <w:lang w:val="fr-CA"/>
        </w:rPr>
        <w:t>lancer un appel sollicitant de nouvelles demandes, contributions et suggestions concernant le programme de travail, assorti de délais lui permettant de procéder à un examen à sa dixième session (qui devrait se tenir au cours de la première moitié de 2023), et de déterminer à cette même session s</w:t>
      </w:r>
      <w:r w:rsidR="00E440F3">
        <w:rPr>
          <w:bCs/>
          <w:iCs/>
          <w:noProof/>
          <w:snapToGrid w:val="0"/>
          <w:kern w:val="22"/>
          <w:sz w:val="22"/>
          <w:szCs w:val="22"/>
          <w:lang w:val="fr-CA"/>
        </w:rPr>
        <w:t>’</w:t>
      </w:r>
      <w:r w:rsidRPr="002D6CEA">
        <w:rPr>
          <w:bCs/>
          <w:iCs/>
          <w:noProof/>
          <w:snapToGrid w:val="0"/>
          <w:kern w:val="22"/>
          <w:sz w:val="22"/>
          <w:szCs w:val="22"/>
          <w:lang w:val="fr-CA"/>
        </w:rPr>
        <w:t>il faut organiser d</w:t>
      </w:r>
      <w:r w:rsidR="00E440F3">
        <w:rPr>
          <w:bCs/>
          <w:iCs/>
          <w:noProof/>
          <w:snapToGrid w:val="0"/>
          <w:kern w:val="22"/>
          <w:sz w:val="22"/>
          <w:szCs w:val="22"/>
          <w:lang w:val="fr-CA"/>
        </w:rPr>
        <w:t>’</w:t>
      </w:r>
      <w:r w:rsidRPr="002D6CEA">
        <w:rPr>
          <w:bCs/>
          <w:iCs/>
          <w:noProof/>
          <w:snapToGrid w:val="0"/>
          <w:kern w:val="22"/>
          <w:sz w:val="22"/>
          <w:szCs w:val="22"/>
          <w:lang w:val="fr-CA"/>
        </w:rPr>
        <w:t xml:space="preserve">autres appels et, le cas échéant, à quel moment </w:t>
      </w:r>
      <w:r w:rsidRPr="002D6CEA">
        <w:rPr>
          <w:bCs/>
          <w:iCs/>
          <w:noProof/>
          <w:snapToGrid w:val="0"/>
          <w:spacing w:val="-4"/>
          <w:kern w:val="22"/>
          <w:sz w:val="22"/>
          <w:szCs w:val="22"/>
          <w:lang w:val="fr-CA"/>
        </w:rPr>
        <w:t>(par. 2 de la décision IPBES</w:t>
      </w:r>
      <w:r w:rsidR="00E440F3">
        <w:rPr>
          <w:bCs/>
          <w:iCs/>
          <w:noProof/>
          <w:snapToGrid w:val="0"/>
          <w:spacing w:val="-4"/>
          <w:kern w:val="22"/>
          <w:sz w:val="22"/>
          <w:szCs w:val="22"/>
          <w:lang w:val="fr-CA"/>
        </w:rPr>
        <w:noBreakHyphen/>
      </w:r>
      <w:r w:rsidRPr="002D6CEA">
        <w:rPr>
          <w:bCs/>
          <w:iCs/>
          <w:noProof/>
          <w:snapToGrid w:val="0"/>
          <w:spacing w:val="-4"/>
          <w:kern w:val="22"/>
          <w:sz w:val="22"/>
          <w:szCs w:val="22"/>
          <w:lang w:val="fr-CA"/>
        </w:rPr>
        <w:t>7/1)</w:t>
      </w:r>
      <w:r w:rsidR="005E17E8" w:rsidRPr="002D6CEA">
        <w:rPr>
          <w:bCs/>
          <w:iCs/>
          <w:noProof/>
          <w:snapToGrid w:val="0"/>
          <w:spacing w:val="-2"/>
          <w:kern w:val="22"/>
          <w:sz w:val="22"/>
          <w:szCs w:val="22"/>
          <w:lang w:val="fr-CA"/>
        </w:rPr>
        <w:t>.</w:t>
      </w:r>
    </w:p>
    <w:p w:rsidR="00F371D3" w:rsidRPr="002D6CEA" w:rsidRDefault="00F371D3" w:rsidP="00F371D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fr-CA"/>
        </w:rPr>
      </w:pPr>
      <w:r w:rsidRPr="002D6CEA">
        <w:rPr>
          <w:bCs/>
          <w:iCs/>
          <w:noProof/>
          <w:snapToGrid w:val="0"/>
          <w:spacing w:val="-4"/>
          <w:kern w:val="22"/>
          <w:sz w:val="22"/>
          <w:szCs w:val="22"/>
          <w:lang w:val="fr-CA"/>
        </w:rPr>
        <w:t>L</w:t>
      </w:r>
      <w:r w:rsidR="00E440F3">
        <w:rPr>
          <w:bCs/>
          <w:iCs/>
          <w:noProof/>
          <w:snapToGrid w:val="0"/>
          <w:spacing w:val="-4"/>
          <w:kern w:val="22"/>
          <w:sz w:val="22"/>
          <w:szCs w:val="22"/>
          <w:lang w:val="fr-CA"/>
        </w:rPr>
        <w:t>’</w:t>
      </w:r>
      <w:r w:rsidRPr="002D6CEA">
        <w:rPr>
          <w:bCs/>
          <w:iCs/>
          <w:noProof/>
          <w:snapToGrid w:val="0"/>
          <w:spacing w:val="-4"/>
          <w:kern w:val="22"/>
          <w:sz w:val="22"/>
          <w:szCs w:val="22"/>
          <w:lang w:val="fr-CA"/>
        </w:rPr>
        <w:t>Organe subsidiaire pourrait donc souhaiter recommander à la Conférence des Parties qu</w:t>
      </w:r>
      <w:r w:rsidR="00E440F3">
        <w:rPr>
          <w:bCs/>
          <w:iCs/>
          <w:noProof/>
          <w:snapToGrid w:val="0"/>
          <w:spacing w:val="-4"/>
          <w:kern w:val="22"/>
          <w:sz w:val="22"/>
          <w:szCs w:val="22"/>
          <w:lang w:val="fr-CA"/>
        </w:rPr>
        <w:t>’</w:t>
      </w:r>
      <w:r w:rsidRPr="002D6CEA">
        <w:rPr>
          <w:bCs/>
          <w:iCs/>
          <w:noProof/>
          <w:snapToGrid w:val="0"/>
          <w:spacing w:val="-4"/>
          <w:kern w:val="22"/>
          <w:sz w:val="22"/>
          <w:szCs w:val="22"/>
          <w:lang w:val="fr-CA"/>
        </w:rPr>
        <w:t xml:space="preserve">elle précise sa demande pour une </w:t>
      </w:r>
      <w:r w:rsidRPr="002D6CEA">
        <w:rPr>
          <w:bCs/>
          <w:iCs/>
          <w:noProof/>
          <w:snapToGrid w:val="0"/>
          <w:kern w:val="22"/>
          <w:sz w:val="22"/>
          <w:szCs w:val="22"/>
          <w:lang w:val="fr-CA"/>
        </w:rPr>
        <w:t>deuxième évaluation mondiale de la biodiversité et des services écosystémiques en termes de portée et de calendrier afin d</w:t>
      </w:r>
      <w:r w:rsidR="00E440F3">
        <w:rPr>
          <w:bCs/>
          <w:iCs/>
          <w:noProof/>
          <w:snapToGrid w:val="0"/>
          <w:kern w:val="22"/>
          <w:sz w:val="22"/>
          <w:szCs w:val="22"/>
          <w:lang w:val="fr-CA"/>
        </w:rPr>
        <w:t>’</w:t>
      </w:r>
      <w:r w:rsidRPr="002D6CEA">
        <w:rPr>
          <w:bCs/>
          <w:iCs/>
          <w:noProof/>
          <w:snapToGrid w:val="0"/>
          <w:kern w:val="22"/>
          <w:sz w:val="22"/>
          <w:szCs w:val="22"/>
          <w:lang w:val="fr-CA"/>
        </w:rPr>
        <w:t>assurer que l</w:t>
      </w:r>
      <w:r w:rsidR="00E440F3">
        <w:rPr>
          <w:bCs/>
          <w:iCs/>
          <w:noProof/>
          <w:snapToGrid w:val="0"/>
          <w:kern w:val="22"/>
          <w:sz w:val="22"/>
          <w:szCs w:val="22"/>
          <w:lang w:val="fr-CA"/>
        </w:rPr>
        <w:t>’</w:t>
      </w:r>
      <w:r w:rsidRPr="002D6CEA">
        <w:rPr>
          <w:bCs/>
          <w:iCs/>
          <w:noProof/>
          <w:snapToGrid w:val="0"/>
          <w:kern w:val="22"/>
          <w:sz w:val="22"/>
          <w:szCs w:val="22"/>
          <w:lang w:val="fr-CA"/>
        </w:rPr>
        <w:t>évaluation réponde aux besoins du cadre mondial de</w:t>
      </w:r>
      <w:r w:rsidRPr="002D6CEA">
        <w:rPr>
          <w:bCs/>
          <w:iCs/>
          <w:snapToGrid w:val="0"/>
          <w:kern w:val="22"/>
          <w:sz w:val="22"/>
          <w:szCs w:val="22"/>
          <w:lang w:val="fr-CA"/>
        </w:rPr>
        <w:t xml:space="preserve"> la biodiversité pour l</w:t>
      </w:r>
      <w:r w:rsidR="00E440F3">
        <w:rPr>
          <w:bCs/>
          <w:iCs/>
          <w:snapToGrid w:val="0"/>
          <w:kern w:val="22"/>
          <w:sz w:val="22"/>
          <w:szCs w:val="22"/>
          <w:lang w:val="fr-CA"/>
        </w:rPr>
        <w:t>’</w:t>
      </w:r>
      <w:r w:rsidRPr="002D6CEA">
        <w:rPr>
          <w:bCs/>
          <w:iCs/>
          <w:snapToGrid w:val="0"/>
          <w:kern w:val="22"/>
          <w:sz w:val="22"/>
          <w:szCs w:val="22"/>
          <w:lang w:val="fr-CA"/>
        </w:rPr>
        <w:t>après</w:t>
      </w:r>
      <w:r w:rsidR="00E440F3">
        <w:rPr>
          <w:bCs/>
          <w:iCs/>
          <w:snapToGrid w:val="0"/>
          <w:kern w:val="22"/>
          <w:sz w:val="22"/>
          <w:szCs w:val="22"/>
          <w:lang w:val="fr-CA"/>
        </w:rPr>
        <w:noBreakHyphen/>
      </w:r>
      <w:r w:rsidRPr="002D6CEA">
        <w:rPr>
          <w:bCs/>
          <w:iCs/>
          <w:snapToGrid w:val="0"/>
          <w:kern w:val="22"/>
          <w:sz w:val="22"/>
          <w:szCs w:val="22"/>
          <w:lang w:val="fr-CA"/>
        </w:rPr>
        <w:t>2020.</w:t>
      </w:r>
    </w:p>
    <w:p w:rsidR="00F371D3" w:rsidRPr="002D6CEA" w:rsidRDefault="00F371D3" w:rsidP="00F371D3">
      <w:pPr>
        <w:numPr>
          <w:ilvl w:val="0"/>
          <w:numId w:val="6"/>
        </w:numPr>
        <w:suppressLineNumbers/>
        <w:suppressAutoHyphens/>
        <w:kinsoku w:val="0"/>
        <w:overflowPunct w:val="0"/>
        <w:autoSpaceDE w:val="0"/>
        <w:autoSpaceDN w:val="0"/>
        <w:spacing w:before="120" w:after="120"/>
        <w:ind w:left="0" w:firstLine="0"/>
        <w:jc w:val="both"/>
        <w:rPr>
          <w:noProof/>
          <w:kern w:val="22"/>
          <w:sz w:val="22"/>
          <w:szCs w:val="22"/>
          <w:lang w:val="fr-CA"/>
        </w:rPr>
      </w:pPr>
      <w:r w:rsidRPr="002D6CEA">
        <w:rPr>
          <w:bCs/>
          <w:iCs/>
          <w:snapToGrid w:val="0"/>
          <w:spacing w:val="-4"/>
          <w:kern w:val="22"/>
          <w:sz w:val="22"/>
          <w:szCs w:val="22"/>
          <w:lang w:val="fr-CA"/>
        </w:rPr>
        <w:lastRenderedPageBreak/>
        <w:t>L</w:t>
      </w:r>
      <w:r w:rsidR="00E440F3">
        <w:rPr>
          <w:bCs/>
          <w:iCs/>
          <w:snapToGrid w:val="0"/>
          <w:spacing w:val="-4"/>
          <w:kern w:val="22"/>
          <w:sz w:val="22"/>
          <w:szCs w:val="22"/>
          <w:lang w:val="fr-CA"/>
        </w:rPr>
        <w:t>’</w:t>
      </w:r>
      <w:r w:rsidRPr="002D6CEA">
        <w:rPr>
          <w:bCs/>
          <w:iCs/>
          <w:snapToGrid w:val="0"/>
          <w:spacing w:val="-4"/>
          <w:kern w:val="22"/>
          <w:sz w:val="22"/>
          <w:szCs w:val="22"/>
          <w:lang w:val="fr-CA"/>
        </w:rPr>
        <w:t>Organe subsidiaire pourrait également souhaiter examiner s</w:t>
      </w:r>
      <w:r w:rsidR="00E440F3">
        <w:rPr>
          <w:bCs/>
          <w:iCs/>
          <w:snapToGrid w:val="0"/>
          <w:spacing w:val="-4"/>
          <w:kern w:val="22"/>
          <w:sz w:val="22"/>
          <w:szCs w:val="22"/>
          <w:lang w:val="fr-CA"/>
        </w:rPr>
        <w:t>’</w:t>
      </w:r>
      <w:r w:rsidRPr="002D6CEA">
        <w:rPr>
          <w:bCs/>
          <w:iCs/>
          <w:snapToGrid w:val="0"/>
          <w:spacing w:val="-4"/>
          <w:kern w:val="22"/>
          <w:sz w:val="22"/>
          <w:szCs w:val="22"/>
          <w:lang w:val="fr-CA"/>
        </w:rPr>
        <w:t>il est nécessaire que la Conférence des Parties soumette à la Plateforme de nouvelles demandes pour étayer la mise en œuvre du cadre mondial de la biodiversité pour l</w:t>
      </w:r>
      <w:r w:rsidR="00E440F3">
        <w:rPr>
          <w:bCs/>
          <w:iCs/>
          <w:snapToGrid w:val="0"/>
          <w:spacing w:val="-4"/>
          <w:kern w:val="22"/>
          <w:sz w:val="22"/>
          <w:szCs w:val="22"/>
          <w:lang w:val="fr-CA"/>
        </w:rPr>
        <w:t>’</w:t>
      </w:r>
      <w:r w:rsidRPr="002D6CEA">
        <w:rPr>
          <w:bCs/>
          <w:iCs/>
          <w:snapToGrid w:val="0"/>
          <w:spacing w:val="-4"/>
          <w:kern w:val="22"/>
          <w:sz w:val="22"/>
          <w:szCs w:val="22"/>
          <w:lang w:val="fr-CA"/>
        </w:rPr>
        <w:t>après</w:t>
      </w:r>
      <w:r w:rsidR="00E440F3">
        <w:rPr>
          <w:bCs/>
          <w:iCs/>
          <w:snapToGrid w:val="0"/>
          <w:spacing w:val="-4"/>
          <w:kern w:val="22"/>
          <w:sz w:val="22"/>
          <w:szCs w:val="22"/>
          <w:lang w:val="fr-CA"/>
        </w:rPr>
        <w:noBreakHyphen/>
      </w:r>
      <w:r w:rsidRPr="002D6CEA">
        <w:rPr>
          <w:bCs/>
          <w:iCs/>
          <w:snapToGrid w:val="0"/>
          <w:spacing w:val="-4"/>
          <w:kern w:val="22"/>
          <w:sz w:val="22"/>
          <w:szCs w:val="22"/>
          <w:lang w:val="fr-CA"/>
        </w:rPr>
        <w:t>2020. Compte tenu de la nécessité de renforcer les processus de suivi et d</w:t>
      </w:r>
      <w:r w:rsidR="00E440F3">
        <w:rPr>
          <w:bCs/>
          <w:iCs/>
          <w:snapToGrid w:val="0"/>
          <w:spacing w:val="-4"/>
          <w:kern w:val="22"/>
          <w:sz w:val="22"/>
          <w:szCs w:val="22"/>
          <w:lang w:val="fr-CA"/>
        </w:rPr>
        <w:t>’</w:t>
      </w:r>
      <w:r w:rsidRPr="002D6CEA">
        <w:rPr>
          <w:bCs/>
          <w:iCs/>
          <w:snapToGrid w:val="0"/>
          <w:spacing w:val="-4"/>
          <w:kern w:val="22"/>
          <w:sz w:val="22"/>
          <w:szCs w:val="22"/>
          <w:lang w:val="fr-CA"/>
        </w:rPr>
        <w:t>examen au titre de la Convention, un domaine de travail potentiellement pertinent qui n</w:t>
      </w:r>
      <w:r w:rsidR="00E440F3">
        <w:rPr>
          <w:bCs/>
          <w:iCs/>
          <w:snapToGrid w:val="0"/>
          <w:spacing w:val="-4"/>
          <w:kern w:val="22"/>
          <w:sz w:val="22"/>
          <w:szCs w:val="22"/>
          <w:lang w:val="fr-CA"/>
        </w:rPr>
        <w:t>’</w:t>
      </w:r>
      <w:r w:rsidRPr="002D6CEA">
        <w:rPr>
          <w:bCs/>
          <w:iCs/>
          <w:snapToGrid w:val="0"/>
          <w:spacing w:val="-4"/>
          <w:kern w:val="22"/>
          <w:sz w:val="22"/>
          <w:szCs w:val="22"/>
          <w:lang w:val="fr-CA"/>
        </w:rPr>
        <w:t xml:space="preserve">a pas encore été envisagé pourrait porter sur le soutien méthodologique visant à aider et à étayer, au niveau </w:t>
      </w:r>
      <w:r w:rsidRPr="002D6CEA">
        <w:rPr>
          <w:bCs/>
          <w:iCs/>
          <w:noProof/>
          <w:snapToGrid w:val="0"/>
          <w:spacing w:val="-4"/>
          <w:kern w:val="22"/>
          <w:sz w:val="22"/>
          <w:szCs w:val="22"/>
          <w:lang w:val="fr-CA"/>
        </w:rPr>
        <w:t>national, le suivi et l</w:t>
      </w:r>
      <w:r w:rsidR="00E440F3">
        <w:rPr>
          <w:bCs/>
          <w:iCs/>
          <w:noProof/>
          <w:snapToGrid w:val="0"/>
          <w:spacing w:val="-4"/>
          <w:kern w:val="22"/>
          <w:sz w:val="22"/>
          <w:szCs w:val="22"/>
          <w:lang w:val="fr-CA"/>
        </w:rPr>
        <w:t>’</w:t>
      </w:r>
      <w:r w:rsidRPr="002D6CEA">
        <w:rPr>
          <w:bCs/>
          <w:iCs/>
          <w:noProof/>
          <w:snapToGrid w:val="0"/>
          <w:spacing w:val="-4"/>
          <w:kern w:val="22"/>
          <w:sz w:val="22"/>
          <w:szCs w:val="22"/>
          <w:lang w:val="fr-CA"/>
        </w:rPr>
        <w:t>établissement de rapports relatifs à l</w:t>
      </w:r>
      <w:r w:rsidR="00E440F3">
        <w:rPr>
          <w:bCs/>
          <w:iCs/>
          <w:noProof/>
          <w:snapToGrid w:val="0"/>
          <w:spacing w:val="-4"/>
          <w:kern w:val="22"/>
          <w:sz w:val="22"/>
          <w:szCs w:val="22"/>
          <w:lang w:val="fr-CA"/>
        </w:rPr>
        <w:t>’</w:t>
      </w:r>
      <w:r w:rsidRPr="002D6CEA">
        <w:rPr>
          <w:bCs/>
          <w:iCs/>
          <w:noProof/>
          <w:snapToGrid w:val="0"/>
          <w:spacing w:val="-4"/>
          <w:kern w:val="22"/>
          <w:sz w:val="22"/>
          <w:szCs w:val="22"/>
          <w:lang w:val="fr-CA"/>
        </w:rPr>
        <w:t>état et aux tendances de la biodiversité et des services écosystémiques et aux moteurs de leur transformation.</w:t>
      </w:r>
    </w:p>
    <w:p w:rsidR="006E6058" w:rsidRPr="002D6CEA" w:rsidRDefault="00F371D3" w:rsidP="00F371D3">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noProof/>
          <w:snapToGrid w:val="0"/>
          <w:kern w:val="22"/>
          <w:sz w:val="22"/>
          <w:szCs w:val="22"/>
          <w:lang w:val="fr-CA"/>
        </w:rPr>
      </w:pPr>
      <w:r w:rsidRPr="002D6CEA">
        <w:rPr>
          <w:noProof/>
          <w:kern w:val="22"/>
          <w:sz w:val="22"/>
          <w:szCs w:val="22"/>
          <w:lang w:val="fr-CA"/>
        </w:rPr>
        <w:t>Ces suggestions sont reflétées dans les propositions de recommandation (section V ci</w:t>
      </w:r>
      <w:r w:rsidR="00E440F3">
        <w:rPr>
          <w:noProof/>
          <w:kern w:val="22"/>
          <w:sz w:val="22"/>
          <w:szCs w:val="22"/>
          <w:lang w:val="fr-CA"/>
        </w:rPr>
        <w:noBreakHyphen/>
      </w:r>
      <w:r w:rsidRPr="002D6CEA">
        <w:rPr>
          <w:noProof/>
          <w:kern w:val="22"/>
          <w:sz w:val="22"/>
          <w:szCs w:val="22"/>
          <w:lang w:val="fr-CA"/>
        </w:rPr>
        <w:t>dessous)</w:t>
      </w:r>
      <w:r w:rsidR="006E6058" w:rsidRPr="002D6CEA">
        <w:rPr>
          <w:noProof/>
          <w:snapToGrid w:val="0"/>
          <w:kern w:val="22"/>
          <w:sz w:val="22"/>
          <w:szCs w:val="22"/>
          <w:lang w:val="fr-CA"/>
        </w:rPr>
        <w:t>.</w:t>
      </w:r>
    </w:p>
    <w:p w:rsidR="00A76CC9" w:rsidRPr="002D6CEA" w:rsidRDefault="00D5520D" w:rsidP="00766960">
      <w:pPr>
        <w:pStyle w:val="ListParagraph"/>
        <w:keepNext/>
        <w:numPr>
          <w:ilvl w:val="0"/>
          <w:numId w:val="14"/>
        </w:numPr>
        <w:suppressLineNumbers/>
        <w:tabs>
          <w:tab w:val="left" w:pos="426"/>
        </w:tabs>
        <w:suppressAutoHyphens/>
        <w:kinsoku w:val="0"/>
        <w:overflowPunct w:val="0"/>
        <w:autoSpaceDE w:val="0"/>
        <w:autoSpaceDN w:val="0"/>
        <w:adjustRightInd w:val="0"/>
        <w:snapToGrid w:val="0"/>
        <w:spacing w:before="120" w:after="120" w:line="235" w:lineRule="auto"/>
        <w:ind w:left="0" w:firstLine="0"/>
        <w:contextualSpacing w:val="0"/>
        <w:jc w:val="center"/>
        <w:outlineLvl w:val="0"/>
        <w:rPr>
          <w:b/>
          <w:caps/>
          <w:snapToGrid w:val="0"/>
          <w:kern w:val="22"/>
          <w:sz w:val="22"/>
          <w:szCs w:val="22"/>
          <w:lang w:val="fr-CA"/>
        </w:rPr>
      </w:pPr>
      <w:r w:rsidRPr="002D6CEA">
        <w:rPr>
          <w:b/>
          <w:caps/>
          <w:kern w:val="22"/>
          <w:sz w:val="22"/>
          <w:szCs w:val="22"/>
          <w:lang w:val="fr-CA"/>
        </w:rPr>
        <w:t>proposition de recommandation</w:t>
      </w:r>
    </w:p>
    <w:p w:rsidR="00A76CC9" w:rsidRPr="002D6CEA" w:rsidRDefault="00D5520D" w:rsidP="00766960">
      <w:pPr>
        <w:pStyle w:val="ListParagraph"/>
        <w:numPr>
          <w:ilvl w:val="0"/>
          <w:numId w:val="6"/>
        </w:numPr>
        <w:suppressLineNumbers/>
        <w:suppressAutoHyphens/>
        <w:kinsoku w:val="0"/>
        <w:overflowPunct w:val="0"/>
        <w:autoSpaceDE w:val="0"/>
        <w:autoSpaceDN w:val="0"/>
        <w:adjustRightInd w:val="0"/>
        <w:snapToGrid w:val="0"/>
        <w:spacing w:before="120" w:after="120" w:line="235" w:lineRule="auto"/>
        <w:ind w:left="0" w:firstLine="0"/>
        <w:contextualSpacing w:val="0"/>
        <w:jc w:val="both"/>
        <w:rPr>
          <w:snapToGrid w:val="0"/>
          <w:kern w:val="22"/>
          <w:sz w:val="22"/>
          <w:szCs w:val="22"/>
          <w:lang w:val="fr-CA"/>
        </w:rPr>
      </w:pPr>
      <w:r w:rsidRPr="002D6CEA">
        <w:rPr>
          <w:kern w:val="22"/>
          <w:sz w:val="22"/>
          <w:szCs w:val="22"/>
          <w:lang w:val="fr-CA"/>
        </w:rPr>
        <w:t>L</w:t>
      </w:r>
      <w:r w:rsidR="00E440F3">
        <w:rPr>
          <w:kern w:val="22"/>
          <w:sz w:val="22"/>
          <w:szCs w:val="22"/>
          <w:lang w:val="fr-CA"/>
        </w:rPr>
        <w:t>’</w:t>
      </w:r>
      <w:r w:rsidRPr="002D6CEA">
        <w:rPr>
          <w:kern w:val="22"/>
          <w:sz w:val="22"/>
          <w:szCs w:val="22"/>
          <w:lang w:val="fr-CA"/>
        </w:rPr>
        <w:t>Organe subsidiaire chargé de fournir des avis scientifiques, techniques et technologiques pourrait souhaiter recommander qu</w:t>
      </w:r>
      <w:r w:rsidR="00E440F3">
        <w:rPr>
          <w:kern w:val="22"/>
          <w:sz w:val="22"/>
          <w:szCs w:val="22"/>
          <w:lang w:val="fr-CA"/>
        </w:rPr>
        <w:t>’</w:t>
      </w:r>
      <w:r w:rsidRPr="002D6CEA">
        <w:rPr>
          <w:kern w:val="22"/>
          <w:sz w:val="22"/>
          <w:szCs w:val="22"/>
          <w:lang w:val="fr-CA"/>
        </w:rPr>
        <w:t>à sa quinzième réunion, la Conférence des Parties adopte une décision qui s</w:t>
      </w:r>
      <w:r w:rsidR="00E440F3">
        <w:rPr>
          <w:kern w:val="22"/>
          <w:sz w:val="22"/>
          <w:szCs w:val="22"/>
          <w:lang w:val="fr-CA"/>
        </w:rPr>
        <w:t>’</w:t>
      </w:r>
      <w:r w:rsidRPr="002D6CEA">
        <w:rPr>
          <w:kern w:val="22"/>
          <w:sz w:val="22"/>
          <w:szCs w:val="22"/>
          <w:lang w:val="fr-CA"/>
        </w:rPr>
        <w:t>aligne sur ce qui suit, en complément du projet de décision figurant dans la décision 23/1 :</w:t>
      </w:r>
    </w:p>
    <w:p w:rsidR="00A76CC9" w:rsidRPr="002D6CEA" w:rsidRDefault="002D6CEA" w:rsidP="00766960">
      <w:pPr>
        <w:suppressLineNumbers/>
        <w:suppressAutoHyphens/>
        <w:kinsoku w:val="0"/>
        <w:overflowPunct w:val="0"/>
        <w:autoSpaceDE w:val="0"/>
        <w:autoSpaceDN w:val="0"/>
        <w:adjustRightInd w:val="0"/>
        <w:snapToGrid w:val="0"/>
        <w:spacing w:before="120" w:after="120" w:line="235" w:lineRule="auto"/>
        <w:ind w:left="720"/>
        <w:jc w:val="both"/>
        <w:rPr>
          <w:i/>
          <w:iCs/>
          <w:snapToGrid w:val="0"/>
          <w:kern w:val="22"/>
          <w:sz w:val="22"/>
          <w:szCs w:val="22"/>
          <w:lang w:val="fr-CA"/>
        </w:rPr>
      </w:pPr>
      <w:r w:rsidRPr="002D6CEA">
        <w:rPr>
          <w:i/>
          <w:iCs/>
          <w:kern w:val="22"/>
          <w:sz w:val="22"/>
          <w:szCs w:val="22"/>
          <w:lang w:val="fr-CA"/>
        </w:rPr>
        <w:t>La Conférence des Parties</w:t>
      </w:r>
      <w:r w:rsidR="00A76CC9" w:rsidRPr="002D6CEA">
        <w:rPr>
          <w:i/>
          <w:iCs/>
          <w:snapToGrid w:val="0"/>
          <w:kern w:val="22"/>
          <w:sz w:val="22"/>
          <w:szCs w:val="22"/>
          <w:lang w:val="fr-CA"/>
        </w:rPr>
        <w:t>,</w:t>
      </w:r>
    </w:p>
    <w:p w:rsidR="004D2E49" w:rsidRPr="002D6CEA" w:rsidRDefault="002D6CEA"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fr-CA"/>
        </w:rPr>
      </w:pPr>
      <w:r w:rsidRPr="002D6CEA">
        <w:rPr>
          <w:i/>
          <w:iCs/>
          <w:kern w:val="22"/>
          <w:sz w:val="22"/>
          <w:szCs w:val="22"/>
          <w:lang w:val="fr-CA"/>
        </w:rPr>
        <w:t>Rappelant les décisions 12/25 et 14/36</w:t>
      </w:r>
      <w:r w:rsidR="003A522C" w:rsidRPr="002D6CEA">
        <w:rPr>
          <w:snapToGrid w:val="0"/>
          <w:kern w:val="22"/>
          <w:sz w:val="22"/>
          <w:szCs w:val="22"/>
          <w:lang w:val="fr-CA"/>
        </w:rPr>
        <w:t>,</w:t>
      </w:r>
    </w:p>
    <w:p w:rsidR="00FF0662" w:rsidRPr="002D6CEA" w:rsidRDefault="002D6CEA" w:rsidP="00766960">
      <w:pPr>
        <w:suppressLineNumbers/>
        <w:suppressAutoHyphens/>
        <w:kinsoku w:val="0"/>
        <w:overflowPunct w:val="0"/>
        <w:autoSpaceDE w:val="0"/>
        <w:autoSpaceDN w:val="0"/>
        <w:adjustRightInd w:val="0"/>
        <w:snapToGrid w:val="0"/>
        <w:spacing w:before="120" w:after="120" w:line="235" w:lineRule="auto"/>
        <w:ind w:firstLine="720"/>
        <w:jc w:val="both"/>
        <w:rPr>
          <w:noProof/>
          <w:snapToGrid w:val="0"/>
          <w:kern w:val="22"/>
          <w:sz w:val="22"/>
          <w:szCs w:val="22"/>
          <w:lang w:val="fr-CA"/>
        </w:rPr>
      </w:pPr>
      <w:r>
        <w:rPr>
          <w:i/>
          <w:iCs/>
          <w:kern w:val="22"/>
          <w:sz w:val="22"/>
          <w:szCs w:val="22"/>
          <w:lang w:val="fr-CA"/>
        </w:rPr>
        <w:t>Rappel</w:t>
      </w:r>
      <w:r w:rsidRPr="002D6CEA">
        <w:rPr>
          <w:i/>
          <w:iCs/>
          <w:kern w:val="22"/>
          <w:sz w:val="22"/>
          <w:szCs w:val="22"/>
          <w:lang w:val="fr-CA"/>
        </w:rPr>
        <w:t xml:space="preserve">ant également </w:t>
      </w:r>
      <w:r w:rsidRPr="002D6CEA">
        <w:rPr>
          <w:iCs/>
          <w:kern w:val="22"/>
          <w:sz w:val="22"/>
          <w:szCs w:val="22"/>
          <w:lang w:val="fr-CA"/>
        </w:rPr>
        <w:t>que l</w:t>
      </w:r>
      <w:r w:rsidR="00E440F3">
        <w:rPr>
          <w:iCs/>
          <w:kern w:val="22"/>
          <w:sz w:val="22"/>
          <w:szCs w:val="22"/>
          <w:lang w:val="fr-CA"/>
        </w:rPr>
        <w:t>’</w:t>
      </w:r>
      <w:r w:rsidRPr="002D6CEA">
        <w:rPr>
          <w:iCs/>
          <w:kern w:val="22"/>
          <w:sz w:val="22"/>
          <w:szCs w:val="22"/>
          <w:lang w:val="fr-CA"/>
        </w:rPr>
        <w:t>Organe subsidiaire chargé de fournir des avis scientifiques, techniques et technologiques a systématiquement examiné chaque rapport d</w:t>
      </w:r>
      <w:r w:rsidR="00E440F3">
        <w:rPr>
          <w:iCs/>
          <w:kern w:val="22"/>
          <w:sz w:val="22"/>
          <w:szCs w:val="22"/>
          <w:lang w:val="fr-CA"/>
        </w:rPr>
        <w:t>’</w:t>
      </w:r>
      <w:r w:rsidRPr="002D6CEA">
        <w:rPr>
          <w:iCs/>
          <w:kern w:val="22"/>
          <w:sz w:val="22"/>
          <w:szCs w:val="22"/>
          <w:lang w:val="fr-CA"/>
        </w:rPr>
        <w:t xml:space="preserve">évaluation élaboré par la Plateforme intergouvernementale </w:t>
      </w:r>
      <w:proofErr w:type="spellStart"/>
      <w:r w:rsidRPr="002D6CEA">
        <w:rPr>
          <w:iCs/>
          <w:kern w:val="22"/>
          <w:sz w:val="22"/>
          <w:szCs w:val="22"/>
          <w:lang w:val="fr-CA"/>
        </w:rPr>
        <w:t>science</w:t>
      </w:r>
      <w:r w:rsidR="00E440F3">
        <w:rPr>
          <w:iCs/>
          <w:kern w:val="22"/>
          <w:sz w:val="22"/>
          <w:szCs w:val="22"/>
          <w:lang w:val="fr-CA"/>
        </w:rPr>
        <w:noBreakHyphen/>
      </w:r>
      <w:r w:rsidRPr="002D6CEA">
        <w:rPr>
          <w:iCs/>
          <w:kern w:val="22"/>
          <w:sz w:val="22"/>
          <w:szCs w:val="22"/>
          <w:lang w:val="fr-CA"/>
        </w:rPr>
        <w:t>politique</w:t>
      </w:r>
      <w:proofErr w:type="spellEnd"/>
      <w:r w:rsidRPr="002D6CEA">
        <w:rPr>
          <w:iCs/>
          <w:kern w:val="22"/>
          <w:sz w:val="22"/>
          <w:szCs w:val="22"/>
          <w:lang w:val="fr-CA"/>
        </w:rPr>
        <w:t xml:space="preserve"> sur la biodiversité et les services </w:t>
      </w:r>
      <w:r w:rsidRPr="002D6CEA">
        <w:rPr>
          <w:iCs/>
          <w:noProof/>
          <w:kern w:val="22"/>
          <w:sz w:val="22"/>
          <w:szCs w:val="22"/>
          <w:lang w:val="fr-CA"/>
        </w:rPr>
        <w:t>écosystémiques et a formulé, dans chaque cas, des recommandations pertinentes pour la considération de la Conférence des Parties, conformément aux procédures établies dans la décision XII/25</w:t>
      </w:r>
      <w:r w:rsidR="0054631B" w:rsidRPr="002D6CEA">
        <w:rPr>
          <w:noProof/>
          <w:snapToGrid w:val="0"/>
          <w:kern w:val="22"/>
          <w:sz w:val="22"/>
          <w:szCs w:val="22"/>
          <w:lang w:val="fr-CA"/>
        </w:rPr>
        <w:t>;</w:t>
      </w:r>
    </w:p>
    <w:p w:rsidR="00FF0662" w:rsidRPr="002D6CE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noProof/>
          <w:snapToGrid w:val="0"/>
          <w:kern w:val="22"/>
          <w:sz w:val="22"/>
          <w:szCs w:val="22"/>
          <w:lang w:val="fr-CA"/>
        </w:rPr>
      </w:pPr>
      <w:r w:rsidRPr="002D6CEA">
        <w:rPr>
          <w:noProof/>
          <w:snapToGrid w:val="0"/>
          <w:kern w:val="22"/>
          <w:sz w:val="22"/>
          <w:szCs w:val="22"/>
          <w:lang w:val="fr-CA"/>
        </w:rPr>
        <w:t>1.</w:t>
      </w:r>
      <w:r w:rsidRPr="002D6CEA">
        <w:rPr>
          <w:noProof/>
          <w:snapToGrid w:val="0"/>
          <w:kern w:val="22"/>
          <w:sz w:val="22"/>
          <w:szCs w:val="22"/>
          <w:lang w:val="fr-CA"/>
        </w:rPr>
        <w:tab/>
      </w:r>
      <w:r w:rsidR="002D6CEA">
        <w:rPr>
          <w:i/>
          <w:iCs/>
          <w:noProof/>
          <w:kern w:val="22"/>
          <w:sz w:val="22"/>
          <w:szCs w:val="22"/>
          <w:lang w:val="fr-CA"/>
        </w:rPr>
        <w:t xml:space="preserve">Se félicite </w:t>
      </w:r>
      <w:r w:rsidR="002D6CEA">
        <w:rPr>
          <w:iCs/>
          <w:noProof/>
          <w:kern w:val="22"/>
          <w:sz w:val="22"/>
          <w:szCs w:val="22"/>
          <w:lang w:val="fr-CA"/>
        </w:rPr>
        <w:t>du programme de travail glissant de la Plateforme pour la période allant jusqu</w:t>
      </w:r>
      <w:r w:rsidR="00E440F3">
        <w:rPr>
          <w:iCs/>
          <w:noProof/>
          <w:kern w:val="22"/>
          <w:sz w:val="22"/>
          <w:szCs w:val="22"/>
          <w:lang w:val="fr-CA"/>
        </w:rPr>
        <w:t>’</w:t>
      </w:r>
      <w:r w:rsidR="002D6CEA">
        <w:rPr>
          <w:iCs/>
          <w:noProof/>
          <w:kern w:val="22"/>
          <w:sz w:val="22"/>
          <w:szCs w:val="22"/>
          <w:lang w:val="fr-CA"/>
        </w:rPr>
        <w:t>en 2030, approuvé par la Plénière de la Plateforme intergouvernementale science</w:t>
      </w:r>
      <w:r w:rsidR="00E440F3">
        <w:rPr>
          <w:iCs/>
          <w:noProof/>
          <w:kern w:val="22"/>
          <w:sz w:val="22"/>
          <w:szCs w:val="22"/>
          <w:lang w:val="fr-CA"/>
        </w:rPr>
        <w:noBreakHyphen/>
      </w:r>
      <w:r w:rsidR="002D6CEA">
        <w:rPr>
          <w:iCs/>
          <w:noProof/>
          <w:kern w:val="22"/>
          <w:sz w:val="22"/>
          <w:szCs w:val="22"/>
          <w:lang w:val="fr-CA"/>
        </w:rPr>
        <w:t>politique sur la biodiversité et les services écosystémiques dans sa décision 7/1, notant avec appréciation que la demande de la Conférence des Parties formulée dans la décision 14/36 a été satisfaite et que, entre autres, a) l</w:t>
      </w:r>
      <w:r w:rsidR="00E440F3">
        <w:rPr>
          <w:iCs/>
          <w:noProof/>
          <w:kern w:val="22"/>
          <w:sz w:val="22"/>
          <w:szCs w:val="22"/>
          <w:lang w:val="fr-CA"/>
        </w:rPr>
        <w:t>’</w:t>
      </w:r>
      <w:r w:rsidR="002D6CEA">
        <w:rPr>
          <w:iCs/>
          <w:noProof/>
          <w:kern w:val="22"/>
          <w:sz w:val="22"/>
          <w:szCs w:val="22"/>
          <w:lang w:val="fr-CA"/>
        </w:rPr>
        <w:t xml:space="preserve">évaluation prévue </w:t>
      </w:r>
      <w:r w:rsidR="002D6CEA" w:rsidRPr="00687EAA">
        <w:rPr>
          <w:iCs/>
          <w:noProof/>
          <w:kern w:val="22"/>
          <w:sz w:val="22"/>
          <w:szCs w:val="22"/>
          <w:lang w:val="fr-CA"/>
        </w:rPr>
        <w:t>des liens d</w:t>
      </w:r>
      <w:r w:rsidR="00E440F3">
        <w:rPr>
          <w:iCs/>
          <w:noProof/>
          <w:kern w:val="22"/>
          <w:sz w:val="22"/>
          <w:szCs w:val="22"/>
          <w:lang w:val="fr-CA"/>
        </w:rPr>
        <w:t>’</w:t>
      </w:r>
      <w:r w:rsidR="002D6CEA" w:rsidRPr="00687EAA">
        <w:rPr>
          <w:iCs/>
          <w:noProof/>
          <w:kern w:val="22"/>
          <w:sz w:val="22"/>
          <w:szCs w:val="22"/>
          <w:lang w:val="fr-CA"/>
        </w:rPr>
        <w:t>interdépendance entre la biodiversité, l</w:t>
      </w:r>
      <w:r w:rsidR="00E440F3">
        <w:rPr>
          <w:iCs/>
          <w:noProof/>
          <w:kern w:val="22"/>
          <w:sz w:val="22"/>
          <w:szCs w:val="22"/>
          <w:lang w:val="fr-CA"/>
        </w:rPr>
        <w:t>’</w:t>
      </w:r>
      <w:r w:rsidR="002D6CEA" w:rsidRPr="00687EAA">
        <w:rPr>
          <w:iCs/>
          <w:noProof/>
          <w:kern w:val="22"/>
          <w:sz w:val="22"/>
          <w:szCs w:val="22"/>
          <w:lang w:val="fr-CA"/>
        </w:rPr>
        <w:t>eau, l</w:t>
      </w:r>
      <w:r w:rsidR="00E440F3">
        <w:rPr>
          <w:iCs/>
          <w:noProof/>
          <w:kern w:val="22"/>
          <w:sz w:val="22"/>
          <w:szCs w:val="22"/>
          <w:lang w:val="fr-CA"/>
        </w:rPr>
        <w:t>’</w:t>
      </w:r>
      <w:r w:rsidR="002D6CEA" w:rsidRPr="00687EAA">
        <w:rPr>
          <w:iCs/>
          <w:noProof/>
          <w:kern w:val="22"/>
          <w:sz w:val="22"/>
          <w:szCs w:val="22"/>
          <w:lang w:val="fr-CA"/>
        </w:rPr>
        <w:t>alimentation et la santé</w:t>
      </w:r>
      <w:r w:rsidR="002D6CEA">
        <w:rPr>
          <w:iCs/>
          <w:noProof/>
          <w:kern w:val="22"/>
          <w:sz w:val="22"/>
          <w:szCs w:val="22"/>
          <w:lang w:val="fr-CA"/>
        </w:rPr>
        <w:t xml:space="preserve"> (évaluation </w:t>
      </w:r>
      <w:r w:rsidR="002D6CEA" w:rsidRPr="00A51142">
        <w:rPr>
          <w:iCs/>
          <w:noProof/>
          <w:kern w:val="22"/>
          <w:sz w:val="22"/>
          <w:szCs w:val="22"/>
          <w:lang w:val="fr-CA"/>
        </w:rPr>
        <w:t>par lien</w:t>
      </w:r>
      <w:r w:rsidR="002D6CEA">
        <w:rPr>
          <w:iCs/>
          <w:noProof/>
          <w:kern w:val="22"/>
          <w:sz w:val="22"/>
          <w:szCs w:val="22"/>
          <w:lang w:val="fr-CA"/>
        </w:rPr>
        <w:t>); b) l</w:t>
      </w:r>
      <w:r w:rsidR="00E440F3">
        <w:rPr>
          <w:iCs/>
          <w:noProof/>
          <w:kern w:val="22"/>
          <w:sz w:val="22"/>
          <w:szCs w:val="22"/>
          <w:lang w:val="fr-CA"/>
        </w:rPr>
        <w:t>’</w:t>
      </w:r>
      <w:r w:rsidR="002D6CEA">
        <w:rPr>
          <w:iCs/>
          <w:noProof/>
          <w:kern w:val="22"/>
          <w:sz w:val="22"/>
          <w:szCs w:val="22"/>
          <w:lang w:val="fr-CA"/>
        </w:rPr>
        <w:t xml:space="preserve">évaluation prévue des causes </w:t>
      </w:r>
      <w:r w:rsidR="002D6CEA" w:rsidRPr="00687EAA">
        <w:rPr>
          <w:iCs/>
          <w:noProof/>
          <w:kern w:val="22"/>
          <w:sz w:val="22"/>
          <w:szCs w:val="22"/>
          <w:lang w:val="fr-CA"/>
        </w:rPr>
        <w:t>profondes de l</w:t>
      </w:r>
      <w:r w:rsidR="00E440F3">
        <w:rPr>
          <w:iCs/>
          <w:noProof/>
          <w:kern w:val="22"/>
          <w:sz w:val="22"/>
          <w:szCs w:val="22"/>
          <w:lang w:val="fr-CA"/>
        </w:rPr>
        <w:t>’</w:t>
      </w:r>
      <w:r w:rsidR="002D6CEA" w:rsidRPr="00687EAA">
        <w:rPr>
          <w:iCs/>
          <w:noProof/>
          <w:kern w:val="22"/>
          <w:sz w:val="22"/>
          <w:szCs w:val="22"/>
          <w:lang w:val="fr-CA"/>
        </w:rPr>
        <w:t>érosion de la biodiversité et des déterminants des changements transformateurs</w:t>
      </w:r>
      <w:r w:rsidR="002D6CEA">
        <w:rPr>
          <w:iCs/>
          <w:noProof/>
          <w:kern w:val="22"/>
          <w:sz w:val="22"/>
          <w:szCs w:val="22"/>
          <w:lang w:val="fr-CA"/>
        </w:rPr>
        <w:t xml:space="preserve"> et les solutions pour réaliser la Vision 2050 pour la diversité biologique (évaluation des changements transformateurs); et c) l</w:t>
      </w:r>
      <w:r w:rsidR="00E440F3">
        <w:rPr>
          <w:iCs/>
          <w:noProof/>
          <w:kern w:val="22"/>
          <w:sz w:val="22"/>
          <w:szCs w:val="22"/>
          <w:lang w:val="fr-CA"/>
        </w:rPr>
        <w:t>’</w:t>
      </w:r>
      <w:r w:rsidR="002D6CEA">
        <w:rPr>
          <w:iCs/>
          <w:noProof/>
          <w:kern w:val="22"/>
          <w:sz w:val="22"/>
          <w:szCs w:val="22"/>
          <w:lang w:val="fr-CA"/>
        </w:rPr>
        <w:t>évaluation méthodologique prévue de l</w:t>
      </w:r>
      <w:r w:rsidR="00E440F3">
        <w:rPr>
          <w:iCs/>
          <w:noProof/>
          <w:kern w:val="22"/>
          <w:sz w:val="22"/>
          <w:szCs w:val="22"/>
          <w:lang w:val="fr-CA"/>
        </w:rPr>
        <w:t>’</w:t>
      </w:r>
      <w:r w:rsidR="002D6CEA" w:rsidRPr="0039666B">
        <w:rPr>
          <w:iCs/>
          <w:noProof/>
          <w:kern w:val="22"/>
          <w:sz w:val="22"/>
          <w:szCs w:val="22"/>
          <w:lang w:val="fr-CA"/>
        </w:rPr>
        <w:t xml:space="preserve">impact et </w:t>
      </w:r>
      <w:r w:rsidR="002D6CEA">
        <w:rPr>
          <w:iCs/>
          <w:noProof/>
          <w:kern w:val="22"/>
          <w:sz w:val="22"/>
          <w:szCs w:val="22"/>
          <w:lang w:val="fr-CA"/>
        </w:rPr>
        <w:t xml:space="preserve">de </w:t>
      </w:r>
      <w:r w:rsidR="002D6CEA" w:rsidRPr="0039666B">
        <w:rPr>
          <w:iCs/>
          <w:noProof/>
          <w:kern w:val="22"/>
          <w:sz w:val="22"/>
          <w:szCs w:val="22"/>
          <w:lang w:val="fr-CA"/>
        </w:rPr>
        <w:t>la dépendance des entreprises à l</w:t>
      </w:r>
      <w:r w:rsidR="00E440F3">
        <w:rPr>
          <w:iCs/>
          <w:noProof/>
          <w:kern w:val="22"/>
          <w:sz w:val="22"/>
          <w:szCs w:val="22"/>
          <w:lang w:val="fr-CA"/>
        </w:rPr>
        <w:t>’</w:t>
      </w:r>
      <w:r w:rsidR="002D6CEA" w:rsidRPr="0039666B">
        <w:rPr>
          <w:iCs/>
          <w:noProof/>
          <w:kern w:val="22"/>
          <w:sz w:val="22"/>
          <w:szCs w:val="22"/>
          <w:lang w:val="fr-CA"/>
        </w:rPr>
        <w:t>égard de la biodiversité et des contribution</w:t>
      </w:r>
      <w:r w:rsidR="002D6CEA">
        <w:rPr>
          <w:iCs/>
          <w:noProof/>
          <w:kern w:val="22"/>
          <w:sz w:val="22"/>
          <w:szCs w:val="22"/>
          <w:lang w:val="fr-CA"/>
        </w:rPr>
        <w:t>s de la nature aux populations (évaluation entreprises et biodiversité) sont censées contribuer à la mise en œuvre du cadre mondial de la biodiversité pour l</w:t>
      </w:r>
      <w:r w:rsidR="00E440F3">
        <w:rPr>
          <w:iCs/>
          <w:noProof/>
          <w:kern w:val="22"/>
          <w:sz w:val="22"/>
          <w:szCs w:val="22"/>
          <w:lang w:val="fr-CA"/>
        </w:rPr>
        <w:t>’</w:t>
      </w:r>
      <w:r w:rsidR="002D6CEA">
        <w:rPr>
          <w:iCs/>
          <w:noProof/>
          <w:kern w:val="22"/>
          <w:sz w:val="22"/>
          <w:szCs w:val="22"/>
          <w:lang w:val="fr-CA"/>
        </w:rPr>
        <w:t>après</w:t>
      </w:r>
      <w:r w:rsidR="00E440F3">
        <w:rPr>
          <w:iCs/>
          <w:noProof/>
          <w:kern w:val="22"/>
          <w:sz w:val="22"/>
          <w:szCs w:val="22"/>
          <w:lang w:val="fr-CA"/>
        </w:rPr>
        <w:noBreakHyphen/>
      </w:r>
      <w:r w:rsidR="002D6CEA">
        <w:rPr>
          <w:iCs/>
          <w:noProof/>
          <w:kern w:val="22"/>
          <w:sz w:val="22"/>
          <w:szCs w:val="22"/>
          <w:lang w:val="fr-CA"/>
        </w:rPr>
        <w:t>2020;</w:t>
      </w:r>
    </w:p>
    <w:p w:rsidR="00FF0662" w:rsidRPr="002D6CE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noProof/>
          <w:snapToGrid w:val="0"/>
          <w:kern w:val="22"/>
          <w:sz w:val="22"/>
          <w:szCs w:val="22"/>
          <w:lang w:val="fr-CA"/>
        </w:rPr>
      </w:pPr>
      <w:r w:rsidRPr="002D6CEA">
        <w:rPr>
          <w:noProof/>
          <w:snapToGrid w:val="0"/>
          <w:kern w:val="22"/>
          <w:sz w:val="22"/>
          <w:szCs w:val="22"/>
          <w:lang w:val="fr-CA"/>
        </w:rPr>
        <w:t>2.</w:t>
      </w:r>
      <w:r w:rsidRPr="002D6CEA">
        <w:rPr>
          <w:noProof/>
          <w:snapToGrid w:val="0"/>
          <w:kern w:val="22"/>
          <w:sz w:val="22"/>
          <w:szCs w:val="22"/>
          <w:lang w:val="fr-CA"/>
        </w:rPr>
        <w:tab/>
      </w:r>
      <w:r w:rsidR="002D6CEA">
        <w:rPr>
          <w:i/>
          <w:iCs/>
          <w:noProof/>
          <w:kern w:val="22"/>
          <w:sz w:val="22"/>
          <w:szCs w:val="22"/>
          <w:lang w:val="fr-CA"/>
        </w:rPr>
        <w:t xml:space="preserve">Se félicite par ailleurs </w:t>
      </w:r>
      <w:r w:rsidR="002D6CEA">
        <w:rPr>
          <w:iCs/>
          <w:noProof/>
          <w:kern w:val="22"/>
          <w:sz w:val="22"/>
          <w:szCs w:val="22"/>
          <w:lang w:val="fr-CA"/>
        </w:rPr>
        <w:t>des progrès réalisés en matière de cadrage de l</w:t>
      </w:r>
      <w:r w:rsidR="00E440F3">
        <w:rPr>
          <w:iCs/>
          <w:noProof/>
          <w:kern w:val="22"/>
          <w:sz w:val="22"/>
          <w:szCs w:val="22"/>
          <w:lang w:val="fr-CA"/>
        </w:rPr>
        <w:t>’</w:t>
      </w:r>
      <w:r w:rsidR="002D6CEA">
        <w:rPr>
          <w:iCs/>
          <w:noProof/>
          <w:kern w:val="22"/>
          <w:sz w:val="22"/>
          <w:szCs w:val="22"/>
          <w:lang w:val="fr-CA"/>
        </w:rPr>
        <w:t>évaluation par lien et de l</w:t>
      </w:r>
      <w:r w:rsidR="00E440F3">
        <w:rPr>
          <w:iCs/>
          <w:noProof/>
          <w:kern w:val="22"/>
          <w:sz w:val="22"/>
          <w:szCs w:val="22"/>
          <w:lang w:val="fr-CA"/>
        </w:rPr>
        <w:t>’</w:t>
      </w:r>
      <w:r w:rsidR="002D6CEA">
        <w:rPr>
          <w:iCs/>
          <w:noProof/>
          <w:kern w:val="22"/>
          <w:sz w:val="22"/>
          <w:szCs w:val="22"/>
          <w:lang w:val="fr-CA"/>
        </w:rPr>
        <w:t>évaluation des changements transformateurs et attend avec intérêt leur examen aux fins d</w:t>
      </w:r>
      <w:r w:rsidR="00E440F3">
        <w:rPr>
          <w:iCs/>
          <w:noProof/>
          <w:kern w:val="22"/>
          <w:sz w:val="22"/>
          <w:szCs w:val="22"/>
          <w:lang w:val="fr-CA"/>
        </w:rPr>
        <w:t>’</w:t>
      </w:r>
      <w:r w:rsidR="002D6CEA">
        <w:rPr>
          <w:iCs/>
          <w:noProof/>
          <w:kern w:val="22"/>
          <w:sz w:val="22"/>
          <w:szCs w:val="22"/>
          <w:lang w:val="fr-CA"/>
        </w:rPr>
        <w:t>approbation et de démarrage lors de la huitième session de la Plénière de la Plateforme intergouvernementale science</w:t>
      </w:r>
      <w:r w:rsidR="00E440F3">
        <w:rPr>
          <w:iCs/>
          <w:noProof/>
          <w:kern w:val="22"/>
          <w:sz w:val="22"/>
          <w:szCs w:val="22"/>
          <w:lang w:val="fr-CA"/>
        </w:rPr>
        <w:noBreakHyphen/>
      </w:r>
      <w:r w:rsidR="002D6CEA">
        <w:rPr>
          <w:iCs/>
          <w:noProof/>
          <w:kern w:val="22"/>
          <w:sz w:val="22"/>
          <w:szCs w:val="22"/>
          <w:lang w:val="fr-CA"/>
        </w:rPr>
        <w:t>politique sur la biodiversité et les services écosystémiques;</w:t>
      </w:r>
      <w:r w:rsidR="002D6CEA" w:rsidRPr="0017440A">
        <w:rPr>
          <w:rStyle w:val="FootnoteReference"/>
          <w:noProof/>
          <w:kern w:val="22"/>
          <w:szCs w:val="22"/>
          <w:lang w:val="fr-CA"/>
        </w:rPr>
        <w:footnoteReference w:id="5"/>
      </w:r>
    </w:p>
    <w:p w:rsidR="00FF0662" w:rsidRPr="002D6CE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noProof/>
          <w:snapToGrid w:val="0"/>
          <w:kern w:val="22"/>
          <w:sz w:val="22"/>
          <w:szCs w:val="22"/>
          <w:lang w:val="fr-CA"/>
        </w:rPr>
      </w:pPr>
      <w:r w:rsidRPr="002D6CEA">
        <w:rPr>
          <w:noProof/>
          <w:snapToGrid w:val="0"/>
          <w:kern w:val="22"/>
          <w:sz w:val="22"/>
          <w:szCs w:val="22"/>
          <w:lang w:val="fr-CA"/>
        </w:rPr>
        <w:t>3.</w:t>
      </w:r>
      <w:r w:rsidRPr="002D6CEA">
        <w:rPr>
          <w:noProof/>
          <w:snapToGrid w:val="0"/>
          <w:kern w:val="22"/>
          <w:sz w:val="22"/>
          <w:szCs w:val="22"/>
          <w:lang w:val="fr-CA"/>
        </w:rPr>
        <w:tab/>
      </w:r>
      <w:r w:rsidR="009A23FF">
        <w:rPr>
          <w:i/>
          <w:iCs/>
          <w:noProof/>
          <w:kern w:val="22"/>
          <w:sz w:val="22"/>
          <w:szCs w:val="22"/>
          <w:lang w:val="fr-CA"/>
        </w:rPr>
        <w:t xml:space="preserve">Se félicite en outre </w:t>
      </w:r>
      <w:r w:rsidR="009A23FF">
        <w:rPr>
          <w:iCs/>
          <w:noProof/>
          <w:kern w:val="22"/>
          <w:sz w:val="22"/>
          <w:szCs w:val="22"/>
          <w:lang w:val="fr-CA"/>
        </w:rPr>
        <w:t>du rapport de l</w:t>
      </w:r>
      <w:r w:rsidR="00E440F3">
        <w:rPr>
          <w:iCs/>
          <w:noProof/>
          <w:kern w:val="22"/>
          <w:sz w:val="22"/>
          <w:szCs w:val="22"/>
          <w:lang w:val="fr-CA"/>
        </w:rPr>
        <w:t>’</w:t>
      </w:r>
      <w:r w:rsidR="009A23FF">
        <w:rPr>
          <w:iCs/>
          <w:noProof/>
          <w:kern w:val="22"/>
          <w:sz w:val="22"/>
          <w:szCs w:val="22"/>
          <w:lang w:val="fr-CA"/>
        </w:rPr>
        <w:t>atelier organisé par la Plateforme intergouvernementale science</w:t>
      </w:r>
      <w:r w:rsidR="00E440F3">
        <w:rPr>
          <w:iCs/>
          <w:noProof/>
          <w:kern w:val="22"/>
          <w:sz w:val="22"/>
          <w:szCs w:val="22"/>
          <w:lang w:val="fr-CA"/>
        </w:rPr>
        <w:noBreakHyphen/>
      </w:r>
      <w:r w:rsidR="009A23FF">
        <w:rPr>
          <w:iCs/>
          <w:noProof/>
          <w:kern w:val="22"/>
          <w:sz w:val="22"/>
          <w:szCs w:val="22"/>
          <w:lang w:val="fr-CA"/>
        </w:rPr>
        <w:t>politique sur la biodiversité et l</w:t>
      </w:r>
      <w:r w:rsidR="009A23FF">
        <w:rPr>
          <w:iCs/>
          <w:kern w:val="22"/>
          <w:sz w:val="22"/>
          <w:szCs w:val="22"/>
          <w:lang w:val="fr-CA"/>
        </w:rPr>
        <w:t xml:space="preserve">es </w:t>
      </w:r>
      <w:r w:rsidR="009A23FF">
        <w:rPr>
          <w:iCs/>
          <w:noProof/>
          <w:kern w:val="22"/>
          <w:sz w:val="22"/>
          <w:szCs w:val="22"/>
          <w:lang w:val="fr-CA"/>
        </w:rPr>
        <w:t xml:space="preserve">services écosystémiques sur la biodiversité et les pandémies, et </w:t>
      </w:r>
      <w:r w:rsidR="009A23FF">
        <w:rPr>
          <w:i/>
          <w:iCs/>
          <w:noProof/>
          <w:kern w:val="22"/>
          <w:sz w:val="22"/>
          <w:szCs w:val="22"/>
          <w:lang w:val="fr-CA"/>
        </w:rPr>
        <w:t>note</w:t>
      </w:r>
      <w:r w:rsidR="009A23FF">
        <w:rPr>
          <w:iCs/>
          <w:noProof/>
          <w:kern w:val="22"/>
          <w:sz w:val="22"/>
          <w:szCs w:val="22"/>
          <w:lang w:val="fr-CA"/>
        </w:rPr>
        <w:t xml:space="preserve"> sa pertinence pour les travaux de la Convention, y compris le cadre mondial de la biodiversité pour l</w:t>
      </w:r>
      <w:r w:rsidR="00E440F3">
        <w:rPr>
          <w:iCs/>
          <w:noProof/>
          <w:kern w:val="22"/>
          <w:sz w:val="22"/>
          <w:szCs w:val="22"/>
          <w:lang w:val="fr-CA"/>
        </w:rPr>
        <w:t>’</w:t>
      </w:r>
      <w:r w:rsidR="009A23FF">
        <w:rPr>
          <w:iCs/>
          <w:noProof/>
          <w:kern w:val="22"/>
          <w:sz w:val="22"/>
          <w:szCs w:val="22"/>
          <w:lang w:val="fr-CA"/>
        </w:rPr>
        <w:t>après</w:t>
      </w:r>
      <w:r w:rsidR="00E440F3">
        <w:rPr>
          <w:iCs/>
          <w:noProof/>
          <w:kern w:val="22"/>
          <w:sz w:val="22"/>
          <w:szCs w:val="22"/>
          <w:lang w:val="fr-CA"/>
        </w:rPr>
        <w:noBreakHyphen/>
      </w:r>
      <w:r w:rsidR="009A23FF">
        <w:rPr>
          <w:iCs/>
          <w:noProof/>
          <w:kern w:val="22"/>
          <w:sz w:val="22"/>
          <w:szCs w:val="22"/>
          <w:lang w:val="fr-CA"/>
        </w:rPr>
        <w:t>2020, ainsi que les travaux de la Convention sur les liens d</w:t>
      </w:r>
      <w:r w:rsidR="00E440F3">
        <w:rPr>
          <w:iCs/>
          <w:noProof/>
          <w:kern w:val="22"/>
          <w:sz w:val="22"/>
          <w:szCs w:val="22"/>
          <w:lang w:val="fr-CA"/>
        </w:rPr>
        <w:t>’</w:t>
      </w:r>
      <w:r w:rsidR="009A23FF">
        <w:rPr>
          <w:iCs/>
          <w:noProof/>
          <w:kern w:val="22"/>
          <w:sz w:val="22"/>
          <w:szCs w:val="22"/>
          <w:lang w:val="fr-CA"/>
        </w:rPr>
        <w:t>interdépendance entre la biodiversité et la santé</w:t>
      </w:r>
      <w:r w:rsidR="009A23FF">
        <w:rPr>
          <w:i/>
          <w:iCs/>
          <w:noProof/>
          <w:snapToGrid w:val="0"/>
          <w:kern w:val="22"/>
          <w:sz w:val="22"/>
          <w:szCs w:val="22"/>
          <w:lang w:val="fr-CA"/>
        </w:rPr>
        <w:t>;</w:t>
      </w:r>
    </w:p>
    <w:p w:rsidR="00FF0662" w:rsidRPr="002D6CE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noProof/>
          <w:snapToGrid w:val="0"/>
          <w:kern w:val="22"/>
          <w:sz w:val="22"/>
          <w:szCs w:val="22"/>
          <w:lang w:val="fr-CA"/>
        </w:rPr>
      </w:pPr>
      <w:r w:rsidRPr="002D6CEA">
        <w:rPr>
          <w:noProof/>
          <w:snapToGrid w:val="0"/>
          <w:kern w:val="22"/>
          <w:sz w:val="22"/>
          <w:szCs w:val="22"/>
          <w:lang w:val="fr-CA"/>
        </w:rPr>
        <w:t>4.</w:t>
      </w:r>
      <w:r w:rsidRPr="002D6CEA">
        <w:rPr>
          <w:noProof/>
          <w:snapToGrid w:val="0"/>
          <w:kern w:val="22"/>
          <w:sz w:val="22"/>
          <w:szCs w:val="22"/>
          <w:lang w:val="fr-CA"/>
        </w:rPr>
        <w:tab/>
      </w:r>
      <w:r w:rsidR="009A23FF">
        <w:rPr>
          <w:i/>
          <w:iCs/>
          <w:noProof/>
          <w:kern w:val="22"/>
          <w:sz w:val="22"/>
          <w:szCs w:val="22"/>
          <w:lang w:val="fr-CA"/>
        </w:rPr>
        <w:t xml:space="preserve">Se félicite </w:t>
      </w:r>
      <w:r w:rsidR="009A23FF">
        <w:rPr>
          <w:iCs/>
          <w:noProof/>
          <w:kern w:val="22"/>
          <w:sz w:val="22"/>
          <w:szCs w:val="22"/>
          <w:lang w:val="fr-CA"/>
        </w:rPr>
        <w:t>de la coopération entre la Plateforme intergouvernementale science</w:t>
      </w:r>
      <w:r w:rsidR="00E440F3">
        <w:rPr>
          <w:iCs/>
          <w:noProof/>
          <w:kern w:val="22"/>
          <w:sz w:val="22"/>
          <w:szCs w:val="22"/>
          <w:lang w:val="fr-CA"/>
        </w:rPr>
        <w:noBreakHyphen/>
      </w:r>
      <w:r w:rsidR="009A23FF">
        <w:rPr>
          <w:iCs/>
          <w:noProof/>
          <w:kern w:val="22"/>
          <w:sz w:val="22"/>
          <w:szCs w:val="22"/>
          <w:lang w:val="fr-CA"/>
        </w:rPr>
        <w:t>politique sur la biodiversité et les services écosystémiques et le Groupe d</w:t>
      </w:r>
      <w:r w:rsidR="00E440F3">
        <w:rPr>
          <w:iCs/>
          <w:noProof/>
          <w:kern w:val="22"/>
          <w:sz w:val="22"/>
          <w:szCs w:val="22"/>
          <w:lang w:val="fr-CA"/>
        </w:rPr>
        <w:t>’</w:t>
      </w:r>
      <w:r w:rsidR="009A23FF">
        <w:rPr>
          <w:iCs/>
          <w:noProof/>
          <w:kern w:val="22"/>
          <w:sz w:val="22"/>
          <w:szCs w:val="22"/>
          <w:lang w:val="fr-CA"/>
        </w:rPr>
        <w:t>experts intergouvernemental sur l</w:t>
      </w:r>
      <w:r w:rsidR="00E440F3">
        <w:rPr>
          <w:iCs/>
          <w:noProof/>
          <w:kern w:val="22"/>
          <w:sz w:val="22"/>
          <w:szCs w:val="22"/>
          <w:lang w:val="fr-CA"/>
        </w:rPr>
        <w:t>’</w:t>
      </w:r>
      <w:r w:rsidR="009A23FF">
        <w:rPr>
          <w:iCs/>
          <w:noProof/>
          <w:kern w:val="22"/>
          <w:sz w:val="22"/>
          <w:szCs w:val="22"/>
          <w:lang w:val="fr-CA"/>
        </w:rPr>
        <w:t>évolution du climat, y compris du rapport de l</w:t>
      </w:r>
      <w:r w:rsidR="00E440F3">
        <w:rPr>
          <w:iCs/>
          <w:noProof/>
          <w:kern w:val="22"/>
          <w:sz w:val="22"/>
          <w:szCs w:val="22"/>
          <w:lang w:val="fr-CA"/>
        </w:rPr>
        <w:t>’</w:t>
      </w:r>
      <w:r w:rsidR="009A23FF">
        <w:rPr>
          <w:iCs/>
          <w:noProof/>
          <w:kern w:val="22"/>
          <w:sz w:val="22"/>
          <w:szCs w:val="22"/>
          <w:lang w:val="fr-CA"/>
        </w:rPr>
        <w:t>atelier conjoint coparrainé sur la biodiversité et les changements climatiques, et encourage les deux organes à renforcer davantage leur collaboration, comme il convient, en vue d</w:t>
      </w:r>
      <w:r w:rsidR="00E440F3">
        <w:rPr>
          <w:iCs/>
          <w:noProof/>
          <w:kern w:val="22"/>
          <w:sz w:val="22"/>
          <w:szCs w:val="22"/>
          <w:lang w:val="fr-CA"/>
        </w:rPr>
        <w:t>’</w:t>
      </w:r>
      <w:r w:rsidR="009A23FF">
        <w:rPr>
          <w:iCs/>
          <w:noProof/>
          <w:kern w:val="22"/>
          <w:sz w:val="22"/>
          <w:szCs w:val="22"/>
          <w:lang w:val="fr-CA"/>
        </w:rPr>
        <w:t>appuyer une approche intégrée;</w:t>
      </w:r>
    </w:p>
    <w:p w:rsidR="00FF0662" w:rsidRPr="002D6CE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noProof/>
          <w:snapToGrid w:val="0"/>
          <w:kern w:val="22"/>
          <w:sz w:val="22"/>
          <w:szCs w:val="22"/>
          <w:lang w:val="fr-CA"/>
        </w:rPr>
      </w:pPr>
      <w:r w:rsidRPr="002D6CEA">
        <w:rPr>
          <w:snapToGrid w:val="0"/>
          <w:kern w:val="22"/>
          <w:sz w:val="22"/>
          <w:szCs w:val="22"/>
          <w:lang w:val="fr-CA"/>
        </w:rPr>
        <w:lastRenderedPageBreak/>
        <w:t>5.</w:t>
      </w:r>
      <w:r w:rsidRPr="002D6CEA">
        <w:rPr>
          <w:snapToGrid w:val="0"/>
          <w:kern w:val="22"/>
          <w:sz w:val="22"/>
          <w:szCs w:val="22"/>
          <w:lang w:val="fr-CA"/>
        </w:rPr>
        <w:tab/>
      </w:r>
      <w:r w:rsidR="009A23FF">
        <w:rPr>
          <w:i/>
          <w:kern w:val="22"/>
          <w:sz w:val="22"/>
          <w:szCs w:val="22"/>
          <w:lang w:val="fr-CA"/>
        </w:rPr>
        <w:t>Prend note</w:t>
      </w:r>
      <w:r w:rsidR="009A23FF">
        <w:rPr>
          <w:kern w:val="22"/>
          <w:sz w:val="22"/>
          <w:szCs w:val="22"/>
          <w:lang w:val="fr-CA"/>
        </w:rPr>
        <w:t xml:space="preserve"> </w:t>
      </w:r>
      <w:r w:rsidR="008E28A6">
        <w:rPr>
          <w:kern w:val="22"/>
          <w:sz w:val="22"/>
          <w:szCs w:val="22"/>
          <w:lang w:val="fr-CA"/>
        </w:rPr>
        <w:t xml:space="preserve">du fait </w:t>
      </w:r>
      <w:r w:rsidR="009A23FF">
        <w:rPr>
          <w:kern w:val="22"/>
          <w:sz w:val="22"/>
          <w:szCs w:val="22"/>
          <w:lang w:val="fr-CA"/>
        </w:rPr>
        <w:t xml:space="preserve">que la neuvième session de la Plateforme intergouvernementale </w:t>
      </w:r>
      <w:r w:rsidR="009A23FF">
        <w:rPr>
          <w:noProof/>
          <w:kern w:val="22"/>
          <w:sz w:val="22"/>
          <w:szCs w:val="22"/>
          <w:lang w:val="fr-CA"/>
        </w:rPr>
        <w:t>science</w:t>
      </w:r>
      <w:r w:rsidR="00E440F3">
        <w:rPr>
          <w:noProof/>
          <w:kern w:val="22"/>
          <w:sz w:val="22"/>
          <w:szCs w:val="22"/>
          <w:lang w:val="fr-CA"/>
        </w:rPr>
        <w:noBreakHyphen/>
      </w:r>
      <w:r w:rsidR="009A23FF">
        <w:rPr>
          <w:noProof/>
          <w:kern w:val="22"/>
          <w:sz w:val="22"/>
          <w:szCs w:val="22"/>
          <w:lang w:val="fr-CA"/>
        </w:rPr>
        <w:t>politique</w:t>
      </w:r>
      <w:r w:rsidR="009A23FF">
        <w:rPr>
          <w:kern w:val="22"/>
          <w:sz w:val="22"/>
          <w:szCs w:val="22"/>
          <w:lang w:val="fr-CA"/>
        </w:rPr>
        <w:t xml:space="preserve"> sur la biodiversité et les services </w:t>
      </w:r>
      <w:r w:rsidR="009A23FF">
        <w:rPr>
          <w:noProof/>
          <w:kern w:val="22"/>
          <w:sz w:val="22"/>
          <w:szCs w:val="22"/>
          <w:lang w:val="fr-CA"/>
        </w:rPr>
        <w:t>écosystémiques réexaminera les demandes, contributions et suggestions reçues suffisamment à l</w:t>
      </w:r>
      <w:r w:rsidR="00E440F3">
        <w:rPr>
          <w:noProof/>
          <w:kern w:val="22"/>
          <w:sz w:val="22"/>
          <w:szCs w:val="22"/>
          <w:lang w:val="fr-CA"/>
        </w:rPr>
        <w:t>’</w:t>
      </w:r>
      <w:r w:rsidR="009A23FF">
        <w:rPr>
          <w:noProof/>
          <w:kern w:val="22"/>
          <w:sz w:val="22"/>
          <w:szCs w:val="22"/>
          <w:lang w:val="fr-CA"/>
        </w:rPr>
        <w:t xml:space="preserve">avance pour être examinées à ladite session, </w:t>
      </w:r>
      <w:r w:rsidR="009A23FF" w:rsidRPr="00F523BD">
        <w:rPr>
          <w:noProof/>
          <w:kern w:val="22"/>
          <w:sz w:val="22"/>
          <w:szCs w:val="22"/>
          <w:lang w:val="fr-CA"/>
        </w:rPr>
        <w:t>y compris aux fins d</w:t>
      </w:r>
      <w:r w:rsidR="00E440F3">
        <w:rPr>
          <w:noProof/>
          <w:kern w:val="22"/>
          <w:sz w:val="22"/>
          <w:szCs w:val="22"/>
          <w:lang w:val="fr-CA"/>
        </w:rPr>
        <w:t>’</w:t>
      </w:r>
      <w:r w:rsidR="009A23FF" w:rsidRPr="00F523BD">
        <w:rPr>
          <w:noProof/>
          <w:kern w:val="22"/>
          <w:sz w:val="22"/>
          <w:szCs w:val="22"/>
          <w:lang w:val="fr-CA"/>
        </w:rPr>
        <w:t>une deuxième évaluation mondiale de la biodiversité et des services écosystémiques et d</w:t>
      </w:r>
      <w:r w:rsidR="00E440F3">
        <w:rPr>
          <w:noProof/>
          <w:kern w:val="22"/>
          <w:sz w:val="22"/>
          <w:szCs w:val="22"/>
          <w:lang w:val="fr-CA"/>
        </w:rPr>
        <w:t>’</w:t>
      </w:r>
      <w:r w:rsidR="009A23FF" w:rsidRPr="00F523BD">
        <w:rPr>
          <w:noProof/>
          <w:kern w:val="22"/>
          <w:sz w:val="22"/>
          <w:szCs w:val="22"/>
          <w:lang w:val="fr-CA"/>
        </w:rPr>
        <w:t>une évaluation sur la connectivité écologique</w:t>
      </w:r>
      <w:r w:rsidR="009A23FF">
        <w:rPr>
          <w:noProof/>
          <w:kern w:val="22"/>
          <w:sz w:val="22"/>
          <w:szCs w:val="22"/>
          <w:lang w:val="fr-CA"/>
        </w:rPr>
        <w:t>,</w:t>
      </w:r>
      <w:r w:rsidR="008E28A6">
        <w:rPr>
          <w:noProof/>
          <w:kern w:val="22"/>
          <w:sz w:val="22"/>
          <w:szCs w:val="22"/>
          <w:lang w:val="fr-CA"/>
        </w:rPr>
        <w:t xml:space="preserve"> et</w:t>
      </w:r>
      <w:r w:rsidR="009A23FF">
        <w:rPr>
          <w:noProof/>
          <w:kern w:val="22"/>
          <w:sz w:val="22"/>
          <w:szCs w:val="22"/>
          <w:lang w:val="fr-CA"/>
        </w:rPr>
        <w:t xml:space="preserve"> </w:t>
      </w:r>
      <w:r w:rsidR="009A23FF" w:rsidRPr="00ED0444">
        <w:rPr>
          <w:noProof/>
          <w:kern w:val="22"/>
          <w:sz w:val="22"/>
          <w:szCs w:val="22"/>
          <w:lang w:val="fr-CA"/>
        </w:rPr>
        <w:t>invite</w:t>
      </w:r>
      <w:r w:rsidR="008E28A6">
        <w:rPr>
          <w:noProof/>
          <w:kern w:val="22"/>
          <w:sz w:val="22"/>
          <w:szCs w:val="22"/>
          <w:lang w:val="fr-CA"/>
        </w:rPr>
        <w:t xml:space="preserve"> la Plateforme à</w:t>
      </w:r>
      <w:r w:rsidR="009A23FF">
        <w:rPr>
          <w:noProof/>
          <w:kern w:val="22"/>
          <w:sz w:val="22"/>
          <w:szCs w:val="22"/>
          <w:lang w:val="fr-CA"/>
        </w:rPr>
        <w:t xml:space="preserve"> </w:t>
      </w:r>
      <w:r w:rsidR="00ED0444">
        <w:rPr>
          <w:noProof/>
          <w:kern w:val="22"/>
          <w:sz w:val="22"/>
          <w:szCs w:val="22"/>
          <w:lang w:val="fr-CA"/>
        </w:rPr>
        <w:t>préparer</w:t>
      </w:r>
      <w:r w:rsidR="009A23FF">
        <w:rPr>
          <w:noProof/>
          <w:kern w:val="22"/>
          <w:sz w:val="22"/>
          <w:szCs w:val="22"/>
          <w:lang w:val="fr-CA"/>
        </w:rPr>
        <w:t xml:space="preserve"> une deuxième évaluation mondiale, qui sera livrée au début de 2029, et qui, notamment :</w:t>
      </w:r>
    </w:p>
    <w:p w:rsidR="009A23FF" w:rsidRPr="0017440A" w:rsidRDefault="009A23FF" w:rsidP="009A23FF">
      <w:pPr>
        <w:pStyle w:val="ListParagraph"/>
        <w:numPr>
          <w:ilvl w:val="0"/>
          <w:numId w:val="46"/>
        </w:numPr>
        <w:suppressLineNumbers/>
        <w:suppressAutoHyphens/>
        <w:spacing w:before="120" w:after="120"/>
        <w:ind w:left="0" w:firstLine="686"/>
        <w:contextualSpacing w:val="0"/>
        <w:jc w:val="both"/>
        <w:rPr>
          <w:noProof/>
          <w:kern w:val="22"/>
          <w:sz w:val="22"/>
          <w:szCs w:val="22"/>
          <w:lang w:val="fr-CA"/>
        </w:rPr>
      </w:pPr>
      <w:r>
        <w:rPr>
          <w:noProof/>
          <w:kern w:val="22"/>
          <w:sz w:val="22"/>
          <w:szCs w:val="22"/>
          <w:lang w:val="fr-CA"/>
        </w:rPr>
        <w:t>Comprendra un examen des progrès accomplis dans la réalisation des objectifs et cibles aux niveaux mondial et régional et, le cas échéant, infrarégional;</w:t>
      </w:r>
    </w:p>
    <w:p w:rsidR="009A23FF" w:rsidRPr="0017440A" w:rsidRDefault="009A23FF" w:rsidP="009A23FF">
      <w:pPr>
        <w:pStyle w:val="ListParagraph"/>
        <w:numPr>
          <w:ilvl w:val="0"/>
          <w:numId w:val="46"/>
        </w:numPr>
        <w:suppressLineNumbers/>
        <w:suppressAutoHyphens/>
        <w:spacing w:before="120" w:after="120"/>
        <w:ind w:left="0" w:firstLine="686"/>
        <w:contextualSpacing w:val="0"/>
        <w:jc w:val="both"/>
        <w:rPr>
          <w:noProof/>
          <w:kern w:val="22"/>
          <w:sz w:val="22"/>
          <w:szCs w:val="22"/>
          <w:lang w:val="fr-CA"/>
        </w:rPr>
      </w:pPr>
      <w:r>
        <w:rPr>
          <w:noProof/>
          <w:kern w:val="22"/>
          <w:sz w:val="22"/>
          <w:szCs w:val="22"/>
          <w:lang w:val="fr-CA"/>
        </w:rPr>
        <w:t>Intégrera des éléments mondiaux, régionaux et, le cas échéant, infrarégionaux;</w:t>
      </w:r>
    </w:p>
    <w:p w:rsidR="00FF0662" w:rsidRPr="002D6CEA" w:rsidRDefault="009A23FF" w:rsidP="009A23FF">
      <w:pPr>
        <w:pStyle w:val="ListParagraph"/>
        <w:numPr>
          <w:ilvl w:val="0"/>
          <w:numId w:val="46"/>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noProof/>
          <w:snapToGrid w:val="0"/>
          <w:kern w:val="22"/>
          <w:sz w:val="22"/>
          <w:szCs w:val="22"/>
          <w:lang w:val="fr-CA"/>
        </w:rPr>
      </w:pPr>
      <w:r>
        <w:rPr>
          <w:noProof/>
          <w:kern w:val="22"/>
          <w:sz w:val="22"/>
          <w:szCs w:val="22"/>
          <w:lang w:val="fr-CA"/>
        </w:rPr>
        <w:t>S</w:t>
      </w:r>
      <w:r w:rsidR="00E440F3">
        <w:rPr>
          <w:noProof/>
          <w:kern w:val="22"/>
          <w:sz w:val="22"/>
          <w:szCs w:val="22"/>
          <w:lang w:val="fr-CA"/>
        </w:rPr>
        <w:t>’</w:t>
      </w:r>
      <w:r>
        <w:rPr>
          <w:noProof/>
          <w:kern w:val="22"/>
          <w:sz w:val="22"/>
          <w:szCs w:val="22"/>
          <w:lang w:val="fr-CA"/>
        </w:rPr>
        <w:t>inspirera des évaluations précédentes de la Plateforme intergouvernementale science</w:t>
      </w:r>
      <w:r w:rsidR="00E440F3">
        <w:rPr>
          <w:noProof/>
          <w:kern w:val="22"/>
          <w:sz w:val="22"/>
          <w:szCs w:val="22"/>
          <w:lang w:val="fr-CA"/>
        </w:rPr>
        <w:noBreakHyphen/>
      </w:r>
      <w:r>
        <w:rPr>
          <w:noProof/>
          <w:kern w:val="22"/>
          <w:sz w:val="22"/>
          <w:szCs w:val="22"/>
          <w:lang w:val="fr-CA"/>
        </w:rPr>
        <w:t>politique sur la biodiversité et les services écosystémiques, y compris de l</w:t>
      </w:r>
      <w:r w:rsidR="00E440F3">
        <w:rPr>
          <w:noProof/>
          <w:kern w:val="22"/>
          <w:sz w:val="22"/>
          <w:szCs w:val="22"/>
          <w:lang w:val="fr-CA"/>
        </w:rPr>
        <w:t>’</w:t>
      </w:r>
      <w:r>
        <w:rPr>
          <w:noProof/>
          <w:kern w:val="22"/>
          <w:sz w:val="22"/>
          <w:szCs w:val="22"/>
          <w:lang w:val="fr-CA"/>
        </w:rPr>
        <w:t>évaluation par lien et de l</w:t>
      </w:r>
      <w:r w:rsidR="00E440F3">
        <w:rPr>
          <w:noProof/>
          <w:kern w:val="22"/>
          <w:sz w:val="22"/>
          <w:szCs w:val="22"/>
          <w:lang w:val="fr-CA"/>
        </w:rPr>
        <w:t>’</w:t>
      </w:r>
      <w:r>
        <w:rPr>
          <w:noProof/>
          <w:kern w:val="22"/>
          <w:sz w:val="22"/>
          <w:szCs w:val="22"/>
          <w:lang w:val="fr-CA"/>
        </w:rPr>
        <w:t>évaluation des changements transformateurs</w:t>
      </w:r>
      <w:r w:rsidR="00442898" w:rsidRPr="002D6CEA">
        <w:rPr>
          <w:noProof/>
          <w:snapToGrid w:val="0"/>
          <w:kern w:val="22"/>
          <w:sz w:val="22"/>
          <w:szCs w:val="22"/>
          <w:lang w:val="fr-CA"/>
        </w:rPr>
        <w:t>;</w:t>
      </w:r>
    </w:p>
    <w:p w:rsidR="00FF0662" w:rsidRPr="002D6CE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noProof/>
          <w:snapToGrid w:val="0"/>
          <w:kern w:val="22"/>
          <w:sz w:val="22"/>
          <w:szCs w:val="22"/>
          <w:lang w:val="fr-CA"/>
        </w:rPr>
      </w:pPr>
      <w:r w:rsidRPr="002D6CEA">
        <w:rPr>
          <w:noProof/>
          <w:snapToGrid w:val="0"/>
          <w:kern w:val="22"/>
          <w:sz w:val="22"/>
          <w:szCs w:val="22"/>
          <w:lang w:val="fr-CA"/>
        </w:rPr>
        <w:t>6.</w:t>
      </w:r>
      <w:r w:rsidRPr="002D6CEA">
        <w:rPr>
          <w:noProof/>
          <w:snapToGrid w:val="0"/>
          <w:kern w:val="22"/>
          <w:sz w:val="22"/>
          <w:szCs w:val="22"/>
          <w:lang w:val="fr-CA"/>
        </w:rPr>
        <w:tab/>
      </w:r>
      <w:r w:rsidR="009A23FF">
        <w:rPr>
          <w:i/>
          <w:iCs/>
          <w:noProof/>
          <w:kern w:val="22"/>
          <w:sz w:val="22"/>
          <w:szCs w:val="22"/>
          <w:lang w:val="fr-CA"/>
        </w:rPr>
        <w:t xml:space="preserve">Invite </w:t>
      </w:r>
      <w:r w:rsidR="009A23FF">
        <w:rPr>
          <w:iCs/>
          <w:noProof/>
          <w:kern w:val="22"/>
          <w:sz w:val="22"/>
          <w:szCs w:val="22"/>
          <w:lang w:val="fr-CA"/>
        </w:rPr>
        <w:t>la Plateforme à envisager de fournir un soutien méthodologique pour aider et étayer le suivi et l</w:t>
      </w:r>
      <w:r w:rsidR="00E440F3">
        <w:rPr>
          <w:iCs/>
          <w:noProof/>
          <w:kern w:val="22"/>
          <w:sz w:val="22"/>
          <w:szCs w:val="22"/>
          <w:lang w:val="fr-CA"/>
        </w:rPr>
        <w:t>’</w:t>
      </w:r>
      <w:r w:rsidR="009A23FF">
        <w:rPr>
          <w:iCs/>
          <w:noProof/>
          <w:kern w:val="22"/>
          <w:sz w:val="22"/>
          <w:szCs w:val="22"/>
          <w:lang w:val="fr-CA"/>
        </w:rPr>
        <w:t>établissement de rapports, au niveau national, en ce qui concerne les tendances de la biodiversité et des services écosystémiques et des moteurs de leurs changements</w:t>
      </w:r>
      <w:r w:rsidR="002B2BA0" w:rsidRPr="002D6CEA">
        <w:rPr>
          <w:noProof/>
          <w:snapToGrid w:val="0"/>
          <w:kern w:val="22"/>
          <w:sz w:val="22"/>
          <w:szCs w:val="22"/>
          <w:lang w:val="fr-CA"/>
        </w:rPr>
        <w:t>;</w:t>
      </w:r>
    </w:p>
    <w:p w:rsidR="00FF0662" w:rsidRPr="002D6CE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noProof/>
          <w:snapToGrid w:val="0"/>
          <w:kern w:val="22"/>
          <w:sz w:val="22"/>
          <w:szCs w:val="22"/>
          <w:lang w:val="fr-CA"/>
        </w:rPr>
      </w:pPr>
      <w:r w:rsidRPr="002D6CEA">
        <w:rPr>
          <w:noProof/>
          <w:snapToGrid w:val="0"/>
          <w:kern w:val="22"/>
          <w:sz w:val="22"/>
          <w:szCs w:val="22"/>
          <w:lang w:val="fr-CA"/>
        </w:rPr>
        <w:t>7.</w:t>
      </w:r>
      <w:r w:rsidRPr="002D6CEA">
        <w:rPr>
          <w:noProof/>
          <w:snapToGrid w:val="0"/>
          <w:kern w:val="22"/>
          <w:sz w:val="22"/>
          <w:szCs w:val="22"/>
          <w:lang w:val="fr-CA"/>
        </w:rPr>
        <w:tab/>
      </w:r>
      <w:r w:rsidR="009A23FF">
        <w:rPr>
          <w:i/>
          <w:iCs/>
          <w:noProof/>
          <w:kern w:val="22"/>
          <w:sz w:val="22"/>
          <w:szCs w:val="22"/>
          <w:lang w:val="fr-CA"/>
        </w:rPr>
        <w:t xml:space="preserve">Prie </w:t>
      </w:r>
      <w:r w:rsidR="009A23FF">
        <w:rPr>
          <w:iCs/>
          <w:noProof/>
          <w:kern w:val="22"/>
          <w:sz w:val="22"/>
          <w:szCs w:val="22"/>
          <w:lang w:val="fr-CA"/>
        </w:rPr>
        <w:t xml:space="preserve">la Secrétaire exécutive et </w:t>
      </w:r>
      <w:r w:rsidR="009A23FF" w:rsidRPr="009A23FF">
        <w:rPr>
          <w:iCs/>
          <w:noProof/>
          <w:kern w:val="22"/>
          <w:sz w:val="22"/>
          <w:szCs w:val="22"/>
          <w:lang w:val="fr-CA"/>
        </w:rPr>
        <w:t>invite</w:t>
      </w:r>
      <w:r w:rsidR="009A23FF">
        <w:rPr>
          <w:iCs/>
          <w:noProof/>
          <w:kern w:val="22"/>
          <w:sz w:val="22"/>
          <w:szCs w:val="22"/>
          <w:lang w:val="fr-CA"/>
        </w:rPr>
        <w:t xml:space="preserve"> le Secrétaire exécutif de la Plateforme intergouvernementale science</w:t>
      </w:r>
      <w:r w:rsidR="00E440F3">
        <w:rPr>
          <w:iCs/>
          <w:noProof/>
          <w:kern w:val="22"/>
          <w:sz w:val="22"/>
          <w:szCs w:val="22"/>
          <w:lang w:val="fr-CA"/>
        </w:rPr>
        <w:noBreakHyphen/>
      </w:r>
      <w:r w:rsidR="009A23FF">
        <w:rPr>
          <w:iCs/>
          <w:noProof/>
          <w:kern w:val="22"/>
          <w:sz w:val="22"/>
          <w:szCs w:val="22"/>
          <w:lang w:val="fr-CA"/>
        </w:rPr>
        <w:t>politique sur la biodiversité et les services écosystémiques à recenser des options visant à renforcer la coopération pour ce qui est des données et des connaissances, du renforcement des capacités et des savoirs autochtones et locaux</w:t>
      </w:r>
      <w:r w:rsidR="00DB148C" w:rsidRPr="002D6CEA">
        <w:rPr>
          <w:noProof/>
          <w:snapToGrid w:val="0"/>
          <w:kern w:val="22"/>
          <w:sz w:val="22"/>
          <w:szCs w:val="22"/>
          <w:lang w:val="fr-CA"/>
        </w:rPr>
        <w:t>;</w:t>
      </w:r>
    </w:p>
    <w:p w:rsidR="00250913" w:rsidRPr="002D6CEA" w:rsidRDefault="00794CFE" w:rsidP="00766960">
      <w:pPr>
        <w:pStyle w:val="ListParagraph"/>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snapToGrid w:val="0"/>
          <w:lang w:val="fr-CA"/>
        </w:rPr>
      </w:pPr>
      <w:r w:rsidRPr="002D6CEA">
        <w:rPr>
          <w:noProof/>
          <w:snapToGrid w:val="0"/>
          <w:kern w:val="22"/>
          <w:sz w:val="22"/>
          <w:szCs w:val="22"/>
          <w:lang w:val="fr-CA"/>
        </w:rPr>
        <w:t>8.</w:t>
      </w:r>
      <w:r w:rsidRPr="002D6CEA">
        <w:rPr>
          <w:noProof/>
          <w:snapToGrid w:val="0"/>
          <w:kern w:val="22"/>
          <w:sz w:val="22"/>
          <w:szCs w:val="22"/>
          <w:lang w:val="fr-CA"/>
        </w:rPr>
        <w:tab/>
      </w:r>
      <w:r w:rsidR="009A23FF" w:rsidRPr="009A23FF">
        <w:rPr>
          <w:i/>
          <w:noProof/>
          <w:kern w:val="22"/>
          <w:sz w:val="22"/>
          <w:szCs w:val="22"/>
          <w:lang w:val="fr-CA"/>
        </w:rPr>
        <w:t>Prend note</w:t>
      </w:r>
      <w:r w:rsidR="009A23FF">
        <w:rPr>
          <w:noProof/>
          <w:kern w:val="22"/>
          <w:sz w:val="22"/>
          <w:szCs w:val="22"/>
          <w:lang w:val="fr-CA"/>
        </w:rPr>
        <w:t xml:space="preserve"> des progrès réalisés dans un certain nombre de pays en matière d</w:t>
      </w:r>
      <w:r w:rsidR="00E440F3">
        <w:rPr>
          <w:noProof/>
          <w:kern w:val="22"/>
          <w:sz w:val="22"/>
          <w:szCs w:val="22"/>
          <w:lang w:val="fr-CA"/>
        </w:rPr>
        <w:t>’</w:t>
      </w:r>
      <w:r w:rsidR="009A23FF">
        <w:rPr>
          <w:noProof/>
          <w:kern w:val="22"/>
          <w:sz w:val="22"/>
          <w:szCs w:val="22"/>
          <w:lang w:val="fr-CA"/>
        </w:rPr>
        <w:t>élaboration d</w:t>
      </w:r>
      <w:r w:rsidR="00E440F3">
        <w:rPr>
          <w:noProof/>
          <w:kern w:val="22"/>
          <w:sz w:val="22"/>
          <w:szCs w:val="22"/>
          <w:lang w:val="fr-CA"/>
        </w:rPr>
        <w:t>’</w:t>
      </w:r>
      <w:r w:rsidR="009A23FF">
        <w:rPr>
          <w:noProof/>
          <w:kern w:val="22"/>
          <w:sz w:val="22"/>
          <w:szCs w:val="22"/>
          <w:lang w:val="fr-CA"/>
        </w:rPr>
        <w:t xml:space="preserve">évaluations nationales de la biodiversité et des services écosystémiques, </w:t>
      </w:r>
      <w:r w:rsidR="009A23FF" w:rsidRPr="009A23FF">
        <w:rPr>
          <w:noProof/>
          <w:kern w:val="22"/>
          <w:sz w:val="22"/>
          <w:szCs w:val="22"/>
          <w:lang w:val="fr-CA"/>
        </w:rPr>
        <w:t>encourage</w:t>
      </w:r>
      <w:r w:rsidR="009A23FF">
        <w:rPr>
          <w:noProof/>
          <w:kern w:val="22"/>
          <w:sz w:val="22"/>
          <w:szCs w:val="22"/>
          <w:lang w:val="fr-CA"/>
        </w:rPr>
        <w:t xml:space="preserve"> toutes les Parties et les autres gouvernements à envisager de mener à bien de telles évaluations nationales, avec</w:t>
      </w:r>
      <w:r w:rsidR="009A23FF">
        <w:rPr>
          <w:kern w:val="22"/>
          <w:sz w:val="22"/>
          <w:szCs w:val="22"/>
          <w:lang w:val="fr-CA"/>
        </w:rPr>
        <w:t xml:space="preserve"> la pleine participation des peuples autochtones et des communautés locales, du milieu des affaires et de la société civile, afin de contribuer à la mise en œuvre du cadre mondial de la biodiversité pour l</w:t>
      </w:r>
      <w:r w:rsidR="00E440F3">
        <w:rPr>
          <w:kern w:val="22"/>
          <w:sz w:val="22"/>
          <w:szCs w:val="22"/>
          <w:lang w:val="fr-CA"/>
        </w:rPr>
        <w:t>’</w:t>
      </w:r>
      <w:r w:rsidR="009A23FF">
        <w:rPr>
          <w:kern w:val="22"/>
          <w:sz w:val="22"/>
          <w:szCs w:val="22"/>
          <w:lang w:val="fr-CA"/>
        </w:rPr>
        <w:t>après</w:t>
      </w:r>
      <w:r w:rsidR="00E440F3">
        <w:rPr>
          <w:kern w:val="22"/>
          <w:sz w:val="22"/>
          <w:szCs w:val="22"/>
          <w:lang w:val="fr-CA"/>
        </w:rPr>
        <w:noBreakHyphen/>
      </w:r>
      <w:r w:rsidR="009A23FF">
        <w:rPr>
          <w:kern w:val="22"/>
          <w:sz w:val="22"/>
          <w:szCs w:val="22"/>
          <w:lang w:val="fr-CA"/>
        </w:rPr>
        <w:t>2020, et encourage les organisations concernées à fournir un soutien technique, comme il convient</w:t>
      </w:r>
      <w:r w:rsidR="009A23FF">
        <w:rPr>
          <w:i/>
          <w:iCs/>
          <w:snapToGrid w:val="0"/>
          <w:kern w:val="22"/>
          <w:sz w:val="22"/>
          <w:szCs w:val="22"/>
          <w:lang w:val="fr-CA"/>
        </w:rPr>
        <w:t>.</w:t>
      </w:r>
    </w:p>
    <w:p w:rsidR="001B06FB" w:rsidRPr="002D6CEA" w:rsidRDefault="001B06FB" w:rsidP="007C26FA">
      <w:pPr>
        <w:suppressLineNumbers/>
        <w:tabs>
          <w:tab w:val="left" w:pos="528"/>
        </w:tabs>
        <w:suppressAutoHyphens/>
        <w:kinsoku w:val="0"/>
        <w:overflowPunct w:val="0"/>
        <w:autoSpaceDE w:val="0"/>
        <w:autoSpaceDN w:val="0"/>
        <w:adjustRightInd w:val="0"/>
        <w:snapToGrid w:val="0"/>
        <w:rPr>
          <w:snapToGrid w:val="0"/>
          <w:kern w:val="22"/>
          <w:sz w:val="22"/>
          <w:szCs w:val="22"/>
          <w:lang w:val="fr-CA"/>
        </w:rPr>
      </w:pPr>
    </w:p>
    <w:p w:rsidR="001B06FB" w:rsidRPr="002D6CEA" w:rsidRDefault="001B06FB" w:rsidP="007C26FA">
      <w:pPr>
        <w:suppressLineNumbers/>
        <w:suppressAutoHyphens/>
        <w:kinsoku w:val="0"/>
        <w:overflowPunct w:val="0"/>
        <w:autoSpaceDE w:val="0"/>
        <w:autoSpaceDN w:val="0"/>
        <w:adjustRightInd w:val="0"/>
        <w:snapToGrid w:val="0"/>
        <w:rPr>
          <w:b/>
          <w:bCs/>
          <w:snapToGrid w:val="0"/>
          <w:kern w:val="22"/>
          <w:sz w:val="22"/>
          <w:szCs w:val="22"/>
          <w:lang w:val="fr-CA"/>
        </w:rPr>
      </w:pPr>
      <w:r w:rsidRPr="002D6CEA">
        <w:rPr>
          <w:b/>
          <w:bCs/>
          <w:snapToGrid w:val="0"/>
          <w:kern w:val="22"/>
          <w:sz w:val="22"/>
          <w:szCs w:val="22"/>
          <w:lang w:val="fr-CA"/>
        </w:rPr>
        <w:br w:type="page"/>
      </w:r>
    </w:p>
    <w:p w:rsidR="00E02C39" w:rsidRPr="002D6CEA" w:rsidRDefault="00250913" w:rsidP="007C26FA">
      <w:pPr>
        <w:suppressLineNumbers/>
        <w:suppressAutoHyphens/>
        <w:kinsoku w:val="0"/>
        <w:overflowPunct w:val="0"/>
        <w:autoSpaceDE w:val="0"/>
        <w:autoSpaceDN w:val="0"/>
        <w:adjustRightInd w:val="0"/>
        <w:snapToGrid w:val="0"/>
        <w:spacing w:before="120" w:after="120"/>
        <w:jc w:val="center"/>
        <w:rPr>
          <w:i/>
          <w:iCs/>
          <w:snapToGrid w:val="0"/>
          <w:kern w:val="22"/>
          <w:sz w:val="22"/>
          <w:szCs w:val="22"/>
          <w:lang w:val="fr-CA"/>
        </w:rPr>
      </w:pPr>
      <w:r w:rsidRPr="002D6CEA">
        <w:rPr>
          <w:i/>
          <w:iCs/>
          <w:snapToGrid w:val="0"/>
          <w:kern w:val="22"/>
          <w:sz w:val="22"/>
          <w:szCs w:val="22"/>
          <w:lang w:val="fr-CA"/>
        </w:rPr>
        <w:lastRenderedPageBreak/>
        <w:t>Annex</w:t>
      </w:r>
      <w:r w:rsidR="009A23FF">
        <w:rPr>
          <w:i/>
          <w:iCs/>
          <w:snapToGrid w:val="0"/>
          <w:kern w:val="22"/>
          <w:sz w:val="22"/>
          <w:szCs w:val="22"/>
          <w:lang w:val="fr-CA"/>
        </w:rPr>
        <w:t>e</w:t>
      </w:r>
    </w:p>
    <w:p w:rsidR="00250913" w:rsidRPr="002D6CEA" w:rsidRDefault="009A23FF" w:rsidP="007C26FA">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 w:val="22"/>
          <w:szCs w:val="22"/>
          <w:lang w:val="fr-CA"/>
        </w:rPr>
      </w:pPr>
      <w:r>
        <w:rPr>
          <w:sz w:val="22"/>
          <w:szCs w:val="22"/>
          <w:lang w:val="fr-CA"/>
        </w:rPr>
        <w:t>REcours aux évaluations nationales des écosystèmes pour appuyer la Plateforme intergouvernementale science</w:t>
      </w:r>
      <w:r w:rsidR="00E440F3">
        <w:rPr>
          <w:sz w:val="22"/>
          <w:szCs w:val="22"/>
          <w:lang w:val="fr-CA"/>
        </w:rPr>
        <w:noBreakHyphen/>
      </w:r>
      <w:r>
        <w:rPr>
          <w:sz w:val="22"/>
          <w:szCs w:val="22"/>
          <w:lang w:val="fr-CA"/>
        </w:rPr>
        <w:t>politique sur la biodiversité et les services écosystémiques et la Convention sur la diversité biologique</w:t>
      </w:r>
    </w:p>
    <w:p w:rsidR="009A23FF" w:rsidRPr="00C85772" w:rsidRDefault="009A23FF" w:rsidP="009A23FF">
      <w:pPr>
        <w:pStyle w:val="ListParagraph"/>
        <w:numPr>
          <w:ilvl w:val="0"/>
          <w:numId w:val="44"/>
        </w:numPr>
        <w:suppressLineNumbers/>
        <w:suppressAutoHyphens/>
        <w:spacing w:before="120" w:after="120"/>
        <w:ind w:left="0" w:firstLine="0"/>
        <w:contextualSpacing w:val="0"/>
        <w:jc w:val="both"/>
        <w:rPr>
          <w:noProof/>
          <w:kern w:val="22"/>
          <w:sz w:val="22"/>
          <w:szCs w:val="22"/>
          <w:lang w:val="fr-CA"/>
        </w:rPr>
      </w:pPr>
      <w:r>
        <w:rPr>
          <w:kern w:val="22"/>
          <w:sz w:val="22"/>
          <w:szCs w:val="22"/>
          <w:lang w:val="fr-CA"/>
        </w:rPr>
        <w:t xml:space="preserve">Non seulement les évaluations nationales des écosystèmes </w:t>
      </w:r>
      <w:r>
        <w:rPr>
          <w:noProof/>
          <w:kern w:val="22"/>
          <w:sz w:val="22"/>
          <w:szCs w:val="22"/>
          <w:lang w:val="fr-CA"/>
        </w:rPr>
        <w:t>fournissent</w:t>
      </w:r>
      <w:r w:rsidR="00E440F3">
        <w:rPr>
          <w:noProof/>
          <w:kern w:val="22"/>
          <w:sz w:val="22"/>
          <w:szCs w:val="22"/>
          <w:lang w:val="fr-CA"/>
        </w:rPr>
        <w:noBreakHyphen/>
      </w:r>
      <w:r>
        <w:rPr>
          <w:noProof/>
          <w:kern w:val="22"/>
          <w:sz w:val="22"/>
          <w:szCs w:val="22"/>
          <w:lang w:val="fr-CA"/>
        </w:rPr>
        <w:t>elles une base de données factuelles qui répond aux besoins de divers secteurs et encourage l</w:t>
      </w:r>
      <w:r w:rsidR="00E440F3">
        <w:rPr>
          <w:noProof/>
          <w:kern w:val="22"/>
          <w:sz w:val="22"/>
          <w:szCs w:val="22"/>
          <w:lang w:val="fr-CA"/>
        </w:rPr>
        <w:t>’</w:t>
      </w:r>
      <w:r>
        <w:rPr>
          <w:noProof/>
          <w:kern w:val="22"/>
          <w:sz w:val="22"/>
          <w:szCs w:val="22"/>
          <w:lang w:val="fr-CA"/>
        </w:rPr>
        <w:t>intégration des connaissances, mais également, le fait de les mener à bien mobilise activement diverses parties prenantes et leur permet d</w:t>
      </w:r>
      <w:r w:rsidR="00E440F3">
        <w:rPr>
          <w:noProof/>
          <w:kern w:val="22"/>
          <w:sz w:val="22"/>
          <w:szCs w:val="22"/>
          <w:lang w:val="fr-CA"/>
        </w:rPr>
        <w:t>’</w:t>
      </w:r>
      <w:r>
        <w:rPr>
          <w:noProof/>
          <w:kern w:val="22"/>
          <w:sz w:val="22"/>
          <w:szCs w:val="22"/>
          <w:lang w:val="fr-CA"/>
        </w:rPr>
        <w:t>appréhender des priorités différentes relatives à des questions spécifiques pertinentes sur le plan politique. Cette approche collaborative contribue à un meilleur recours aux produits. La réalisation des évaluations nationales des écosystèmes fournit également une occasion de créer des capacités à l</w:t>
      </w:r>
      <w:r w:rsidR="00E440F3">
        <w:rPr>
          <w:noProof/>
          <w:kern w:val="22"/>
          <w:sz w:val="22"/>
          <w:szCs w:val="22"/>
          <w:lang w:val="fr-CA"/>
        </w:rPr>
        <w:t>’</w:t>
      </w:r>
      <w:r>
        <w:rPr>
          <w:noProof/>
          <w:kern w:val="22"/>
          <w:sz w:val="22"/>
          <w:szCs w:val="22"/>
          <w:lang w:val="fr-CA"/>
        </w:rPr>
        <w:t>échelle nationale en matière de renforcement de l</w:t>
      </w:r>
      <w:r w:rsidR="00E440F3">
        <w:rPr>
          <w:noProof/>
          <w:kern w:val="22"/>
          <w:sz w:val="22"/>
          <w:szCs w:val="22"/>
          <w:lang w:val="fr-CA"/>
        </w:rPr>
        <w:t>’</w:t>
      </w:r>
      <w:r>
        <w:rPr>
          <w:noProof/>
          <w:kern w:val="22"/>
          <w:sz w:val="22"/>
          <w:szCs w:val="22"/>
          <w:lang w:val="fr-CA"/>
        </w:rPr>
        <w:t>interface science</w:t>
      </w:r>
      <w:r w:rsidR="00E440F3">
        <w:rPr>
          <w:noProof/>
          <w:kern w:val="22"/>
          <w:sz w:val="22"/>
          <w:szCs w:val="22"/>
          <w:lang w:val="fr-CA"/>
        </w:rPr>
        <w:noBreakHyphen/>
      </w:r>
      <w:r>
        <w:rPr>
          <w:noProof/>
          <w:kern w:val="22"/>
          <w:sz w:val="22"/>
          <w:szCs w:val="22"/>
          <w:lang w:val="fr-CA"/>
        </w:rPr>
        <w:t>politique, qui peut appuyer les politiques et mesures nationales, y compris celles nécessaires à la mise en œuvre des conventions relatives à la biodiversité et des processus connexes.</w:t>
      </w:r>
    </w:p>
    <w:p w:rsidR="009A23FF" w:rsidRPr="00C85772" w:rsidRDefault="009A23FF" w:rsidP="009A23FF">
      <w:pPr>
        <w:pStyle w:val="ListParagraph"/>
        <w:numPr>
          <w:ilvl w:val="0"/>
          <w:numId w:val="44"/>
        </w:numPr>
        <w:suppressLineNumbers/>
        <w:suppressAutoHyphens/>
        <w:spacing w:before="120" w:after="120"/>
        <w:ind w:left="0" w:firstLine="0"/>
        <w:contextualSpacing w:val="0"/>
        <w:jc w:val="both"/>
        <w:rPr>
          <w:noProof/>
          <w:kern w:val="22"/>
          <w:sz w:val="22"/>
          <w:szCs w:val="22"/>
          <w:lang w:val="fr-CA"/>
        </w:rPr>
      </w:pPr>
      <w:r>
        <w:rPr>
          <w:noProof/>
          <w:kern w:val="22"/>
          <w:sz w:val="22"/>
          <w:szCs w:val="22"/>
          <w:lang w:val="fr-CA"/>
        </w:rPr>
        <w:t>La création de capacités a été au cœur du programme de travail de la Plateforme intergouvernementale science</w:t>
      </w:r>
      <w:r w:rsidR="00E440F3">
        <w:rPr>
          <w:noProof/>
          <w:kern w:val="22"/>
          <w:sz w:val="22"/>
          <w:szCs w:val="22"/>
          <w:lang w:val="fr-CA"/>
        </w:rPr>
        <w:noBreakHyphen/>
      </w:r>
      <w:r>
        <w:rPr>
          <w:noProof/>
          <w:kern w:val="22"/>
          <w:sz w:val="22"/>
          <w:szCs w:val="22"/>
          <w:lang w:val="fr-CA"/>
        </w:rPr>
        <w:t>politique sur la biodiversité et les services écosystémiques depuis son établissement. Les activités de renforcement des capacités au sein de l</w:t>
      </w:r>
      <w:r w:rsidR="00E440F3">
        <w:rPr>
          <w:noProof/>
          <w:kern w:val="22"/>
          <w:sz w:val="22"/>
          <w:szCs w:val="22"/>
          <w:lang w:val="fr-CA"/>
        </w:rPr>
        <w:t>’</w:t>
      </w:r>
      <w:r>
        <w:rPr>
          <w:noProof/>
          <w:kern w:val="22"/>
          <w:sz w:val="22"/>
          <w:szCs w:val="22"/>
          <w:lang w:val="fr-CA"/>
        </w:rPr>
        <w:t>IPBES sont axées autant sur le développement des capacit</w:t>
      </w:r>
      <w:r w:rsidR="00E22501">
        <w:rPr>
          <w:noProof/>
          <w:kern w:val="22"/>
          <w:sz w:val="22"/>
          <w:szCs w:val="22"/>
          <w:lang w:val="fr-CA"/>
        </w:rPr>
        <w:t>és requises par l</w:t>
      </w:r>
      <w:r w:rsidR="00E440F3">
        <w:rPr>
          <w:noProof/>
          <w:kern w:val="22"/>
          <w:sz w:val="22"/>
          <w:szCs w:val="22"/>
          <w:lang w:val="fr-CA"/>
        </w:rPr>
        <w:t>’</w:t>
      </w:r>
      <w:r w:rsidR="00E22501">
        <w:rPr>
          <w:noProof/>
          <w:kern w:val="22"/>
          <w:sz w:val="22"/>
          <w:szCs w:val="22"/>
          <w:lang w:val="fr-CA"/>
        </w:rPr>
        <w:t>IPBES (par exemple,</w:t>
      </w:r>
      <w:r>
        <w:rPr>
          <w:noProof/>
          <w:kern w:val="22"/>
          <w:sz w:val="22"/>
          <w:szCs w:val="22"/>
          <w:lang w:val="fr-CA"/>
        </w:rPr>
        <w:t xml:space="preserve"> engager des experts en début de carrière dans le processus d</w:t>
      </w:r>
      <w:r w:rsidR="00E440F3">
        <w:rPr>
          <w:noProof/>
          <w:kern w:val="22"/>
          <w:sz w:val="22"/>
          <w:szCs w:val="22"/>
          <w:lang w:val="fr-CA"/>
        </w:rPr>
        <w:t>’</w:t>
      </w:r>
      <w:r>
        <w:rPr>
          <w:noProof/>
          <w:kern w:val="22"/>
          <w:sz w:val="22"/>
          <w:szCs w:val="22"/>
          <w:lang w:val="fr-CA"/>
        </w:rPr>
        <w:t>évaluation de la Plateforme, renforcer la participation des correspondants nationaux), que sur les activités mobilisatrices au niveau national. Les activités considérées prioritaires par la Plénière de la Plateforme et articulées dans les travaux du plan glissant de renforcement des capacités de l</w:t>
      </w:r>
      <w:r w:rsidR="00E440F3">
        <w:rPr>
          <w:noProof/>
          <w:kern w:val="22"/>
          <w:sz w:val="22"/>
          <w:szCs w:val="22"/>
          <w:lang w:val="fr-CA"/>
        </w:rPr>
        <w:t>’</w:t>
      </w:r>
      <w:r>
        <w:rPr>
          <w:noProof/>
          <w:kern w:val="22"/>
          <w:sz w:val="22"/>
          <w:szCs w:val="22"/>
          <w:lang w:val="fr-CA"/>
        </w:rPr>
        <w:t>IPBES</w:t>
      </w:r>
      <w:r w:rsidRPr="00C85772">
        <w:rPr>
          <w:noProof/>
          <w:kern w:val="22"/>
          <w:sz w:val="22"/>
          <w:szCs w:val="22"/>
          <w:vertAlign w:val="superscript"/>
          <w:lang w:val="fr-CA"/>
        </w:rPr>
        <w:footnoteReference w:id="6"/>
      </w:r>
      <w:r w:rsidRPr="00C85772">
        <w:rPr>
          <w:noProof/>
          <w:kern w:val="22"/>
          <w:sz w:val="22"/>
          <w:szCs w:val="22"/>
          <w:lang w:val="fr-CA"/>
        </w:rPr>
        <w:t xml:space="preserve"> </w:t>
      </w:r>
      <w:r>
        <w:rPr>
          <w:noProof/>
          <w:kern w:val="22"/>
          <w:sz w:val="22"/>
          <w:szCs w:val="22"/>
          <w:lang w:val="fr-CA"/>
        </w:rPr>
        <w:t>comprennent le renforcement des capacités pour entreprendre, utiliser et améliorer les évaluations nationales de la biodiversité et des services écosystémiques, ce qui inclut la promotion et la facilitation des plateformes science</w:t>
      </w:r>
      <w:r w:rsidR="00E440F3">
        <w:rPr>
          <w:noProof/>
          <w:kern w:val="22"/>
          <w:sz w:val="22"/>
          <w:szCs w:val="22"/>
          <w:lang w:val="fr-CA"/>
        </w:rPr>
        <w:noBreakHyphen/>
      </w:r>
      <w:r>
        <w:rPr>
          <w:noProof/>
          <w:kern w:val="22"/>
          <w:sz w:val="22"/>
          <w:szCs w:val="22"/>
          <w:lang w:val="fr-CA"/>
        </w:rPr>
        <w:t>politique et des réseaux nationaux. Cela est conforme à la décision 14/1 (par. 12 et 13) de la Conférence des Parties à la Convention.</w:t>
      </w:r>
    </w:p>
    <w:p w:rsidR="00FF0662" w:rsidRPr="002D6CEA" w:rsidRDefault="009A23FF" w:rsidP="009A23FF">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jc w:val="both"/>
        <w:rPr>
          <w:noProof/>
          <w:snapToGrid w:val="0"/>
          <w:kern w:val="22"/>
          <w:sz w:val="22"/>
          <w:szCs w:val="22"/>
          <w:lang w:val="fr-CA"/>
        </w:rPr>
      </w:pPr>
      <w:r>
        <w:rPr>
          <w:noProof/>
          <w:kern w:val="22"/>
          <w:sz w:val="22"/>
          <w:szCs w:val="22"/>
          <w:lang w:val="fr-CA"/>
        </w:rPr>
        <w:t>Afin d</w:t>
      </w:r>
      <w:r w:rsidR="00E440F3">
        <w:rPr>
          <w:noProof/>
          <w:kern w:val="22"/>
          <w:sz w:val="22"/>
          <w:szCs w:val="22"/>
          <w:lang w:val="fr-CA"/>
        </w:rPr>
        <w:t>’</w:t>
      </w:r>
      <w:r>
        <w:rPr>
          <w:noProof/>
          <w:kern w:val="22"/>
          <w:sz w:val="22"/>
          <w:szCs w:val="22"/>
          <w:lang w:val="fr-CA"/>
        </w:rPr>
        <w:t>étayer les travaux de l</w:t>
      </w:r>
      <w:r w:rsidR="00E440F3">
        <w:rPr>
          <w:noProof/>
          <w:kern w:val="22"/>
          <w:sz w:val="22"/>
          <w:szCs w:val="22"/>
          <w:lang w:val="fr-CA"/>
        </w:rPr>
        <w:t>’</w:t>
      </w:r>
      <w:r>
        <w:rPr>
          <w:noProof/>
          <w:kern w:val="22"/>
          <w:sz w:val="22"/>
          <w:szCs w:val="22"/>
          <w:lang w:val="fr-CA"/>
        </w:rPr>
        <w:t>IPBES, le Centre mondial de surveillance pour la conservation du Programme des Nations Unies pour l</w:t>
      </w:r>
      <w:r w:rsidR="00E440F3">
        <w:rPr>
          <w:noProof/>
          <w:kern w:val="22"/>
          <w:sz w:val="22"/>
          <w:szCs w:val="22"/>
          <w:lang w:val="fr-CA"/>
        </w:rPr>
        <w:t>’</w:t>
      </w:r>
      <w:r>
        <w:rPr>
          <w:noProof/>
          <w:kern w:val="22"/>
          <w:sz w:val="22"/>
          <w:szCs w:val="22"/>
          <w:lang w:val="fr-CA"/>
        </w:rPr>
        <w:t>environnement (WCMC</w:t>
      </w:r>
      <w:r w:rsidR="00E440F3">
        <w:rPr>
          <w:noProof/>
          <w:kern w:val="22"/>
          <w:sz w:val="22"/>
          <w:szCs w:val="22"/>
          <w:lang w:val="fr-CA"/>
        </w:rPr>
        <w:noBreakHyphen/>
      </w:r>
      <w:r>
        <w:rPr>
          <w:noProof/>
          <w:kern w:val="22"/>
          <w:sz w:val="22"/>
          <w:szCs w:val="22"/>
          <w:lang w:val="fr-CA"/>
        </w:rPr>
        <w:t>PNUE) a mis sur pied une initiative qui crée des capacités pour mener à bien des évaluations nationales des écosystèmes qui répondent aux besoins recensés par les pays, établissant ainsi un lien entre la science et l</w:t>
      </w:r>
      <w:r w:rsidR="00E440F3">
        <w:rPr>
          <w:noProof/>
          <w:kern w:val="22"/>
          <w:sz w:val="22"/>
          <w:szCs w:val="22"/>
          <w:lang w:val="fr-CA"/>
        </w:rPr>
        <w:t>’</w:t>
      </w:r>
      <w:r>
        <w:rPr>
          <w:noProof/>
          <w:kern w:val="22"/>
          <w:sz w:val="22"/>
          <w:szCs w:val="22"/>
          <w:lang w:val="fr-CA"/>
        </w:rPr>
        <w:t>élaboration de politiques. Cette initiative aide actuellement douze pays</w:t>
      </w:r>
      <w:r w:rsidRPr="00C85772">
        <w:rPr>
          <w:noProof/>
          <w:kern w:val="22"/>
          <w:sz w:val="22"/>
          <w:szCs w:val="22"/>
          <w:vertAlign w:val="superscript"/>
          <w:lang w:val="fr-CA"/>
        </w:rPr>
        <w:footnoteReference w:id="7"/>
      </w:r>
      <w:r w:rsidRPr="00C85772">
        <w:rPr>
          <w:noProof/>
          <w:kern w:val="22"/>
          <w:sz w:val="22"/>
          <w:szCs w:val="22"/>
          <w:lang w:val="fr-CA"/>
        </w:rPr>
        <w:t xml:space="preserve"> </w:t>
      </w:r>
      <w:r>
        <w:rPr>
          <w:noProof/>
          <w:kern w:val="22"/>
          <w:sz w:val="22"/>
          <w:szCs w:val="22"/>
          <w:lang w:val="fr-CA"/>
        </w:rPr>
        <w:t>à entreprendre des évaluations nationales de leurs écosystèmes et à élaborer des plateformes science</w:t>
      </w:r>
      <w:r w:rsidR="00E440F3">
        <w:rPr>
          <w:noProof/>
          <w:kern w:val="22"/>
          <w:sz w:val="22"/>
          <w:szCs w:val="22"/>
          <w:lang w:val="fr-CA"/>
        </w:rPr>
        <w:noBreakHyphen/>
      </w:r>
      <w:r>
        <w:rPr>
          <w:noProof/>
          <w:kern w:val="22"/>
          <w:sz w:val="22"/>
          <w:szCs w:val="22"/>
          <w:lang w:val="fr-CA"/>
        </w:rPr>
        <w:t>politique nationales, en ayant recours, comme il convient, au guide pour les évaluations de l</w:t>
      </w:r>
      <w:r w:rsidR="00E440F3">
        <w:rPr>
          <w:noProof/>
          <w:kern w:val="22"/>
          <w:sz w:val="22"/>
          <w:szCs w:val="22"/>
          <w:lang w:val="fr-CA"/>
        </w:rPr>
        <w:t>’</w:t>
      </w:r>
      <w:r>
        <w:rPr>
          <w:noProof/>
          <w:kern w:val="22"/>
          <w:sz w:val="22"/>
          <w:szCs w:val="22"/>
          <w:lang w:val="fr-CA"/>
        </w:rPr>
        <w:t>IPBES</w:t>
      </w:r>
      <w:r w:rsidRPr="00C85772">
        <w:rPr>
          <w:noProof/>
          <w:kern w:val="22"/>
          <w:sz w:val="22"/>
          <w:szCs w:val="22"/>
          <w:vertAlign w:val="superscript"/>
          <w:lang w:val="fr-CA"/>
        </w:rPr>
        <w:footnoteReference w:id="8"/>
      </w:r>
      <w:r>
        <w:rPr>
          <w:noProof/>
          <w:kern w:val="22"/>
          <w:sz w:val="22"/>
          <w:szCs w:val="22"/>
          <w:lang w:val="fr-CA"/>
        </w:rPr>
        <w:t xml:space="preserve"> et au cadre conceptuel de l</w:t>
      </w:r>
      <w:r w:rsidR="00E440F3">
        <w:rPr>
          <w:noProof/>
          <w:kern w:val="22"/>
          <w:sz w:val="22"/>
          <w:szCs w:val="22"/>
          <w:lang w:val="fr-CA"/>
        </w:rPr>
        <w:t>’</w:t>
      </w:r>
      <w:r>
        <w:rPr>
          <w:noProof/>
          <w:kern w:val="22"/>
          <w:sz w:val="22"/>
          <w:szCs w:val="22"/>
          <w:lang w:val="fr-CA"/>
        </w:rPr>
        <w:t>IPBES.</w:t>
      </w:r>
      <w:r w:rsidRPr="00C85772">
        <w:rPr>
          <w:noProof/>
          <w:kern w:val="22"/>
          <w:sz w:val="22"/>
          <w:szCs w:val="22"/>
          <w:vertAlign w:val="superscript"/>
          <w:lang w:val="fr-CA"/>
        </w:rPr>
        <w:footnoteReference w:id="9"/>
      </w:r>
    </w:p>
    <w:p w:rsidR="00FF0662" w:rsidRPr="002D6CEA" w:rsidRDefault="009A23FF" w:rsidP="007C26FA">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jc w:val="both"/>
        <w:rPr>
          <w:noProof/>
          <w:snapToGrid w:val="0"/>
          <w:kern w:val="22"/>
          <w:sz w:val="22"/>
          <w:szCs w:val="22"/>
          <w:lang w:val="fr-CA"/>
        </w:rPr>
      </w:pPr>
      <w:r>
        <w:rPr>
          <w:noProof/>
          <w:kern w:val="22"/>
          <w:sz w:val="22"/>
          <w:szCs w:val="22"/>
          <w:lang w:val="fr-CA"/>
        </w:rPr>
        <w:t>Le recensement de questions pertinentes au plan politique, de liens et de points d</w:t>
      </w:r>
      <w:r w:rsidR="00E440F3">
        <w:rPr>
          <w:noProof/>
          <w:kern w:val="22"/>
          <w:sz w:val="22"/>
          <w:szCs w:val="22"/>
          <w:lang w:val="fr-CA"/>
        </w:rPr>
        <w:t>’</w:t>
      </w:r>
      <w:r>
        <w:rPr>
          <w:noProof/>
          <w:kern w:val="22"/>
          <w:sz w:val="22"/>
          <w:szCs w:val="22"/>
          <w:lang w:val="fr-CA"/>
        </w:rPr>
        <w:t>entrée</w:t>
      </w:r>
      <w:r w:rsidRPr="00B176B0">
        <w:rPr>
          <w:noProof/>
          <w:kern w:val="22"/>
          <w:sz w:val="22"/>
          <w:szCs w:val="22"/>
          <w:lang w:val="fr-CA"/>
        </w:rPr>
        <w:t xml:space="preserve"> </w:t>
      </w:r>
      <w:r>
        <w:rPr>
          <w:noProof/>
          <w:kern w:val="22"/>
          <w:sz w:val="22"/>
          <w:szCs w:val="22"/>
          <w:lang w:val="fr-CA"/>
        </w:rPr>
        <w:t>fait partie intégrante de ce processus d</w:t>
      </w:r>
      <w:r w:rsidR="00E440F3">
        <w:rPr>
          <w:noProof/>
          <w:kern w:val="22"/>
          <w:sz w:val="22"/>
          <w:szCs w:val="22"/>
          <w:lang w:val="fr-CA"/>
        </w:rPr>
        <w:t>’</w:t>
      </w:r>
      <w:r>
        <w:rPr>
          <w:noProof/>
          <w:kern w:val="22"/>
          <w:sz w:val="22"/>
          <w:szCs w:val="22"/>
          <w:lang w:val="fr-CA"/>
        </w:rPr>
        <w:t>évaluation, facilitant ainsi l</w:t>
      </w:r>
      <w:r w:rsidR="00E440F3">
        <w:rPr>
          <w:noProof/>
          <w:kern w:val="22"/>
          <w:sz w:val="22"/>
          <w:szCs w:val="22"/>
          <w:lang w:val="fr-CA"/>
        </w:rPr>
        <w:t>’</w:t>
      </w:r>
      <w:r>
        <w:rPr>
          <w:noProof/>
          <w:kern w:val="22"/>
          <w:sz w:val="22"/>
          <w:szCs w:val="22"/>
          <w:lang w:val="fr-CA"/>
        </w:rPr>
        <w:t>élaboration de politiques et plans nationaux, tels que les stratégies et plans d</w:t>
      </w:r>
      <w:r w:rsidR="00E440F3">
        <w:rPr>
          <w:noProof/>
          <w:kern w:val="22"/>
          <w:sz w:val="22"/>
          <w:szCs w:val="22"/>
          <w:lang w:val="fr-CA"/>
        </w:rPr>
        <w:t>’</w:t>
      </w:r>
      <w:r>
        <w:rPr>
          <w:noProof/>
          <w:kern w:val="22"/>
          <w:sz w:val="22"/>
          <w:szCs w:val="22"/>
          <w:lang w:val="fr-CA"/>
        </w:rPr>
        <w:t>action nationaux pour la biodiversité. Cela fournit également des informations qui appuient l</w:t>
      </w:r>
      <w:r w:rsidR="00E440F3">
        <w:rPr>
          <w:noProof/>
          <w:kern w:val="22"/>
          <w:sz w:val="22"/>
          <w:szCs w:val="22"/>
          <w:lang w:val="fr-CA"/>
        </w:rPr>
        <w:t>’</w:t>
      </w:r>
      <w:r>
        <w:rPr>
          <w:noProof/>
          <w:kern w:val="22"/>
          <w:sz w:val="22"/>
          <w:szCs w:val="22"/>
          <w:lang w:val="fr-CA"/>
        </w:rPr>
        <w:t>élaboration des rapports nationaux. Les évaluations nationales des écosystèmes sont non seulement pertinentes pour l</w:t>
      </w:r>
      <w:r w:rsidR="00E440F3">
        <w:rPr>
          <w:noProof/>
          <w:kern w:val="22"/>
          <w:sz w:val="22"/>
          <w:szCs w:val="22"/>
          <w:lang w:val="fr-CA"/>
        </w:rPr>
        <w:t>’</w:t>
      </w:r>
      <w:r>
        <w:rPr>
          <w:noProof/>
          <w:kern w:val="22"/>
          <w:sz w:val="22"/>
          <w:szCs w:val="22"/>
          <w:lang w:val="fr-CA"/>
        </w:rPr>
        <w:t>élaboration de politiques, plans et stratégies spécifiques à la biodiversité, elles peuvent également fournir une base de données factuelles pour l</w:t>
      </w:r>
      <w:r w:rsidR="00E440F3">
        <w:rPr>
          <w:noProof/>
          <w:kern w:val="22"/>
          <w:sz w:val="22"/>
          <w:szCs w:val="22"/>
          <w:lang w:val="fr-CA"/>
        </w:rPr>
        <w:t>’</w:t>
      </w:r>
      <w:r>
        <w:rPr>
          <w:noProof/>
          <w:kern w:val="22"/>
          <w:sz w:val="22"/>
          <w:szCs w:val="22"/>
          <w:lang w:val="fr-CA"/>
        </w:rPr>
        <w:t>intégration de la biodiversité dans d</w:t>
      </w:r>
      <w:r w:rsidR="00E440F3">
        <w:rPr>
          <w:noProof/>
          <w:kern w:val="22"/>
          <w:sz w:val="22"/>
          <w:szCs w:val="22"/>
          <w:lang w:val="fr-CA"/>
        </w:rPr>
        <w:t>’</w:t>
      </w:r>
      <w:r>
        <w:rPr>
          <w:noProof/>
          <w:kern w:val="22"/>
          <w:sz w:val="22"/>
          <w:szCs w:val="22"/>
          <w:lang w:val="fr-CA"/>
        </w:rPr>
        <w:t>autres secteurs (par ex. agriculture, eau et foresterie). Par ailleurs, le processus d</w:t>
      </w:r>
      <w:r w:rsidR="00E440F3">
        <w:rPr>
          <w:noProof/>
          <w:kern w:val="22"/>
          <w:sz w:val="22"/>
          <w:szCs w:val="22"/>
          <w:lang w:val="fr-CA"/>
        </w:rPr>
        <w:t>’</w:t>
      </w:r>
      <w:r>
        <w:rPr>
          <w:noProof/>
          <w:kern w:val="22"/>
          <w:sz w:val="22"/>
          <w:szCs w:val="22"/>
          <w:lang w:val="fr-CA"/>
        </w:rPr>
        <w:t>évaluation lui</w:t>
      </w:r>
      <w:r w:rsidR="00E440F3">
        <w:rPr>
          <w:noProof/>
          <w:kern w:val="22"/>
          <w:sz w:val="22"/>
          <w:szCs w:val="22"/>
          <w:lang w:val="fr-CA"/>
        </w:rPr>
        <w:noBreakHyphen/>
      </w:r>
      <w:r>
        <w:rPr>
          <w:noProof/>
          <w:kern w:val="22"/>
          <w:sz w:val="22"/>
          <w:szCs w:val="22"/>
          <w:lang w:val="fr-CA"/>
        </w:rPr>
        <w:t>même peut contribuer à l</w:t>
      </w:r>
      <w:r w:rsidR="00E440F3">
        <w:rPr>
          <w:noProof/>
          <w:kern w:val="22"/>
          <w:sz w:val="22"/>
          <w:szCs w:val="22"/>
          <w:lang w:val="fr-CA"/>
        </w:rPr>
        <w:t>’</w:t>
      </w:r>
      <w:r>
        <w:rPr>
          <w:noProof/>
          <w:kern w:val="22"/>
          <w:sz w:val="22"/>
          <w:szCs w:val="22"/>
          <w:lang w:val="fr-CA"/>
        </w:rPr>
        <w:t>intégration de la biodiversité dans la prise de décisions intersectorielles, en raison d</w:t>
      </w:r>
      <w:r w:rsidR="00E440F3">
        <w:rPr>
          <w:noProof/>
          <w:kern w:val="22"/>
          <w:sz w:val="22"/>
          <w:szCs w:val="22"/>
          <w:lang w:val="fr-CA"/>
        </w:rPr>
        <w:t>’</w:t>
      </w:r>
      <w:r>
        <w:rPr>
          <w:noProof/>
          <w:kern w:val="22"/>
          <w:sz w:val="22"/>
          <w:szCs w:val="22"/>
          <w:lang w:val="fr-CA"/>
        </w:rPr>
        <w:t>un engagement accrue des parties prenantes et du rassemblement de données associé au processus d</w:t>
      </w:r>
      <w:r w:rsidR="00E440F3">
        <w:rPr>
          <w:noProof/>
          <w:kern w:val="22"/>
          <w:sz w:val="22"/>
          <w:szCs w:val="22"/>
          <w:lang w:val="fr-CA"/>
        </w:rPr>
        <w:t>’</w:t>
      </w:r>
      <w:r>
        <w:rPr>
          <w:noProof/>
          <w:kern w:val="22"/>
          <w:sz w:val="22"/>
          <w:szCs w:val="22"/>
          <w:lang w:val="fr-CA"/>
        </w:rPr>
        <w:t>évaluation</w:t>
      </w:r>
      <w:r w:rsidR="00250913" w:rsidRPr="002D6CEA">
        <w:rPr>
          <w:noProof/>
          <w:snapToGrid w:val="0"/>
          <w:kern w:val="22"/>
          <w:sz w:val="22"/>
          <w:szCs w:val="22"/>
          <w:lang w:val="fr-CA"/>
        </w:rPr>
        <w:t>.</w:t>
      </w:r>
    </w:p>
    <w:p w:rsidR="00250913" w:rsidRPr="002D6CEA" w:rsidRDefault="009A23FF" w:rsidP="007C26FA">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 w:val="22"/>
          <w:szCs w:val="22"/>
          <w:lang w:val="fr-CA"/>
        </w:rPr>
      </w:pPr>
      <w:r>
        <w:rPr>
          <w:kern w:val="22"/>
          <w:sz w:val="22"/>
          <w:szCs w:val="22"/>
          <w:lang w:val="fr-CA"/>
        </w:rPr>
        <w:lastRenderedPageBreak/>
        <w:t>Un appui financier pour l</w:t>
      </w:r>
      <w:r w:rsidR="00E440F3">
        <w:rPr>
          <w:kern w:val="22"/>
          <w:sz w:val="22"/>
          <w:szCs w:val="22"/>
          <w:lang w:val="fr-CA"/>
        </w:rPr>
        <w:t>’</w:t>
      </w:r>
      <w:r>
        <w:rPr>
          <w:kern w:val="22"/>
          <w:sz w:val="22"/>
          <w:szCs w:val="22"/>
          <w:lang w:val="fr-CA"/>
        </w:rPr>
        <w:t>initiative est reçu de l</w:t>
      </w:r>
      <w:r w:rsidR="00E440F3">
        <w:rPr>
          <w:kern w:val="22"/>
          <w:sz w:val="22"/>
          <w:szCs w:val="22"/>
          <w:lang w:val="fr-CA"/>
        </w:rPr>
        <w:t>’</w:t>
      </w:r>
      <w:r>
        <w:rPr>
          <w:kern w:val="22"/>
          <w:sz w:val="22"/>
          <w:szCs w:val="22"/>
          <w:lang w:val="fr-CA"/>
        </w:rPr>
        <w:t xml:space="preserve">Initiative internationale pour le climat (IKI) du </w:t>
      </w:r>
      <w:r w:rsidRPr="00A674B0">
        <w:rPr>
          <w:kern w:val="22"/>
          <w:sz w:val="22"/>
          <w:szCs w:val="22"/>
          <w:lang w:val="fr-CA"/>
        </w:rPr>
        <w:t>Ministère fédéral allemand de l</w:t>
      </w:r>
      <w:r w:rsidR="00E440F3">
        <w:rPr>
          <w:kern w:val="22"/>
          <w:sz w:val="22"/>
          <w:szCs w:val="22"/>
          <w:lang w:val="fr-CA"/>
        </w:rPr>
        <w:t>’</w:t>
      </w:r>
      <w:r w:rsidRPr="00A674B0">
        <w:rPr>
          <w:kern w:val="22"/>
          <w:sz w:val="22"/>
          <w:szCs w:val="22"/>
          <w:lang w:val="fr-CA"/>
        </w:rPr>
        <w:t xml:space="preserve">environnement, de </w:t>
      </w:r>
      <w:r w:rsidRPr="00A674B0">
        <w:rPr>
          <w:noProof/>
          <w:kern w:val="22"/>
          <w:sz w:val="22"/>
          <w:szCs w:val="22"/>
          <w:lang w:val="fr-CA"/>
        </w:rPr>
        <w:t>la protection de la nature et de la sécurité nucléaire</w:t>
      </w:r>
      <w:r>
        <w:rPr>
          <w:noProof/>
          <w:kern w:val="22"/>
          <w:sz w:val="22"/>
          <w:szCs w:val="22"/>
          <w:lang w:val="fr-CA"/>
        </w:rPr>
        <w:t xml:space="preserve"> (BMU), et elle est menée à bien en collaboration avec des partenaires, dont notamment le Programme des Nations Unies pour le développement et son initiative BES</w:t>
      </w:r>
      <w:r w:rsidR="00E440F3">
        <w:rPr>
          <w:noProof/>
          <w:kern w:val="22"/>
          <w:sz w:val="22"/>
          <w:szCs w:val="22"/>
          <w:lang w:val="fr-CA"/>
        </w:rPr>
        <w:noBreakHyphen/>
      </w:r>
      <w:r w:rsidRPr="00A674B0">
        <w:rPr>
          <w:noProof/>
          <w:kern w:val="22"/>
          <w:sz w:val="22"/>
          <w:szCs w:val="22"/>
          <w:lang w:val="fr-CA"/>
        </w:rPr>
        <w:t>Net, et l</w:t>
      </w:r>
      <w:r w:rsidR="00E440F3">
        <w:rPr>
          <w:noProof/>
          <w:kern w:val="22"/>
          <w:sz w:val="22"/>
          <w:szCs w:val="22"/>
          <w:lang w:val="fr-CA"/>
        </w:rPr>
        <w:t>’</w:t>
      </w:r>
      <w:r>
        <w:rPr>
          <w:noProof/>
          <w:kern w:val="22"/>
          <w:sz w:val="22"/>
          <w:szCs w:val="22"/>
          <w:lang w:val="fr-CA"/>
        </w:rPr>
        <w:t>Organisation des Nations Unies pour l</w:t>
      </w:r>
      <w:r w:rsidR="00E440F3">
        <w:rPr>
          <w:noProof/>
          <w:kern w:val="22"/>
          <w:sz w:val="22"/>
          <w:szCs w:val="22"/>
          <w:lang w:val="fr-CA"/>
        </w:rPr>
        <w:t>’</w:t>
      </w:r>
      <w:r>
        <w:rPr>
          <w:noProof/>
          <w:kern w:val="22"/>
          <w:sz w:val="22"/>
          <w:szCs w:val="22"/>
          <w:lang w:val="fr-CA"/>
        </w:rPr>
        <w:t>éducation, la science et la culture. De plus amples informations concernant l</w:t>
      </w:r>
      <w:r w:rsidR="00E440F3">
        <w:rPr>
          <w:noProof/>
          <w:kern w:val="22"/>
          <w:sz w:val="22"/>
          <w:szCs w:val="22"/>
          <w:lang w:val="fr-CA"/>
        </w:rPr>
        <w:t>’</w:t>
      </w:r>
      <w:r>
        <w:rPr>
          <w:noProof/>
          <w:kern w:val="22"/>
          <w:sz w:val="22"/>
          <w:szCs w:val="22"/>
          <w:lang w:val="fr-CA"/>
        </w:rPr>
        <w:t>initiative</w:t>
      </w:r>
      <w:r>
        <w:rPr>
          <w:kern w:val="22"/>
          <w:sz w:val="22"/>
          <w:szCs w:val="22"/>
          <w:lang w:val="fr-CA"/>
        </w:rPr>
        <w:t xml:space="preserve"> et ses incidences figurent dans le document</w:t>
      </w:r>
      <w:r w:rsidRPr="00A674B0">
        <w:rPr>
          <w:kern w:val="22"/>
          <w:sz w:val="22"/>
          <w:szCs w:val="22"/>
          <w:lang w:val="fr-CA"/>
        </w:rPr>
        <w:t xml:space="preserve"> </w:t>
      </w:r>
      <w:r w:rsidRPr="00C85772">
        <w:rPr>
          <w:kern w:val="22"/>
          <w:sz w:val="22"/>
          <w:szCs w:val="22"/>
          <w:lang w:val="fr-CA"/>
        </w:rPr>
        <w:t>CBD/SBSTTA/24/INF/18</w:t>
      </w:r>
      <w:r>
        <w:rPr>
          <w:kern w:val="22"/>
          <w:sz w:val="22"/>
          <w:szCs w:val="22"/>
          <w:lang w:val="fr-CA"/>
        </w:rPr>
        <w:t>.</w:t>
      </w:r>
    </w:p>
    <w:p w:rsidR="00250913" w:rsidRPr="002D6CEA" w:rsidRDefault="00E02C39" w:rsidP="007C26FA">
      <w:pPr>
        <w:suppressLineNumbers/>
        <w:suppressAutoHyphens/>
        <w:kinsoku w:val="0"/>
        <w:overflowPunct w:val="0"/>
        <w:autoSpaceDE w:val="0"/>
        <w:autoSpaceDN w:val="0"/>
        <w:adjustRightInd w:val="0"/>
        <w:snapToGrid w:val="0"/>
        <w:spacing w:before="120" w:after="120"/>
        <w:jc w:val="center"/>
        <w:rPr>
          <w:snapToGrid w:val="0"/>
          <w:kern w:val="22"/>
          <w:sz w:val="22"/>
          <w:szCs w:val="22"/>
          <w:lang w:val="fr-CA"/>
        </w:rPr>
      </w:pPr>
      <w:r w:rsidRPr="002D6CEA">
        <w:rPr>
          <w:snapToGrid w:val="0"/>
          <w:kern w:val="22"/>
          <w:sz w:val="22"/>
          <w:szCs w:val="22"/>
          <w:lang w:val="fr-CA"/>
        </w:rPr>
        <w:t>__________</w:t>
      </w:r>
    </w:p>
    <w:sectPr w:rsidR="00250913" w:rsidRPr="002D6CEA" w:rsidSect="0092106F">
      <w:headerReference w:type="even" r:id="rId27"/>
      <w:headerReference w:type="default" r:id="rId28"/>
      <w:footerReference w:type="even" r:id="rId29"/>
      <w:footerReference w:type="default" r:id="rId30"/>
      <w:pgSz w:w="12240" w:h="15840" w:code="1"/>
      <w:pgMar w:top="562" w:right="1440" w:bottom="1138" w:left="1440" w:header="461"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70" w:rsidRDefault="00200A70">
      <w:r>
        <w:separator/>
      </w:r>
    </w:p>
  </w:endnote>
  <w:endnote w:type="continuationSeparator" w:id="0">
    <w:p w:rsidR="00200A70" w:rsidRDefault="00200A70">
      <w:r>
        <w:continuationSeparator/>
      </w:r>
    </w:p>
  </w:endnote>
  <w:endnote w:type="continuationNotice" w:id="1">
    <w:p w:rsidR="00200A70" w:rsidRDefault="00200A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Calibri"/>
    <w:panose1 w:val="02000000000000000000"/>
    <w:charset w:val="00"/>
    <w:family w:val="auto"/>
    <w:pitch w:val="variable"/>
    <w:sig w:usb0="E0000AFF" w:usb1="5000217F" w:usb2="0000002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62" w:rsidRPr="00213E93" w:rsidRDefault="00162F62"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62" w:rsidRPr="00213E93" w:rsidRDefault="00162F62" w:rsidP="00F54CEE">
    <w:pPr>
      <w:pStyle w:val="Footer"/>
      <w:tabs>
        <w:tab w:val="clear" w:pos="4320"/>
        <w:tab w:val="clear" w:pos="8640"/>
      </w:tabs>
      <w:ind w:firstLine="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70" w:rsidRDefault="00200A70">
      <w:r>
        <w:separator/>
      </w:r>
    </w:p>
  </w:footnote>
  <w:footnote w:type="continuationSeparator" w:id="0">
    <w:p w:rsidR="00200A70" w:rsidRDefault="00200A70">
      <w:r>
        <w:continuationSeparator/>
      </w:r>
    </w:p>
  </w:footnote>
  <w:footnote w:type="continuationNotice" w:id="1">
    <w:p w:rsidR="00200A70" w:rsidRDefault="00200A70"/>
  </w:footnote>
  <w:footnote w:id="2">
    <w:p w:rsidR="00162F62" w:rsidRPr="007B2372" w:rsidRDefault="00162F62" w:rsidP="00392B8C">
      <w:pPr>
        <w:pStyle w:val="FootnoteText"/>
        <w:suppressLineNumbers/>
        <w:suppressAutoHyphens/>
        <w:kinsoku w:val="0"/>
        <w:overflowPunct w:val="0"/>
        <w:autoSpaceDE w:val="0"/>
        <w:autoSpaceDN w:val="0"/>
        <w:ind w:firstLine="0"/>
        <w:rPr>
          <w:snapToGrid w:val="0"/>
          <w:kern w:val="18"/>
          <w:szCs w:val="18"/>
          <w:lang w:val="en-GB"/>
        </w:rPr>
      </w:pPr>
      <w:r w:rsidRPr="00392B8C">
        <w:rPr>
          <w:rStyle w:val="FootnoteReference"/>
          <w:snapToGrid w:val="0"/>
          <w:kern w:val="18"/>
          <w:sz w:val="18"/>
          <w:szCs w:val="18"/>
          <w:vertAlign w:val="baseline"/>
          <w:lang w:val="en-GB"/>
        </w:rPr>
        <w:t>*</w:t>
      </w:r>
      <w:r w:rsidRPr="007B2372">
        <w:rPr>
          <w:snapToGrid w:val="0"/>
          <w:kern w:val="18"/>
          <w:szCs w:val="18"/>
          <w:lang w:val="en-GB"/>
        </w:rPr>
        <w:t xml:space="preserve"> CBD/SBSTTA/24/1.</w:t>
      </w:r>
    </w:p>
  </w:footnote>
  <w:footnote w:id="3">
    <w:p w:rsidR="00162F62" w:rsidRPr="0092701B" w:rsidRDefault="00162F62" w:rsidP="00593094">
      <w:pPr>
        <w:pStyle w:val="FootnoteText"/>
        <w:tabs>
          <w:tab w:val="left" w:pos="624"/>
        </w:tabs>
        <w:ind w:firstLine="0"/>
        <w:jc w:val="both"/>
        <w:rPr>
          <w:bCs/>
          <w:iCs/>
          <w:lang w:val="fr-CA"/>
        </w:rPr>
      </w:pPr>
      <w:r w:rsidRPr="0092701B">
        <w:rPr>
          <w:rStyle w:val="FootnoteReference"/>
          <w:lang w:val="fr-CA"/>
        </w:rPr>
        <w:footnoteRef/>
      </w:r>
      <w:r w:rsidRPr="0092701B">
        <w:rPr>
          <w:lang w:val="fr-CA"/>
        </w:rPr>
        <w:t xml:space="preserve"> </w:t>
      </w:r>
      <w:r>
        <w:rPr>
          <w:lang w:val="fr-CA"/>
        </w:rPr>
        <w:t>L’IPBES</w:t>
      </w:r>
      <w:r>
        <w:rPr>
          <w:lang w:val="fr-CA"/>
        </w:rPr>
        <w:noBreakHyphen/>
        <w:t xml:space="preserve">7 a également accueilli avec satisfaction la réponse du Groupe d’experts multidisciplinaire et du Bureau et la réaction de la Secrétaire exécutive à l’examen et a demandé dans IPBES/7/5 de tenir compte des recommandations formulées par le comité d’examen lors de la mise en œuvre du programme de travail glissant de la Plateforme jusqu’en 2030, et à recenser des solutions et/ou questions pour la considération de la Plénière </w:t>
      </w:r>
      <w:r w:rsidRPr="000548EF">
        <w:rPr>
          <w:lang w:val="fr-CA"/>
        </w:rPr>
        <w:t>à sa huitième session. Le rapport intégral du comité d</w:t>
      </w:r>
      <w:r>
        <w:rPr>
          <w:lang w:val="fr-CA"/>
        </w:rPr>
        <w:t>’</w:t>
      </w:r>
      <w:r w:rsidRPr="000548EF">
        <w:rPr>
          <w:lang w:val="fr-CA"/>
        </w:rPr>
        <w:t xml:space="preserve">examen est disponible sous la cote IPBES/7/INF/18, et les 45 conclusions et 36 recommandations figurent également dans le document </w:t>
      </w:r>
      <w:r w:rsidRPr="000548EF">
        <w:rPr>
          <w:szCs w:val="18"/>
          <w:lang w:val="fr-CA"/>
        </w:rPr>
        <w:t xml:space="preserve">IPBES/7/5. Les réponses du </w:t>
      </w:r>
      <w:r w:rsidRPr="000548EF">
        <w:rPr>
          <w:lang w:val="fr-CA"/>
        </w:rPr>
        <w:t>Groupe d</w:t>
      </w:r>
      <w:r>
        <w:rPr>
          <w:lang w:val="fr-CA"/>
        </w:rPr>
        <w:t>’</w:t>
      </w:r>
      <w:r w:rsidRPr="000548EF">
        <w:rPr>
          <w:lang w:val="fr-CA"/>
        </w:rPr>
        <w:t>experts multidisciplinaire et du Bureau et de la Secrétaire exécutive sont publiées dans les documents IPBES/7/INF/19 et IPBES/7/INF/2 respectivement. Ces six domaines primordiaux qui requièrent une attention part</w:t>
      </w:r>
      <w:r>
        <w:rPr>
          <w:lang w:val="fr-CA"/>
        </w:rPr>
        <w:t>iculière se lisent comme suit :</w:t>
      </w:r>
    </w:p>
    <w:p w:rsidR="00162F62" w:rsidRPr="0092701B" w:rsidRDefault="00162F62" w:rsidP="00593094">
      <w:pPr>
        <w:pStyle w:val="FootnoteText"/>
        <w:numPr>
          <w:ilvl w:val="0"/>
          <w:numId w:val="45"/>
        </w:numPr>
        <w:tabs>
          <w:tab w:val="left" w:pos="709"/>
        </w:tabs>
        <w:ind w:left="0" w:firstLine="414"/>
        <w:jc w:val="both"/>
        <w:rPr>
          <w:bCs/>
          <w:iCs/>
          <w:noProof/>
          <w:lang w:val="fr-CA"/>
        </w:rPr>
      </w:pPr>
      <w:r w:rsidRPr="009170D6">
        <w:rPr>
          <w:bCs/>
          <w:iCs/>
          <w:lang w:val="fr-CA"/>
        </w:rPr>
        <w:t>Afin de s</w:t>
      </w:r>
      <w:r>
        <w:rPr>
          <w:bCs/>
          <w:iCs/>
          <w:lang w:val="fr-CA"/>
        </w:rPr>
        <w:t>’</w:t>
      </w:r>
      <w:r w:rsidRPr="009170D6">
        <w:rPr>
          <w:bCs/>
          <w:iCs/>
          <w:lang w:val="fr-CA"/>
        </w:rPr>
        <w:t xml:space="preserve">assurer de son importance stratégique et de sa </w:t>
      </w:r>
      <w:r w:rsidRPr="009170D6">
        <w:rPr>
          <w:bCs/>
          <w:iCs/>
          <w:noProof/>
          <w:lang w:val="fr-CA"/>
        </w:rPr>
        <w:t>durabilité à long terme, la Plateforme doit veiller plus résolument à son impact final sur l</w:t>
      </w:r>
      <w:r>
        <w:rPr>
          <w:bCs/>
          <w:iCs/>
          <w:noProof/>
          <w:lang w:val="fr-CA"/>
        </w:rPr>
        <w:t>’</w:t>
      </w:r>
      <w:r w:rsidRPr="009170D6">
        <w:rPr>
          <w:bCs/>
          <w:iCs/>
          <w:noProof/>
          <w:lang w:val="fr-CA"/>
        </w:rPr>
        <w:t>état de la biodiversité et des services écosystémiques et maintenir et renforcer son créneau, sa proposition de valeur et son avantage comparatif dans un paysage complexe aux priorités multiples et concurrentes</w:t>
      </w:r>
      <w:r>
        <w:rPr>
          <w:bCs/>
          <w:iCs/>
          <w:noProof/>
          <w:lang w:val="fr-CA"/>
        </w:rPr>
        <w:t>.</w:t>
      </w:r>
    </w:p>
    <w:p w:rsidR="00162F62" w:rsidRPr="0092701B" w:rsidRDefault="00162F62" w:rsidP="00593094">
      <w:pPr>
        <w:pStyle w:val="FootnoteText"/>
        <w:numPr>
          <w:ilvl w:val="0"/>
          <w:numId w:val="45"/>
        </w:numPr>
        <w:tabs>
          <w:tab w:val="left" w:pos="709"/>
        </w:tabs>
        <w:ind w:left="0" w:firstLine="414"/>
        <w:jc w:val="both"/>
        <w:rPr>
          <w:bCs/>
          <w:iCs/>
          <w:noProof/>
          <w:lang w:val="fr-CA"/>
        </w:rPr>
      </w:pPr>
      <w:r w:rsidRPr="009170D6">
        <w:rPr>
          <w:noProof/>
          <w:lang w:val="fr-CA"/>
        </w:rPr>
        <w:t>La Plateforme doit renforcer de manière significative les dimensions afférentes aux politiques de ses travaux. La constitution de la base de données factuelles est nécessaire, mais pas suffisante</w:t>
      </w:r>
      <w:r>
        <w:rPr>
          <w:noProof/>
          <w:lang w:val="fr-CA"/>
        </w:rPr>
        <w:t>.</w:t>
      </w:r>
    </w:p>
    <w:p w:rsidR="00162F62" w:rsidRPr="0092701B" w:rsidRDefault="00162F62" w:rsidP="00593094">
      <w:pPr>
        <w:pStyle w:val="FootnoteText"/>
        <w:numPr>
          <w:ilvl w:val="0"/>
          <w:numId w:val="45"/>
        </w:numPr>
        <w:tabs>
          <w:tab w:val="left" w:pos="709"/>
        </w:tabs>
        <w:ind w:left="0" w:firstLine="414"/>
        <w:jc w:val="both"/>
        <w:rPr>
          <w:bCs/>
          <w:iCs/>
          <w:noProof/>
          <w:lang w:val="fr-CA"/>
        </w:rPr>
      </w:pPr>
      <w:r w:rsidRPr="00DF3A17">
        <w:rPr>
          <w:bCs/>
          <w:iCs/>
          <w:noProof/>
          <w:lang w:val="fr-CA"/>
        </w:rPr>
        <w:t>La Plateforme doit en faire davantage pour atténuer la tension entre la portée mondiale et régionale de ses travaux et reconnaître la nature essentiellement nationale et locale de la mise en œuvre.</w:t>
      </w:r>
    </w:p>
    <w:p w:rsidR="00162F62" w:rsidRPr="0092701B" w:rsidRDefault="00162F62" w:rsidP="00593094">
      <w:pPr>
        <w:pStyle w:val="FootnoteText"/>
        <w:numPr>
          <w:ilvl w:val="0"/>
          <w:numId w:val="45"/>
        </w:numPr>
        <w:tabs>
          <w:tab w:val="left" w:pos="709"/>
        </w:tabs>
        <w:ind w:left="0" w:firstLine="414"/>
        <w:jc w:val="both"/>
        <w:rPr>
          <w:bCs/>
          <w:iCs/>
          <w:noProof/>
          <w:lang w:val="fr-CA"/>
        </w:rPr>
      </w:pPr>
      <w:r w:rsidRPr="00DF3A17">
        <w:rPr>
          <w:bCs/>
          <w:iCs/>
          <w:noProof/>
          <w:lang w:val="fr-CA"/>
        </w:rPr>
        <w:t>La Plateforme doit élaborer une approche plus claire et plus stratégique envers ses parties prenantes, notamment en clarifiant sa stratégie en matière de partenariats et en permettant un engagement plus stratégique d</w:t>
      </w:r>
      <w:r>
        <w:rPr>
          <w:bCs/>
          <w:iCs/>
          <w:noProof/>
          <w:lang w:val="fr-CA"/>
        </w:rPr>
        <w:t>’</w:t>
      </w:r>
      <w:r w:rsidRPr="00DF3A17">
        <w:rPr>
          <w:bCs/>
          <w:iCs/>
          <w:noProof/>
          <w:lang w:val="fr-CA"/>
        </w:rPr>
        <w:t>un ensemble clé de partenaires.</w:t>
      </w:r>
    </w:p>
    <w:p w:rsidR="00162F62" w:rsidRPr="0092701B" w:rsidRDefault="00162F62" w:rsidP="00593094">
      <w:pPr>
        <w:pStyle w:val="FootnoteText"/>
        <w:numPr>
          <w:ilvl w:val="0"/>
          <w:numId w:val="45"/>
        </w:numPr>
        <w:tabs>
          <w:tab w:val="left" w:pos="709"/>
        </w:tabs>
        <w:ind w:left="0" w:firstLine="414"/>
        <w:jc w:val="both"/>
        <w:rPr>
          <w:bCs/>
          <w:iCs/>
          <w:noProof/>
          <w:lang w:val="fr-CA"/>
        </w:rPr>
      </w:pPr>
      <w:r w:rsidRPr="00DF3A17">
        <w:rPr>
          <w:bCs/>
          <w:iCs/>
          <w:noProof/>
          <w:lang w:val="fr-CA"/>
        </w:rPr>
        <w:t>Bien que les évaluations constituent à juste titre l</w:t>
      </w:r>
      <w:r>
        <w:rPr>
          <w:bCs/>
          <w:iCs/>
          <w:noProof/>
          <w:lang w:val="fr-CA"/>
        </w:rPr>
        <w:t>’</w:t>
      </w:r>
      <w:r w:rsidRPr="00DF3A17">
        <w:rPr>
          <w:bCs/>
          <w:iCs/>
          <w:noProof/>
          <w:lang w:val="fr-CA"/>
        </w:rPr>
        <w:t>essentiel des premiers produits de la Plateforme, et qu</w:t>
      </w:r>
      <w:r>
        <w:rPr>
          <w:bCs/>
          <w:iCs/>
          <w:noProof/>
          <w:lang w:val="fr-CA"/>
        </w:rPr>
        <w:t>’</w:t>
      </w:r>
      <w:r w:rsidRPr="00DF3A17">
        <w:rPr>
          <w:bCs/>
          <w:iCs/>
          <w:noProof/>
          <w:lang w:val="fr-CA"/>
        </w:rPr>
        <w:t>elles resteront au cœur de celle</w:t>
      </w:r>
      <w:r>
        <w:rPr>
          <w:bCs/>
          <w:iCs/>
          <w:noProof/>
          <w:lang w:val="fr-CA"/>
        </w:rPr>
        <w:noBreakHyphen/>
      </w:r>
      <w:r w:rsidRPr="00DF3A17">
        <w:rPr>
          <w:bCs/>
          <w:iCs/>
          <w:noProof/>
          <w:lang w:val="fr-CA"/>
        </w:rPr>
        <w:t>ci, il faut veiller à rationaliser et à renforcer les processus pertinents sans négliger d</w:t>
      </w:r>
      <w:r>
        <w:rPr>
          <w:bCs/>
          <w:iCs/>
          <w:noProof/>
          <w:lang w:val="fr-CA"/>
        </w:rPr>
        <w:t>’</w:t>
      </w:r>
      <w:r w:rsidRPr="00DF3A17">
        <w:rPr>
          <w:bCs/>
          <w:iCs/>
          <w:noProof/>
          <w:lang w:val="fr-CA"/>
        </w:rPr>
        <w:t>autres priorités et produits importants</w:t>
      </w:r>
      <w:r>
        <w:rPr>
          <w:bCs/>
          <w:iCs/>
          <w:noProof/>
          <w:lang w:val="fr-CA"/>
        </w:rPr>
        <w:t>.</w:t>
      </w:r>
      <w:r w:rsidRPr="0092701B">
        <w:rPr>
          <w:noProof/>
          <w:lang w:val="fr-CA"/>
        </w:rPr>
        <w:t xml:space="preserve"> </w:t>
      </w:r>
    </w:p>
    <w:p w:rsidR="00162F62" w:rsidRPr="00F614C3" w:rsidRDefault="00162F62" w:rsidP="00593094">
      <w:pPr>
        <w:pStyle w:val="FootnoteText"/>
        <w:numPr>
          <w:ilvl w:val="0"/>
          <w:numId w:val="45"/>
        </w:numPr>
        <w:tabs>
          <w:tab w:val="left" w:pos="709"/>
        </w:tabs>
        <w:ind w:left="0" w:firstLine="414"/>
        <w:jc w:val="both"/>
        <w:rPr>
          <w:bCs/>
          <w:iCs/>
          <w:lang w:val="fr-CA"/>
        </w:rPr>
      </w:pPr>
      <w:r w:rsidRPr="00DF3A17">
        <w:rPr>
          <w:bCs/>
          <w:iCs/>
          <w:lang w:val="fr-CA"/>
        </w:rPr>
        <w:t>Les membres de la Plateforme, ses partenaires et autres parties prenantes engagées doivent en faire davantage afin de contribuer à garantir sa viabilité financière à long terme.</w:t>
      </w:r>
    </w:p>
  </w:footnote>
  <w:footnote w:id="4">
    <w:p w:rsidR="00162F62" w:rsidRPr="0092701B" w:rsidRDefault="00162F62" w:rsidP="009E0061">
      <w:pPr>
        <w:pStyle w:val="FootnoteText"/>
        <w:ind w:firstLine="0"/>
        <w:rPr>
          <w:snapToGrid w:val="0"/>
          <w:color w:val="0000FF"/>
          <w:kern w:val="22"/>
          <w:szCs w:val="18"/>
          <w:u w:val="single"/>
          <w:lang w:val="fr-CA"/>
        </w:rPr>
      </w:pPr>
      <w:r w:rsidRPr="0092701B">
        <w:rPr>
          <w:rStyle w:val="FootnoteReference"/>
          <w:lang w:val="fr-CA"/>
        </w:rPr>
        <w:footnoteRef/>
      </w:r>
      <w:r>
        <w:rPr>
          <w:snapToGrid w:val="0"/>
          <w:kern w:val="22"/>
          <w:szCs w:val="18"/>
          <w:lang w:val="fr-CA"/>
        </w:rPr>
        <w:t>Disponible à l’adresse</w:t>
      </w:r>
      <w:r w:rsidRPr="0092701B">
        <w:rPr>
          <w:snapToGrid w:val="0"/>
          <w:kern w:val="22"/>
          <w:szCs w:val="18"/>
          <w:lang w:val="fr-CA"/>
        </w:rPr>
        <w:t xml:space="preserve"> </w:t>
      </w:r>
      <w:hyperlink r:id="rId1" w:history="1">
        <w:r w:rsidRPr="0092701B">
          <w:rPr>
            <w:rStyle w:val="Hyperlink"/>
            <w:snapToGrid w:val="0"/>
            <w:kern w:val="22"/>
            <w:szCs w:val="18"/>
            <w:lang w:val="fr-CA"/>
          </w:rPr>
          <w:t>https://ipbes.net/notification/nomination/scoping</w:t>
        </w:r>
        <w:r>
          <w:rPr>
            <w:rStyle w:val="Hyperlink"/>
            <w:snapToGrid w:val="0"/>
            <w:kern w:val="22"/>
            <w:szCs w:val="18"/>
            <w:lang w:val="fr-CA"/>
          </w:rPr>
          <w:noBreakHyphen/>
        </w:r>
        <w:r w:rsidRPr="0092701B">
          <w:rPr>
            <w:rStyle w:val="Hyperlink"/>
            <w:snapToGrid w:val="0"/>
            <w:kern w:val="22"/>
            <w:szCs w:val="18"/>
            <w:lang w:val="fr-CA"/>
          </w:rPr>
          <w:t>of</w:t>
        </w:r>
        <w:r>
          <w:rPr>
            <w:rStyle w:val="Hyperlink"/>
            <w:snapToGrid w:val="0"/>
            <w:kern w:val="22"/>
            <w:szCs w:val="18"/>
            <w:lang w:val="fr-CA"/>
          </w:rPr>
          <w:noBreakHyphen/>
        </w:r>
        <w:r w:rsidRPr="0092701B">
          <w:rPr>
            <w:rStyle w:val="Hyperlink"/>
            <w:snapToGrid w:val="0"/>
            <w:kern w:val="22"/>
            <w:szCs w:val="18"/>
            <w:lang w:val="fr-CA"/>
          </w:rPr>
          <w:t>the</w:t>
        </w:r>
        <w:r>
          <w:rPr>
            <w:rStyle w:val="Hyperlink"/>
            <w:snapToGrid w:val="0"/>
            <w:kern w:val="22"/>
            <w:szCs w:val="18"/>
            <w:lang w:val="fr-CA"/>
          </w:rPr>
          <w:noBreakHyphen/>
        </w:r>
        <w:r w:rsidRPr="0092701B">
          <w:rPr>
            <w:rStyle w:val="Hyperlink"/>
            <w:snapToGrid w:val="0"/>
            <w:kern w:val="22"/>
            <w:szCs w:val="18"/>
            <w:lang w:val="fr-CA"/>
          </w:rPr>
          <w:t>assessment</w:t>
        </w:r>
        <w:r>
          <w:rPr>
            <w:rStyle w:val="Hyperlink"/>
            <w:snapToGrid w:val="0"/>
            <w:kern w:val="22"/>
            <w:szCs w:val="18"/>
            <w:lang w:val="fr-CA"/>
          </w:rPr>
          <w:noBreakHyphen/>
        </w:r>
        <w:r w:rsidRPr="0092701B">
          <w:rPr>
            <w:rStyle w:val="Hyperlink"/>
            <w:snapToGrid w:val="0"/>
            <w:kern w:val="22"/>
            <w:szCs w:val="18"/>
            <w:lang w:val="fr-CA"/>
          </w:rPr>
          <w:t>of</w:t>
        </w:r>
        <w:r>
          <w:rPr>
            <w:rStyle w:val="Hyperlink"/>
            <w:snapToGrid w:val="0"/>
            <w:kern w:val="22"/>
            <w:szCs w:val="18"/>
            <w:lang w:val="fr-CA"/>
          </w:rPr>
          <w:noBreakHyphen/>
        </w:r>
        <w:r w:rsidRPr="0092701B">
          <w:rPr>
            <w:rStyle w:val="Hyperlink"/>
            <w:snapToGrid w:val="0"/>
            <w:kern w:val="22"/>
            <w:szCs w:val="18"/>
            <w:lang w:val="fr-CA"/>
          </w:rPr>
          <w:t>business</w:t>
        </w:r>
        <w:r>
          <w:rPr>
            <w:rStyle w:val="Hyperlink"/>
            <w:snapToGrid w:val="0"/>
            <w:kern w:val="22"/>
            <w:szCs w:val="18"/>
            <w:lang w:val="fr-CA"/>
          </w:rPr>
          <w:noBreakHyphen/>
        </w:r>
        <w:r w:rsidRPr="0092701B">
          <w:rPr>
            <w:rStyle w:val="Hyperlink"/>
            <w:snapToGrid w:val="0"/>
            <w:kern w:val="22"/>
            <w:szCs w:val="18"/>
            <w:lang w:val="fr-CA"/>
          </w:rPr>
          <w:t>and</w:t>
        </w:r>
        <w:r>
          <w:rPr>
            <w:rStyle w:val="Hyperlink"/>
            <w:snapToGrid w:val="0"/>
            <w:kern w:val="22"/>
            <w:szCs w:val="18"/>
            <w:lang w:val="fr-CA"/>
          </w:rPr>
          <w:noBreakHyphen/>
        </w:r>
        <w:r w:rsidRPr="0092701B">
          <w:rPr>
            <w:rStyle w:val="Hyperlink"/>
            <w:snapToGrid w:val="0"/>
            <w:kern w:val="22"/>
            <w:szCs w:val="18"/>
            <w:lang w:val="fr-CA"/>
          </w:rPr>
          <w:t>biodiversity</w:t>
        </w:r>
      </w:hyperlink>
    </w:p>
  </w:footnote>
  <w:footnote w:id="5">
    <w:p w:rsidR="00162F62" w:rsidRPr="0092701B" w:rsidRDefault="00162F62" w:rsidP="002D6CEA">
      <w:pPr>
        <w:pStyle w:val="FootnoteText"/>
        <w:ind w:firstLine="0"/>
        <w:rPr>
          <w:noProof/>
          <w:lang w:val="fr-CA"/>
        </w:rPr>
      </w:pPr>
      <w:r w:rsidRPr="0092701B">
        <w:rPr>
          <w:rStyle w:val="FootnoteReference"/>
          <w:lang w:val="fr-CA"/>
        </w:rPr>
        <w:footnoteRef/>
      </w:r>
      <w:r>
        <w:rPr>
          <w:lang w:val="fr-CA"/>
        </w:rPr>
        <w:t xml:space="preserve">En fonction du calendrier de la quinzième réunion de la Conférence des Parties, ce paragraphe peut être mis à jour à la lumière de la huitième session de la Plateforme </w:t>
      </w:r>
      <w:r>
        <w:rPr>
          <w:noProof/>
          <w:lang w:val="fr-CA"/>
        </w:rPr>
        <w:t>intergouvernementale science</w:t>
      </w:r>
      <w:r>
        <w:rPr>
          <w:noProof/>
          <w:lang w:val="fr-CA"/>
        </w:rPr>
        <w:noBreakHyphen/>
        <w:t>politique sur la biodiversité et les services écosystémiques.</w:t>
      </w:r>
    </w:p>
  </w:footnote>
  <w:footnote w:id="6">
    <w:p w:rsidR="00162F62" w:rsidRPr="0092701B" w:rsidRDefault="00162F62" w:rsidP="009A23FF">
      <w:pPr>
        <w:pStyle w:val="FootnoteText"/>
        <w:ind w:firstLine="0"/>
        <w:rPr>
          <w:lang w:val="fr-CA"/>
        </w:rPr>
      </w:pPr>
      <w:r w:rsidRPr="0092701B">
        <w:rPr>
          <w:rStyle w:val="FootnoteReference"/>
          <w:lang w:val="fr-CA"/>
        </w:rPr>
        <w:footnoteRef/>
      </w:r>
      <w:r w:rsidRPr="0092701B">
        <w:rPr>
          <w:lang w:val="fr-CA"/>
        </w:rPr>
        <w:t xml:space="preserve"> </w:t>
      </w:r>
      <w:r>
        <w:rPr>
          <w:lang w:val="fr-CA"/>
        </w:rPr>
        <w:t>Voir l’a</w:t>
      </w:r>
      <w:r w:rsidRPr="0092701B">
        <w:rPr>
          <w:lang w:val="fr-CA"/>
        </w:rPr>
        <w:t>nnex</w:t>
      </w:r>
      <w:r>
        <w:rPr>
          <w:lang w:val="fr-CA"/>
        </w:rPr>
        <w:t>e 1 du document</w:t>
      </w:r>
      <w:r w:rsidRPr="0092701B">
        <w:rPr>
          <w:lang w:val="fr-CA"/>
        </w:rPr>
        <w:t xml:space="preserve"> IPBES/5/INF/3 (</w:t>
      </w:r>
      <w:hyperlink r:id="rId2" w:history="1">
        <w:r w:rsidRPr="0092701B">
          <w:rPr>
            <w:rStyle w:val="Hyperlink"/>
            <w:lang w:val="fr-CA"/>
          </w:rPr>
          <w:t>https://ipbes.net/sites/default/files/downloads/pdf/ipbes</w:t>
        </w:r>
        <w:r>
          <w:rPr>
            <w:rStyle w:val="Hyperlink"/>
            <w:lang w:val="fr-CA"/>
          </w:rPr>
          <w:noBreakHyphen/>
        </w:r>
        <w:r w:rsidRPr="0092701B">
          <w:rPr>
            <w:rStyle w:val="Hyperlink"/>
            <w:lang w:val="fr-CA"/>
          </w:rPr>
          <w:t>5</w:t>
        </w:r>
        <w:r>
          <w:rPr>
            <w:rStyle w:val="Hyperlink"/>
            <w:lang w:val="fr-CA"/>
          </w:rPr>
          <w:noBreakHyphen/>
        </w:r>
        <w:r w:rsidRPr="0092701B">
          <w:rPr>
            <w:rStyle w:val="Hyperlink"/>
            <w:lang w:val="fr-CA"/>
          </w:rPr>
          <w:t>inf</w:t>
        </w:r>
        <w:r>
          <w:rPr>
            <w:rStyle w:val="Hyperlink"/>
            <w:lang w:val="fr-CA"/>
          </w:rPr>
          <w:noBreakHyphen/>
        </w:r>
        <w:r w:rsidRPr="0092701B">
          <w:rPr>
            <w:rStyle w:val="Hyperlink"/>
            <w:lang w:val="fr-CA"/>
          </w:rPr>
          <w:t>3.pdf</w:t>
        </w:r>
      </w:hyperlink>
      <w:r w:rsidRPr="0092701B">
        <w:rPr>
          <w:lang w:val="fr-CA"/>
        </w:rPr>
        <w:t>)</w:t>
      </w:r>
    </w:p>
  </w:footnote>
  <w:footnote w:id="7">
    <w:p w:rsidR="00162F62" w:rsidRPr="0092701B" w:rsidRDefault="00162F62" w:rsidP="009A23FF">
      <w:pPr>
        <w:pStyle w:val="FootnoteText"/>
        <w:ind w:firstLine="0"/>
        <w:rPr>
          <w:lang w:val="fr-CA"/>
        </w:rPr>
      </w:pPr>
      <w:r w:rsidRPr="0092701B">
        <w:rPr>
          <w:rStyle w:val="FootnoteReference"/>
          <w:lang w:val="fr-CA"/>
        </w:rPr>
        <w:footnoteRef/>
      </w:r>
      <w:r>
        <w:rPr>
          <w:lang w:val="fr-CA"/>
        </w:rPr>
        <w:t xml:space="preserve"> Tranche 1 : Cameroun, Colombie, Éthiopie, et Viet Nam; Tranche 2 : Azerbaïdjan, Bosnie et Herzégovine, Cambodge et Grenade; Tranche 3 : Argentine, Malawi, République dominicaine et Thaï</w:t>
      </w:r>
      <w:r w:rsidRPr="0092701B">
        <w:rPr>
          <w:lang w:val="fr-CA"/>
        </w:rPr>
        <w:t>land</w:t>
      </w:r>
      <w:r>
        <w:rPr>
          <w:lang w:val="fr-CA"/>
        </w:rPr>
        <w:t>e</w:t>
      </w:r>
      <w:r w:rsidRPr="0092701B">
        <w:rPr>
          <w:lang w:val="fr-CA"/>
        </w:rPr>
        <w:t>.</w:t>
      </w:r>
    </w:p>
  </w:footnote>
  <w:footnote w:id="8">
    <w:p w:rsidR="00162F62" w:rsidRPr="0092701B" w:rsidRDefault="00162F62" w:rsidP="009A23FF">
      <w:pPr>
        <w:pStyle w:val="FootnoteText"/>
        <w:ind w:firstLine="0"/>
        <w:rPr>
          <w:lang w:val="fr-CA"/>
        </w:rPr>
      </w:pPr>
      <w:r w:rsidRPr="0092701B">
        <w:rPr>
          <w:rStyle w:val="FootnoteReference"/>
          <w:lang w:val="fr-CA"/>
        </w:rPr>
        <w:footnoteRef/>
      </w:r>
      <w:r w:rsidRPr="0092701B">
        <w:rPr>
          <w:lang w:val="fr-CA"/>
        </w:rPr>
        <w:t xml:space="preserve"> </w:t>
      </w:r>
      <w:r>
        <w:rPr>
          <w:lang w:val="fr-CA"/>
        </w:rPr>
        <w:t>Voir</w:t>
      </w:r>
      <w:r w:rsidRPr="0092701B">
        <w:rPr>
          <w:lang w:val="fr-CA"/>
        </w:rPr>
        <w:t xml:space="preserve"> </w:t>
      </w:r>
      <w:hyperlink r:id="rId3" w:history="1">
        <w:r w:rsidRPr="0092701B">
          <w:rPr>
            <w:rStyle w:val="Hyperlink"/>
            <w:lang w:val="fr-CA"/>
          </w:rPr>
          <w:t>https://ipbes.net/guide</w:t>
        </w:r>
        <w:r>
          <w:rPr>
            <w:rStyle w:val="Hyperlink"/>
            <w:lang w:val="fr-CA"/>
          </w:rPr>
          <w:noBreakHyphen/>
        </w:r>
        <w:r w:rsidRPr="0092701B">
          <w:rPr>
            <w:rStyle w:val="Hyperlink"/>
            <w:lang w:val="fr-CA"/>
          </w:rPr>
          <w:t>production</w:t>
        </w:r>
        <w:r>
          <w:rPr>
            <w:rStyle w:val="Hyperlink"/>
            <w:lang w:val="fr-CA"/>
          </w:rPr>
          <w:noBreakHyphen/>
        </w:r>
        <w:r w:rsidRPr="0092701B">
          <w:rPr>
            <w:rStyle w:val="Hyperlink"/>
            <w:lang w:val="fr-CA"/>
          </w:rPr>
          <w:t>assessments</w:t>
        </w:r>
      </w:hyperlink>
      <w:r w:rsidRPr="0092701B">
        <w:rPr>
          <w:lang w:val="fr-CA"/>
        </w:rPr>
        <w:t xml:space="preserve"> </w:t>
      </w:r>
    </w:p>
  </w:footnote>
  <w:footnote w:id="9">
    <w:p w:rsidR="00162F62" w:rsidRPr="0092701B" w:rsidRDefault="00162F62" w:rsidP="009A23FF">
      <w:pPr>
        <w:pStyle w:val="FootnoteText"/>
        <w:ind w:firstLine="0"/>
        <w:rPr>
          <w:lang w:val="fr-CA"/>
        </w:rPr>
      </w:pPr>
      <w:r w:rsidRPr="0092701B">
        <w:rPr>
          <w:rStyle w:val="FootnoteReference"/>
          <w:lang w:val="fr-CA"/>
        </w:rPr>
        <w:footnoteRef/>
      </w:r>
      <w:r w:rsidRPr="0092701B">
        <w:rPr>
          <w:lang w:val="fr-CA"/>
        </w:rPr>
        <w:t xml:space="preserve"> </w:t>
      </w:r>
      <w:r>
        <w:rPr>
          <w:lang w:val="fr-CA"/>
        </w:rPr>
        <w:t>Voir</w:t>
      </w:r>
      <w:r w:rsidRPr="0092701B">
        <w:rPr>
          <w:lang w:val="fr-CA"/>
        </w:rPr>
        <w:t xml:space="preserve"> </w:t>
      </w:r>
      <w:hyperlink r:id="rId4" w:history="1">
        <w:r w:rsidRPr="0092701B">
          <w:rPr>
            <w:rStyle w:val="Hyperlink"/>
            <w:lang w:val="fr-CA"/>
          </w:rPr>
          <w:t>https://ipbes.net/conceptual</w:t>
        </w:r>
        <w:r>
          <w:rPr>
            <w:rStyle w:val="Hyperlink"/>
            <w:lang w:val="fr-CA"/>
          </w:rPr>
          <w:noBreakHyphen/>
        </w:r>
        <w:r w:rsidRPr="0092701B">
          <w:rPr>
            <w:rStyle w:val="Hyperlink"/>
            <w:lang w:val="fr-CA"/>
          </w:rPr>
          <w:t>framework</w:t>
        </w:r>
      </w:hyperlink>
      <w:r w:rsidRPr="0092701B">
        <w:rPr>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Content>
      <w:p w:rsidR="00162F62" w:rsidRPr="00213E93" w:rsidRDefault="00162F62"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en-GB"/>
          </w:rPr>
          <w:t>CBD/SBSTTA/24/8</w:t>
        </w:r>
      </w:p>
    </w:sdtContent>
  </w:sdt>
  <w:p w:rsidR="00162F62" w:rsidRPr="00213E93" w:rsidRDefault="00162F62"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00D974A2"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D974A2" w:rsidRPr="00213E93">
      <w:rPr>
        <w:noProof/>
        <w:kern w:val="22"/>
        <w:sz w:val="22"/>
        <w:szCs w:val="22"/>
        <w:lang w:val="en-GB"/>
      </w:rPr>
      <w:fldChar w:fldCharType="separate"/>
    </w:r>
    <w:r w:rsidR="00FC6748">
      <w:rPr>
        <w:noProof/>
        <w:kern w:val="22"/>
        <w:sz w:val="22"/>
        <w:szCs w:val="22"/>
        <w:lang w:val="en-GB"/>
      </w:rPr>
      <w:t>2</w:t>
    </w:r>
    <w:r w:rsidR="00D974A2" w:rsidRPr="00213E93">
      <w:rPr>
        <w:noProof/>
        <w:kern w:val="22"/>
        <w:sz w:val="22"/>
        <w:szCs w:val="22"/>
        <w:lang w:val="en-GB"/>
      </w:rPr>
      <w:fldChar w:fldCharType="end"/>
    </w:r>
  </w:p>
  <w:p w:rsidR="00162F62" w:rsidRPr="00213E93" w:rsidRDefault="00162F62"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162F62" w:rsidRPr="00213E93" w:rsidRDefault="00162F62"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en-GB"/>
          </w:rPr>
          <w:t>CBD/SBSTTA/24/8</w:t>
        </w:r>
      </w:p>
    </w:sdtContent>
  </w:sdt>
  <w:p w:rsidR="00162F62" w:rsidRPr="00213E93" w:rsidRDefault="00162F62"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00D974A2"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D974A2" w:rsidRPr="00213E93">
      <w:rPr>
        <w:noProof/>
        <w:kern w:val="22"/>
        <w:sz w:val="22"/>
        <w:szCs w:val="22"/>
        <w:lang w:val="en-GB"/>
      </w:rPr>
      <w:fldChar w:fldCharType="separate"/>
    </w:r>
    <w:r w:rsidR="00FC6748">
      <w:rPr>
        <w:noProof/>
        <w:kern w:val="22"/>
        <w:sz w:val="22"/>
        <w:szCs w:val="22"/>
        <w:lang w:val="en-GB"/>
      </w:rPr>
      <w:t>3</w:t>
    </w:r>
    <w:r w:rsidR="00D974A2" w:rsidRPr="00213E93">
      <w:rPr>
        <w:noProof/>
        <w:kern w:val="22"/>
        <w:sz w:val="22"/>
        <w:szCs w:val="22"/>
        <w:lang w:val="en-GB"/>
      </w:rPr>
      <w:fldChar w:fldCharType="end"/>
    </w:r>
  </w:p>
  <w:p w:rsidR="00162F62" w:rsidRPr="00213E93" w:rsidRDefault="00162F62"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DD0999"/>
    <w:multiLevelType w:val="hybridMultilevel"/>
    <w:tmpl w:val="4E629CA2"/>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8F52D2"/>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04EEC"/>
    <w:multiLevelType w:val="hybridMultilevel"/>
    <w:tmpl w:val="1F94DE3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1D70DE"/>
    <w:multiLevelType w:val="hybridMultilevel"/>
    <w:tmpl w:val="11D8FE88"/>
    <w:lvl w:ilvl="0" w:tplc="E560548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BE0C71"/>
    <w:multiLevelType w:val="hybridMultilevel"/>
    <w:tmpl w:val="AB22BD4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E4763AFA">
      <w:start w:val="1"/>
      <w:numFmt w:val="decimal"/>
      <w:lvlText w:val="%4."/>
      <w:lvlJc w:val="left"/>
      <w:pPr>
        <w:ind w:left="2880" w:hanging="360"/>
      </w:pPr>
      <w:rPr>
        <w:rFonts w:hint="default"/>
        <w:i w:val="0"/>
        <w:iCs/>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nsid w:val="3ED106A5"/>
    <w:multiLevelType w:val="hybridMultilevel"/>
    <w:tmpl w:val="3F7835E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75B2AEE"/>
    <w:multiLevelType w:val="hybridMultilevel"/>
    <w:tmpl w:val="E9085C6E"/>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8C1654A"/>
    <w:multiLevelType w:val="hybridMultilevel"/>
    <w:tmpl w:val="2196B9C0"/>
    <w:lvl w:ilvl="0" w:tplc="C72A3F32">
      <w:start w:val="1"/>
      <w:numFmt w:val="lowerLetter"/>
      <w:lvlText w:val="(%1)"/>
      <w:lvlJc w:val="left"/>
      <w:pPr>
        <w:ind w:left="1080" w:hanging="720"/>
      </w:pPr>
      <w:rPr>
        <w:rFonts w:hint="default"/>
      </w:rPr>
    </w:lvl>
    <w:lvl w:ilvl="1" w:tplc="10090017">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9F749EB2">
      <w:start w:val="1"/>
      <w:numFmt w:val="decimal"/>
      <w:lvlText w:val="%4."/>
      <w:lvlJc w:val="left"/>
      <w:pPr>
        <w:ind w:left="2880" w:hanging="360"/>
      </w:pPr>
      <w:rPr>
        <w:rFonts w:hint="default"/>
        <w: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997D43"/>
    <w:multiLevelType w:val="hybridMultilevel"/>
    <w:tmpl w:val="1F94DE3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E380AB1"/>
    <w:multiLevelType w:val="hybridMultilevel"/>
    <w:tmpl w:val="6A28DF42"/>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9F749EB2">
      <w:start w:val="1"/>
      <w:numFmt w:val="decimal"/>
      <w:lvlText w:val="%4."/>
      <w:lvlJc w:val="left"/>
      <w:pPr>
        <w:ind w:left="2880" w:hanging="360"/>
      </w:pPr>
      <w:rPr>
        <w:rFonts w:hint="default"/>
        <w: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5A0550E"/>
    <w:multiLevelType w:val="hybridMultilevel"/>
    <w:tmpl w:val="9E86F5EE"/>
    <w:lvl w:ilvl="0" w:tplc="E7121A0A">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8616D39"/>
    <w:multiLevelType w:val="hybridMultilevel"/>
    <w:tmpl w:val="F3E0678A"/>
    <w:lvl w:ilvl="0" w:tplc="0C0C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8FD5CE2"/>
    <w:multiLevelType w:val="hybridMultilevel"/>
    <w:tmpl w:val="30C6A650"/>
    <w:lvl w:ilvl="0" w:tplc="0C0C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44">
    <w:nsid w:val="7EBF4393"/>
    <w:multiLevelType w:val="hybridMultilevel"/>
    <w:tmpl w:val="D8000FA8"/>
    <w:lvl w:ilvl="0" w:tplc="A7F276BE">
      <w:start w:val="1"/>
      <w:numFmt w:val="decimal"/>
      <w:lvlText w:val="%1."/>
      <w:lvlJc w:val="left"/>
      <w:pPr>
        <w:ind w:left="2880" w:hanging="360"/>
      </w:pPr>
      <w:rPr>
        <w:rFonts w:ascii="Times New Roman" w:eastAsia="Times New Roman" w:hAnsi="Times New Roman" w:cs="Angsana New"/>
        <w:b w:val="0"/>
      </w:rPr>
    </w:lvl>
    <w:lvl w:ilvl="1" w:tplc="0C0C0017">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5"/>
  </w:num>
  <w:num w:numId="2">
    <w:abstractNumId w:val="26"/>
  </w:num>
  <w:num w:numId="3">
    <w:abstractNumId w:val="21"/>
  </w:num>
  <w:num w:numId="4">
    <w:abstractNumId w:val="26"/>
  </w:num>
  <w:num w:numId="5">
    <w:abstractNumId w:val="24"/>
  </w:num>
  <w:num w:numId="6">
    <w:abstractNumId w:val="44"/>
  </w:num>
  <w:num w:numId="7">
    <w:abstractNumId w:val="7"/>
  </w:num>
  <w:num w:numId="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1"/>
  </w:num>
  <w:num w:numId="11">
    <w:abstractNumId w:val="13"/>
  </w:num>
  <w:num w:numId="12">
    <w:abstractNumId w:val="3"/>
  </w:num>
  <w:num w:numId="13">
    <w:abstractNumId w:val="33"/>
  </w:num>
  <w:num w:numId="14">
    <w:abstractNumId w:val="22"/>
  </w:num>
  <w:num w:numId="15">
    <w:abstractNumId w:val="43"/>
  </w:num>
  <w:num w:numId="16">
    <w:abstractNumId w:val="3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4"/>
  </w:num>
  <w:num w:numId="22">
    <w:abstractNumId w:val="9"/>
  </w:num>
  <w:num w:numId="23">
    <w:abstractNumId w:val="35"/>
  </w:num>
  <w:num w:numId="24">
    <w:abstractNumId w:val="0"/>
  </w:num>
  <w:num w:numId="25">
    <w:abstractNumId w:val="16"/>
  </w:num>
  <w:num w:numId="26">
    <w:abstractNumId w:val="37"/>
  </w:num>
  <w:num w:numId="27">
    <w:abstractNumId w:val="31"/>
  </w:num>
  <w:num w:numId="28">
    <w:abstractNumId w:val="34"/>
  </w:num>
  <w:num w:numId="29">
    <w:abstractNumId w:val="5"/>
  </w:num>
  <w:num w:numId="30">
    <w:abstractNumId w:val="18"/>
  </w:num>
  <w:num w:numId="31">
    <w:abstractNumId w:val="1"/>
  </w:num>
  <w:num w:numId="32">
    <w:abstractNumId w:val="28"/>
  </w:num>
  <w:num w:numId="33">
    <w:abstractNumId w:val="32"/>
  </w:num>
  <w:num w:numId="34">
    <w:abstractNumId w:val="20"/>
  </w:num>
  <w:num w:numId="35">
    <w:abstractNumId w:val="42"/>
  </w:num>
  <w:num w:numId="36">
    <w:abstractNumId w:val="6"/>
  </w:num>
  <w:num w:numId="37">
    <w:abstractNumId w:val="17"/>
  </w:num>
  <w:num w:numId="38">
    <w:abstractNumId w:val="25"/>
  </w:num>
  <w:num w:numId="39">
    <w:abstractNumId w:val="11"/>
  </w:num>
  <w:num w:numId="40">
    <w:abstractNumId w:val="19"/>
  </w:num>
  <w:num w:numId="41">
    <w:abstractNumId w:val="38"/>
  </w:num>
  <w:num w:numId="42">
    <w:abstractNumId w:val="23"/>
  </w:num>
  <w:num w:numId="43">
    <w:abstractNumId w:val="27"/>
  </w:num>
  <w:num w:numId="44">
    <w:abstractNumId w:val="10"/>
  </w:num>
  <w:num w:numId="45">
    <w:abstractNumId w:val="40"/>
  </w:num>
  <w:num w:numId="46">
    <w:abstractNumId w:val="2"/>
  </w:num>
  <w:num w:numId="4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E55B3B"/>
    <w:rsid w:val="0000269E"/>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C9C"/>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C8C"/>
    <w:rsid w:val="00042748"/>
    <w:rsid w:val="0004283F"/>
    <w:rsid w:val="000501F6"/>
    <w:rsid w:val="00050FA4"/>
    <w:rsid w:val="00051894"/>
    <w:rsid w:val="0005258A"/>
    <w:rsid w:val="00052B3D"/>
    <w:rsid w:val="00054381"/>
    <w:rsid w:val="0005767C"/>
    <w:rsid w:val="000577C6"/>
    <w:rsid w:val="000578CE"/>
    <w:rsid w:val="00060664"/>
    <w:rsid w:val="00060A1F"/>
    <w:rsid w:val="00061680"/>
    <w:rsid w:val="00061BD6"/>
    <w:rsid w:val="000627F0"/>
    <w:rsid w:val="000638C9"/>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3708"/>
    <w:rsid w:val="00074322"/>
    <w:rsid w:val="000744DB"/>
    <w:rsid w:val="000775CC"/>
    <w:rsid w:val="000775EC"/>
    <w:rsid w:val="00082752"/>
    <w:rsid w:val="00083A0B"/>
    <w:rsid w:val="000843F6"/>
    <w:rsid w:val="00084903"/>
    <w:rsid w:val="00084DEC"/>
    <w:rsid w:val="0008539A"/>
    <w:rsid w:val="00086473"/>
    <w:rsid w:val="000905E5"/>
    <w:rsid w:val="00091AEC"/>
    <w:rsid w:val="00091B47"/>
    <w:rsid w:val="00091D2E"/>
    <w:rsid w:val="00093441"/>
    <w:rsid w:val="000946BE"/>
    <w:rsid w:val="00094AAC"/>
    <w:rsid w:val="00096577"/>
    <w:rsid w:val="0009744C"/>
    <w:rsid w:val="00097F37"/>
    <w:rsid w:val="000A022A"/>
    <w:rsid w:val="000A2AE3"/>
    <w:rsid w:val="000A563E"/>
    <w:rsid w:val="000A5C50"/>
    <w:rsid w:val="000A6D80"/>
    <w:rsid w:val="000A6D81"/>
    <w:rsid w:val="000A6F03"/>
    <w:rsid w:val="000A73AC"/>
    <w:rsid w:val="000B55BE"/>
    <w:rsid w:val="000B5F2C"/>
    <w:rsid w:val="000C0868"/>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3A51"/>
    <w:rsid w:val="000E637D"/>
    <w:rsid w:val="000E725B"/>
    <w:rsid w:val="000E7E4C"/>
    <w:rsid w:val="000E7E6A"/>
    <w:rsid w:val="000F11A9"/>
    <w:rsid w:val="000F3033"/>
    <w:rsid w:val="000F3468"/>
    <w:rsid w:val="000F5BBB"/>
    <w:rsid w:val="000F63AB"/>
    <w:rsid w:val="00100C50"/>
    <w:rsid w:val="00102BF2"/>
    <w:rsid w:val="00106DF4"/>
    <w:rsid w:val="001071DF"/>
    <w:rsid w:val="001076E8"/>
    <w:rsid w:val="0011199A"/>
    <w:rsid w:val="00112643"/>
    <w:rsid w:val="00114792"/>
    <w:rsid w:val="00117FAB"/>
    <w:rsid w:val="00120804"/>
    <w:rsid w:val="001213A2"/>
    <w:rsid w:val="00121A10"/>
    <w:rsid w:val="0012214B"/>
    <w:rsid w:val="00122D9C"/>
    <w:rsid w:val="00127512"/>
    <w:rsid w:val="00127F9D"/>
    <w:rsid w:val="0013036D"/>
    <w:rsid w:val="00131343"/>
    <w:rsid w:val="00132193"/>
    <w:rsid w:val="00132FD8"/>
    <w:rsid w:val="00133310"/>
    <w:rsid w:val="00135451"/>
    <w:rsid w:val="00135E77"/>
    <w:rsid w:val="0013611C"/>
    <w:rsid w:val="001371BE"/>
    <w:rsid w:val="00137D04"/>
    <w:rsid w:val="00141A06"/>
    <w:rsid w:val="00141D92"/>
    <w:rsid w:val="00145F6C"/>
    <w:rsid w:val="00146101"/>
    <w:rsid w:val="001478D3"/>
    <w:rsid w:val="00147B17"/>
    <w:rsid w:val="001517A4"/>
    <w:rsid w:val="001531B6"/>
    <w:rsid w:val="001605CB"/>
    <w:rsid w:val="00161C0D"/>
    <w:rsid w:val="00162F62"/>
    <w:rsid w:val="00163480"/>
    <w:rsid w:val="00164340"/>
    <w:rsid w:val="00166367"/>
    <w:rsid w:val="00166620"/>
    <w:rsid w:val="00166D58"/>
    <w:rsid w:val="001711A8"/>
    <w:rsid w:val="001716B0"/>
    <w:rsid w:val="00171B87"/>
    <w:rsid w:val="00172D66"/>
    <w:rsid w:val="00173DC2"/>
    <w:rsid w:val="001743A1"/>
    <w:rsid w:val="001807A2"/>
    <w:rsid w:val="00180CA7"/>
    <w:rsid w:val="0018199C"/>
    <w:rsid w:val="0018289C"/>
    <w:rsid w:val="001845A8"/>
    <w:rsid w:val="00186D32"/>
    <w:rsid w:val="00186F7F"/>
    <w:rsid w:val="00187EF7"/>
    <w:rsid w:val="00190212"/>
    <w:rsid w:val="00191BCC"/>
    <w:rsid w:val="00192B55"/>
    <w:rsid w:val="00192E06"/>
    <w:rsid w:val="00193969"/>
    <w:rsid w:val="0019493E"/>
    <w:rsid w:val="00197B86"/>
    <w:rsid w:val="001A2FAB"/>
    <w:rsid w:val="001A3A9E"/>
    <w:rsid w:val="001A4748"/>
    <w:rsid w:val="001A5072"/>
    <w:rsid w:val="001A786D"/>
    <w:rsid w:val="001A7B83"/>
    <w:rsid w:val="001B06FB"/>
    <w:rsid w:val="001B2C16"/>
    <w:rsid w:val="001B3F4B"/>
    <w:rsid w:val="001B73F4"/>
    <w:rsid w:val="001C0FFA"/>
    <w:rsid w:val="001C2302"/>
    <w:rsid w:val="001C27AE"/>
    <w:rsid w:val="001C6DA6"/>
    <w:rsid w:val="001D055C"/>
    <w:rsid w:val="001D0C56"/>
    <w:rsid w:val="001D1071"/>
    <w:rsid w:val="001D1C6B"/>
    <w:rsid w:val="001D27BE"/>
    <w:rsid w:val="001D5465"/>
    <w:rsid w:val="001D7EE8"/>
    <w:rsid w:val="001E0E68"/>
    <w:rsid w:val="001E1A20"/>
    <w:rsid w:val="001E3D8E"/>
    <w:rsid w:val="001E613C"/>
    <w:rsid w:val="001F0672"/>
    <w:rsid w:val="001F2118"/>
    <w:rsid w:val="001F349D"/>
    <w:rsid w:val="001F3732"/>
    <w:rsid w:val="001F557C"/>
    <w:rsid w:val="001F6263"/>
    <w:rsid w:val="001F6379"/>
    <w:rsid w:val="001F75EE"/>
    <w:rsid w:val="00200A70"/>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4C45"/>
    <w:rsid w:val="00225690"/>
    <w:rsid w:val="00225A67"/>
    <w:rsid w:val="00226125"/>
    <w:rsid w:val="00226720"/>
    <w:rsid w:val="002269FB"/>
    <w:rsid w:val="002271FA"/>
    <w:rsid w:val="00227DA0"/>
    <w:rsid w:val="00231493"/>
    <w:rsid w:val="00232C34"/>
    <w:rsid w:val="00232EE8"/>
    <w:rsid w:val="00234FD5"/>
    <w:rsid w:val="002352CC"/>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501DE"/>
    <w:rsid w:val="00250913"/>
    <w:rsid w:val="002510FD"/>
    <w:rsid w:val="00251FAF"/>
    <w:rsid w:val="0025231F"/>
    <w:rsid w:val="0025247E"/>
    <w:rsid w:val="00252897"/>
    <w:rsid w:val="00254248"/>
    <w:rsid w:val="00254480"/>
    <w:rsid w:val="002547AE"/>
    <w:rsid w:val="00255B36"/>
    <w:rsid w:val="00263D95"/>
    <w:rsid w:val="0026537F"/>
    <w:rsid w:val="002703E7"/>
    <w:rsid w:val="00270AD2"/>
    <w:rsid w:val="00272C1E"/>
    <w:rsid w:val="002732E0"/>
    <w:rsid w:val="00273BC3"/>
    <w:rsid w:val="00275DA7"/>
    <w:rsid w:val="00276529"/>
    <w:rsid w:val="00277B44"/>
    <w:rsid w:val="00280D16"/>
    <w:rsid w:val="00280F5B"/>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181"/>
    <w:rsid w:val="002A19CC"/>
    <w:rsid w:val="002A264F"/>
    <w:rsid w:val="002A4A5F"/>
    <w:rsid w:val="002A6ADA"/>
    <w:rsid w:val="002B0942"/>
    <w:rsid w:val="002B1724"/>
    <w:rsid w:val="002B2268"/>
    <w:rsid w:val="002B2BA0"/>
    <w:rsid w:val="002B4C21"/>
    <w:rsid w:val="002B7591"/>
    <w:rsid w:val="002C3780"/>
    <w:rsid w:val="002C683E"/>
    <w:rsid w:val="002C7907"/>
    <w:rsid w:val="002C7FB5"/>
    <w:rsid w:val="002D1575"/>
    <w:rsid w:val="002D2D1D"/>
    <w:rsid w:val="002D3EBD"/>
    <w:rsid w:val="002D457B"/>
    <w:rsid w:val="002D5872"/>
    <w:rsid w:val="002D5A8F"/>
    <w:rsid w:val="002D6C7D"/>
    <w:rsid w:val="002D6CEA"/>
    <w:rsid w:val="002D7767"/>
    <w:rsid w:val="002E46E7"/>
    <w:rsid w:val="002E4823"/>
    <w:rsid w:val="002E4F2F"/>
    <w:rsid w:val="002E5C58"/>
    <w:rsid w:val="002F084F"/>
    <w:rsid w:val="002F11EC"/>
    <w:rsid w:val="002F16E0"/>
    <w:rsid w:val="002F2653"/>
    <w:rsid w:val="002F3216"/>
    <w:rsid w:val="002F35F6"/>
    <w:rsid w:val="002F52D6"/>
    <w:rsid w:val="002F628A"/>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3C3"/>
    <w:rsid w:val="0036068A"/>
    <w:rsid w:val="00361BE6"/>
    <w:rsid w:val="00363601"/>
    <w:rsid w:val="00363716"/>
    <w:rsid w:val="00365251"/>
    <w:rsid w:val="00366627"/>
    <w:rsid w:val="00370CDC"/>
    <w:rsid w:val="00372500"/>
    <w:rsid w:val="00372639"/>
    <w:rsid w:val="00377A1F"/>
    <w:rsid w:val="00377E67"/>
    <w:rsid w:val="00381BA2"/>
    <w:rsid w:val="00381E94"/>
    <w:rsid w:val="0038442E"/>
    <w:rsid w:val="00385850"/>
    <w:rsid w:val="00390137"/>
    <w:rsid w:val="003904B6"/>
    <w:rsid w:val="00391647"/>
    <w:rsid w:val="00392B8C"/>
    <w:rsid w:val="00394F4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B2F"/>
    <w:rsid w:val="003B0D4F"/>
    <w:rsid w:val="003B10B9"/>
    <w:rsid w:val="003B1460"/>
    <w:rsid w:val="003B3116"/>
    <w:rsid w:val="003B3A96"/>
    <w:rsid w:val="003B43D7"/>
    <w:rsid w:val="003B5605"/>
    <w:rsid w:val="003B5E7B"/>
    <w:rsid w:val="003B6201"/>
    <w:rsid w:val="003C0B69"/>
    <w:rsid w:val="003C113F"/>
    <w:rsid w:val="003C2DD4"/>
    <w:rsid w:val="003C3CFD"/>
    <w:rsid w:val="003C4AB8"/>
    <w:rsid w:val="003C51EE"/>
    <w:rsid w:val="003C5CFE"/>
    <w:rsid w:val="003C634B"/>
    <w:rsid w:val="003C7551"/>
    <w:rsid w:val="003D1C07"/>
    <w:rsid w:val="003D2DAC"/>
    <w:rsid w:val="003D589C"/>
    <w:rsid w:val="003D6E7D"/>
    <w:rsid w:val="003D73E9"/>
    <w:rsid w:val="003E15DD"/>
    <w:rsid w:val="003E2009"/>
    <w:rsid w:val="003E2979"/>
    <w:rsid w:val="003E2DAE"/>
    <w:rsid w:val="003E422F"/>
    <w:rsid w:val="003E48FA"/>
    <w:rsid w:val="003E4CD7"/>
    <w:rsid w:val="003E56CB"/>
    <w:rsid w:val="003E6030"/>
    <w:rsid w:val="003E767E"/>
    <w:rsid w:val="003F10D0"/>
    <w:rsid w:val="003F1889"/>
    <w:rsid w:val="003F188B"/>
    <w:rsid w:val="003F49A1"/>
    <w:rsid w:val="003F509D"/>
    <w:rsid w:val="003F6E44"/>
    <w:rsid w:val="003F7FBE"/>
    <w:rsid w:val="004000B2"/>
    <w:rsid w:val="004000F7"/>
    <w:rsid w:val="00400D8C"/>
    <w:rsid w:val="00402EEE"/>
    <w:rsid w:val="00403B41"/>
    <w:rsid w:val="00404F65"/>
    <w:rsid w:val="00405812"/>
    <w:rsid w:val="00405F5F"/>
    <w:rsid w:val="00406213"/>
    <w:rsid w:val="00406A26"/>
    <w:rsid w:val="00406BC6"/>
    <w:rsid w:val="0041007E"/>
    <w:rsid w:val="004119FD"/>
    <w:rsid w:val="00412ECB"/>
    <w:rsid w:val="00413BA9"/>
    <w:rsid w:val="004163C6"/>
    <w:rsid w:val="00416FD9"/>
    <w:rsid w:val="00417AA7"/>
    <w:rsid w:val="00417C82"/>
    <w:rsid w:val="00420341"/>
    <w:rsid w:val="00420711"/>
    <w:rsid w:val="00420834"/>
    <w:rsid w:val="00421EAD"/>
    <w:rsid w:val="0042203B"/>
    <w:rsid w:val="004220D3"/>
    <w:rsid w:val="0042279F"/>
    <w:rsid w:val="00423231"/>
    <w:rsid w:val="00423776"/>
    <w:rsid w:val="00425ED9"/>
    <w:rsid w:val="00426A99"/>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70686"/>
    <w:rsid w:val="004706F0"/>
    <w:rsid w:val="00470765"/>
    <w:rsid w:val="00475598"/>
    <w:rsid w:val="00480B71"/>
    <w:rsid w:val="0048194F"/>
    <w:rsid w:val="00482534"/>
    <w:rsid w:val="00484F0A"/>
    <w:rsid w:val="00487A43"/>
    <w:rsid w:val="0049029F"/>
    <w:rsid w:val="00490AE5"/>
    <w:rsid w:val="00491FD6"/>
    <w:rsid w:val="0049228D"/>
    <w:rsid w:val="00492BCB"/>
    <w:rsid w:val="00493039"/>
    <w:rsid w:val="0049310C"/>
    <w:rsid w:val="004933CA"/>
    <w:rsid w:val="00493423"/>
    <w:rsid w:val="00493FFC"/>
    <w:rsid w:val="00494AE5"/>
    <w:rsid w:val="004951A4"/>
    <w:rsid w:val="00495ACD"/>
    <w:rsid w:val="004A2EF8"/>
    <w:rsid w:val="004A3241"/>
    <w:rsid w:val="004A4217"/>
    <w:rsid w:val="004A490F"/>
    <w:rsid w:val="004A73D3"/>
    <w:rsid w:val="004A7A37"/>
    <w:rsid w:val="004B369E"/>
    <w:rsid w:val="004B380D"/>
    <w:rsid w:val="004B597A"/>
    <w:rsid w:val="004C0C40"/>
    <w:rsid w:val="004C2215"/>
    <w:rsid w:val="004C2398"/>
    <w:rsid w:val="004C3DD9"/>
    <w:rsid w:val="004C497D"/>
    <w:rsid w:val="004C507A"/>
    <w:rsid w:val="004C7894"/>
    <w:rsid w:val="004D02E4"/>
    <w:rsid w:val="004D0C65"/>
    <w:rsid w:val="004D2E49"/>
    <w:rsid w:val="004D53E6"/>
    <w:rsid w:val="004D5F39"/>
    <w:rsid w:val="004E2205"/>
    <w:rsid w:val="004E2DFD"/>
    <w:rsid w:val="004E2F11"/>
    <w:rsid w:val="004E2FD7"/>
    <w:rsid w:val="004E44EA"/>
    <w:rsid w:val="004E5A34"/>
    <w:rsid w:val="004E7198"/>
    <w:rsid w:val="004E7F75"/>
    <w:rsid w:val="004F3A7B"/>
    <w:rsid w:val="004F4944"/>
    <w:rsid w:val="004F5EAD"/>
    <w:rsid w:val="004F7850"/>
    <w:rsid w:val="00500530"/>
    <w:rsid w:val="0050121B"/>
    <w:rsid w:val="00501A54"/>
    <w:rsid w:val="00501F9D"/>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1856"/>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4D2A"/>
    <w:rsid w:val="0054631B"/>
    <w:rsid w:val="0054648B"/>
    <w:rsid w:val="00546901"/>
    <w:rsid w:val="00547A73"/>
    <w:rsid w:val="0055166C"/>
    <w:rsid w:val="0055172B"/>
    <w:rsid w:val="00551E57"/>
    <w:rsid w:val="0055237C"/>
    <w:rsid w:val="00552BD3"/>
    <w:rsid w:val="00553238"/>
    <w:rsid w:val="00553F33"/>
    <w:rsid w:val="00554315"/>
    <w:rsid w:val="00554FAA"/>
    <w:rsid w:val="005560C5"/>
    <w:rsid w:val="00557D9F"/>
    <w:rsid w:val="00557F26"/>
    <w:rsid w:val="00562F45"/>
    <w:rsid w:val="00567519"/>
    <w:rsid w:val="00570ADC"/>
    <w:rsid w:val="00572BE7"/>
    <w:rsid w:val="00572D69"/>
    <w:rsid w:val="0057327B"/>
    <w:rsid w:val="00573D5D"/>
    <w:rsid w:val="00574118"/>
    <w:rsid w:val="00575D77"/>
    <w:rsid w:val="0057712F"/>
    <w:rsid w:val="00577648"/>
    <w:rsid w:val="00581EE1"/>
    <w:rsid w:val="00583DFB"/>
    <w:rsid w:val="00584B54"/>
    <w:rsid w:val="00584DAB"/>
    <w:rsid w:val="0058502C"/>
    <w:rsid w:val="00585638"/>
    <w:rsid w:val="00585B59"/>
    <w:rsid w:val="00587A7B"/>
    <w:rsid w:val="005900C5"/>
    <w:rsid w:val="005921D0"/>
    <w:rsid w:val="00593094"/>
    <w:rsid w:val="005936C4"/>
    <w:rsid w:val="00594B8F"/>
    <w:rsid w:val="005955D2"/>
    <w:rsid w:val="00596C69"/>
    <w:rsid w:val="005A32AF"/>
    <w:rsid w:val="005A3ADB"/>
    <w:rsid w:val="005A4284"/>
    <w:rsid w:val="005A5A6F"/>
    <w:rsid w:val="005B076F"/>
    <w:rsid w:val="005B0B87"/>
    <w:rsid w:val="005B13A7"/>
    <w:rsid w:val="005B1587"/>
    <w:rsid w:val="005B1F38"/>
    <w:rsid w:val="005B4189"/>
    <w:rsid w:val="005B527A"/>
    <w:rsid w:val="005B7071"/>
    <w:rsid w:val="005B7357"/>
    <w:rsid w:val="005B7D91"/>
    <w:rsid w:val="005C02FB"/>
    <w:rsid w:val="005C0D66"/>
    <w:rsid w:val="005C0DAD"/>
    <w:rsid w:val="005C2E3E"/>
    <w:rsid w:val="005C410E"/>
    <w:rsid w:val="005C5CB3"/>
    <w:rsid w:val="005C6121"/>
    <w:rsid w:val="005C6FCF"/>
    <w:rsid w:val="005C7324"/>
    <w:rsid w:val="005D0205"/>
    <w:rsid w:val="005D139C"/>
    <w:rsid w:val="005D251E"/>
    <w:rsid w:val="005D2724"/>
    <w:rsid w:val="005D4309"/>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5878"/>
    <w:rsid w:val="006260D5"/>
    <w:rsid w:val="0062651D"/>
    <w:rsid w:val="006266DD"/>
    <w:rsid w:val="00630132"/>
    <w:rsid w:val="00630499"/>
    <w:rsid w:val="00631692"/>
    <w:rsid w:val="00631BD3"/>
    <w:rsid w:val="00632F5C"/>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26AF"/>
    <w:rsid w:val="00664856"/>
    <w:rsid w:val="006650CD"/>
    <w:rsid w:val="006671C9"/>
    <w:rsid w:val="006671E8"/>
    <w:rsid w:val="006679CE"/>
    <w:rsid w:val="00674469"/>
    <w:rsid w:val="0067489A"/>
    <w:rsid w:val="006759CB"/>
    <w:rsid w:val="00675F11"/>
    <w:rsid w:val="00676A40"/>
    <w:rsid w:val="006773EC"/>
    <w:rsid w:val="00677CAE"/>
    <w:rsid w:val="00680BF4"/>
    <w:rsid w:val="006819C4"/>
    <w:rsid w:val="00682E5B"/>
    <w:rsid w:val="006831BE"/>
    <w:rsid w:val="00687651"/>
    <w:rsid w:val="00690847"/>
    <w:rsid w:val="0069238C"/>
    <w:rsid w:val="0069290C"/>
    <w:rsid w:val="00693922"/>
    <w:rsid w:val="006948B3"/>
    <w:rsid w:val="0069520E"/>
    <w:rsid w:val="00695538"/>
    <w:rsid w:val="00695AAA"/>
    <w:rsid w:val="00695F72"/>
    <w:rsid w:val="00696A6E"/>
    <w:rsid w:val="006A0814"/>
    <w:rsid w:val="006A189E"/>
    <w:rsid w:val="006A4AD9"/>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5CCE"/>
    <w:rsid w:val="006D5FCB"/>
    <w:rsid w:val="006D6F78"/>
    <w:rsid w:val="006E0BBB"/>
    <w:rsid w:val="006E18BB"/>
    <w:rsid w:val="006E1F1C"/>
    <w:rsid w:val="006E2151"/>
    <w:rsid w:val="006E6058"/>
    <w:rsid w:val="006F0498"/>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60C6"/>
    <w:rsid w:val="00707375"/>
    <w:rsid w:val="00710980"/>
    <w:rsid w:val="00710BD1"/>
    <w:rsid w:val="00712854"/>
    <w:rsid w:val="007145DB"/>
    <w:rsid w:val="00714945"/>
    <w:rsid w:val="007153D8"/>
    <w:rsid w:val="007155BE"/>
    <w:rsid w:val="007163BC"/>
    <w:rsid w:val="00720524"/>
    <w:rsid w:val="00722378"/>
    <w:rsid w:val="0072325F"/>
    <w:rsid w:val="007255A7"/>
    <w:rsid w:val="00726DE0"/>
    <w:rsid w:val="00727964"/>
    <w:rsid w:val="00727E35"/>
    <w:rsid w:val="00730151"/>
    <w:rsid w:val="00730AE3"/>
    <w:rsid w:val="007329BA"/>
    <w:rsid w:val="00736A02"/>
    <w:rsid w:val="00736BC2"/>
    <w:rsid w:val="00737169"/>
    <w:rsid w:val="0073773D"/>
    <w:rsid w:val="00737D14"/>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572AD"/>
    <w:rsid w:val="00760309"/>
    <w:rsid w:val="007607B5"/>
    <w:rsid w:val="00760AE2"/>
    <w:rsid w:val="00761F0B"/>
    <w:rsid w:val="007651BF"/>
    <w:rsid w:val="007661C7"/>
    <w:rsid w:val="00766960"/>
    <w:rsid w:val="00767BF7"/>
    <w:rsid w:val="0077015F"/>
    <w:rsid w:val="00770A83"/>
    <w:rsid w:val="00770DB1"/>
    <w:rsid w:val="00772695"/>
    <w:rsid w:val="0077622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4CFE"/>
    <w:rsid w:val="0079546B"/>
    <w:rsid w:val="0079621D"/>
    <w:rsid w:val="007967A8"/>
    <w:rsid w:val="007974A1"/>
    <w:rsid w:val="007A012D"/>
    <w:rsid w:val="007A0430"/>
    <w:rsid w:val="007A090D"/>
    <w:rsid w:val="007A1E74"/>
    <w:rsid w:val="007A5607"/>
    <w:rsid w:val="007A57F8"/>
    <w:rsid w:val="007A5E82"/>
    <w:rsid w:val="007B0D1B"/>
    <w:rsid w:val="007B1587"/>
    <w:rsid w:val="007B1A0A"/>
    <w:rsid w:val="007B1CCB"/>
    <w:rsid w:val="007B2372"/>
    <w:rsid w:val="007B241B"/>
    <w:rsid w:val="007B349C"/>
    <w:rsid w:val="007B421A"/>
    <w:rsid w:val="007B53F5"/>
    <w:rsid w:val="007B5AA5"/>
    <w:rsid w:val="007B6BA9"/>
    <w:rsid w:val="007B7830"/>
    <w:rsid w:val="007C093C"/>
    <w:rsid w:val="007C1309"/>
    <w:rsid w:val="007C26FA"/>
    <w:rsid w:val="007C47D8"/>
    <w:rsid w:val="007C5285"/>
    <w:rsid w:val="007C5F35"/>
    <w:rsid w:val="007C633B"/>
    <w:rsid w:val="007D1235"/>
    <w:rsid w:val="007D3182"/>
    <w:rsid w:val="007D330A"/>
    <w:rsid w:val="007D3A05"/>
    <w:rsid w:val="007D3DA5"/>
    <w:rsid w:val="007D4BE4"/>
    <w:rsid w:val="007D766C"/>
    <w:rsid w:val="007D79DA"/>
    <w:rsid w:val="007E1804"/>
    <w:rsid w:val="007E3C99"/>
    <w:rsid w:val="007E78ED"/>
    <w:rsid w:val="007E7C89"/>
    <w:rsid w:val="007F02BD"/>
    <w:rsid w:val="007F1824"/>
    <w:rsid w:val="007F1AD1"/>
    <w:rsid w:val="007F2742"/>
    <w:rsid w:val="007F472E"/>
    <w:rsid w:val="007F486A"/>
    <w:rsid w:val="007F54D0"/>
    <w:rsid w:val="007F6B1D"/>
    <w:rsid w:val="007F6CD7"/>
    <w:rsid w:val="00800EA2"/>
    <w:rsid w:val="00801178"/>
    <w:rsid w:val="00805202"/>
    <w:rsid w:val="008067DE"/>
    <w:rsid w:val="00807057"/>
    <w:rsid w:val="00807D1D"/>
    <w:rsid w:val="00812F59"/>
    <w:rsid w:val="00813305"/>
    <w:rsid w:val="00813407"/>
    <w:rsid w:val="008157A2"/>
    <w:rsid w:val="00816E3C"/>
    <w:rsid w:val="0081767C"/>
    <w:rsid w:val="00820237"/>
    <w:rsid w:val="00822043"/>
    <w:rsid w:val="00824FD0"/>
    <w:rsid w:val="00825181"/>
    <w:rsid w:val="00825524"/>
    <w:rsid w:val="008269A4"/>
    <w:rsid w:val="00827988"/>
    <w:rsid w:val="00827C11"/>
    <w:rsid w:val="0083211E"/>
    <w:rsid w:val="00832D71"/>
    <w:rsid w:val="00833761"/>
    <w:rsid w:val="00836429"/>
    <w:rsid w:val="00836921"/>
    <w:rsid w:val="00837332"/>
    <w:rsid w:val="00841526"/>
    <w:rsid w:val="00841E9F"/>
    <w:rsid w:val="008420D5"/>
    <w:rsid w:val="008435C1"/>
    <w:rsid w:val="00843C02"/>
    <w:rsid w:val="00843D36"/>
    <w:rsid w:val="008454B7"/>
    <w:rsid w:val="00846AAF"/>
    <w:rsid w:val="00846B57"/>
    <w:rsid w:val="00850D38"/>
    <w:rsid w:val="00851F8D"/>
    <w:rsid w:val="00853327"/>
    <w:rsid w:val="008533A8"/>
    <w:rsid w:val="0086065C"/>
    <w:rsid w:val="00861837"/>
    <w:rsid w:val="00861CCA"/>
    <w:rsid w:val="00862269"/>
    <w:rsid w:val="008625A4"/>
    <w:rsid w:val="008630DC"/>
    <w:rsid w:val="00863209"/>
    <w:rsid w:val="00863863"/>
    <w:rsid w:val="00864770"/>
    <w:rsid w:val="0086486F"/>
    <w:rsid w:val="00864CE2"/>
    <w:rsid w:val="00864DD3"/>
    <w:rsid w:val="00867506"/>
    <w:rsid w:val="00867D26"/>
    <w:rsid w:val="00870D40"/>
    <w:rsid w:val="00871CE2"/>
    <w:rsid w:val="00871F54"/>
    <w:rsid w:val="0087409B"/>
    <w:rsid w:val="00875285"/>
    <w:rsid w:val="008754D7"/>
    <w:rsid w:val="00876F21"/>
    <w:rsid w:val="0087762F"/>
    <w:rsid w:val="00877A14"/>
    <w:rsid w:val="008831CE"/>
    <w:rsid w:val="008856CF"/>
    <w:rsid w:val="008869F9"/>
    <w:rsid w:val="00887143"/>
    <w:rsid w:val="00887394"/>
    <w:rsid w:val="008902C0"/>
    <w:rsid w:val="0089077E"/>
    <w:rsid w:val="008910C5"/>
    <w:rsid w:val="008913CF"/>
    <w:rsid w:val="00892194"/>
    <w:rsid w:val="00892DC3"/>
    <w:rsid w:val="00892DED"/>
    <w:rsid w:val="00892E4D"/>
    <w:rsid w:val="00893368"/>
    <w:rsid w:val="00895ACE"/>
    <w:rsid w:val="00897D7D"/>
    <w:rsid w:val="008A031A"/>
    <w:rsid w:val="008A1151"/>
    <w:rsid w:val="008A1F00"/>
    <w:rsid w:val="008A234B"/>
    <w:rsid w:val="008A275A"/>
    <w:rsid w:val="008A578E"/>
    <w:rsid w:val="008A5945"/>
    <w:rsid w:val="008A7BFF"/>
    <w:rsid w:val="008B1014"/>
    <w:rsid w:val="008B25A9"/>
    <w:rsid w:val="008B2990"/>
    <w:rsid w:val="008B3418"/>
    <w:rsid w:val="008B3628"/>
    <w:rsid w:val="008B3A60"/>
    <w:rsid w:val="008B3EE0"/>
    <w:rsid w:val="008B6DA6"/>
    <w:rsid w:val="008B75B2"/>
    <w:rsid w:val="008C013C"/>
    <w:rsid w:val="008C0842"/>
    <w:rsid w:val="008C1866"/>
    <w:rsid w:val="008C1E35"/>
    <w:rsid w:val="008C2DF4"/>
    <w:rsid w:val="008C3047"/>
    <w:rsid w:val="008C35C0"/>
    <w:rsid w:val="008C3727"/>
    <w:rsid w:val="008C3735"/>
    <w:rsid w:val="008C5A63"/>
    <w:rsid w:val="008C6B04"/>
    <w:rsid w:val="008C7C3E"/>
    <w:rsid w:val="008D2175"/>
    <w:rsid w:val="008D271D"/>
    <w:rsid w:val="008D2D21"/>
    <w:rsid w:val="008D3133"/>
    <w:rsid w:val="008D3214"/>
    <w:rsid w:val="008D3EB1"/>
    <w:rsid w:val="008D51F4"/>
    <w:rsid w:val="008D5AA2"/>
    <w:rsid w:val="008D62D4"/>
    <w:rsid w:val="008D7CD7"/>
    <w:rsid w:val="008E078F"/>
    <w:rsid w:val="008E089B"/>
    <w:rsid w:val="008E28A6"/>
    <w:rsid w:val="008E3269"/>
    <w:rsid w:val="008E36D3"/>
    <w:rsid w:val="008E3892"/>
    <w:rsid w:val="008E3D88"/>
    <w:rsid w:val="008E40F8"/>
    <w:rsid w:val="008E47E6"/>
    <w:rsid w:val="008E5F84"/>
    <w:rsid w:val="008E616F"/>
    <w:rsid w:val="008E66A7"/>
    <w:rsid w:val="008E7500"/>
    <w:rsid w:val="008F3455"/>
    <w:rsid w:val="008F44CE"/>
    <w:rsid w:val="008F4722"/>
    <w:rsid w:val="008F4B2A"/>
    <w:rsid w:val="008F6D3D"/>
    <w:rsid w:val="008F7C91"/>
    <w:rsid w:val="00901817"/>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5209"/>
    <w:rsid w:val="0091692B"/>
    <w:rsid w:val="00916CDA"/>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E5"/>
    <w:rsid w:val="009345E7"/>
    <w:rsid w:val="00935C2F"/>
    <w:rsid w:val="00940831"/>
    <w:rsid w:val="009418C9"/>
    <w:rsid w:val="00942C63"/>
    <w:rsid w:val="009466B3"/>
    <w:rsid w:val="00947A1E"/>
    <w:rsid w:val="00947B63"/>
    <w:rsid w:val="009515F7"/>
    <w:rsid w:val="009526B0"/>
    <w:rsid w:val="00953856"/>
    <w:rsid w:val="009544D2"/>
    <w:rsid w:val="009554D5"/>
    <w:rsid w:val="009554FD"/>
    <w:rsid w:val="00956C12"/>
    <w:rsid w:val="009616C7"/>
    <w:rsid w:val="009627CC"/>
    <w:rsid w:val="009634BC"/>
    <w:rsid w:val="00963DB4"/>
    <w:rsid w:val="009648C0"/>
    <w:rsid w:val="00964BF4"/>
    <w:rsid w:val="00964DE4"/>
    <w:rsid w:val="00966871"/>
    <w:rsid w:val="00966F25"/>
    <w:rsid w:val="00971B9B"/>
    <w:rsid w:val="00971EB2"/>
    <w:rsid w:val="009733B9"/>
    <w:rsid w:val="009752C9"/>
    <w:rsid w:val="00975DF9"/>
    <w:rsid w:val="0097604C"/>
    <w:rsid w:val="009773B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0EAA"/>
    <w:rsid w:val="00991EB0"/>
    <w:rsid w:val="00992CE3"/>
    <w:rsid w:val="00993BC2"/>
    <w:rsid w:val="009972E0"/>
    <w:rsid w:val="009A0E58"/>
    <w:rsid w:val="009A216D"/>
    <w:rsid w:val="009A23FF"/>
    <w:rsid w:val="009A2CD2"/>
    <w:rsid w:val="009A354F"/>
    <w:rsid w:val="009A3897"/>
    <w:rsid w:val="009A42CE"/>
    <w:rsid w:val="009A7A13"/>
    <w:rsid w:val="009B0313"/>
    <w:rsid w:val="009B3399"/>
    <w:rsid w:val="009B349F"/>
    <w:rsid w:val="009B5E1D"/>
    <w:rsid w:val="009B7134"/>
    <w:rsid w:val="009B7FC8"/>
    <w:rsid w:val="009C01D5"/>
    <w:rsid w:val="009C054F"/>
    <w:rsid w:val="009C0974"/>
    <w:rsid w:val="009C4354"/>
    <w:rsid w:val="009C47ED"/>
    <w:rsid w:val="009C5753"/>
    <w:rsid w:val="009C7C61"/>
    <w:rsid w:val="009D1061"/>
    <w:rsid w:val="009D19F9"/>
    <w:rsid w:val="009D2150"/>
    <w:rsid w:val="009D263F"/>
    <w:rsid w:val="009D2F92"/>
    <w:rsid w:val="009D44CD"/>
    <w:rsid w:val="009D7164"/>
    <w:rsid w:val="009D723F"/>
    <w:rsid w:val="009D7F06"/>
    <w:rsid w:val="009E0061"/>
    <w:rsid w:val="009E21A1"/>
    <w:rsid w:val="009E2B79"/>
    <w:rsid w:val="009E46A4"/>
    <w:rsid w:val="009E54D8"/>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5456"/>
    <w:rsid w:val="00A05B79"/>
    <w:rsid w:val="00A064CF"/>
    <w:rsid w:val="00A10051"/>
    <w:rsid w:val="00A1097E"/>
    <w:rsid w:val="00A12E47"/>
    <w:rsid w:val="00A14395"/>
    <w:rsid w:val="00A16FE6"/>
    <w:rsid w:val="00A1708B"/>
    <w:rsid w:val="00A17EDC"/>
    <w:rsid w:val="00A20F36"/>
    <w:rsid w:val="00A222D8"/>
    <w:rsid w:val="00A239CA"/>
    <w:rsid w:val="00A24BAB"/>
    <w:rsid w:val="00A269BF"/>
    <w:rsid w:val="00A26E66"/>
    <w:rsid w:val="00A272B5"/>
    <w:rsid w:val="00A27381"/>
    <w:rsid w:val="00A279B8"/>
    <w:rsid w:val="00A309C0"/>
    <w:rsid w:val="00A30DAD"/>
    <w:rsid w:val="00A30FCD"/>
    <w:rsid w:val="00A31209"/>
    <w:rsid w:val="00A339DD"/>
    <w:rsid w:val="00A35328"/>
    <w:rsid w:val="00A355B1"/>
    <w:rsid w:val="00A4105B"/>
    <w:rsid w:val="00A4131A"/>
    <w:rsid w:val="00A42E6B"/>
    <w:rsid w:val="00A43AD7"/>
    <w:rsid w:val="00A464B6"/>
    <w:rsid w:val="00A50596"/>
    <w:rsid w:val="00A53265"/>
    <w:rsid w:val="00A5445B"/>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84"/>
    <w:rsid w:val="00A73408"/>
    <w:rsid w:val="00A76765"/>
    <w:rsid w:val="00A76CC9"/>
    <w:rsid w:val="00A77577"/>
    <w:rsid w:val="00A801FB"/>
    <w:rsid w:val="00A80E10"/>
    <w:rsid w:val="00A815B0"/>
    <w:rsid w:val="00A8327A"/>
    <w:rsid w:val="00A84FC2"/>
    <w:rsid w:val="00A854C0"/>
    <w:rsid w:val="00A860A7"/>
    <w:rsid w:val="00A864ED"/>
    <w:rsid w:val="00A86769"/>
    <w:rsid w:val="00A87CA9"/>
    <w:rsid w:val="00A90584"/>
    <w:rsid w:val="00A91DB4"/>
    <w:rsid w:val="00A920D0"/>
    <w:rsid w:val="00A946C9"/>
    <w:rsid w:val="00A94C2D"/>
    <w:rsid w:val="00A9689F"/>
    <w:rsid w:val="00A97084"/>
    <w:rsid w:val="00A97947"/>
    <w:rsid w:val="00A97D01"/>
    <w:rsid w:val="00A97FC7"/>
    <w:rsid w:val="00AA014E"/>
    <w:rsid w:val="00AA0C6D"/>
    <w:rsid w:val="00AA3CF7"/>
    <w:rsid w:val="00AA5A60"/>
    <w:rsid w:val="00AA69FF"/>
    <w:rsid w:val="00AB1500"/>
    <w:rsid w:val="00AB195B"/>
    <w:rsid w:val="00AB35CB"/>
    <w:rsid w:val="00AB59FA"/>
    <w:rsid w:val="00AB62C3"/>
    <w:rsid w:val="00AB7C94"/>
    <w:rsid w:val="00AC0907"/>
    <w:rsid w:val="00AC0BEC"/>
    <w:rsid w:val="00AC190D"/>
    <w:rsid w:val="00AC1930"/>
    <w:rsid w:val="00AC1E69"/>
    <w:rsid w:val="00AC2284"/>
    <w:rsid w:val="00AC3048"/>
    <w:rsid w:val="00AC4E4F"/>
    <w:rsid w:val="00AC6564"/>
    <w:rsid w:val="00AD033B"/>
    <w:rsid w:val="00AD489D"/>
    <w:rsid w:val="00AD738E"/>
    <w:rsid w:val="00AE1540"/>
    <w:rsid w:val="00AE26E4"/>
    <w:rsid w:val="00AE2825"/>
    <w:rsid w:val="00AE3D09"/>
    <w:rsid w:val="00AE4339"/>
    <w:rsid w:val="00AE4A28"/>
    <w:rsid w:val="00AE4EA9"/>
    <w:rsid w:val="00AE600F"/>
    <w:rsid w:val="00AE70D5"/>
    <w:rsid w:val="00AE7AE1"/>
    <w:rsid w:val="00AF0E9A"/>
    <w:rsid w:val="00AF1575"/>
    <w:rsid w:val="00AF2CC2"/>
    <w:rsid w:val="00AF5019"/>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47B5"/>
    <w:rsid w:val="00B1522D"/>
    <w:rsid w:val="00B1579E"/>
    <w:rsid w:val="00B1604E"/>
    <w:rsid w:val="00B1623F"/>
    <w:rsid w:val="00B17FA9"/>
    <w:rsid w:val="00B2024E"/>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7812"/>
    <w:rsid w:val="00B40B90"/>
    <w:rsid w:val="00B41E40"/>
    <w:rsid w:val="00B435A2"/>
    <w:rsid w:val="00B45A75"/>
    <w:rsid w:val="00B4711F"/>
    <w:rsid w:val="00B47E45"/>
    <w:rsid w:val="00B5132C"/>
    <w:rsid w:val="00B519D0"/>
    <w:rsid w:val="00B55C54"/>
    <w:rsid w:val="00B55E47"/>
    <w:rsid w:val="00B56383"/>
    <w:rsid w:val="00B5653F"/>
    <w:rsid w:val="00B56B11"/>
    <w:rsid w:val="00B570B5"/>
    <w:rsid w:val="00B57E66"/>
    <w:rsid w:val="00B63EC8"/>
    <w:rsid w:val="00B645F5"/>
    <w:rsid w:val="00B64F1B"/>
    <w:rsid w:val="00B677E6"/>
    <w:rsid w:val="00B71EEB"/>
    <w:rsid w:val="00B73033"/>
    <w:rsid w:val="00B73485"/>
    <w:rsid w:val="00B74FA8"/>
    <w:rsid w:val="00B75F71"/>
    <w:rsid w:val="00B76BAF"/>
    <w:rsid w:val="00B77923"/>
    <w:rsid w:val="00B80792"/>
    <w:rsid w:val="00B825ED"/>
    <w:rsid w:val="00B82E08"/>
    <w:rsid w:val="00B83B0C"/>
    <w:rsid w:val="00B84139"/>
    <w:rsid w:val="00B85F9B"/>
    <w:rsid w:val="00B85FFE"/>
    <w:rsid w:val="00B86544"/>
    <w:rsid w:val="00B86805"/>
    <w:rsid w:val="00B86D32"/>
    <w:rsid w:val="00B86F5D"/>
    <w:rsid w:val="00B87B85"/>
    <w:rsid w:val="00B903B2"/>
    <w:rsid w:val="00B9067C"/>
    <w:rsid w:val="00B90C30"/>
    <w:rsid w:val="00B924F9"/>
    <w:rsid w:val="00B92F74"/>
    <w:rsid w:val="00B9438C"/>
    <w:rsid w:val="00B94855"/>
    <w:rsid w:val="00B94CBB"/>
    <w:rsid w:val="00B95A27"/>
    <w:rsid w:val="00BA009D"/>
    <w:rsid w:val="00BA1166"/>
    <w:rsid w:val="00BA1498"/>
    <w:rsid w:val="00BA16B2"/>
    <w:rsid w:val="00BA1D0D"/>
    <w:rsid w:val="00BA20AD"/>
    <w:rsid w:val="00BA27FE"/>
    <w:rsid w:val="00BA3233"/>
    <w:rsid w:val="00BA4634"/>
    <w:rsid w:val="00BA4E81"/>
    <w:rsid w:val="00BA69F6"/>
    <w:rsid w:val="00BA74B4"/>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435F"/>
    <w:rsid w:val="00BD5348"/>
    <w:rsid w:val="00BD7BAF"/>
    <w:rsid w:val="00BE0072"/>
    <w:rsid w:val="00BE02DE"/>
    <w:rsid w:val="00BE156B"/>
    <w:rsid w:val="00BE2900"/>
    <w:rsid w:val="00BE37A4"/>
    <w:rsid w:val="00BE38FE"/>
    <w:rsid w:val="00BE45DE"/>
    <w:rsid w:val="00BE4670"/>
    <w:rsid w:val="00BE6974"/>
    <w:rsid w:val="00BE6C3F"/>
    <w:rsid w:val="00BE7CF4"/>
    <w:rsid w:val="00BF053D"/>
    <w:rsid w:val="00BF39B0"/>
    <w:rsid w:val="00BF3F1C"/>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70D80"/>
    <w:rsid w:val="00C74AFF"/>
    <w:rsid w:val="00C7654B"/>
    <w:rsid w:val="00C76856"/>
    <w:rsid w:val="00C76951"/>
    <w:rsid w:val="00C76D59"/>
    <w:rsid w:val="00C82823"/>
    <w:rsid w:val="00C832C4"/>
    <w:rsid w:val="00C853D1"/>
    <w:rsid w:val="00C85EA4"/>
    <w:rsid w:val="00C90B92"/>
    <w:rsid w:val="00C91093"/>
    <w:rsid w:val="00C912FE"/>
    <w:rsid w:val="00C91932"/>
    <w:rsid w:val="00C925DC"/>
    <w:rsid w:val="00C930AA"/>
    <w:rsid w:val="00C949D8"/>
    <w:rsid w:val="00C94BC7"/>
    <w:rsid w:val="00C95E21"/>
    <w:rsid w:val="00CA0632"/>
    <w:rsid w:val="00CA07CF"/>
    <w:rsid w:val="00CA0DA3"/>
    <w:rsid w:val="00CA1572"/>
    <w:rsid w:val="00CA2D98"/>
    <w:rsid w:val="00CA45A2"/>
    <w:rsid w:val="00CA48A4"/>
    <w:rsid w:val="00CA6B87"/>
    <w:rsid w:val="00CA7006"/>
    <w:rsid w:val="00CB01C6"/>
    <w:rsid w:val="00CB0987"/>
    <w:rsid w:val="00CB1925"/>
    <w:rsid w:val="00CB1F5B"/>
    <w:rsid w:val="00CB2583"/>
    <w:rsid w:val="00CB3320"/>
    <w:rsid w:val="00CB3444"/>
    <w:rsid w:val="00CB3510"/>
    <w:rsid w:val="00CB42D4"/>
    <w:rsid w:val="00CB44AC"/>
    <w:rsid w:val="00CB74DE"/>
    <w:rsid w:val="00CC0AD5"/>
    <w:rsid w:val="00CC134F"/>
    <w:rsid w:val="00CC1E0E"/>
    <w:rsid w:val="00CC2031"/>
    <w:rsid w:val="00CC2483"/>
    <w:rsid w:val="00CC3282"/>
    <w:rsid w:val="00CC5508"/>
    <w:rsid w:val="00CC5C65"/>
    <w:rsid w:val="00CD1F84"/>
    <w:rsid w:val="00CD43C8"/>
    <w:rsid w:val="00CD7517"/>
    <w:rsid w:val="00CE1BC4"/>
    <w:rsid w:val="00CE1C72"/>
    <w:rsid w:val="00CE1FEC"/>
    <w:rsid w:val="00CE2D28"/>
    <w:rsid w:val="00CE3BD7"/>
    <w:rsid w:val="00CE4572"/>
    <w:rsid w:val="00CE51C3"/>
    <w:rsid w:val="00CE75EF"/>
    <w:rsid w:val="00CE7A9B"/>
    <w:rsid w:val="00CE7C42"/>
    <w:rsid w:val="00CF0D3D"/>
    <w:rsid w:val="00CF2970"/>
    <w:rsid w:val="00CF475D"/>
    <w:rsid w:val="00CF49A8"/>
    <w:rsid w:val="00CF4AE4"/>
    <w:rsid w:val="00CF4F69"/>
    <w:rsid w:val="00D003EF"/>
    <w:rsid w:val="00D021D4"/>
    <w:rsid w:val="00D04266"/>
    <w:rsid w:val="00D0671F"/>
    <w:rsid w:val="00D06A14"/>
    <w:rsid w:val="00D072EB"/>
    <w:rsid w:val="00D10595"/>
    <w:rsid w:val="00D11D6F"/>
    <w:rsid w:val="00D11FA7"/>
    <w:rsid w:val="00D136B4"/>
    <w:rsid w:val="00D13C29"/>
    <w:rsid w:val="00D14602"/>
    <w:rsid w:val="00D1519E"/>
    <w:rsid w:val="00D15589"/>
    <w:rsid w:val="00D155F2"/>
    <w:rsid w:val="00D15898"/>
    <w:rsid w:val="00D1591A"/>
    <w:rsid w:val="00D15C2D"/>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5615"/>
    <w:rsid w:val="00D370AC"/>
    <w:rsid w:val="00D416E8"/>
    <w:rsid w:val="00D432AD"/>
    <w:rsid w:val="00D43BB3"/>
    <w:rsid w:val="00D44C4A"/>
    <w:rsid w:val="00D4569B"/>
    <w:rsid w:val="00D464D7"/>
    <w:rsid w:val="00D50B9E"/>
    <w:rsid w:val="00D51069"/>
    <w:rsid w:val="00D51F62"/>
    <w:rsid w:val="00D528A2"/>
    <w:rsid w:val="00D53030"/>
    <w:rsid w:val="00D54972"/>
    <w:rsid w:val="00D5520D"/>
    <w:rsid w:val="00D619CB"/>
    <w:rsid w:val="00D61C87"/>
    <w:rsid w:val="00D61D5B"/>
    <w:rsid w:val="00D61DA2"/>
    <w:rsid w:val="00D62D2E"/>
    <w:rsid w:val="00D649B0"/>
    <w:rsid w:val="00D66046"/>
    <w:rsid w:val="00D6729A"/>
    <w:rsid w:val="00D675DE"/>
    <w:rsid w:val="00D7114A"/>
    <w:rsid w:val="00D72853"/>
    <w:rsid w:val="00D72CBD"/>
    <w:rsid w:val="00D741EC"/>
    <w:rsid w:val="00D766C8"/>
    <w:rsid w:val="00D80167"/>
    <w:rsid w:val="00D81975"/>
    <w:rsid w:val="00D82ECE"/>
    <w:rsid w:val="00D82F79"/>
    <w:rsid w:val="00D83D02"/>
    <w:rsid w:val="00D84C94"/>
    <w:rsid w:val="00D85408"/>
    <w:rsid w:val="00D87175"/>
    <w:rsid w:val="00D910BC"/>
    <w:rsid w:val="00D920D2"/>
    <w:rsid w:val="00D93C8B"/>
    <w:rsid w:val="00D941B0"/>
    <w:rsid w:val="00D9537D"/>
    <w:rsid w:val="00D95F75"/>
    <w:rsid w:val="00D97254"/>
    <w:rsid w:val="00D974A2"/>
    <w:rsid w:val="00DA07CC"/>
    <w:rsid w:val="00DA20B0"/>
    <w:rsid w:val="00DA262D"/>
    <w:rsid w:val="00DA280D"/>
    <w:rsid w:val="00DA348C"/>
    <w:rsid w:val="00DA61F2"/>
    <w:rsid w:val="00DB0440"/>
    <w:rsid w:val="00DB1286"/>
    <w:rsid w:val="00DB148C"/>
    <w:rsid w:val="00DB1601"/>
    <w:rsid w:val="00DB1FD3"/>
    <w:rsid w:val="00DB2E7B"/>
    <w:rsid w:val="00DB36A4"/>
    <w:rsid w:val="00DB38FB"/>
    <w:rsid w:val="00DB594B"/>
    <w:rsid w:val="00DB6286"/>
    <w:rsid w:val="00DB68E8"/>
    <w:rsid w:val="00DB7282"/>
    <w:rsid w:val="00DC1081"/>
    <w:rsid w:val="00DC12C3"/>
    <w:rsid w:val="00DC13DE"/>
    <w:rsid w:val="00DC17EF"/>
    <w:rsid w:val="00DC21CB"/>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A59"/>
    <w:rsid w:val="00DD4E5E"/>
    <w:rsid w:val="00DD505B"/>
    <w:rsid w:val="00DD52CC"/>
    <w:rsid w:val="00DE081D"/>
    <w:rsid w:val="00DE308B"/>
    <w:rsid w:val="00DE3589"/>
    <w:rsid w:val="00DE4559"/>
    <w:rsid w:val="00DE463C"/>
    <w:rsid w:val="00DE5C78"/>
    <w:rsid w:val="00DF0222"/>
    <w:rsid w:val="00DF1DF2"/>
    <w:rsid w:val="00DF4E63"/>
    <w:rsid w:val="00DF731F"/>
    <w:rsid w:val="00E00006"/>
    <w:rsid w:val="00E02C39"/>
    <w:rsid w:val="00E0379F"/>
    <w:rsid w:val="00E03BEC"/>
    <w:rsid w:val="00E051AC"/>
    <w:rsid w:val="00E05C6E"/>
    <w:rsid w:val="00E06416"/>
    <w:rsid w:val="00E06E4C"/>
    <w:rsid w:val="00E06F0E"/>
    <w:rsid w:val="00E0741E"/>
    <w:rsid w:val="00E10AE2"/>
    <w:rsid w:val="00E1124B"/>
    <w:rsid w:val="00E12DA5"/>
    <w:rsid w:val="00E13BA5"/>
    <w:rsid w:val="00E14D61"/>
    <w:rsid w:val="00E14E44"/>
    <w:rsid w:val="00E174AE"/>
    <w:rsid w:val="00E21B8C"/>
    <w:rsid w:val="00E22501"/>
    <w:rsid w:val="00E236CB"/>
    <w:rsid w:val="00E246BB"/>
    <w:rsid w:val="00E25D5A"/>
    <w:rsid w:val="00E263AB"/>
    <w:rsid w:val="00E27E1C"/>
    <w:rsid w:val="00E32AF8"/>
    <w:rsid w:val="00E33827"/>
    <w:rsid w:val="00E35F09"/>
    <w:rsid w:val="00E36DA7"/>
    <w:rsid w:val="00E37939"/>
    <w:rsid w:val="00E37A7A"/>
    <w:rsid w:val="00E37FB3"/>
    <w:rsid w:val="00E4156D"/>
    <w:rsid w:val="00E419CB"/>
    <w:rsid w:val="00E4295D"/>
    <w:rsid w:val="00E42E66"/>
    <w:rsid w:val="00E432EB"/>
    <w:rsid w:val="00E43DEE"/>
    <w:rsid w:val="00E440F3"/>
    <w:rsid w:val="00E4410D"/>
    <w:rsid w:val="00E455C6"/>
    <w:rsid w:val="00E460FD"/>
    <w:rsid w:val="00E47630"/>
    <w:rsid w:val="00E5087B"/>
    <w:rsid w:val="00E514FE"/>
    <w:rsid w:val="00E51FD8"/>
    <w:rsid w:val="00E53BC1"/>
    <w:rsid w:val="00E5569D"/>
    <w:rsid w:val="00E55AD5"/>
    <w:rsid w:val="00E55B3B"/>
    <w:rsid w:val="00E55E91"/>
    <w:rsid w:val="00E56768"/>
    <w:rsid w:val="00E5758D"/>
    <w:rsid w:val="00E60CB8"/>
    <w:rsid w:val="00E61EFA"/>
    <w:rsid w:val="00E63170"/>
    <w:rsid w:val="00E63704"/>
    <w:rsid w:val="00E63891"/>
    <w:rsid w:val="00E64ACD"/>
    <w:rsid w:val="00E6547F"/>
    <w:rsid w:val="00E66752"/>
    <w:rsid w:val="00E66875"/>
    <w:rsid w:val="00E679F0"/>
    <w:rsid w:val="00E67A45"/>
    <w:rsid w:val="00E7094A"/>
    <w:rsid w:val="00E7279F"/>
    <w:rsid w:val="00E735AE"/>
    <w:rsid w:val="00E748ED"/>
    <w:rsid w:val="00E75783"/>
    <w:rsid w:val="00E762B9"/>
    <w:rsid w:val="00E77B2D"/>
    <w:rsid w:val="00E77B58"/>
    <w:rsid w:val="00E80E34"/>
    <w:rsid w:val="00E82407"/>
    <w:rsid w:val="00E83616"/>
    <w:rsid w:val="00E843FF"/>
    <w:rsid w:val="00E84B3F"/>
    <w:rsid w:val="00E86297"/>
    <w:rsid w:val="00E910EC"/>
    <w:rsid w:val="00E91B89"/>
    <w:rsid w:val="00E92A6C"/>
    <w:rsid w:val="00E92B80"/>
    <w:rsid w:val="00E94FB6"/>
    <w:rsid w:val="00E9632D"/>
    <w:rsid w:val="00EA17D9"/>
    <w:rsid w:val="00EA1CCF"/>
    <w:rsid w:val="00EA2326"/>
    <w:rsid w:val="00EA2581"/>
    <w:rsid w:val="00EA6628"/>
    <w:rsid w:val="00EA69D7"/>
    <w:rsid w:val="00EA7525"/>
    <w:rsid w:val="00EA79FD"/>
    <w:rsid w:val="00EB0F5D"/>
    <w:rsid w:val="00EB1039"/>
    <w:rsid w:val="00EB27C0"/>
    <w:rsid w:val="00EB2E81"/>
    <w:rsid w:val="00EB3C53"/>
    <w:rsid w:val="00EB3F97"/>
    <w:rsid w:val="00EB5304"/>
    <w:rsid w:val="00EB7834"/>
    <w:rsid w:val="00EC0891"/>
    <w:rsid w:val="00EC3412"/>
    <w:rsid w:val="00EC3777"/>
    <w:rsid w:val="00EC420E"/>
    <w:rsid w:val="00EC5C74"/>
    <w:rsid w:val="00EC6AE6"/>
    <w:rsid w:val="00EC7B61"/>
    <w:rsid w:val="00ED0444"/>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3AFC"/>
    <w:rsid w:val="00F0460F"/>
    <w:rsid w:val="00F04C3A"/>
    <w:rsid w:val="00F04CF2"/>
    <w:rsid w:val="00F04E13"/>
    <w:rsid w:val="00F056AF"/>
    <w:rsid w:val="00F10015"/>
    <w:rsid w:val="00F1035A"/>
    <w:rsid w:val="00F108BB"/>
    <w:rsid w:val="00F11DCC"/>
    <w:rsid w:val="00F13B05"/>
    <w:rsid w:val="00F13BFD"/>
    <w:rsid w:val="00F13DC0"/>
    <w:rsid w:val="00F142FF"/>
    <w:rsid w:val="00F14485"/>
    <w:rsid w:val="00F14AE4"/>
    <w:rsid w:val="00F14CBF"/>
    <w:rsid w:val="00F1660D"/>
    <w:rsid w:val="00F1688A"/>
    <w:rsid w:val="00F16F02"/>
    <w:rsid w:val="00F17504"/>
    <w:rsid w:val="00F22ABC"/>
    <w:rsid w:val="00F230C2"/>
    <w:rsid w:val="00F26A60"/>
    <w:rsid w:val="00F315F5"/>
    <w:rsid w:val="00F32817"/>
    <w:rsid w:val="00F368D3"/>
    <w:rsid w:val="00F36E23"/>
    <w:rsid w:val="00F371D3"/>
    <w:rsid w:val="00F37BC7"/>
    <w:rsid w:val="00F40EB7"/>
    <w:rsid w:val="00F417FE"/>
    <w:rsid w:val="00F423CC"/>
    <w:rsid w:val="00F433DC"/>
    <w:rsid w:val="00F445DD"/>
    <w:rsid w:val="00F45EF8"/>
    <w:rsid w:val="00F4616C"/>
    <w:rsid w:val="00F465B6"/>
    <w:rsid w:val="00F477E1"/>
    <w:rsid w:val="00F47BAD"/>
    <w:rsid w:val="00F5035D"/>
    <w:rsid w:val="00F525EC"/>
    <w:rsid w:val="00F54CEE"/>
    <w:rsid w:val="00F550B4"/>
    <w:rsid w:val="00F55805"/>
    <w:rsid w:val="00F5602C"/>
    <w:rsid w:val="00F56199"/>
    <w:rsid w:val="00F5648E"/>
    <w:rsid w:val="00F5657B"/>
    <w:rsid w:val="00F56760"/>
    <w:rsid w:val="00F61FB1"/>
    <w:rsid w:val="00F6200D"/>
    <w:rsid w:val="00F642D6"/>
    <w:rsid w:val="00F64CB9"/>
    <w:rsid w:val="00F65766"/>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2"/>
    <w:rsid w:val="00F9643A"/>
    <w:rsid w:val="00F971E5"/>
    <w:rsid w:val="00FA1B74"/>
    <w:rsid w:val="00FA3CF6"/>
    <w:rsid w:val="00FA3E24"/>
    <w:rsid w:val="00FA57F2"/>
    <w:rsid w:val="00FA69CB"/>
    <w:rsid w:val="00FB11AD"/>
    <w:rsid w:val="00FB21BE"/>
    <w:rsid w:val="00FB276B"/>
    <w:rsid w:val="00FB309B"/>
    <w:rsid w:val="00FB3B70"/>
    <w:rsid w:val="00FB49E4"/>
    <w:rsid w:val="00FB4CD3"/>
    <w:rsid w:val="00FB5145"/>
    <w:rsid w:val="00FB634E"/>
    <w:rsid w:val="00FB6C8A"/>
    <w:rsid w:val="00FB7D6A"/>
    <w:rsid w:val="00FC1052"/>
    <w:rsid w:val="00FC3EDB"/>
    <w:rsid w:val="00FC3F30"/>
    <w:rsid w:val="00FC562D"/>
    <w:rsid w:val="00FC6159"/>
    <w:rsid w:val="00FC66C4"/>
    <w:rsid w:val="00FC6748"/>
    <w:rsid w:val="00FC79FB"/>
    <w:rsid w:val="00FC7C3B"/>
    <w:rsid w:val="00FC7F23"/>
    <w:rsid w:val="00FD0467"/>
    <w:rsid w:val="00FD061C"/>
    <w:rsid w:val="00FD0820"/>
    <w:rsid w:val="00FD258B"/>
    <w:rsid w:val="00FD4ACD"/>
    <w:rsid w:val="00FD5232"/>
    <w:rsid w:val="00FD6404"/>
    <w:rsid w:val="00FE02F5"/>
    <w:rsid w:val="00FE41F3"/>
    <w:rsid w:val="00FE59EA"/>
    <w:rsid w:val="00FE7E45"/>
    <w:rsid w:val="00FF0662"/>
    <w:rsid w:val="00FF2C4D"/>
    <w:rsid w:val="00FF36CE"/>
    <w:rsid w:val="00FF3FE8"/>
    <w:rsid w:val="00FF54B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9E"/>
    <w:rPr>
      <w:sz w:val="24"/>
      <w:szCs w:val="24"/>
    </w:rPr>
  </w:style>
  <w:style w:type="paragraph" w:styleId="Heading1">
    <w:name w:val="heading 1"/>
    <w:basedOn w:val="Normal"/>
    <w:next w:val="Heading2"/>
    <w:qFormat/>
    <w:rsid w:val="007255A7"/>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7255A7"/>
    <w:pPr>
      <w:keepNext/>
      <w:tabs>
        <w:tab w:val="left" w:pos="567"/>
      </w:tabs>
      <w:spacing w:before="120" w:after="120"/>
      <w:jc w:val="center"/>
      <w:outlineLvl w:val="2"/>
    </w:pPr>
    <w:rPr>
      <w:i/>
      <w:iCs/>
    </w:rPr>
  </w:style>
  <w:style w:type="paragraph" w:styleId="Heading4">
    <w:name w:val="heading 4"/>
    <w:basedOn w:val="Normal"/>
    <w:qFormat/>
    <w:rsid w:val="007255A7"/>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7255A7"/>
    <w:pPr>
      <w:keepNext/>
      <w:numPr>
        <w:ilvl w:val="4"/>
        <w:numId w:val="1"/>
      </w:numPr>
      <w:spacing w:before="120" w:after="120"/>
      <w:outlineLvl w:val="4"/>
    </w:pPr>
    <w:rPr>
      <w:bCs/>
      <w:i/>
      <w:szCs w:val="26"/>
    </w:rPr>
  </w:style>
  <w:style w:type="paragraph" w:styleId="Heading6">
    <w:name w:val="heading 6"/>
    <w:basedOn w:val="Normal"/>
    <w:next w:val="Normal"/>
    <w:qFormat/>
    <w:rsid w:val="007255A7"/>
    <w:pPr>
      <w:keepNext/>
      <w:spacing w:after="240" w:line="240" w:lineRule="exact"/>
      <w:ind w:left="720"/>
      <w:outlineLvl w:val="5"/>
    </w:pPr>
    <w:rPr>
      <w:u w:val="single"/>
    </w:rPr>
  </w:style>
  <w:style w:type="paragraph" w:styleId="Heading7">
    <w:name w:val="heading 7"/>
    <w:basedOn w:val="Normal"/>
    <w:next w:val="Normal"/>
    <w:qFormat/>
    <w:rsid w:val="007255A7"/>
    <w:pPr>
      <w:keepNext/>
      <w:jc w:val="right"/>
      <w:outlineLvl w:val="6"/>
    </w:pPr>
    <w:rPr>
      <w:rFonts w:ascii="Univers" w:hAnsi="Univers"/>
      <w:b/>
      <w:sz w:val="28"/>
    </w:rPr>
  </w:style>
  <w:style w:type="paragraph" w:styleId="Heading8">
    <w:name w:val="heading 8"/>
    <w:basedOn w:val="Normal"/>
    <w:next w:val="Normal"/>
    <w:qFormat/>
    <w:rsid w:val="007255A7"/>
    <w:pPr>
      <w:keepNext/>
      <w:jc w:val="right"/>
      <w:outlineLvl w:val="7"/>
    </w:pPr>
    <w:rPr>
      <w:rFonts w:ascii="Univers" w:hAnsi="Univers"/>
      <w:b/>
      <w:sz w:val="32"/>
    </w:rPr>
  </w:style>
  <w:style w:type="paragraph" w:styleId="Heading9">
    <w:name w:val="heading 9"/>
    <w:basedOn w:val="Normal"/>
    <w:next w:val="Normal"/>
    <w:qFormat/>
    <w:rsid w:val="007255A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55A7"/>
    <w:pPr>
      <w:tabs>
        <w:tab w:val="center" w:pos="4320"/>
        <w:tab w:val="right" w:pos="8640"/>
      </w:tabs>
    </w:pPr>
  </w:style>
  <w:style w:type="paragraph" w:styleId="Footer">
    <w:name w:val="footer"/>
    <w:basedOn w:val="Normal"/>
    <w:link w:val="FooterChar"/>
    <w:rsid w:val="007255A7"/>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255A7"/>
    <w:pPr>
      <w:keepLines/>
      <w:spacing w:after="60"/>
      <w:ind w:firstLine="720"/>
    </w:pPr>
    <w:rPr>
      <w:sz w:val="18"/>
    </w:rPr>
  </w:style>
  <w:style w:type="paragraph" w:styleId="BodyText">
    <w:name w:val="Body Text"/>
    <w:basedOn w:val="Normal"/>
    <w:link w:val="BodyTextChar"/>
    <w:rsid w:val="007255A7"/>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7255A7"/>
    <w:rPr>
      <w:sz w:val="16"/>
    </w:rPr>
  </w:style>
  <w:style w:type="paragraph" w:styleId="CommentText">
    <w:name w:val="annotation text"/>
    <w:basedOn w:val="Normal"/>
    <w:link w:val="CommentTextChar"/>
    <w:semiHidden/>
    <w:rsid w:val="007255A7"/>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rsid w:val="007255A7"/>
    <w:pPr>
      <w:spacing w:before="120" w:after="120"/>
      <w:ind w:left="1440" w:hanging="720"/>
    </w:pPr>
  </w:style>
  <w:style w:type="character" w:styleId="PageNumber">
    <w:name w:val="page number"/>
    <w:rsid w:val="007255A7"/>
    <w:rPr>
      <w:rFonts w:ascii="Times New Roman" w:hAnsi="Times New Roman"/>
      <w:sz w:val="22"/>
    </w:rPr>
  </w:style>
  <w:style w:type="paragraph" w:customStyle="1" w:styleId="HEADING">
    <w:name w:val="HEADING"/>
    <w:basedOn w:val="Normal"/>
    <w:rsid w:val="007255A7"/>
    <w:pPr>
      <w:keepNext/>
      <w:spacing w:before="240" w:after="120"/>
      <w:jc w:val="center"/>
    </w:pPr>
    <w:rPr>
      <w:b/>
      <w:bCs/>
      <w:caps/>
    </w:rPr>
  </w:style>
  <w:style w:type="paragraph" w:customStyle="1" w:styleId="para4">
    <w:name w:val="para4"/>
    <w:basedOn w:val="Normal"/>
    <w:rsid w:val="007255A7"/>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7255A7"/>
    <w:pPr>
      <w:ind w:left="170" w:right="3119" w:hanging="170"/>
    </w:pPr>
  </w:style>
  <w:style w:type="paragraph" w:customStyle="1" w:styleId="Para3">
    <w:name w:val="Para3"/>
    <w:basedOn w:val="Normal"/>
    <w:rsid w:val="007255A7"/>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7255A7"/>
    <w:pPr>
      <w:spacing w:before="120"/>
    </w:pPr>
    <w:rPr>
      <w:rFonts w:cs="Arial"/>
      <w:b/>
      <w:bCs/>
    </w:rPr>
  </w:style>
  <w:style w:type="paragraph" w:styleId="TOC9">
    <w:name w:val="toc 9"/>
    <w:basedOn w:val="Normal"/>
    <w:next w:val="Normal"/>
    <w:autoRedefine/>
    <w:semiHidden/>
    <w:rsid w:val="007255A7"/>
    <w:pPr>
      <w:spacing w:before="120" w:after="120"/>
      <w:ind w:left="1760"/>
    </w:pPr>
  </w:style>
  <w:style w:type="paragraph" w:styleId="TOC1">
    <w:name w:val="toc 1"/>
    <w:basedOn w:val="Normal"/>
    <w:next w:val="Normal"/>
    <w:autoRedefine/>
    <w:semiHidden/>
    <w:rsid w:val="007255A7"/>
    <w:pPr>
      <w:ind w:left="720" w:hanging="720"/>
    </w:pPr>
    <w:rPr>
      <w:caps/>
    </w:rPr>
  </w:style>
  <w:style w:type="paragraph" w:styleId="TOC2">
    <w:name w:val="toc 2"/>
    <w:basedOn w:val="Normal"/>
    <w:next w:val="Normal"/>
    <w:autoRedefine/>
    <w:semiHidden/>
    <w:rsid w:val="007255A7"/>
    <w:pPr>
      <w:tabs>
        <w:tab w:val="right" w:leader="dot" w:pos="9356"/>
      </w:tabs>
      <w:ind w:left="1440" w:hanging="720"/>
    </w:pPr>
    <w:rPr>
      <w:noProof/>
      <w:szCs w:val="22"/>
    </w:rPr>
  </w:style>
  <w:style w:type="paragraph" w:styleId="TOC3">
    <w:name w:val="toc 3"/>
    <w:basedOn w:val="Normal"/>
    <w:next w:val="Normal"/>
    <w:autoRedefine/>
    <w:semiHidden/>
    <w:rsid w:val="007255A7"/>
    <w:pPr>
      <w:ind w:left="2160" w:hanging="720"/>
    </w:pPr>
  </w:style>
  <w:style w:type="paragraph" w:styleId="TOC4">
    <w:name w:val="toc 4"/>
    <w:basedOn w:val="Normal"/>
    <w:next w:val="Normal"/>
    <w:autoRedefine/>
    <w:semiHidden/>
    <w:rsid w:val="007255A7"/>
    <w:pPr>
      <w:spacing w:before="120" w:after="120"/>
      <w:ind w:left="660"/>
    </w:pPr>
  </w:style>
  <w:style w:type="paragraph" w:styleId="TOC5">
    <w:name w:val="toc 5"/>
    <w:basedOn w:val="Normal"/>
    <w:next w:val="Normal"/>
    <w:autoRedefine/>
    <w:semiHidden/>
    <w:rsid w:val="007255A7"/>
    <w:pPr>
      <w:spacing w:before="120" w:after="120"/>
      <w:ind w:left="880"/>
    </w:pPr>
  </w:style>
  <w:style w:type="paragraph" w:styleId="TOC6">
    <w:name w:val="toc 6"/>
    <w:basedOn w:val="Normal"/>
    <w:next w:val="Normal"/>
    <w:autoRedefine/>
    <w:semiHidden/>
    <w:rsid w:val="007255A7"/>
    <w:pPr>
      <w:spacing w:before="120" w:after="120"/>
      <w:ind w:left="1100"/>
    </w:pPr>
  </w:style>
  <w:style w:type="paragraph" w:styleId="TOC7">
    <w:name w:val="toc 7"/>
    <w:basedOn w:val="Normal"/>
    <w:next w:val="Normal"/>
    <w:autoRedefine/>
    <w:semiHidden/>
    <w:rsid w:val="007255A7"/>
    <w:pPr>
      <w:spacing w:before="120" w:after="120"/>
      <w:ind w:left="1320"/>
    </w:pPr>
  </w:style>
  <w:style w:type="paragraph" w:styleId="TOC8">
    <w:name w:val="toc 8"/>
    <w:basedOn w:val="Normal"/>
    <w:next w:val="Normal"/>
    <w:autoRedefine/>
    <w:semiHidden/>
    <w:rsid w:val="007255A7"/>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sid w:val="007255A7"/>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7255A7"/>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7255A7"/>
    <w:rPr>
      <w:vertAlign w:val="superscript"/>
    </w:rPr>
  </w:style>
  <w:style w:type="paragraph" w:styleId="EndnoteText">
    <w:name w:val="endnote text"/>
    <w:basedOn w:val="Normal"/>
    <w:semiHidden/>
    <w:rsid w:val="007255A7"/>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7255A7"/>
    <w:pPr>
      <w:ind w:left="1843" w:hanging="1134"/>
      <w:jc w:val="left"/>
    </w:pPr>
  </w:style>
  <w:style w:type="paragraph" w:customStyle="1" w:styleId="Heading1multiline">
    <w:name w:val="Heading 1 (multiline)"/>
    <w:basedOn w:val="Heading1"/>
    <w:rsid w:val="007255A7"/>
    <w:pPr>
      <w:ind w:left="1843" w:right="996" w:hanging="567"/>
      <w:jc w:val="left"/>
    </w:pPr>
  </w:style>
  <w:style w:type="paragraph" w:customStyle="1" w:styleId="Heading2multiline">
    <w:name w:val="Heading 2 (multiline)"/>
    <w:basedOn w:val="Heading1"/>
    <w:next w:val="Para1"/>
    <w:rsid w:val="007255A7"/>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7255A7"/>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 w:type="character" w:customStyle="1" w:styleId="preferred">
    <w:name w:val="preferred"/>
    <w:basedOn w:val="DefaultParagraphFont"/>
    <w:rsid w:val="00593094"/>
  </w:style>
</w:styles>
</file>

<file path=word/webSettings.xml><?xml version="1.0" encoding="utf-8"?>
<w:webSettings xmlns:r="http://schemas.openxmlformats.org/officeDocument/2006/relationships" xmlns:w="http://schemas.openxmlformats.org/wordprocessingml/2006/main">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06-fr.pdf" TargetMode="External"/><Relationship Id="rId26" Type="http://schemas.openxmlformats.org/officeDocument/2006/relationships/hyperlink" Target="https://ipbes.net/pandemics" TargetMode="External"/><Relationship Id="rId3" Type="http://schemas.openxmlformats.org/officeDocument/2006/relationships/customXml" Target="../customXml/item3.xml"/><Relationship Id="rId21" Type="http://schemas.openxmlformats.org/officeDocument/2006/relationships/hyperlink" Target="https://ipbes.net/assessment-reports/pollinator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15-fr.pdf" TargetMode="External"/><Relationship Id="rId25" Type="http://schemas.openxmlformats.org/officeDocument/2006/relationships/hyperlink" Target="https://ipbes.net/global-assess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2/cop-12-dec-25-fr.pdf" TargetMode="External"/><Relationship Id="rId20" Type="http://schemas.openxmlformats.org/officeDocument/2006/relationships/hyperlink" Target="https://www.cbd.int/doc/decisions/cop-14/cop-14-dec-34-f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pbes.net/regional-assessments"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4/cop-14-dec-36-fr.pdf" TargetMode="External"/><Relationship Id="rId23" Type="http://schemas.openxmlformats.org/officeDocument/2006/relationships/hyperlink" Target="https://ipbes.net/assessment-reports/ldr"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cop-14/cop-14-dec-01-fr.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ipbes.net/assessment-reports/scenarios"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guide-production-assessments" TargetMode="External"/><Relationship Id="rId2" Type="http://schemas.openxmlformats.org/officeDocument/2006/relationships/hyperlink" Target="https://ipbes.net/sites/default/files/downloads/pdf/ipbes-5-inf-3.pdf" TargetMode="External"/><Relationship Id="rId1" Type="http://schemas.openxmlformats.org/officeDocument/2006/relationships/hyperlink" Target="https://ipbes.net/notification/nomination/scoping-of-the-assessment-of-business-and-biodiversity" TargetMode="External"/><Relationship Id="rId4" Type="http://schemas.openxmlformats.org/officeDocument/2006/relationships/hyperlink" Target="https://ipbes.net/conceptual-frame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Calibri"/>
    <w:panose1 w:val="02000000000000000000"/>
    <w:charset w:val="00"/>
    <w:family w:val="auto"/>
    <w:pitch w:val="variable"/>
    <w:sig w:usb0="E0000AFF" w:usb1="5000217F" w:usb2="0000002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105D3"/>
    <w:rsid w:val="002A02CA"/>
    <w:rsid w:val="002B5BA7"/>
    <w:rsid w:val="002D589A"/>
    <w:rsid w:val="002E77A1"/>
    <w:rsid w:val="002F0DB9"/>
    <w:rsid w:val="003020B6"/>
    <w:rsid w:val="00310614"/>
    <w:rsid w:val="00322ED0"/>
    <w:rsid w:val="003370EB"/>
    <w:rsid w:val="00340DC6"/>
    <w:rsid w:val="0037757D"/>
    <w:rsid w:val="003B52A7"/>
    <w:rsid w:val="003D2289"/>
    <w:rsid w:val="0041449F"/>
    <w:rsid w:val="004468F7"/>
    <w:rsid w:val="0045286F"/>
    <w:rsid w:val="004A69EC"/>
    <w:rsid w:val="004D41EF"/>
    <w:rsid w:val="004F41B4"/>
    <w:rsid w:val="00535F34"/>
    <w:rsid w:val="00564A53"/>
    <w:rsid w:val="00566B0B"/>
    <w:rsid w:val="005777A5"/>
    <w:rsid w:val="005F5D17"/>
    <w:rsid w:val="00637633"/>
    <w:rsid w:val="0065310D"/>
    <w:rsid w:val="00686653"/>
    <w:rsid w:val="006F68D4"/>
    <w:rsid w:val="00700FE9"/>
    <w:rsid w:val="0070613C"/>
    <w:rsid w:val="007305B5"/>
    <w:rsid w:val="00757414"/>
    <w:rsid w:val="007772E5"/>
    <w:rsid w:val="007C6A58"/>
    <w:rsid w:val="007D1F37"/>
    <w:rsid w:val="007D54D0"/>
    <w:rsid w:val="007E501A"/>
    <w:rsid w:val="008152B2"/>
    <w:rsid w:val="0083264A"/>
    <w:rsid w:val="008353A8"/>
    <w:rsid w:val="008465A4"/>
    <w:rsid w:val="00887523"/>
    <w:rsid w:val="00896FE8"/>
    <w:rsid w:val="008E0444"/>
    <w:rsid w:val="009367D8"/>
    <w:rsid w:val="00962601"/>
    <w:rsid w:val="0096489A"/>
    <w:rsid w:val="009A2846"/>
    <w:rsid w:val="009B334A"/>
    <w:rsid w:val="009D46D8"/>
    <w:rsid w:val="009D496C"/>
    <w:rsid w:val="009E0B5A"/>
    <w:rsid w:val="00A27574"/>
    <w:rsid w:val="00A640BD"/>
    <w:rsid w:val="00AA0641"/>
    <w:rsid w:val="00B0225B"/>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FA3F5A"/>
    <w:rsid w:val="00FA4606"/>
    <w:rsid w:val="00FD7422"/>
    <w:rsid w:val="00FE7E7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57414"/>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rsid w:val="00700FE9"/>
    <w:pPr>
      <w:spacing w:after="160" w:line="259" w:lineRule="auto"/>
    </w:pPr>
    <w:rPr>
      <w:lang w:val="en-CA" w:eastAsia="en-CA"/>
    </w:rPr>
  </w:style>
  <w:style w:type="paragraph" w:customStyle="1" w:styleId="E70EACFA710C4A4090FB8CF50F6B5D87">
    <w:name w:val="E70EACFA710C4A4090FB8CF50F6B5D87"/>
    <w:rsid w:val="00700FE9"/>
    <w:pPr>
      <w:spacing w:after="160" w:line="259" w:lineRule="auto"/>
    </w:pPr>
    <w:rPr>
      <w:lang w:val="en-CA" w:eastAsia="en-CA"/>
    </w:rPr>
  </w:style>
  <w:style w:type="paragraph" w:customStyle="1" w:styleId="D135910B1CB148008D96DCE0D7320E48">
    <w:name w:val="D135910B1CB148008D96DCE0D7320E48"/>
    <w:rsid w:val="00757414"/>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B91563-B469-40B8-ADDC-AF410DD4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5669</Words>
  <Characters>31184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36780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of the Intergovernmental Science-Policy Platform on Biodiversity and Ecosystem Services</dc:title>
  <dc:subject>CBD/SBSTTA/24/8</dc:subject>
  <dc:creator>SCBD</dc:creator>
  <cp:keywords>Subsidiary Body on Scientific, Technical and Technological Advice, twenty-fourth meeting, Convention on Biological Diversity</cp:keywords>
  <cp:lastModifiedBy>BUBIC</cp:lastModifiedBy>
  <cp:revision>34</cp:revision>
  <cp:lastPrinted>2018-04-12T14:38:00Z</cp:lastPrinted>
  <dcterms:created xsi:type="dcterms:W3CDTF">2020-12-26T23:35:00Z</dcterms:created>
  <dcterms:modified xsi:type="dcterms:W3CDTF">2021-01-04T22:59:00Z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