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000" w:firstRow="0" w:lastRow="0" w:firstColumn="0" w:lastColumn="0" w:noHBand="0" w:noVBand="0"/>
      </w:tblPr>
      <w:tblGrid>
        <w:gridCol w:w="5238"/>
        <w:gridCol w:w="450"/>
        <w:gridCol w:w="4201"/>
      </w:tblGrid>
      <w:tr w:rsidR="00405146" w14:paraId="0408C6AE" w14:textId="77777777" w:rsidTr="00C23C28">
        <w:trPr>
          <w:trHeight w:val="1438"/>
        </w:trPr>
        <w:tc>
          <w:tcPr>
            <w:tcW w:w="5238" w:type="dxa"/>
          </w:tcPr>
          <w:p w14:paraId="6AE20D20" w14:textId="77777777" w:rsidR="00405146" w:rsidRDefault="00405146" w:rsidP="00C23C28">
            <w:pPr>
              <w:ind w:right="1426"/>
              <w:rPr>
                <w:rFonts w:ascii="Univers" w:hAnsi="Univers"/>
                <w:sz w:val="32"/>
              </w:rPr>
            </w:pPr>
            <w:r>
              <w:rPr>
                <w:rFonts w:ascii="Univers" w:hAnsi="Univers"/>
                <w:b/>
                <w:sz w:val="32"/>
              </w:rPr>
              <w:t>CONVENTION ON</w:t>
            </w:r>
          </w:p>
          <w:p w14:paraId="7D1E7AC9" w14:textId="77777777" w:rsidR="00405146" w:rsidRDefault="00405146" w:rsidP="00C23C28">
            <w:pPr>
              <w:spacing w:after="120"/>
              <w:ind w:right="1422"/>
            </w:pPr>
            <w:r>
              <w:rPr>
                <w:rFonts w:ascii="Univers" w:hAnsi="Univers"/>
                <w:b/>
                <w:sz w:val="32"/>
              </w:rPr>
              <w:t>BIOLOGICAL DIVERSITY</w:t>
            </w:r>
          </w:p>
        </w:tc>
        <w:tc>
          <w:tcPr>
            <w:tcW w:w="450" w:type="dxa"/>
          </w:tcPr>
          <w:p w14:paraId="15595C18" w14:textId="77777777" w:rsidR="00405146" w:rsidRPr="003B3C28" w:rsidRDefault="00405146" w:rsidP="00C23C28">
            <w:pPr>
              <w:spacing w:after="120"/>
            </w:pPr>
          </w:p>
        </w:tc>
        <w:tc>
          <w:tcPr>
            <w:tcW w:w="4201" w:type="dxa"/>
          </w:tcPr>
          <w:p w14:paraId="202ECDED" w14:textId="7B99A975" w:rsidR="00405146" w:rsidRPr="003B3C28" w:rsidRDefault="00000000" w:rsidP="00000614">
            <w:pPr>
              <w:ind w:left="1298"/>
            </w:pPr>
            <w:sdt>
              <w:sdtPr>
                <w:alias w:val="Subject"/>
                <w:tag w:val=""/>
                <w:id w:val="874587506"/>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Content>
                <w:r w:rsidR="00FD14F4">
                  <w:t>CBD/</w:t>
                </w:r>
                <w:r w:rsidR="00A03C00">
                  <w:t>COP/15</w:t>
                </w:r>
                <w:r w:rsidR="001D0C4A">
                  <w:t>/</w:t>
                </w:r>
                <w:r w:rsidR="00BD6B50">
                  <w:t>CRP.</w:t>
                </w:r>
                <w:r w:rsidR="00C70713">
                  <w:t>1</w:t>
                </w:r>
              </w:sdtContent>
            </w:sdt>
          </w:p>
          <w:p w14:paraId="3E9EC255" w14:textId="18B0B529" w:rsidR="00405146" w:rsidRPr="003B3C28" w:rsidRDefault="00C70713" w:rsidP="00000614">
            <w:pPr>
              <w:spacing w:after="120"/>
              <w:ind w:left="1298"/>
            </w:pPr>
            <w:r>
              <w:t>15</w:t>
            </w:r>
            <w:r w:rsidR="00405146" w:rsidRPr="00863B0B">
              <w:t xml:space="preserve"> </w:t>
            </w:r>
            <w:r w:rsidR="00BD6B50">
              <w:t>December</w:t>
            </w:r>
            <w:r w:rsidR="00405146" w:rsidRPr="00863B0B">
              <w:t xml:space="preserve"> 20</w:t>
            </w:r>
            <w:r w:rsidR="007C3F96">
              <w:t>2</w:t>
            </w:r>
            <w:r w:rsidR="00BD6B50">
              <w:t>2</w:t>
            </w:r>
          </w:p>
          <w:p w14:paraId="6B920A6C" w14:textId="77777777" w:rsidR="00405146" w:rsidRPr="003B3C28" w:rsidRDefault="00405146" w:rsidP="00000614">
            <w:pPr>
              <w:spacing w:after="120"/>
              <w:ind w:left="1298"/>
            </w:pPr>
          </w:p>
          <w:p w14:paraId="5CA6BF61" w14:textId="77777777" w:rsidR="00405146" w:rsidRPr="003B3C28" w:rsidRDefault="00405146" w:rsidP="00000614">
            <w:pPr>
              <w:spacing w:after="120"/>
              <w:ind w:left="1298"/>
            </w:pPr>
            <w:r w:rsidRPr="003B3C28">
              <w:t>ORIGINAL:  ENGLISH</w:t>
            </w:r>
          </w:p>
        </w:tc>
      </w:tr>
    </w:tbl>
    <w:p w14:paraId="660E6BB9" w14:textId="793D743F" w:rsidR="00BD6B50" w:rsidRPr="00910961" w:rsidRDefault="00BD6B50" w:rsidP="00A03C00">
      <w:pPr>
        <w:pStyle w:val="Cornernotation"/>
        <w:kinsoku w:val="0"/>
        <w:overflowPunct w:val="0"/>
        <w:autoSpaceDE w:val="0"/>
        <w:autoSpaceDN w:val="0"/>
        <w:spacing w:before="60"/>
        <w:ind w:left="227" w:right="4075" w:hanging="227"/>
        <w:rPr>
          <w:snapToGrid w:val="0"/>
          <w:kern w:val="22"/>
        </w:rPr>
      </w:pPr>
      <w:r w:rsidRPr="00910961">
        <w:rPr>
          <w:snapToGrid w:val="0"/>
          <w:kern w:val="22"/>
        </w:rPr>
        <w:t xml:space="preserve">CONFERENCE OF THE PARTIES TO THE CONVENTION ON BIOLOGICAL DIVERSITY </w:t>
      </w:r>
    </w:p>
    <w:p w14:paraId="52477CC3" w14:textId="26E6D3B5" w:rsidR="00BD6B50" w:rsidRPr="00910961" w:rsidRDefault="00A03C00" w:rsidP="00A03C00">
      <w:pPr>
        <w:pStyle w:val="Cornernotation"/>
        <w:kinsoku w:val="0"/>
        <w:overflowPunct w:val="0"/>
        <w:autoSpaceDE w:val="0"/>
        <w:autoSpaceDN w:val="0"/>
        <w:ind w:left="0" w:right="4075" w:firstLine="0"/>
        <w:rPr>
          <w:snapToGrid w:val="0"/>
          <w:kern w:val="22"/>
        </w:rPr>
      </w:pPr>
      <w:r>
        <w:rPr>
          <w:snapToGrid w:val="0"/>
          <w:kern w:val="22"/>
        </w:rPr>
        <w:t>Fifteenth</w:t>
      </w:r>
      <w:r w:rsidR="00BD6B50" w:rsidRPr="00910961">
        <w:rPr>
          <w:snapToGrid w:val="0"/>
          <w:kern w:val="22"/>
        </w:rPr>
        <w:t xml:space="preserve"> meeting</w:t>
      </w:r>
      <w:r w:rsidR="00BD6B50">
        <w:rPr>
          <w:snapToGrid w:val="0"/>
          <w:kern w:val="22"/>
        </w:rPr>
        <w:t xml:space="preserve"> – Part II</w:t>
      </w:r>
    </w:p>
    <w:p w14:paraId="1B8A158A" w14:textId="77777777" w:rsidR="00BD6B50" w:rsidRDefault="00BD6B50" w:rsidP="00A03C00">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7B8FD5E7" w14:textId="0AACC011" w:rsidR="00886758" w:rsidRPr="00886758" w:rsidRDefault="00B1598F" w:rsidP="00A03C00">
      <w:pPr>
        <w:pStyle w:val="Cornernotation"/>
        <w:kinsoku w:val="0"/>
        <w:overflowPunct w:val="0"/>
        <w:autoSpaceDE w:val="0"/>
        <w:autoSpaceDN w:val="0"/>
        <w:ind w:left="227" w:right="4075" w:hanging="227"/>
        <w:rPr>
          <w:b/>
          <w:bCs/>
          <w:snapToGrid w:val="0"/>
          <w:kern w:val="22"/>
          <w:szCs w:val="22"/>
          <w:lang w:eastAsia="nb-NO"/>
        </w:rPr>
      </w:pPr>
      <w:r>
        <w:rPr>
          <w:b/>
          <w:bCs/>
          <w:snapToGrid w:val="0"/>
          <w:kern w:val="22"/>
          <w:szCs w:val="22"/>
          <w:lang w:eastAsia="nb-NO"/>
        </w:rPr>
        <w:t>PLENARY</w:t>
      </w:r>
    </w:p>
    <w:p w14:paraId="1B691AAA" w14:textId="7492D451" w:rsidR="00BD6B50" w:rsidRPr="00C9161D" w:rsidRDefault="00BD6B50" w:rsidP="00A03C00">
      <w:pPr>
        <w:ind w:right="4075"/>
      </w:pPr>
      <w:r>
        <w:rPr>
          <w:snapToGrid w:val="0"/>
          <w:kern w:val="22"/>
          <w:szCs w:val="22"/>
        </w:rPr>
        <w:t>Agenda i</w:t>
      </w:r>
      <w:r w:rsidRPr="004B44DE">
        <w:rPr>
          <w:snapToGrid w:val="0"/>
          <w:kern w:val="22"/>
          <w:szCs w:val="22"/>
        </w:rPr>
        <w:t xml:space="preserve">tem </w:t>
      </w:r>
      <w:r w:rsidR="00857488">
        <w:rPr>
          <w:snapToGrid w:val="0"/>
          <w:kern w:val="22"/>
          <w:szCs w:val="22"/>
        </w:rPr>
        <w:t>5</w:t>
      </w:r>
      <w:r w:rsidRPr="004B44DE">
        <w:rPr>
          <w:snapToGrid w:val="0"/>
          <w:kern w:val="22"/>
          <w:szCs w:val="22"/>
        </w:rPr>
        <w:t xml:space="preserve"> </w:t>
      </w:r>
    </w:p>
    <w:p w14:paraId="03BC1CC7" w14:textId="67667682" w:rsidR="00C9161D" w:rsidRPr="00890579" w:rsidRDefault="00857488" w:rsidP="00890579">
      <w:pPr>
        <w:pStyle w:val="Heading2"/>
        <w:rPr>
          <w:caps/>
        </w:rPr>
      </w:pPr>
      <w:r w:rsidRPr="00890579">
        <w:t>Date and venue of future meetings of the Conference of the Parties</w:t>
      </w:r>
    </w:p>
    <w:p w14:paraId="62A8A16F" w14:textId="58808278" w:rsidR="00176CEE" w:rsidRPr="00405146" w:rsidRDefault="00405146" w:rsidP="00172AF6">
      <w:pPr>
        <w:spacing w:before="120" w:after="240"/>
        <w:jc w:val="center"/>
        <w:rPr>
          <w:b/>
          <w:caps/>
        </w:rPr>
      </w:pPr>
      <w:r w:rsidRPr="00405146">
        <w:rPr>
          <w:b/>
          <w:szCs w:val="22"/>
          <w:lang w:val="en-CA"/>
        </w:rPr>
        <w:t xml:space="preserve">Draft </w:t>
      </w:r>
      <w:r w:rsidR="00BD6B50">
        <w:rPr>
          <w:b/>
          <w:szCs w:val="22"/>
          <w:lang w:val="en-CA"/>
        </w:rPr>
        <w:t>decision</w:t>
      </w:r>
      <w:r w:rsidRPr="00405146">
        <w:rPr>
          <w:b/>
          <w:szCs w:val="22"/>
          <w:lang w:val="en-CA"/>
        </w:rPr>
        <w:t xml:space="preserve"> submitted by the </w:t>
      </w:r>
      <w:r w:rsidR="00857488">
        <w:rPr>
          <w:b/>
          <w:szCs w:val="22"/>
          <w:lang w:val="en-CA"/>
        </w:rPr>
        <w:t>President</w:t>
      </w:r>
      <w:r w:rsidR="00BD6B50">
        <w:rPr>
          <w:b/>
          <w:szCs w:val="22"/>
          <w:lang w:val="en-CA"/>
        </w:rPr>
        <w:t xml:space="preserve"> </w:t>
      </w:r>
    </w:p>
    <w:p w14:paraId="44A6C19E" w14:textId="77777777" w:rsidR="00857488" w:rsidRPr="00857488" w:rsidRDefault="00857488" w:rsidP="00857488">
      <w:pPr>
        <w:snapToGrid w:val="0"/>
        <w:spacing w:before="120" w:after="120"/>
        <w:ind w:firstLine="720"/>
        <w:rPr>
          <w:i/>
          <w:kern w:val="22"/>
          <w:szCs w:val="18"/>
        </w:rPr>
      </w:pPr>
      <w:r w:rsidRPr="00857488">
        <w:rPr>
          <w:i/>
          <w:kern w:val="22"/>
          <w:szCs w:val="18"/>
        </w:rPr>
        <w:t>The Conference of the Parties,</w:t>
      </w:r>
    </w:p>
    <w:p w14:paraId="4C5E927B" w14:textId="77EC9FEC" w:rsidR="00857488" w:rsidRPr="00857488" w:rsidRDefault="00857488" w:rsidP="00857488">
      <w:pPr>
        <w:snapToGrid w:val="0"/>
        <w:spacing w:before="120" w:after="120"/>
        <w:ind w:firstLine="720"/>
        <w:rPr>
          <w:kern w:val="22"/>
          <w:szCs w:val="18"/>
        </w:rPr>
      </w:pPr>
      <w:r w:rsidRPr="00857488">
        <w:rPr>
          <w:i/>
          <w:kern w:val="22"/>
          <w:szCs w:val="18"/>
        </w:rPr>
        <w:t>Recalling</w:t>
      </w:r>
      <w:r w:rsidRPr="00857488">
        <w:rPr>
          <w:kern w:val="22"/>
          <w:szCs w:val="18"/>
        </w:rPr>
        <w:t xml:space="preserve"> </w:t>
      </w:r>
      <w:r w:rsidR="00DC5DEF">
        <w:rPr>
          <w:kern w:val="22"/>
          <w:szCs w:val="18"/>
        </w:rPr>
        <w:t xml:space="preserve">its </w:t>
      </w:r>
      <w:r w:rsidRPr="00857488">
        <w:rPr>
          <w:kern w:val="22"/>
          <w:szCs w:val="18"/>
        </w:rPr>
        <w:t>decision</w:t>
      </w:r>
      <w:r>
        <w:rPr>
          <w:kern w:val="22"/>
          <w:szCs w:val="18"/>
        </w:rPr>
        <w:t xml:space="preserve"> </w:t>
      </w:r>
      <w:r w:rsidR="00890579">
        <w:rPr>
          <w:kern w:val="22"/>
          <w:szCs w:val="18"/>
        </w:rPr>
        <w:t xml:space="preserve">XIII/33 and </w:t>
      </w:r>
      <w:r w:rsidRPr="00857488">
        <w:rPr>
          <w:kern w:val="22"/>
          <w:szCs w:val="18"/>
        </w:rPr>
        <w:t>X</w:t>
      </w:r>
      <w:r w:rsidR="00DC5DEF">
        <w:rPr>
          <w:kern w:val="22"/>
          <w:szCs w:val="18"/>
        </w:rPr>
        <w:t>IV</w:t>
      </w:r>
      <w:r w:rsidRPr="00857488">
        <w:rPr>
          <w:kern w:val="22"/>
          <w:szCs w:val="18"/>
        </w:rPr>
        <w:t>/3</w:t>
      </w:r>
      <w:r w:rsidR="00DC5DEF">
        <w:rPr>
          <w:kern w:val="22"/>
          <w:szCs w:val="18"/>
        </w:rPr>
        <w:t>8</w:t>
      </w:r>
      <w:r w:rsidRPr="00857488">
        <w:rPr>
          <w:kern w:val="22"/>
          <w:szCs w:val="18"/>
        </w:rPr>
        <w:t xml:space="preserve">, </w:t>
      </w:r>
    </w:p>
    <w:p w14:paraId="250E5057" w14:textId="77777777" w:rsidR="00DC5DEF" w:rsidRDefault="00857488" w:rsidP="00DC5DEF">
      <w:pPr>
        <w:tabs>
          <w:tab w:val="num" w:pos="360"/>
        </w:tabs>
        <w:snapToGrid w:val="0"/>
        <w:spacing w:before="120" w:after="120"/>
        <w:ind w:firstLine="720"/>
        <w:rPr>
          <w:i/>
          <w:kern w:val="22"/>
          <w:szCs w:val="18"/>
        </w:rPr>
      </w:pPr>
      <w:r w:rsidRPr="00857488">
        <w:rPr>
          <w:iCs/>
          <w:kern w:val="22"/>
          <w:szCs w:val="18"/>
        </w:rPr>
        <w:t>1.</w:t>
      </w:r>
      <w:r>
        <w:rPr>
          <w:i/>
          <w:kern w:val="22"/>
          <w:szCs w:val="18"/>
        </w:rPr>
        <w:tab/>
      </w:r>
      <w:r w:rsidRPr="00857488">
        <w:rPr>
          <w:i/>
          <w:kern w:val="22"/>
          <w:szCs w:val="18"/>
        </w:rPr>
        <w:t>Decides</w:t>
      </w:r>
      <w:r w:rsidR="00DC5DEF">
        <w:rPr>
          <w:i/>
          <w:iCs/>
          <w:kern w:val="22"/>
          <w:szCs w:val="22"/>
        </w:rPr>
        <w:t xml:space="preserve"> </w:t>
      </w:r>
      <w:r w:rsidR="00DC5DEF">
        <w:rPr>
          <w:kern w:val="22"/>
          <w:szCs w:val="22"/>
        </w:rPr>
        <w:t xml:space="preserve">that, following the fifteenth meeting of the Conference of the Parties, meetings of the Conference of the Parties will be held every two years unless otherwise decided by the Conference of the </w:t>
      </w:r>
      <w:proofErr w:type="gramStart"/>
      <w:r w:rsidR="00DC5DEF">
        <w:rPr>
          <w:kern w:val="22"/>
          <w:szCs w:val="22"/>
        </w:rPr>
        <w:t>Parties;</w:t>
      </w:r>
      <w:proofErr w:type="gramEnd"/>
    </w:p>
    <w:p w14:paraId="34E6B1FC" w14:textId="5A8F02E7" w:rsidR="00DC5DEF" w:rsidRDefault="00DC5DEF" w:rsidP="00DC5DEF">
      <w:pPr>
        <w:tabs>
          <w:tab w:val="num" w:pos="360"/>
        </w:tabs>
        <w:snapToGrid w:val="0"/>
        <w:spacing w:before="120" w:after="120"/>
        <w:ind w:firstLine="720"/>
        <w:rPr>
          <w:i/>
          <w:kern w:val="22"/>
          <w:szCs w:val="18"/>
        </w:rPr>
      </w:pPr>
      <w:r w:rsidRPr="00DC5DEF">
        <w:rPr>
          <w:iCs/>
          <w:kern w:val="22"/>
          <w:szCs w:val="18"/>
        </w:rPr>
        <w:t>2.</w:t>
      </w:r>
      <w:r>
        <w:rPr>
          <w:i/>
          <w:kern w:val="22"/>
          <w:szCs w:val="18"/>
        </w:rPr>
        <w:tab/>
      </w:r>
      <w:r w:rsidR="00C70713">
        <w:rPr>
          <w:i/>
          <w:kern w:val="22"/>
          <w:szCs w:val="18"/>
        </w:rPr>
        <w:t>Also d</w:t>
      </w:r>
      <w:r>
        <w:rPr>
          <w:i/>
          <w:kern w:val="22"/>
          <w:szCs w:val="18"/>
        </w:rPr>
        <w:t xml:space="preserve">ecides </w:t>
      </w:r>
      <w:r w:rsidR="00857488" w:rsidRPr="00857488">
        <w:rPr>
          <w:kern w:val="22"/>
          <w:szCs w:val="18"/>
        </w:rPr>
        <w:t>that the sixteenth meeting of the Conference of the Parties</w:t>
      </w:r>
      <w:r>
        <w:rPr>
          <w:kern w:val="22"/>
          <w:szCs w:val="18"/>
        </w:rPr>
        <w:t xml:space="preserve">, </w:t>
      </w:r>
      <w:r w:rsidRPr="00DC5DEF">
        <w:rPr>
          <w:kern w:val="22"/>
          <w:szCs w:val="18"/>
        </w:rPr>
        <w:t xml:space="preserve">the eleventh meeting of the Conference of the Parties serving as the meeting of the Parties to the Cartagena Protocol and the fifth meeting of the Conference of the Parties </w:t>
      </w:r>
      <w:r w:rsidR="004400AA">
        <w:rPr>
          <w:kern w:val="22"/>
          <w:szCs w:val="18"/>
        </w:rPr>
        <w:t xml:space="preserve">serving as the meeting of the Parties </w:t>
      </w:r>
      <w:r w:rsidRPr="00DC5DEF">
        <w:rPr>
          <w:kern w:val="22"/>
          <w:szCs w:val="18"/>
        </w:rPr>
        <w:t>to the Nagoya Protocol</w:t>
      </w:r>
      <w:r>
        <w:rPr>
          <w:kern w:val="22"/>
          <w:szCs w:val="18"/>
        </w:rPr>
        <w:t>,</w:t>
      </w:r>
      <w:r w:rsidR="00857488" w:rsidRPr="00857488">
        <w:rPr>
          <w:kern w:val="22"/>
          <w:szCs w:val="18"/>
        </w:rPr>
        <w:t xml:space="preserve"> should be held </w:t>
      </w:r>
      <w:r w:rsidRPr="00857488">
        <w:rPr>
          <w:kern w:val="22"/>
          <w:szCs w:val="18"/>
        </w:rPr>
        <w:t xml:space="preserve">in Türkiye </w:t>
      </w:r>
      <w:r w:rsidR="00857488" w:rsidRPr="00857488">
        <w:rPr>
          <w:kern w:val="22"/>
          <w:szCs w:val="18"/>
        </w:rPr>
        <w:t xml:space="preserve">in the last </w:t>
      </w:r>
      <w:r w:rsidR="00857488">
        <w:rPr>
          <w:kern w:val="22"/>
          <w:szCs w:val="18"/>
        </w:rPr>
        <w:t xml:space="preserve">half of </w:t>
      </w:r>
      <w:proofErr w:type="gramStart"/>
      <w:r w:rsidR="00857488">
        <w:rPr>
          <w:kern w:val="22"/>
          <w:szCs w:val="18"/>
        </w:rPr>
        <w:t>2024</w:t>
      </w:r>
      <w:r w:rsidR="00857488" w:rsidRPr="00857488">
        <w:rPr>
          <w:kern w:val="22"/>
          <w:szCs w:val="18"/>
        </w:rPr>
        <w:t>;</w:t>
      </w:r>
      <w:proofErr w:type="gramEnd"/>
    </w:p>
    <w:p w14:paraId="4001DED9" w14:textId="3B6F4311" w:rsidR="00DC5DEF" w:rsidRPr="00B4009F" w:rsidRDefault="00DC5DEF" w:rsidP="00DC5DEF">
      <w:pPr>
        <w:tabs>
          <w:tab w:val="num" w:pos="360"/>
        </w:tabs>
        <w:snapToGrid w:val="0"/>
        <w:spacing w:before="120" w:after="120"/>
        <w:ind w:firstLine="720"/>
        <w:rPr>
          <w:kern w:val="22"/>
          <w:szCs w:val="18"/>
        </w:rPr>
      </w:pPr>
      <w:r w:rsidRPr="00B4009F">
        <w:rPr>
          <w:iCs/>
          <w:kern w:val="22"/>
          <w:szCs w:val="18"/>
        </w:rPr>
        <w:t>3.</w:t>
      </w:r>
      <w:r w:rsidRPr="00B4009F">
        <w:rPr>
          <w:i/>
          <w:kern w:val="22"/>
          <w:szCs w:val="18"/>
        </w:rPr>
        <w:tab/>
        <w:t xml:space="preserve">Reiterates </w:t>
      </w:r>
      <w:r w:rsidRPr="00B4009F">
        <w:rPr>
          <w:iCs/>
          <w:kern w:val="22"/>
          <w:szCs w:val="18"/>
        </w:rPr>
        <w:t>its invitation to</w:t>
      </w:r>
      <w:r w:rsidRPr="00B4009F">
        <w:rPr>
          <w:i/>
          <w:kern w:val="22"/>
          <w:szCs w:val="18"/>
        </w:rPr>
        <w:t xml:space="preserve"> </w:t>
      </w:r>
      <w:r w:rsidR="00857488" w:rsidRPr="00B4009F">
        <w:rPr>
          <w:kern w:val="22"/>
          <w:szCs w:val="18"/>
        </w:rPr>
        <w:t>Parties from the Central and Eastern European region to notify the Executive Secretary of their offers to host the seventeenth meeting of the Conference of the Parties</w:t>
      </w:r>
      <w:r w:rsidR="004400AA" w:rsidRPr="00B4009F">
        <w:rPr>
          <w:kern w:val="22"/>
          <w:szCs w:val="18"/>
        </w:rPr>
        <w:t>,</w:t>
      </w:r>
      <w:r w:rsidR="00857488" w:rsidRPr="00B4009F">
        <w:rPr>
          <w:kern w:val="22"/>
          <w:szCs w:val="18"/>
        </w:rPr>
        <w:t xml:space="preserve"> as well as the twelfth meeting of the Conference of the Parties serving as the meeting of the Parties to the Cartagena Protocol and the sixth meeting of the Conference of the Parties serving as the meeting of the Parties to the Nagoya </w:t>
      </w:r>
      <w:proofErr w:type="gramStart"/>
      <w:r w:rsidR="00857488" w:rsidRPr="00B4009F">
        <w:rPr>
          <w:kern w:val="22"/>
          <w:szCs w:val="18"/>
        </w:rPr>
        <w:t>Protocol;</w:t>
      </w:r>
      <w:proofErr w:type="gramEnd"/>
    </w:p>
    <w:p w14:paraId="7A46006E" w14:textId="65468FE1" w:rsidR="00427D21" w:rsidRPr="004400AA" w:rsidRDefault="00DC5DEF" w:rsidP="004400AA">
      <w:pPr>
        <w:tabs>
          <w:tab w:val="num" w:pos="360"/>
        </w:tabs>
        <w:snapToGrid w:val="0"/>
        <w:spacing w:before="120" w:after="120"/>
        <w:ind w:firstLine="720"/>
        <w:rPr>
          <w:kern w:val="22"/>
          <w:szCs w:val="18"/>
        </w:rPr>
      </w:pPr>
      <w:r w:rsidRPr="00B4009F">
        <w:rPr>
          <w:kern w:val="22"/>
          <w:szCs w:val="18"/>
        </w:rPr>
        <w:t>4.</w:t>
      </w:r>
      <w:r w:rsidRPr="00B4009F">
        <w:rPr>
          <w:kern w:val="22"/>
          <w:szCs w:val="18"/>
        </w:rPr>
        <w:tab/>
      </w:r>
      <w:r w:rsidRPr="00B4009F">
        <w:rPr>
          <w:i/>
          <w:iCs/>
          <w:kern w:val="22"/>
          <w:szCs w:val="18"/>
        </w:rPr>
        <w:t>Invites</w:t>
      </w:r>
      <w:r w:rsidRPr="00B4009F">
        <w:rPr>
          <w:kern w:val="22"/>
          <w:szCs w:val="18"/>
        </w:rPr>
        <w:t xml:space="preserve"> Parties </w:t>
      </w:r>
      <w:r w:rsidR="00890579" w:rsidRPr="00B4009F">
        <w:rPr>
          <w:kern w:val="22"/>
          <w:szCs w:val="18"/>
        </w:rPr>
        <w:t>from the Group of Latin America and the Caribbean to notify</w:t>
      </w:r>
      <w:r w:rsidR="00890579">
        <w:rPr>
          <w:kern w:val="22"/>
          <w:szCs w:val="18"/>
        </w:rPr>
        <w:t xml:space="preserve"> the Executive Secretary of their offers to host the eighteenth meetings of the Conference of the Parties to the Convention</w:t>
      </w:r>
      <w:r w:rsidR="004400AA">
        <w:rPr>
          <w:kern w:val="22"/>
          <w:szCs w:val="18"/>
        </w:rPr>
        <w:t>,</w:t>
      </w:r>
      <w:r w:rsidR="00890579">
        <w:rPr>
          <w:kern w:val="22"/>
          <w:szCs w:val="18"/>
        </w:rPr>
        <w:t xml:space="preserve"> as well as the thirteenth meeting of the Conference of the Parties serving as the meeting of the Parties to the Cartagena Protocol on Biosafety and the seventh meeting of the Conference of the Parties serving as the meeting of the Parties to the Nagoya Protocol</w:t>
      </w:r>
      <w:r w:rsidR="004400AA">
        <w:rPr>
          <w:kern w:val="22"/>
          <w:szCs w:val="18"/>
        </w:rPr>
        <w:t>.</w:t>
      </w:r>
    </w:p>
    <w:p w14:paraId="6A8B6562" w14:textId="72FB233A" w:rsidR="00C9161D" w:rsidRDefault="00C9161D" w:rsidP="00C9161D">
      <w:pPr>
        <w:jc w:val="center"/>
      </w:pPr>
      <w:r w:rsidRPr="00C9161D">
        <w:t>______</w:t>
      </w:r>
      <w:r w:rsidR="004400AA">
        <w:t>___</w:t>
      </w:r>
    </w:p>
    <w:p w14:paraId="00BD5053" w14:textId="77777777" w:rsidR="00B3369F" w:rsidRPr="00C9161D" w:rsidRDefault="00B3369F" w:rsidP="00C9161D"/>
    <w:sectPr w:rsidR="00B3369F" w:rsidRPr="00C916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9200" w14:textId="77777777" w:rsidR="008A6568" w:rsidRDefault="008A6568" w:rsidP="00CF1848">
      <w:r>
        <w:separator/>
      </w:r>
    </w:p>
  </w:endnote>
  <w:endnote w:type="continuationSeparator" w:id="0">
    <w:p w14:paraId="4B30C109" w14:textId="77777777" w:rsidR="008A6568" w:rsidRDefault="008A656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60CC" w14:textId="77777777" w:rsidR="008A6568" w:rsidRDefault="008A6568" w:rsidP="00CF1848">
      <w:r>
        <w:separator/>
      </w:r>
    </w:p>
  </w:footnote>
  <w:footnote w:type="continuationSeparator" w:id="0">
    <w:p w14:paraId="1E7377CB" w14:textId="77777777" w:rsidR="008A6568" w:rsidRDefault="008A6568"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0F590745" w:rsidR="00534681" w:rsidRPr="00C70713" w:rsidRDefault="00C70713" w:rsidP="00534681">
        <w:pPr>
          <w:pStyle w:val="Header"/>
          <w:rPr>
            <w:lang w:val="en-CA"/>
          </w:rPr>
        </w:pPr>
        <w:r>
          <w:rPr>
            <w:lang w:val="en-CA"/>
          </w:rPr>
          <w:t>CBD/COP/15/CRP.1</w:t>
        </w:r>
      </w:p>
    </w:sdtContent>
  </w:sdt>
  <w:p w14:paraId="3EA48BBD"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14:paraId="4991B278"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5DBA6AEB" w:rsidR="009505C9" w:rsidRPr="00C70713" w:rsidRDefault="00C70713" w:rsidP="009505C9">
        <w:pPr>
          <w:pStyle w:val="Header"/>
          <w:jc w:val="right"/>
          <w:rPr>
            <w:lang w:val="en-CA"/>
          </w:rPr>
        </w:pPr>
        <w:r>
          <w:rPr>
            <w:lang w:val="en-CA"/>
          </w:rPr>
          <w:t>CBD/COP/15/CRP.1</w:t>
        </w:r>
      </w:p>
    </w:sdtContent>
  </w:sdt>
  <w:p w14:paraId="213AB81C"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64B5CF41"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89169">
    <w:abstractNumId w:val="4"/>
  </w:num>
  <w:num w:numId="2" w16cid:durableId="82724245">
    <w:abstractNumId w:val="7"/>
  </w:num>
  <w:num w:numId="3" w16cid:durableId="2141334983">
    <w:abstractNumId w:val="5"/>
  </w:num>
  <w:num w:numId="4" w16cid:durableId="785390146">
    <w:abstractNumId w:val="7"/>
  </w:num>
  <w:num w:numId="5" w16cid:durableId="1131829755">
    <w:abstractNumId w:val="6"/>
  </w:num>
  <w:num w:numId="6" w16cid:durableId="1324241388">
    <w:abstractNumId w:val="0"/>
  </w:num>
  <w:num w:numId="7" w16cid:durableId="516620831">
    <w:abstractNumId w:val="2"/>
  </w:num>
  <w:num w:numId="8" w16cid:durableId="475343365">
    <w:abstractNumId w:val="5"/>
    <w:lvlOverride w:ilvl="0">
      <w:startOverride w:val="1"/>
    </w:lvlOverride>
  </w:num>
  <w:num w:numId="9" w16cid:durableId="1516575839">
    <w:abstractNumId w:val="10"/>
  </w:num>
  <w:num w:numId="10" w16cid:durableId="646857540">
    <w:abstractNumId w:val="5"/>
    <w:lvlOverride w:ilvl="0">
      <w:startOverride w:val="1"/>
    </w:lvlOverride>
  </w:num>
  <w:num w:numId="11" w16cid:durableId="1796439191">
    <w:abstractNumId w:val="5"/>
    <w:lvlOverride w:ilvl="0">
      <w:startOverride w:val="1"/>
    </w:lvlOverride>
  </w:num>
  <w:num w:numId="12" w16cid:durableId="2011329422">
    <w:abstractNumId w:val="5"/>
    <w:lvlOverride w:ilvl="0">
      <w:startOverride w:val="1"/>
    </w:lvlOverride>
  </w:num>
  <w:num w:numId="13" w16cid:durableId="282226518">
    <w:abstractNumId w:val="5"/>
    <w:lvlOverride w:ilvl="0">
      <w:startOverride w:val="1"/>
    </w:lvlOverride>
  </w:num>
  <w:num w:numId="14" w16cid:durableId="574320626">
    <w:abstractNumId w:val="9"/>
  </w:num>
  <w:num w:numId="15" w16cid:durableId="462962373">
    <w:abstractNumId w:val="8"/>
  </w:num>
  <w:num w:numId="16" w16cid:durableId="369457471">
    <w:abstractNumId w:val="1"/>
  </w:num>
  <w:num w:numId="17" w16cid:durableId="1342586394">
    <w:abstractNumId w:val="11"/>
  </w:num>
  <w:num w:numId="18" w16cid:durableId="528301686">
    <w:abstractNumId w:val="12"/>
  </w:num>
  <w:num w:numId="19" w16cid:durableId="1282803739">
    <w:abstractNumId w:val="3"/>
  </w:num>
  <w:num w:numId="20" w16cid:durableId="788469671">
    <w:abstractNumId w:val="10"/>
  </w:num>
  <w:num w:numId="21" w16cid:durableId="1392119271">
    <w:abstractNumId w:val="4"/>
  </w:num>
  <w:num w:numId="22" w16cid:durableId="885022708">
    <w:abstractNumId w:val="7"/>
  </w:num>
  <w:num w:numId="23" w16cid:durableId="1452867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7196"/>
    <w:rsid w:val="000E673A"/>
    <w:rsid w:val="000F218F"/>
    <w:rsid w:val="000F74F5"/>
    <w:rsid w:val="00105372"/>
    <w:rsid w:val="00130CEB"/>
    <w:rsid w:val="00131E7A"/>
    <w:rsid w:val="00172AF6"/>
    <w:rsid w:val="00176CEE"/>
    <w:rsid w:val="001D0C4A"/>
    <w:rsid w:val="002C2E98"/>
    <w:rsid w:val="002C470F"/>
    <w:rsid w:val="002D68B5"/>
    <w:rsid w:val="00372F74"/>
    <w:rsid w:val="003C5220"/>
    <w:rsid w:val="003F7224"/>
    <w:rsid w:val="004040C4"/>
    <w:rsid w:val="00405146"/>
    <w:rsid w:val="0042412C"/>
    <w:rsid w:val="00427D21"/>
    <w:rsid w:val="004400AA"/>
    <w:rsid w:val="00446D70"/>
    <w:rsid w:val="004644C2"/>
    <w:rsid w:val="00467F9C"/>
    <w:rsid w:val="00475A95"/>
    <w:rsid w:val="004E1B32"/>
    <w:rsid w:val="00510E76"/>
    <w:rsid w:val="00522946"/>
    <w:rsid w:val="00534681"/>
    <w:rsid w:val="006122BA"/>
    <w:rsid w:val="00625640"/>
    <w:rsid w:val="00680B2A"/>
    <w:rsid w:val="006B2290"/>
    <w:rsid w:val="006C3C2E"/>
    <w:rsid w:val="006C57AA"/>
    <w:rsid w:val="00717D88"/>
    <w:rsid w:val="00744F17"/>
    <w:rsid w:val="00791ACA"/>
    <w:rsid w:val="007942D3"/>
    <w:rsid w:val="007B6C09"/>
    <w:rsid w:val="007C3F96"/>
    <w:rsid w:val="007E09DA"/>
    <w:rsid w:val="008178B6"/>
    <w:rsid w:val="00857488"/>
    <w:rsid w:val="00863B0B"/>
    <w:rsid w:val="00865B74"/>
    <w:rsid w:val="00886758"/>
    <w:rsid w:val="00890579"/>
    <w:rsid w:val="008A6568"/>
    <w:rsid w:val="008C27E8"/>
    <w:rsid w:val="00930BA1"/>
    <w:rsid w:val="0093169E"/>
    <w:rsid w:val="009505C9"/>
    <w:rsid w:val="009C200D"/>
    <w:rsid w:val="00A03C00"/>
    <w:rsid w:val="00A77E50"/>
    <w:rsid w:val="00B1598F"/>
    <w:rsid w:val="00B3369F"/>
    <w:rsid w:val="00B4009F"/>
    <w:rsid w:val="00BD6B50"/>
    <w:rsid w:val="00C07861"/>
    <w:rsid w:val="00C20258"/>
    <w:rsid w:val="00C70713"/>
    <w:rsid w:val="00C9161D"/>
    <w:rsid w:val="00CD4CA3"/>
    <w:rsid w:val="00CF1848"/>
    <w:rsid w:val="00D12044"/>
    <w:rsid w:val="00D76A18"/>
    <w:rsid w:val="00DC5DEF"/>
    <w:rsid w:val="00DD118C"/>
    <w:rsid w:val="00DD3B88"/>
    <w:rsid w:val="00E24FCB"/>
    <w:rsid w:val="00E456CB"/>
    <w:rsid w:val="00E66235"/>
    <w:rsid w:val="00E83C24"/>
    <w:rsid w:val="00E9318D"/>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0811033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B0BDA"/>
    <w:rsid w:val="00500A2B"/>
    <w:rsid w:val="0058288D"/>
    <w:rsid w:val="006801B3"/>
    <w:rsid w:val="006A12BA"/>
    <w:rsid w:val="00720F63"/>
    <w:rsid w:val="007F1B76"/>
    <w:rsid w:val="00810A55"/>
    <w:rsid w:val="008C6619"/>
    <w:rsid w:val="008D420E"/>
    <w:rsid w:val="0098642F"/>
    <w:rsid w:val="00C05767"/>
    <w:rsid w:val="00C82269"/>
    <w:rsid w:val="00CE6602"/>
    <w:rsid w:val="00CF0D48"/>
    <w:rsid w:val="00D42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2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5.xml><?xml version="1.0" encoding="utf-8"?>
<ds:datastoreItem xmlns:ds="http://schemas.openxmlformats.org/officeDocument/2006/customXml" ds:itemID="{CBB34A90-F4C5-40E6-AD11-2567A1E9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TLE</vt:lpstr>
    </vt:vector>
  </TitlesOfParts>
  <Company>SCBD</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CBD/COP/15/CRP.1</dc:subject>
  <dc:creator>SCBD</dc:creator>
  <cp:keywords>Conference of the Parties to the Convention on Biological Diversity, fifteenth meeting</cp:keywords>
  <cp:lastModifiedBy>Veronique Lefebvre</cp:lastModifiedBy>
  <cp:revision>3</cp:revision>
  <cp:lastPrinted>2022-12-16T01:27:00Z</cp:lastPrinted>
  <dcterms:created xsi:type="dcterms:W3CDTF">2022-12-16T04:14:00Z</dcterms:created>
  <dcterms:modified xsi:type="dcterms:W3CDTF">2022-12-16T04:38:00Z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